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A486" w14:textId="63959D52" w:rsidR="001C3A32" w:rsidRPr="00204979" w:rsidRDefault="005A61D3" w:rsidP="00075677">
      <w:pPr>
        <w:pStyle w:val="cuadroCabe"/>
      </w:pPr>
      <w:r>
        <w:rPr>
          <w:noProof/>
          <w:lang w:val="es-ES" w:eastAsia="es-ES"/>
        </w:rPr>
        <mc:AlternateContent>
          <mc:Choice Requires="wps">
            <w:drawing>
              <wp:anchor distT="0" distB="0" distL="114300" distR="114300" simplePos="0" relativeHeight="251634688" behindDoc="0" locked="0" layoutInCell="1" allowOverlap="1" wp14:anchorId="71F3EE8C" wp14:editId="754A8D12">
                <wp:simplePos x="0" y="0"/>
                <wp:positionH relativeFrom="column">
                  <wp:posOffset>-155394</wp:posOffset>
                </wp:positionH>
                <wp:positionV relativeFrom="paragraph">
                  <wp:posOffset>-820511</wp:posOffset>
                </wp:positionV>
                <wp:extent cx="1105535" cy="96520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652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C732F6" w:rsidRPr="003A7956" w:rsidRDefault="00C732F6" w:rsidP="004C3423">
                            <w:pPr>
                              <w:spacing w:after="0"/>
                              <w:ind w:firstLine="0"/>
                              <w:jc w:val="center"/>
                              <w:rPr>
                                <w:sz w:val="18"/>
                                <w:szCs w:val="18"/>
                                <w:lang w:val="es-ES"/>
                              </w:rPr>
                            </w:pPr>
                            <w:r w:rsidRPr="003A7956">
                              <w:rPr>
                                <w:sz w:val="18"/>
                                <w:szCs w:val="18"/>
                                <w:lang w:val="es-ES"/>
                              </w:rPr>
                              <w:t>CAMARA DE</w:t>
                            </w:r>
                          </w:p>
                          <w:p w14:paraId="014AEEE6" w14:textId="77777777" w:rsidR="00C732F6" w:rsidRPr="003A7956" w:rsidRDefault="00C732F6" w:rsidP="004C3423">
                            <w:pPr>
                              <w:spacing w:after="0"/>
                              <w:ind w:firstLine="0"/>
                              <w:jc w:val="center"/>
                              <w:rPr>
                                <w:sz w:val="18"/>
                                <w:szCs w:val="18"/>
                                <w:lang w:val="es-ES"/>
                              </w:rPr>
                            </w:pPr>
                            <w:r w:rsidRPr="003A7956">
                              <w:rPr>
                                <w:sz w:val="18"/>
                                <w:szCs w:val="18"/>
                                <w:lang w:val="es-ES"/>
                              </w:rPr>
                              <w:t>COMPTOS</w:t>
                            </w:r>
                          </w:p>
                          <w:p w14:paraId="44471B96" w14:textId="77777777" w:rsidR="00C732F6" w:rsidRPr="003A7956" w:rsidRDefault="00C732F6" w:rsidP="004C3423">
                            <w:pPr>
                              <w:spacing w:after="0"/>
                              <w:ind w:firstLine="0"/>
                              <w:jc w:val="center"/>
                              <w:rPr>
                                <w:sz w:val="18"/>
                                <w:szCs w:val="18"/>
                                <w:lang w:val="es-ES"/>
                              </w:rPr>
                            </w:pPr>
                            <w:r w:rsidRPr="003A7956">
                              <w:rPr>
                                <w:sz w:val="18"/>
                                <w:szCs w:val="18"/>
                                <w:lang w:val="es-ES"/>
                              </w:rPr>
                              <w:t>DE NAVARRA</w:t>
                            </w:r>
                          </w:p>
                          <w:p w14:paraId="07A085F6" w14:textId="77777777" w:rsidR="00C732F6" w:rsidRPr="003A7956" w:rsidRDefault="00C732F6"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C732F6" w:rsidRPr="003A7956" w:rsidRDefault="00C732F6"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C732F6" w:rsidRPr="003A7956" w:rsidRDefault="00C732F6"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C732F6" w:rsidRPr="002C7026" w:rsidRDefault="00C732F6"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EE8C" id="_x0000_t202" coordsize="21600,21600" o:spt="202" path="m,l,21600r21600,l21600,xe">
                <v:stroke joinstyle="miter"/>
                <v:path gradientshapeok="t" o:connecttype="rect"/>
              </v:shapetype>
              <v:shape id="Text Box 7" o:spid="_x0000_s1026" type="#_x0000_t202" style="position:absolute;left:0;text-align:left;margin-left:-12.25pt;margin-top:-64.6pt;width:87.05pt;height:7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" stroked="f" strokecolor="white">
                <v:textbox>
                  <w:txbxContent>
                    <w:p w14:paraId="7CE9EDB8" w14:textId="77777777" w:rsidR="00C732F6" w:rsidRPr="003A7956" w:rsidRDefault="00C732F6" w:rsidP="004C3423">
                      <w:pPr>
                        <w:spacing w:after="0"/>
                        <w:ind w:firstLine="0"/>
                        <w:jc w:val="center"/>
                        <w:rPr>
                          <w:sz w:val="18"/>
                          <w:szCs w:val="18"/>
                          <w:lang w:val="es-ES"/>
                        </w:rPr>
                      </w:pPr>
                      <w:r w:rsidRPr="003A7956">
                        <w:rPr>
                          <w:sz w:val="18"/>
                          <w:szCs w:val="18"/>
                          <w:lang w:val="es-ES"/>
                        </w:rPr>
                        <w:t>CAMARA DE</w:t>
                      </w:r>
                    </w:p>
                    <w:p w14:paraId="014AEEE6" w14:textId="77777777" w:rsidR="00C732F6" w:rsidRPr="003A7956" w:rsidRDefault="00C732F6" w:rsidP="004C3423">
                      <w:pPr>
                        <w:spacing w:after="0"/>
                        <w:ind w:firstLine="0"/>
                        <w:jc w:val="center"/>
                        <w:rPr>
                          <w:sz w:val="18"/>
                          <w:szCs w:val="18"/>
                          <w:lang w:val="es-ES"/>
                        </w:rPr>
                      </w:pPr>
                      <w:r w:rsidRPr="003A7956">
                        <w:rPr>
                          <w:sz w:val="18"/>
                          <w:szCs w:val="18"/>
                          <w:lang w:val="es-ES"/>
                        </w:rPr>
                        <w:t>COMPTOS</w:t>
                      </w:r>
                    </w:p>
                    <w:p w14:paraId="44471B96" w14:textId="77777777" w:rsidR="00C732F6" w:rsidRPr="003A7956" w:rsidRDefault="00C732F6" w:rsidP="004C3423">
                      <w:pPr>
                        <w:spacing w:after="0"/>
                        <w:ind w:firstLine="0"/>
                        <w:jc w:val="center"/>
                        <w:rPr>
                          <w:sz w:val="18"/>
                          <w:szCs w:val="18"/>
                          <w:lang w:val="es-ES"/>
                        </w:rPr>
                      </w:pPr>
                      <w:r w:rsidRPr="003A7956">
                        <w:rPr>
                          <w:sz w:val="18"/>
                          <w:szCs w:val="18"/>
                          <w:lang w:val="es-ES"/>
                        </w:rPr>
                        <w:t>DE NAVARRA</w:t>
                      </w:r>
                    </w:p>
                    <w:p w14:paraId="07A085F6" w14:textId="77777777" w:rsidR="00C732F6" w:rsidRPr="003A7956" w:rsidRDefault="00C732F6"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C732F6" w:rsidRPr="003A7956" w:rsidRDefault="00C732F6"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C732F6" w:rsidRPr="003A7956" w:rsidRDefault="00C732F6"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C732F6" w:rsidRPr="002C7026" w:rsidRDefault="00C732F6" w:rsidP="002C7026">
                      <w:pPr>
                        <w:spacing w:after="0"/>
                        <w:ind w:firstLine="0"/>
                        <w:jc w:val="center"/>
                        <w:rPr>
                          <w:rFonts w:ascii="Trajan" w:hAnsi="Trajan"/>
                          <w:color w:val="808080"/>
                          <w:sz w:val="18"/>
                          <w:szCs w:val="18"/>
                          <w:lang w:val="es-ES"/>
                        </w:rPr>
                      </w:pPr>
                    </w:p>
                  </w:txbxContent>
                </v:textbox>
              </v:shape>
            </w:pict>
          </mc:Fallback>
        </mc:AlternateContent>
      </w:r>
      <w:r w:rsidR="005B2927">
        <w:t xml:space="preserve">                                </w:t>
      </w:r>
      <w:r w:rsidR="004457AA">
        <w:t xml:space="preserve"> </w:t>
      </w:r>
      <w:r w:rsidR="00844F74" w:rsidRPr="00A8137F">
        <w:t xml:space="preserve"> </w:t>
      </w:r>
    </w:p>
    <w:p w14:paraId="675C48F4" w14:textId="77777777" w:rsidR="00E166A5" w:rsidRPr="00E166A5" w:rsidRDefault="00E166A5" w:rsidP="00E166A5">
      <w:pPr>
        <w:autoSpaceDE w:val="0"/>
        <w:autoSpaceDN w:val="0"/>
        <w:adjustRightInd w:val="0"/>
        <w:spacing w:after="0"/>
        <w:ind w:firstLine="0"/>
        <w:jc w:val="left"/>
        <w:rPr>
          <w:rFonts w:ascii="Liberation Sans" w:hAnsi="Liberation Sans" w:cs="Liberation Sans"/>
          <w:color w:val="000000"/>
          <w:sz w:val="24"/>
          <w:szCs w:val="24"/>
          <w:lang w:val="es-ES" w:eastAsia="es-ES"/>
        </w:rPr>
      </w:pPr>
    </w:p>
    <w:p w14:paraId="5DAB6C7B" w14:textId="1A3CC088" w:rsidR="00693C12" w:rsidRPr="00A07906" w:rsidRDefault="00534AB6" w:rsidP="00D6470A">
      <w:pPr>
        <w:pStyle w:val="EstiloPortada"/>
        <w:ind w:left="4820" w:right="142"/>
        <w:jc w:val="right"/>
        <w:rPr>
          <w:rFonts w:ascii="Arial" w:hAnsi="Arial" w:cs="Arial"/>
          <w:color w:val="808080"/>
          <w:sz w:val="40"/>
          <w:szCs w:val="24"/>
          <w:lang w:val="es-ES" w:eastAsia="es-ES"/>
        </w:rPr>
      </w:pPr>
      <w:r>
        <w:rPr>
          <w:rFonts w:ascii="Arial" w:hAnsi="Arial" w:cs="Arial"/>
          <w:color w:val="808080"/>
          <w:sz w:val="40"/>
        </w:rPr>
        <w:t xml:space="preserve">Informe </w:t>
      </w:r>
      <w:r w:rsidR="00D8221C">
        <w:rPr>
          <w:rFonts w:ascii="Arial" w:hAnsi="Arial" w:cs="Arial"/>
          <w:color w:val="808080"/>
          <w:sz w:val="40"/>
        </w:rPr>
        <w:t>Definitivo</w:t>
      </w:r>
    </w:p>
    <w:p w14:paraId="29689F1E" w14:textId="559DC0F2" w:rsidR="00707008" w:rsidRDefault="00707008" w:rsidP="00707008">
      <w:pPr>
        <w:pStyle w:val="EstiloPortada"/>
        <w:ind w:left="3388" w:right="0"/>
        <w:jc w:val="right"/>
        <w:rPr>
          <w:rFonts w:ascii="Arial" w:hAnsi="Arial" w:cs="Arial"/>
          <w:color w:val="808080"/>
          <w:sz w:val="36"/>
          <w:szCs w:val="36"/>
        </w:rPr>
      </w:pPr>
    </w:p>
    <w:p w14:paraId="1AF4AD10" w14:textId="77777777" w:rsidR="00693C12" w:rsidRPr="00707008" w:rsidRDefault="00693C12" w:rsidP="00475F29">
      <w:pPr>
        <w:pStyle w:val="EstiloPortada"/>
        <w:spacing w:before="0"/>
        <w:ind w:left="142" w:right="142"/>
        <w:jc w:val="right"/>
        <w:rPr>
          <w:sz w:val="52"/>
          <w:szCs w:val="52"/>
        </w:rPr>
      </w:pPr>
      <w:r w:rsidRPr="00707008">
        <w:rPr>
          <w:sz w:val="52"/>
          <w:szCs w:val="52"/>
        </w:rPr>
        <w:t xml:space="preserve">Cuenta General </w:t>
      </w:r>
    </w:p>
    <w:p w14:paraId="27859C2E" w14:textId="1E2ED8BF" w:rsidR="00693C12" w:rsidRPr="00707008" w:rsidRDefault="00E166A5" w:rsidP="00475F29">
      <w:pPr>
        <w:pStyle w:val="EstiloPortada"/>
        <w:spacing w:before="0"/>
        <w:ind w:left="142" w:right="142" w:firstLine="284"/>
        <w:jc w:val="right"/>
        <w:rPr>
          <w:sz w:val="52"/>
          <w:szCs w:val="52"/>
        </w:rPr>
      </w:pPr>
      <w:r>
        <w:rPr>
          <w:sz w:val="52"/>
          <w:szCs w:val="52"/>
        </w:rPr>
        <w:t xml:space="preserve">de la </w:t>
      </w:r>
      <w:r w:rsidR="003C06D0">
        <w:rPr>
          <w:sz w:val="52"/>
          <w:szCs w:val="52"/>
        </w:rPr>
        <w:t>Mancomunidad</w:t>
      </w:r>
      <w:r>
        <w:rPr>
          <w:sz w:val="52"/>
          <w:szCs w:val="52"/>
        </w:rPr>
        <w:t xml:space="preserve"> de Residuos Sólidos Urbanos Irati</w:t>
      </w:r>
      <w:r w:rsidR="004271C0">
        <w:rPr>
          <w:sz w:val="52"/>
          <w:szCs w:val="52"/>
        </w:rPr>
        <w:t>,</w:t>
      </w:r>
      <w:r w:rsidR="00693C12" w:rsidRPr="263FF6C8">
        <w:rPr>
          <w:sz w:val="52"/>
          <w:szCs w:val="52"/>
        </w:rPr>
        <w:t xml:space="preserve"> </w:t>
      </w:r>
      <w:r w:rsidR="004457AA">
        <w:rPr>
          <w:sz w:val="52"/>
          <w:szCs w:val="52"/>
        </w:rPr>
        <w:t>(</w:t>
      </w:r>
      <w:r w:rsidR="00693C12" w:rsidRPr="263FF6C8">
        <w:rPr>
          <w:sz w:val="52"/>
          <w:szCs w:val="52"/>
        </w:rPr>
        <w:t>202</w:t>
      </w:r>
      <w:r>
        <w:rPr>
          <w:sz w:val="52"/>
          <w:szCs w:val="52"/>
        </w:rPr>
        <w:t>3</w:t>
      </w:r>
      <w:r w:rsidR="004457AA">
        <w:rPr>
          <w:sz w:val="52"/>
          <w:szCs w:val="52"/>
        </w:rPr>
        <w:t>)</w:t>
      </w:r>
    </w:p>
    <w:p w14:paraId="6A05A809" w14:textId="77777777" w:rsidR="001C3A32" w:rsidRPr="00204979" w:rsidRDefault="001C3A32" w:rsidP="00693C12">
      <w:pPr>
        <w:pStyle w:val="EstiloPortada"/>
      </w:pPr>
    </w:p>
    <w:p w14:paraId="5A39BBE3" w14:textId="77777777" w:rsidR="001C3A32" w:rsidRPr="00204979" w:rsidRDefault="001C3A32" w:rsidP="00891D73">
      <w:pPr>
        <w:pStyle w:val="texto"/>
      </w:pPr>
    </w:p>
    <w:p w14:paraId="41C8F396" w14:textId="77777777" w:rsidR="002F2530" w:rsidRPr="00204979" w:rsidRDefault="002F2530" w:rsidP="00891D73">
      <w:pPr>
        <w:pStyle w:val="texto"/>
      </w:pPr>
    </w:p>
    <w:p w14:paraId="72A3D3EC" w14:textId="77777777" w:rsidR="002F2530" w:rsidRPr="00204979" w:rsidRDefault="002F2530" w:rsidP="00D8221C">
      <w:pPr>
        <w:pStyle w:val="texto"/>
        <w:ind w:right="142"/>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3E3E5BCE" w14:textId="7954B7A3" w:rsidR="003D1959" w:rsidRDefault="003D1959" w:rsidP="00891D73">
      <w:pPr>
        <w:pStyle w:val="texto"/>
        <w:rPr>
          <w:color w:val="FF0000"/>
        </w:rPr>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279591B7" w14:textId="77777777" w:rsidR="00654D95" w:rsidRPr="00204979" w:rsidRDefault="00654D95"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1C3A32" w:rsidRPr="00204979" w:rsidRDefault="001C3A32" w:rsidP="00891D73">
      <w:pPr>
        <w:pStyle w:val="texto"/>
      </w:pPr>
    </w:p>
    <w:p w14:paraId="62486C05" w14:textId="77777777" w:rsidR="001C3A32" w:rsidRPr="00204979" w:rsidRDefault="001C3A32" w:rsidP="00891D73">
      <w:pPr>
        <w:pStyle w:val="texto"/>
      </w:pPr>
    </w:p>
    <w:p w14:paraId="4B99056E" w14:textId="77777777" w:rsidR="00844F74" w:rsidRPr="00204979" w:rsidRDefault="00844F74" w:rsidP="00891D73">
      <w:pPr>
        <w:pStyle w:val="texto"/>
      </w:pPr>
    </w:p>
    <w:p w14:paraId="1299C43A" w14:textId="1BD21563" w:rsidR="008E3FFE" w:rsidRPr="001D4F09" w:rsidRDefault="004014F5" w:rsidP="009C4D78">
      <w:pPr>
        <w:pStyle w:val="Fechaportada"/>
        <w:sectPr w:rsidR="008E3FFE" w:rsidRPr="001D4F09" w:rsidSect="0019660E">
          <w:headerReference w:type="even" r:id="rId11"/>
          <w:headerReference w:type="default" r:id="rId12"/>
          <w:footerReference w:type="even" r:id="rId13"/>
          <w:footerReference w:type="default" r:id="rId14"/>
          <w:headerReference w:type="first" r:id="rId15"/>
          <w:pgSz w:w="11907" w:h="16840" w:code="9"/>
          <w:pgMar w:top="2835" w:right="1559" w:bottom="1644" w:left="1559" w:header="369" w:footer="136" w:gutter="0"/>
          <w:pgNumType w:start="1"/>
          <w:cols w:space="720"/>
          <w:titlePg/>
          <w:docGrid w:linePitch="360"/>
        </w:sectPr>
      </w:pPr>
      <w:r>
        <w:t>Noviem</w:t>
      </w:r>
      <w:r w:rsidR="00722354">
        <w:t>b</w:t>
      </w:r>
      <w:r w:rsidR="00553AD1">
        <w:t>re</w:t>
      </w:r>
      <w:r w:rsidR="00E166A5">
        <w:t xml:space="preserve"> </w:t>
      </w:r>
      <w:r w:rsidR="00253E78" w:rsidRPr="001D4F09">
        <w:t>de 20</w:t>
      </w:r>
      <w:r w:rsidR="00E166A5">
        <w:t>24</w:t>
      </w:r>
    </w:p>
    <w:p w14:paraId="5D708F67" w14:textId="423A5402" w:rsidR="00250AFE" w:rsidRDefault="00250AFE" w:rsidP="00891D73">
      <w:pPr>
        <w:pStyle w:val="ndice"/>
      </w:pPr>
    </w:p>
    <w:p w14:paraId="6EC93065" w14:textId="1C06CDCE" w:rsidR="001C3A32" w:rsidRPr="00845BCE" w:rsidRDefault="00FB68C5" w:rsidP="00FB68C5">
      <w:pPr>
        <w:pStyle w:val="ndice"/>
        <w:jc w:val="right"/>
        <w:rPr>
          <w:b w:val="0"/>
          <w:i/>
          <w:sz w:val="16"/>
          <w:szCs w:val="16"/>
        </w:rPr>
      </w:pPr>
      <w:r w:rsidRPr="00845BCE">
        <w:rPr>
          <w:b w:val="0"/>
          <w:i/>
          <w:sz w:val="16"/>
          <w:szCs w:val="16"/>
        </w:rPr>
        <w:t>página</w:t>
      </w:r>
    </w:p>
    <w:p w14:paraId="6DD124E4" w14:textId="3C176F50" w:rsidR="00122A84"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82397287" w:history="1">
        <w:r w:rsidR="00122A84" w:rsidRPr="00A66112">
          <w:rPr>
            <w:rStyle w:val="Hipervnculo"/>
            <w:noProof/>
          </w:rPr>
          <w:t>I. Introducción</w:t>
        </w:r>
        <w:r w:rsidR="00122A84">
          <w:rPr>
            <w:noProof/>
            <w:webHidden/>
          </w:rPr>
          <w:tab/>
        </w:r>
        <w:r w:rsidR="00122A84">
          <w:rPr>
            <w:noProof/>
            <w:webHidden/>
          </w:rPr>
          <w:fldChar w:fldCharType="begin"/>
        </w:r>
        <w:r w:rsidR="00122A84">
          <w:rPr>
            <w:noProof/>
            <w:webHidden/>
          </w:rPr>
          <w:instrText xml:space="preserve"> PAGEREF _Toc182397287 \h </w:instrText>
        </w:r>
        <w:r w:rsidR="00122A84">
          <w:rPr>
            <w:noProof/>
            <w:webHidden/>
          </w:rPr>
        </w:r>
        <w:r w:rsidR="00122A84">
          <w:rPr>
            <w:noProof/>
            <w:webHidden/>
          </w:rPr>
          <w:fldChar w:fldCharType="separate"/>
        </w:r>
        <w:r w:rsidR="00122A84">
          <w:rPr>
            <w:noProof/>
            <w:webHidden/>
          </w:rPr>
          <w:t>3</w:t>
        </w:r>
        <w:r w:rsidR="00122A84">
          <w:rPr>
            <w:noProof/>
            <w:webHidden/>
          </w:rPr>
          <w:fldChar w:fldCharType="end"/>
        </w:r>
      </w:hyperlink>
    </w:p>
    <w:p w14:paraId="0B812290" w14:textId="02082F9C" w:rsidR="00122A84" w:rsidRDefault="00122A84">
      <w:pPr>
        <w:pStyle w:val="TDC1"/>
        <w:rPr>
          <w:rFonts w:asciiTheme="minorHAnsi" w:eastAsiaTheme="minorEastAsia" w:hAnsiTheme="minorHAnsi" w:cstheme="minorBidi"/>
          <w:smallCaps w:val="0"/>
          <w:noProof/>
          <w:szCs w:val="22"/>
          <w:lang w:val="es-ES" w:eastAsia="es-ES"/>
        </w:rPr>
      </w:pPr>
      <w:hyperlink w:anchor="_Toc182397288" w:history="1">
        <w:r w:rsidRPr="00A66112">
          <w:rPr>
            <w:rStyle w:val="Hipervnculo"/>
            <w:noProof/>
          </w:rPr>
          <w:t>II. Objetivos, alcance y limitaciones de la fiscalización</w:t>
        </w:r>
        <w:r>
          <w:rPr>
            <w:noProof/>
            <w:webHidden/>
          </w:rPr>
          <w:tab/>
        </w:r>
        <w:r>
          <w:rPr>
            <w:noProof/>
            <w:webHidden/>
          </w:rPr>
          <w:fldChar w:fldCharType="begin"/>
        </w:r>
        <w:r>
          <w:rPr>
            <w:noProof/>
            <w:webHidden/>
          </w:rPr>
          <w:instrText xml:space="preserve"> PAGEREF _Toc182397288 \h </w:instrText>
        </w:r>
        <w:r>
          <w:rPr>
            <w:noProof/>
            <w:webHidden/>
          </w:rPr>
        </w:r>
        <w:r>
          <w:rPr>
            <w:noProof/>
            <w:webHidden/>
          </w:rPr>
          <w:fldChar w:fldCharType="separate"/>
        </w:r>
        <w:r>
          <w:rPr>
            <w:noProof/>
            <w:webHidden/>
          </w:rPr>
          <w:t>4</w:t>
        </w:r>
        <w:r>
          <w:rPr>
            <w:noProof/>
            <w:webHidden/>
          </w:rPr>
          <w:fldChar w:fldCharType="end"/>
        </w:r>
      </w:hyperlink>
    </w:p>
    <w:p w14:paraId="741798CB" w14:textId="7D194999" w:rsidR="00122A84" w:rsidRDefault="00122A84">
      <w:pPr>
        <w:pStyle w:val="TDC1"/>
        <w:rPr>
          <w:rFonts w:asciiTheme="minorHAnsi" w:eastAsiaTheme="minorEastAsia" w:hAnsiTheme="minorHAnsi" w:cstheme="minorBidi"/>
          <w:smallCaps w:val="0"/>
          <w:noProof/>
          <w:szCs w:val="22"/>
          <w:lang w:val="es-ES" w:eastAsia="es-ES"/>
        </w:rPr>
      </w:pPr>
      <w:hyperlink w:anchor="_Toc182397289" w:history="1">
        <w:r w:rsidRPr="00A66112">
          <w:rPr>
            <w:rStyle w:val="Hipervnculo"/>
            <w:noProof/>
          </w:rPr>
          <w:t>III. Opinión</w:t>
        </w:r>
        <w:r>
          <w:rPr>
            <w:noProof/>
            <w:webHidden/>
          </w:rPr>
          <w:tab/>
        </w:r>
        <w:r>
          <w:rPr>
            <w:noProof/>
            <w:webHidden/>
          </w:rPr>
          <w:fldChar w:fldCharType="begin"/>
        </w:r>
        <w:r>
          <w:rPr>
            <w:noProof/>
            <w:webHidden/>
          </w:rPr>
          <w:instrText xml:space="preserve"> PAGEREF _Toc182397289 \h </w:instrText>
        </w:r>
        <w:r>
          <w:rPr>
            <w:noProof/>
            <w:webHidden/>
          </w:rPr>
        </w:r>
        <w:r>
          <w:rPr>
            <w:noProof/>
            <w:webHidden/>
          </w:rPr>
          <w:fldChar w:fldCharType="separate"/>
        </w:r>
        <w:r>
          <w:rPr>
            <w:noProof/>
            <w:webHidden/>
          </w:rPr>
          <w:t>6</w:t>
        </w:r>
        <w:r>
          <w:rPr>
            <w:noProof/>
            <w:webHidden/>
          </w:rPr>
          <w:fldChar w:fldCharType="end"/>
        </w:r>
      </w:hyperlink>
    </w:p>
    <w:p w14:paraId="484DA393" w14:textId="1FF8F47F" w:rsidR="00122A84" w:rsidRDefault="00122A84">
      <w:pPr>
        <w:pStyle w:val="TDC2"/>
        <w:rPr>
          <w:rFonts w:asciiTheme="minorHAnsi" w:eastAsiaTheme="minorEastAsia" w:hAnsiTheme="minorHAnsi" w:cstheme="minorBidi"/>
          <w:noProof/>
          <w:szCs w:val="22"/>
          <w:lang w:val="es-ES" w:eastAsia="es-ES"/>
        </w:rPr>
      </w:pPr>
      <w:hyperlink w:anchor="_Toc182397290" w:history="1">
        <w:r w:rsidRPr="00A66112">
          <w:rPr>
            <w:rStyle w:val="Hipervnculo"/>
            <w:noProof/>
          </w:rPr>
          <w:t>III.1 Opinión de fiscalización financiera desfavorable</w:t>
        </w:r>
        <w:r>
          <w:rPr>
            <w:noProof/>
            <w:webHidden/>
          </w:rPr>
          <w:tab/>
        </w:r>
        <w:r>
          <w:rPr>
            <w:noProof/>
            <w:webHidden/>
          </w:rPr>
          <w:fldChar w:fldCharType="begin"/>
        </w:r>
        <w:r>
          <w:rPr>
            <w:noProof/>
            <w:webHidden/>
          </w:rPr>
          <w:instrText xml:space="preserve"> PAGEREF _Toc182397290 \h </w:instrText>
        </w:r>
        <w:r>
          <w:rPr>
            <w:noProof/>
            <w:webHidden/>
          </w:rPr>
        </w:r>
        <w:r>
          <w:rPr>
            <w:noProof/>
            <w:webHidden/>
          </w:rPr>
          <w:fldChar w:fldCharType="separate"/>
        </w:r>
        <w:r>
          <w:rPr>
            <w:noProof/>
            <w:webHidden/>
          </w:rPr>
          <w:t>6</w:t>
        </w:r>
        <w:r>
          <w:rPr>
            <w:noProof/>
            <w:webHidden/>
          </w:rPr>
          <w:fldChar w:fldCharType="end"/>
        </w:r>
      </w:hyperlink>
    </w:p>
    <w:p w14:paraId="658913BE" w14:textId="0EEAFA8C" w:rsidR="00122A84" w:rsidRDefault="00122A84">
      <w:pPr>
        <w:pStyle w:val="TDC2"/>
        <w:rPr>
          <w:rFonts w:asciiTheme="minorHAnsi" w:eastAsiaTheme="minorEastAsia" w:hAnsiTheme="minorHAnsi" w:cstheme="minorBidi"/>
          <w:noProof/>
          <w:szCs w:val="22"/>
          <w:lang w:val="es-ES" w:eastAsia="es-ES"/>
        </w:rPr>
      </w:pPr>
      <w:hyperlink w:anchor="_Toc182397291" w:history="1">
        <w:r w:rsidRPr="00A66112">
          <w:rPr>
            <w:rStyle w:val="Hipervnculo"/>
            <w:noProof/>
          </w:rPr>
          <w:t>III.2 Opinión de fiscalización de cumplimiento desfavorable</w:t>
        </w:r>
        <w:r>
          <w:rPr>
            <w:noProof/>
            <w:webHidden/>
          </w:rPr>
          <w:tab/>
        </w:r>
        <w:r>
          <w:rPr>
            <w:noProof/>
            <w:webHidden/>
          </w:rPr>
          <w:fldChar w:fldCharType="begin"/>
        </w:r>
        <w:r>
          <w:rPr>
            <w:noProof/>
            <w:webHidden/>
          </w:rPr>
          <w:instrText xml:space="preserve"> PAGEREF _Toc182397291 \h </w:instrText>
        </w:r>
        <w:r>
          <w:rPr>
            <w:noProof/>
            <w:webHidden/>
          </w:rPr>
        </w:r>
        <w:r>
          <w:rPr>
            <w:noProof/>
            <w:webHidden/>
          </w:rPr>
          <w:fldChar w:fldCharType="separate"/>
        </w:r>
        <w:r>
          <w:rPr>
            <w:noProof/>
            <w:webHidden/>
          </w:rPr>
          <w:t>6</w:t>
        </w:r>
        <w:r>
          <w:rPr>
            <w:noProof/>
            <w:webHidden/>
          </w:rPr>
          <w:fldChar w:fldCharType="end"/>
        </w:r>
      </w:hyperlink>
    </w:p>
    <w:p w14:paraId="56C75BF4" w14:textId="5F2EDF06" w:rsidR="00122A84" w:rsidRDefault="00122A84">
      <w:pPr>
        <w:pStyle w:val="TDC1"/>
        <w:rPr>
          <w:rFonts w:asciiTheme="minorHAnsi" w:eastAsiaTheme="minorEastAsia" w:hAnsiTheme="minorHAnsi" w:cstheme="minorBidi"/>
          <w:smallCaps w:val="0"/>
          <w:noProof/>
          <w:szCs w:val="22"/>
          <w:lang w:val="es-ES" w:eastAsia="es-ES"/>
        </w:rPr>
      </w:pPr>
      <w:hyperlink w:anchor="_Toc182397292" w:history="1">
        <w:r w:rsidRPr="00A66112">
          <w:rPr>
            <w:rStyle w:val="Hipervnculo"/>
            <w:noProof/>
          </w:rPr>
          <w:t>IV. Fundamento de la opinión</w:t>
        </w:r>
        <w:r>
          <w:rPr>
            <w:noProof/>
            <w:webHidden/>
          </w:rPr>
          <w:tab/>
        </w:r>
        <w:r>
          <w:rPr>
            <w:noProof/>
            <w:webHidden/>
          </w:rPr>
          <w:fldChar w:fldCharType="begin"/>
        </w:r>
        <w:r>
          <w:rPr>
            <w:noProof/>
            <w:webHidden/>
          </w:rPr>
          <w:instrText xml:space="preserve"> PAGEREF _Toc182397292 \h </w:instrText>
        </w:r>
        <w:r>
          <w:rPr>
            <w:noProof/>
            <w:webHidden/>
          </w:rPr>
        </w:r>
        <w:r>
          <w:rPr>
            <w:noProof/>
            <w:webHidden/>
          </w:rPr>
          <w:fldChar w:fldCharType="separate"/>
        </w:r>
        <w:r>
          <w:rPr>
            <w:noProof/>
            <w:webHidden/>
          </w:rPr>
          <w:t>7</w:t>
        </w:r>
        <w:r>
          <w:rPr>
            <w:noProof/>
            <w:webHidden/>
          </w:rPr>
          <w:fldChar w:fldCharType="end"/>
        </w:r>
      </w:hyperlink>
    </w:p>
    <w:p w14:paraId="391F8A1D" w14:textId="4E49443A" w:rsidR="00122A84" w:rsidRDefault="00122A84">
      <w:pPr>
        <w:pStyle w:val="TDC2"/>
        <w:rPr>
          <w:rFonts w:asciiTheme="minorHAnsi" w:eastAsiaTheme="minorEastAsia" w:hAnsiTheme="minorHAnsi" w:cstheme="minorBidi"/>
          <w:noProof/>
          <w:szCs w:val="22"/>
          <w:lang w:val="es-ES" w:eastAsia="es-ES"/>
        </w:rPr>
      </w:pPr>
      <w:hyperlink w:anchor="_Toc182397293" w:history="1">
        <w:r w:rsidRPr="00A66112">
          <w:rPr>
            <w:rStyle w:val="Hipervnculo"/>
            <w:noProof/>
          </w:rPr>
          <w:t>IV.1 Fundamento de la opinión de fiscalización financiera desfavorable.</w:t>
        </w:r>
        <w:r>
          <w:rPr>
            <w:noProof/>
            <w:webHidden/>
          </w:rPr>
          <w:tab/>
        </w:r>
        <w:r>
          <w:rPr>
            <w:noProof/>
            <w:webHidden/>
          </w:rPr>
          <w:fldChar w:fldCharType="begin"/>
        </w:r>
        <w:r>
          <w:rPr>
            <w:noProof/>
            <w:webHidden/>
          </w:rPr>
          <w:instrText xml:space="preserve"> PAGEREF _Toc182397293 \h </w:instrText>
        </w:r>
        <w:r>
          <w:rPr>
            <w:noProof/>
            <w:webHidden/>
          </w:rPr>
        </w:r>
        <w:r>
          <w:rPr>
            <w:noProof/>
            <w:webHidden/>
          </w:rPr>
          <w:fldChar w:fldCharType="separate"/>
        </w:r>
        <w:r>
          <w:rPr>
            <w:noProof/>
            <w:webHidden/>
          </w:rPr>
          <w:t>7</w:t>
        </w:r>
        <w:r>
          <w:rPr>
            <w:noProof/>
            <w:webHidden/>
          </w:rPr>
          <w:fldChar w:fldCharType="end"/>
        </w:r>
      </w:hyperlink>
    </w:p>
    <w:p w14:paraId="0A0258A6" w14:textId="120BD796" w:rsidR="00122A84" w:rsidRDefault="00122A84">
      <w:pPr>
        <w:pStyle w:val="TDC2"/>
        <w:rPr>
          <w:rFonts w:asciiTheme="minorHAnsi" w:eastAsiaTheme="minorEastAsia" w:hAnsiTheme="minorHAnsi" w:cstheme="minorBidi"/>
          <w:noProof/>
          <w:szCs w:val="22"/>
          <w:lang w:val="es-ES" w:eastAsia="es-ES"/>
        </w:rPr>
      </w:pPr>
      <w:hyperlink w:anchor="_Toc182397294" w:history="1">
        <w:r w:rsidRPr="00A66112">
          <w:rPr>
            <w:rStyle w:val="Hipervnculo"/>
            <w:noProof/>
          </w:rPr>
          <w:t>IV.2 Fundamento de la opinión de legalidad desfavorable</w:t>
        </w:r>
        <w:r>
          <w:rPr>
            <w:noProof/>
            <w:webHidden/>
          </w:rPr>
          <w:tab/>
        </w:r>
        <w:r>
          <w:rPr>
            <w:noProof/>
            <w:webHidden/>
          </w:rPr>
          <w:fldChar w:fldCharType="begin"/>
        </w:r>
        <w:r>
          <w:rPr>
            <w:noProof/>
            <w:webHidden/>
          </w:rPr>
          <w:instrText xml:space="preserve"> PAGEREF _Toc182397294 \h </w:instrText>
        </w:r>
        <w:r>
          <w:rPr>
            <w:noProof/>
            <w:webHidden/>
          </w:rPr>
        </w:r>
        <w:r>
          <w:rPr>
            <w:noProof/>
            <w:webHidden/>
          </w:rPr>
          <w:fldChar w:fldCharType="separate"/>
        </w:r>
        <w:r>
          <w:rPr>
            <w:noProof/>
            <w:webHidden/>
          </w:rPr>
          <w:t>9</w:t>
        </w:r>
        <w:r>
          <w:rPr>
            <w:noProof/>
            <w:webHidden/>
          </w:rPr>
          <w:fldChar w:fldCharType="end"/>
        </w:r>
      </w:hyperlink>
    </w:p>
    <w:p w14:paraId="170F912E" w14:textId="13CC3C3B" w:rsidR="00122A84" w:rsidRDefault="00122A84">
      <w:pPr>
        <w:pStyle w:val="TDC1"/>
        <w:rPr>
          <w:rFonts w:asciiTheme="minorHAnsi" w:eastAsiaTheme="minorEastAsia" w:hAnsiTheme="minorHAnsi" w:cstheme="minorBidi"/>
          <w:smallCaps w:val="0"/>
          <w:noProof/>
          <w:szCs w:val="22"/>
          <w:lang w:val="es-ES" w:eastAsia="es-ES"/>
        </w:rPr>
      </w:pPr>
      <w:hyperlink w:anchor="_Toc182397295" w:history="1">
        <w:r w:rsidRPr="00A66112">
          <w:rPr>
            <w:rStyle w:val="Hipervnculo"/>
            <w:noProof/>
          </w:rPr>
          <w:t>V. Cuestiones claves de auditoria</w:t>
        </w:r>
        <w:r>
          <w:rPr>
            <w:noProof/>
            <w:webHidden/>
          </w:rPr>
          <w:tab/>
        </w:r>
        <w:r>
          <w:rPr>
            <w:noProof/>
            <w:webHidden/>
          </w:rPr>
          <w:fldChar w:fldCharType="begin"/>
        </w:r>
        <w:r>
          <w:rPr>
            <w:noProof/>
            <w:webHidden/>
          </w:rPr>
          <w:instrText xml:space="preserve"> PAGEREF _Toc182397295 \h </w:instrText>
        </w:r>
        <w:r>
          <w:rPr>
            <w:noProof/>
            <w:webHidden/>
          </w:rPr>
        </w:r>
        <w:r>
          <w:rPr>
            <w:noProof/>
            <w:webHidden/>
          </w:rPr>
          <w:fldChar w:fldCharType="separate"/>
        </w:r>
        <w:r>
          <w:rPr>
            <w:noProof/>
            <w:webHidden/>
          </w:rPr>
          <w:t>11</w:t>
        </w:r>
        <w:r>
          <w:rPr>
            <w:noProof/>
            <w:webHidden/>
          </w:rPr>
          <w:fldChar w:fldCharType="end"/>
        </w:r>
      </w:hyperlink>
    </w:p>
    <w:p w14:paraId="4B414004" w14:textId="052F5BE8" w:rsidR="00122A84" w:rsidRDefault="00122A84">
      <w:pPr>
        <w:pStyle w:val="TDC1"/>
        <w:rPr>
          <w:rFonts w:asciiTheme="minorHAnsi" w:eastAsiaTheme="minorEastAsia" w:hAnsiTheme="minorHAnsi" w:cstheme="minorBidi"/>
          <w:smallCaps w:val="0"/>
          <w:noProof/>
          <w:szCs w:val="22"/>
          <w:lang w:val="es-ES" w:eastAsia="es-ES"/>
        </w:rPr>
      </w:pPr>
      <w:hyperlink w:anchor="_Toc182397296" w:history="1">
        <w:r w:rsidRPr="00A66112">
          <w:rPr>
            <w:rStyle w:val="Hipervnculo"/>
            <w:noProof/>
          </w:rPr>
          <w:t>VI. Párrafo de énfasis</w:t>
        </w:r>
        <w:r>
          <w:rPr>
            <w:noProof/>
            <w:webHidden/>
          </w:rPr>
          <w:tab/>
        </w:r>
        <w:r>
          <w:rPr>
            <w:noProof/>
            <w:webHidden/>
          </w:rPr>
          <w:fldChar w:fldCharType="begin"/>
        </w:r>
        <w:r>
          <w:rPr>
            <w:noProof/>
            <w:webHidden/>
          </w:rPr>
          <w:instrText xml:space="preserve"> PAGEREF _Toc182397296 \h </w:instrText>
        </w:r>
        <w:r>
          <w:rPr>
            <w:noProof/>
            <w:webHidden/>
          </w:rPr>
        </w:r>
        <w:r>
          <w:rPr>
            <w:noProof/>
            <w:webHidden/>
          </w:rPr>
          <w:fldChar w:fldCharType="separate"/>
        </w:r>
        <w:r>
          <w:rPr>
            <w:noProof/>
            <w:webHidden/>
          </w:rPr>
          <w:t>12</w:t>
        </w:r>
        <w:r>
          <w:rPr>
            <w:noProof/>
            <w:webHidden/>
          </w:rPr>
          <w:fldChar w:fldCharType="end"/>
        </w:r>
      </w:hyperlink>
    </w:p>
    <w:p w14:paraId="2141BD09" w14:textId="3489FF27" w:rsidR="00122A84" w:rsidRDefault="00122A84">
      <w:pPr>
        <w:pStyle w:val="TDC1"/>
        <w:rPr>
          <w:rFonts w:asciiTheme="minorHAnsi" w:eastAsiaTheme="minorEastAsia" w:hAnsiTheme="minorHAnsi" w:cstheme="minorBidi"/>
          <w:smallCaps w:val="0"/>
          <w:noProof/>
          <w:szCs w:val="22"/>
          <w:lang w:val="es-ES" w:eastAsia="es-ES"/>
        </w:rPr>
      </w:pPr>
      <w:hyperlink w:anchor="_Toc182397297" w:history="1">
        <w:r w:rsidRPr="00A66112">
          <w:rPr>
            <w:rStyle w:val="Hipervnculo"/>
            <w:noProof/>
          </w:rPr>
          <w:t>VII. Párrafo de otras cuestiones</w:t>
        </w:r>
        <w:r>
          <w:rPr>
            <w:noProof/>
            <w:webHidden/>
          </w:rPr>
          <w:tab/>
        </w:r>
        <w:r>
          <w:rPr>
            <w:noProof/>
            <w:webHidden/>
          </w:rPr>
          <w:fldChar w:fldCharType="begin"/>
        </w:r>
        <w:r>
          <w:rPr>
            <w:noProof/>
            <w:webHidden/>
          </w:rPr>
          <w:instrText xml:space="preserve"> PAGEREF _Toc182397297 \h </w:instrText>
        </w:r>
        <w:r>
          <w:rPr>
            <w:noProof/>
            <w:webHidden/>
          </w:rPr>
        </w:r>
        <w:r>
          <w:rPr>
            <w:noProof/>
            <w:webHidden/>
          </w:rPr>
          <w:fldChar w:fldCharType="separate"/>
        </w:r>
        <w:r>
          <w:rPr>
            <w:noProof/>
            <w:webHidden/>
          </w:rPr>
          <w:t>13</w:t>
        </w:r>
        <w:r>
          <w:rPr>
            <w:noProof/>
            <w:webHidden/>
          </w:rPr>
          <w:fldChar w:fldCharType="end"/>
        </w:r>
      </w:hyperlink>
    </w:p>
    <w:p w14:paraId="71FDC51A" w14:textId="5F675279" w:rsidR="00122A84" w:rsidRDefault="00122A84">
      <w:pPr>
        <w:pStyle w:val="TDC1"/>
        <w:rPr>
          <w:rFonts w:asciiTheme="minorHAnsi" w:eastAsiaTheme="minorEastAsia" w:hAnsiTheme="minorHAnsi" w:cstheme="minorBidi"/>
          <w:smallCaps w:val="0"/>
          <w:noProof/>
          <w:szCs w:val="22"/>
          <w:lang w:val="es-ES" w:eastAsia="es-ES"/>
        </w:rPr>
      </w:pPr>
      <w:hyperlink w:anchor="_Toc182397298" w:history="1">
        <w:r w:rsidRPr="00A66112">
          <w:rPr>
            <w:rStyle w:val="Hipervnculo"/>
            <w:noProof/>
          </w:rPr>
          <w:t>VIII. Responsabilidad de la Mancomunidad</w:t>
        </w:r>
        <w:r>
          <w:rPr>
            <w:noProof/>
            <w:webHidden/>
          </w:rPr>
          <w:tab/>
        </w:r>
        <w:r>
          <w:rPr>
            <w:noProof/>
            <w:webHidden/>
          </w:rPr>
          <w:fldChar w:fldCharType="begin"/>
        </w:r>
        <w:r>
          <w:rPr>
            <w:noProof/>
            <w:webHidden/>
          </w:rPr>
          <w:instrText xml:space="preserve"> PAGEREF _Toc182397298 \h </w:instrText>
        </w:r>
        <w:r>
          <w:rPr>
            <w:noProof/>
            <w:webHidden/>
          </w:rPr>
        </w:r>
        <w:r>
          <w:rPr>
            <w:noProof/>
            <w:webHidden/>
          </w:rPr>
          <w:fldChar w:fldCharType="separate"/>
        </w:r>
        <w:r>
          <w:rPr>
            <w:noProof/>
            <w:webHidden/>
          </w:rPr>
          <w:t>14</w:t>
        </w:r>
        <w:r>
          <w:rPr>
            <w:noProof/>
            <w:webHidden/>
          </w:rPr>
          <w:fldChar w:fldCharType="end"/>
        </w:r>
      </w:hyperlink>
    </w:p>
    <w:p w14:paraId="2F7F778C" w14:textId="2E91DB3E" w:rsidR="00122A84" w:rsidRDefault="00122A84">
      <w:pPr>
        <w:pStyle w:val="TDC1"/>
        <w:rPr>
          <w:rFonts w:asciiTheme="minorHAnsi" w:eastAsiaTheme="minorEastAsia" w:hAnsiTheme="minorHAnsi" w:cstheme="minorBidi"/>
          <w:smallCaps w:val="0"/>
          <w:noProof/>
          <w:szCs w:val="22"/>
          <w:lang w:val="es-ES" w:eastAsia="es-ES"/>
        </w:rPr>
      </w:pPr>
      <w:hyperlink w:anchor="_Toc182397299" w:history="1">
        <w:r w:rsidRPr="00A66112">
          <w:rPr>
            <w:rStyle w:val="Hipervnculo"/>
            <w:noProof/>
          </w:rPr>
          <w:t>IX. Responsabilidad de la Cámara de Comptos de Navarra</w:t>
        </w:r>
        <w:r>
          <w:rPr>
            <w:noProof/>
            <w:webHidden/>
          </w:rPr>
          <w:tab/>
        </w:r>
        <w:r>
          <w:rPr>
            <w:noProof/>
            <w:webHidden/>
          </w:rPr>
          <w:fldChar w:fldCharType="begin"/>
        </w:r>
        <w:r>
          <w:rPr>
            <w:noProof/>
            <w:webHidden/>
          </w:rPr>
          <w:instrText xml:space="preserve"> PAGEREF _Toc182397299 \h </w:instrText>
        </w:r>
        <w:r>
          <w:rPr>
            <w:noProof/>
            <w:webHidden/>
          </w:rPr>
        </w:r>
        <w:r>
          <w:rPr>
            <w:noProof/>
            <w:webHidden/>
          </w:rPr>
          <w:fldChar w:fldCharType="separate"/>
        </w:r>
        <w:r>
          <w:rPr>
            <w:noProof/>
            <w:webHidden/>
          </w:rPr>
          <w:t>15</w:t>
        </w:r>
        <w:r>
          <w:rPr>
            <w:noProof/>
            <w:webHidden/>
          </w:rPr>
          <w:fldChar w:fldCharType="end"/>
        </w:r>
      </w:hyperlink>
    </w:p>
    <w:p w14:paraId="481A0E80" w14:textId="42687E1F" w:rsidR="00122A84" w:rsidRDefault="00122A84">
      <w:pPr>
        <w:pStyle w:val="TDC1"/>
        <w:rPr>
          <w:rFonts w:asciiTheme="minorHAnsi" w:eastAsiaTheme="minorEastAsia" w:hAnsiTheme="minorHAnsi" w:cstheme="minorBidi"/>
          <w:smallCaps w:val="0"/>
          <w:noProof/>
          <w:szCs w:val="22"/>
          <w:lang w:val="es-ES" w:eastAsia="es-ES"/>
        </w:rPr>
      </w:pPr>
      <w:hyperlink w:anchor="_Toc182397300" w:history="1">
        <w:r w:rsidRPr="00A66112">
          <w:rPr>
            <w:rStyle w:val="Hipervnculo"/>
            <w:noProof/>
          </w:rPr>
          <w:t>X. Recomendaciones más relevantes</w:t>
        </w:r>
        <w:r>
          <w:rPr>
            <w:noProof/>
            <w:webHidden/>
          </w:rPr>
          <w:tab/>
        </w:r>
        <w:r>
          <w:rPr>
            <w:noProof/>
            <w:webHidden/>
          </w:rPr>
          <w:fldChar w:fldCharType="begin"/>
        </w:r>
        <w:r>
          <w:rPr>
            <w:noProof/>
            <w:webHidden/>
          </w:rPr>
          <w:instrText xml:space="preserve"> PAGEREF _Toc182397300 \h </w:instrText>
        </w:r>
        <w:r>
          <w:rPr>
            <w:noProof/>
            <w:webHidden/>
          </w:rPr>
        </w:r>
        <w:r>
          <w:rPr>
            <w:noProof/>
            <w:webHidden/>
          </w:rPr>
          <w:fldChar w:fldCharType="separate"/>
        </w:r>
        <w:r>
          <w:rPr>
            <w:noProof/>
            <w:webHidden/>
          </w:rPr>
          <w:t>17</w:t>
        </w:r>
        <w:r>
          <w:rPr>
            <w:noProof/>
            <w:webHidden/>
          </w:rPr>
          <w:fldChar w:fldCharType="end"/>
        </w:r>
      </w:hyperlink>
    </w:p>
    <w:p w14:paraId="2AAB19C5" w14:textId="0F07AD0E" w:rsidR="00122A84" w:rsidRDefault="00122A84">
      <w:pPr>
        <w:pStyle w:val="TDC1"/>
        <w:rPr>
          <w:rFonts w:asciiTheme="minorHAnsi" w:eastAsiaTheme="minorEastAsia" w:hAnsiTheme="minorHAnsi" w:cstheme="minorBidi"/>
          <w:smallCaps w:val="0"/>
          <w:noProof/>
          <w:szCs w:val="22"/>
          <w:lang w:val="es-ES" w:eastAsia="es-ES"/>
        </w:rPr>
      </w:pPr>
      <w:hyperlink w:anchor="_Toc182397301" w:history="1">
        <w:r w:rsidRPr="00A66112">
          <w:rPr>
            <w:rStyle w:val="Hipervnculo"/>
            <w:noProof/>
            <w:lang w:val="es-ES"/>
          </w:rPr>
          <w:t xml:space="preserve">Apéndice 1. Resumen de la Cuenta General de la Mancomunidad, ejercicio 2023 </w:t>
        </w:r>
        <w:r>
          <w:rPr>
            <w:noProof/>
            <w:webHidden/>
          </w:rPr>
          <w:tab/>
        </w:r>
        <w:r>
          <w:rPr>
            <w:noProof/>
            <w:webHidden/>
          </w:rPr>
          <w:fldChar w:fldCharType="begin"/>
        </w:r>
        <w:r>
          <w:rPr>
            <w:noProof/>
            <w:webHidden/>
          </w:rPr>
          <w:instrText xml:space="preserve"> PAGEREF _Toc182397301 \h </w:instrText>
        </w:r>
        <w:r>
          <w:rPr>
            <w:noProof/>
            <w:webHidden/>
          </w:rPr>
        </w:r>
        <w:r>
          <w:rPr>
            <w:noProof/>
            <w:webHidden/>
          </w:rPr>
          <w:fldChar w:fldCharType="separate"/>
        </w:r>
        <w:r>
          <w:rPr>
            <w:noProof/>
            <w:webHidden/>
          </w:rPr>
          <w:t>18</w:t>
        </w:r>
        <w:r>
          <w:rPr>
            <w:noProof/>
            <w:webHidden/>
          </w:rPr>
          <w:fldChar w:fldCharType="end"/>
        </w:r>
      </w:hyperlink>
    </w:p>
    <w:p w14:paraId="0108692C" w14:textId="576841DD" w:rsidR="00122A84" w:rsidRDefault="00122A84">
      <w:pPr>
        <w:pStyle w:val="TDC1"/>
        <w:rPr>
          <w:rFonts w:asciiTheme="minorHAnsi" w:eastAsiaTheme="minorEastAsia" w:hAnsiTheme="minorHAnsi" w:cstheme="minorBidi"/>
          <w:smallCaps w:val="0"/>
          <w:noProof/>
          <w:szCs w:val="22"/>
          <w:lang w:val="es-ES" w:eastAsia="es-ES"/>
        </w:rPr>
      </w:pPr>
      <w:hyperlink w:anchor="_Toc182397302" w:history="1">
        <w:r w:rsidRPr="00A66112">
          <w:rPr>
            <w:rStyle w:val="Hipervnculo"/>
            <w:noProof/>
          </w:rPr>
          <w:t>Apéndice 2. La Mancomunidad de Residuos Sólidos Urbanos Irati</w:t>
        </w:r>
        <w:r>
          <w:rPr>
            <w:noProof/>
            <w:webHidden/>
          </w:rPr>
          <w:tab/>
        </w:r>
        <w:r>
          <w:rPr>
            <w:noProof/>
            <w:webHidden/>
          </w:rPr>
          <w:fldChar w:fldCharType="begin"/>
        </w:r>
        <w:r>
          <w:rPr>
            <w:noProof/>
            <w:webHidden/>
          </w:rPr>
          <w:instrText xml:space="preserve"> PAGEREF _Toc182397302 \h </w:instrText>
        </w:r>
        <w:r>
          <w:rPr>
            <w:noProof/>
            <w:webHidden/>
          </w:rPr>
        </w:r>
        <w:r>
          <w:rPr>
            <w:noProof/>
            <w:webHidden/>
          </w:rPr>
          <w:fldChar w:fldCharType="separate"/>
        </w:r>
        <w:r>
          <w:rPr>
            <w:noProof/>
            <w:webHidden/>
          </w:rPr>
          <w:t>21</w:t>
        </w:r>
        <w:r>
          <w:rPr>
            <w:noProof/>
            <w:webHidden/>
          </w:rPr>
          <w:fldChar w:fldCharType="end"/>
        </w:r>
      </w:hyperlink>
    </w:p>
    <w:p w14:paraId="3AB75EDA" w14:textId="62AB1237" w:rsidR="00122A84" w:rsidRDefault="00122A84">
      <w:pPr>
        <w:pStyle w:val="TDC1"/>
        <w:rPr>
          <w:rFonts w:asciiTheme="minorHAnsi" w:eastAsiaTheme="minorEastAsia" w:hAnsiTheme="minorHAnsi" w:cstheme="minorBidi"/>
          <w:smallCaps w:val="0"/>
          <w:noProof/>
          <w:szCs w:val="22"/>
          <w:lang w:val="es-ES" w:eastAsia="es-ES"/>
        </w:rPr>
      </w:pPr>
      <w:hyperlink w:anchor="_Toc182397303" w:history="1">
        <w:r w:rsidRPr="00A66112">
          <w:rPr>
            <w:rStyle w:val="Hipervnculo"/>
            <w:noProof/>
          </w:rPr>
          <w:t>Apéndice 3. Marco regulador</w:t>
        </w:r>
        <w:r>
          <w:rPr>
            <w:noProof/>
            <w:webHidden/>
          </w:rPr>
          <w:tab/>
        </w:r>
        <w:r>
          <w:rPr>
            <w:noProof/>
            <w:webHidden/>
          </w:rPr>
          <w:fldChar w:fldCharType="begin"/>
        </w:r>
        <w:r>
          <w:rPr>
            <w:noProof/>
            <w:webHidden/>
          </w:rPr>
          <w:instrText xml:space="preserve"> PAGEREF _Toc182397303 \h </w:instrText>
        </w:r>
        <w:r>
          <w:rPr>
            <w:noProof/>
            <w:webHidden/>
          </w:rPr>
        </w:r>
        <w:r>
          <w:rPr>
            <w:noProof/>
            <w:webHidden/>
          </w:rPr>
          <w:fldChar w:fldCharType="separate"/>
        </w:r>
        <w:r>
          <w:rPr>
            <w:noProof/>
            <w:webHidden/>
          </w:rPr>
          <w:t>23</w:t>
        </w:r>
        <w:r>
          <w:rPr>
            <w:noProof/>
            <w:webHidden/>
          </w:rPr>
          <w:fldChar w:fldCharType="end"/>
        </w:r>
      </w:hyperlink>
    </w:p>
    <w:p w14:paraId="27BEAEEF" w14:textId="3A1633E8" w:rsidR="00122A84" w:rsidRDefault="00122A84">
      <w:pPr>
        <w:pStyle w:val="TDC1"/>
        <w:rPr>
          <w:rFonts w:asciiTheme="minorHAnsi" w:eastAsiaTheme="minorEastAsia" w:hAnsiTheme="minorHAnsi" w:cstheme="minorBidi"/>
          <w:smallCaps w:val="0"/>
          <w:noProof/>
          <w:szCs w:val="22"/>
          <w:lang w:val="es-ES" w:eastAsia="es-ES"/>
        </w:rPr>
      </w:pPr>
      <w:hyperlink w:anchor="_Toc182397304" w:history="1">
        <w:r w:rsidRPr="00A66112">
          <w:rPr>
            <w:rStyle w:val="Hipervnculo"/>
            <w:noProof/>
          </w:rPr>
          <w:t>Apéndice 4. Información adicional sobre las salvedades del informe</w:t>
        </w:r>
        <w:r>
          <w:rPr>
            <w:noProof/>
            <w:webHidden/>
          </w:rPr>
          <w:tab/>
        </w:r>
        <w:r>
          <w:rPr>
            <w:noProof/>
            <w:webHidden/>
          </w:rPr>
          <w:fldChar w:fldCharType="begin"/>
        </w:r>
        <w:r>
          <w:rPr>
            <w:noProof/>
            <w:webHidden/>
          </w:rPr>
          <w:instrText xml:space="preserve"> PAGEREF _Toc182397304 \h </w:instrText>
        </w:r>
        <w:r>
          <w:rPr>
            <w:noProof/>
            <w:webHidden/>
          </w:rPr>
        </w:r>
        <w:r>
          <w:rPr>
            <w:noProof/>
            <w:webHidden/>
          </w:rPr>
          <w:fldChar w:fldCharType="separate"/>
        </w:r>
        <w:r>
          <w:rPr>
            <w:noProof/>
            <w:webHidden/>
          </w:rPr>
          <w:t>25</w:t>
        </w:r>
        <w:r>
          <w:rPr>
            <w:noProof/>
            <w:webHidden/>
          </w:rPr>
          <w:fldChar w:fldCharType="end"/>
        </w:r>
      </w:hyperlink>
    </w:p>
    <w:p w14:paraId="5949CEAE" w14:textId="1C83F130" w:rsidR="00122A84" w:rsidRDefault="00122A84">
      <w:pPr>
        <w:pStyle w:val="TDC1"/>
        <w:rPr>
          <w:rFonts w:asciiTheme="minorHAnsi" w:eastAsiaTheme="minorEastAsia" w:hAnsiTheme="minorHAnsi" w:cstheme="minorBidi"/>
          <w:smallCaps w:val="0"/>
          <w:noProof/>
          <w:szCs w:val="22"/>
          <w:lang w:val="es-ES" w:eastAsia="es-ES"/>
        </w:rPr>
      </w:pPr>
      <w:hyperlink w:anchor="_Toc182397305" w:history="1">
        <w:r w:rsidRPr="00A66112">
          <w:rPr>
            <w:rStyle w:val="Hipervnculo"/>
            <w:noProof/>
          </w:rPr>
          <w:t>Apéndice 5. Observaciones y hallazgos adicionales de la fiscalización de regularidad</w:t>
        </w:r>
        <w:r>
          <w:rPr>
            <w:noProof/>
            <w:webHidden/>
          </w:rPr>
          <w:tab/>
        </w:r>
        <w:r>
          <w:rPr>
            <w:noProof/>
            <w:webHidden/>
          </w:rPr>
          <w:fldChar w:fldCharType="begin"/>
        </w:r>
        <w:r>
          <w:rPr>
            <w:noProof/>
            <w:webHidden/>
          </w:rPr>
          <w:instrText xml:space="preserve"> PAGEREF _Toc182397305 \h </w:instrText>
        </w:r>
        <w:r>
          <w:rPr>
            <w:noProof/>
            <w:webHidden/>
          </w:rPr>
        </w:r>
        <w:r>
          <w:rPr>
            <w:noProof/>
            <w:webHidden/>
          </w:rPr>
          <w:fldChar w:fldCharType="separate"/>
        </w:r>
        <w:r>
          <w:rPr>
            <w:noProof/>
            <w:webHidden/>
          </w:rPr>
          <w:t>26</w:t>
        </w:r>
        <w:r>
          <w:rPr>
            <w:noProof/>
            <w:webHidden/>
          </w:rPr>
          <w:fldChar w:fldCharType="end"/>
        </w:r>
      </w:hyperlink>
    </w:p>
    <w:p w14:paraId="7F8ACA77" w14:textId="3B0A5642" w:rsidR="00122A84" w:rsidRDefault="00122A84">
      <w:pPr>
        <w:pStyle w:val="TDC1"/>
        <w:rPr>
          <w:rFonts w:asciiTheme="minorHAnsi" w:eastAsiaTheme="minorEastAsia" w:hAnsiTheme="minorHAnsi" w:cstheme="minorBidi"/>
          <w:smallCaps w:val="0"/>
          <w:noProof/>
          <w:szCs w:val="22"/>
          <w:lang w:val="es-ES" w:eastAsia="es-ES"/>
        </w:rPr>
      </w:pPr>
      <w:hyperlink w:anchor="_Toc182397306" w:history="1">
        <w:r w:rsidRPr="00A66112">
          <w:rPr>
            <w:rStyle w:val="Hipervnculo"/>
            <w:bCs/>
            <w:noProof/>
          </w:rPr>
          <w:t>Alegaciones formuladas al informe provisional</w:t>
        </w:r>
        <w:r>
          <w:rPr>
            <w:noProof/>
            <w:webHidden/>
          </w:rPr>
          <w:tab/>
        </w:r>
        <w:r>
          <w:rPr>
            <w:noProof/>
            <w:webHidden/>
          </w:rPr>
          <w:fldChar w:fldCharType="begin"/>
        </w:r>
        <w:r>
          <w:rPr>
            <w:noProof/>
            <w:webHidden/>
          </w:rPr>
          <w:instrText xml:space="preserve"> PAGEREF _Toc182397306 \h </w:instrText>
        </w:r>
        <w:r>
          <w:rPr>
            <w:noProof/>
            <w:webHidden/>
          </w:rPr>
        </w:r>
        <w:r>
          <w:rPr>
            <w:noProof/>
            <w:webHidden/>
          </w:rPr>
          <w:fldChar w:fldCharType="separate"/>
        </w:r>
        <w:r>
          <w:rPr>
            <w:noProof/>
            <w:webHidden/>
          </w:rPr>
          <w:t>42</w:t>
        </w:r>
        <w:r>
          <w:rPr>
            <w:noProof/>
            <w:webHidden/>
          </w:rPr>
          <w:fldChar w:fldCharType="end"/>
        </w:r>
      </w:hyperlink>
    </w:p>
    <w:p w14:paraId="0A862E98" w14:textId="4EADF64F" w:rsidR="00122A84" w:rsidRDefault="00122A84">
      <w:pPr>
        <w:pStyle w:val="TDC1"/>
        <w:rPr>
          <w:rFonts w:asciiTheme="minorHAnsi" w:eastAsiaTheme="minorEastAsia" w:hAnsiTheme="minorHAnsi" w:cstheme="minorBidi"/>
          <w:smallCaps w:val="0"/>
          <w:noProof/>
          <w:szCs w:val="22"/>
          <w:lang w:val="es-ES" w:eastAsia="es-ES"/>
        </w:rPr>
      </w:pPr>
      <w:hyperlink w:anchor="_Toc182397307" w:history="1">
        <w:r w:rsidRPr="00A66112">
          <w:rPr>
            <w:rStyle w:val="Hipervnculo"/>
            <w:noProof/>
          </w:rPr>
          <w:t>Contestación de la Cámara de Comptos a las alegaciones presentadas al informe provisional</w:t>
        </w:r>
      </w:hyperlink>
    </w:p>
    <w:p w14:paraId="4DDBEF00" w14:textId="728EDD6A" w:rsidR="00891D73" w:rsidRDefault="0014728F" w:rsidP="003C6E1D">
      <w:pPr>
        <w:pStyle w:val="texto"/>
      </w:pPr>
      <w:r>
        <w:fldChar w:fldCharType="end"/>
      </w:r>
    </w:p>
    <w:p w14:paraId="3461D779" w14:textId="77777777" w:rsidR="00891D73" w:rsidRDefault="00891D73" w:rsidP="00891D73">
      <w:pPr>
        <w:pStyle w:val="texto"/>
      </w:pPr>
    </w:p>
    <w:p w14:paraId="3CF2D8B6" w14:textId="77777777" w:rsidR="00891D73" w:rsidRPr="00E703B6" w:rsidRDefault="00891D73" w:rsidP="00E703B6"/>
    <w:p w14:paraId="0FB78278"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5DACB0EE" w14:textId="77777777" w:rsidR="002B7E8E" w:rsidRPr="00F20A1F" w:rsidRDefault="1D467E52" w:rsidP="002B7E8E">
      <w:pPr>
        <w:pStyle w:val="atitulo1"/>
      </w:pPr>
      <w:r>
        <w:lastRenderedPageBreak/>
        <w:t xml:space="preserve"> </w:t>
      </w:r>
      <w:bookmarkStart w:id="0" w:name="_Toc147385019"/>
      <w:bookmarkStart w:id="1" w:name="_Toc182397287"/>
      <w:r w:rsidR="235FD0DA">
        <w:t>I. Introducción</w:t>
      </w:r>
      <w:bookmarkEnd w:id="0"/>
      <w:bookmarkEnd w:id="1"/>
    </w:p>
    <w:p w14:paraId="6A88C408" w14:textId="13E84FCD" w:rsidR="00C1030E" w:rsidRDefault="00C1030E" w:rsidP="00FC0370">
      <w:pPr>
        <w:pStyle w:val="texto"/>
        <w:tabs>
          <w:tab w:val="left" w:pos="142"/>
        </w:tabs>
      </w:pPr>
      <w:r>
        <w:t xml:space="preserve">La presidenta de </w:t>
      </w:r>
      <w:r w:rsidRPr="00C1030E">
        <w:t xml:space="preserve">la </w:t>
      </w:r>
      <w:r w:rsidR="003C06D0">
        <w:rPr>
          <w:spacing w:val="4"/>
        </w:rPr>
        <w:t>Mancomunidad</w:t>
      </w:r>
      <w:r w:rsidRPr="00C1030E">
        <w:rPr>
          <w:spacing w:val="4"/>
        </w:rPr>
        <w:t xml:space="preserve"> de Residuos Sólidos Urbanos Irati (en</w:t>
      </w:r>
      <w:r>
        <w:rPr>
          <w:spacing w:val="4"/>
        </w:rPr>
        <w:t xml:space="preserve"> adelante, la </w:t>
      </w:r>
      <w:r w:rsidR="003C06D0">
        <w:rPr>
          <w:spacing w:val="4"/>
        </w:rPr>
        <w:t>Mancomunidad</w:t>
      </w:r>
      <w:r>
        <w:rPr>
          <w:spacing w:val="4"/>
        </w:rPr>
        <w:t>) solicitó el 30 de octubre de 2023, un informe de fiscalización sobre la situación económica de la entidad.</w:t>
      </w:r>
    </w:p>
    <w:p w14:paraId="1681217E" w14:textId="01C5B41E" w:rsidR="00D31706" w:rsidRDefault="000F119D" w:rsidP="00FC0370">
      <w:pPr>
        <w:pStyle w:val="texto"/>
        <w:tabs>
          <w:tab w:val="left" w:pos="142"/>
        </w:tabs>
      </w:pPr>
      <w:r w:rsidRPr="06D4BFB9">
        <w:rPr>
          <w:lang w:val="es-ES"/>
        </w:rPr>
        <w:t>Para responder a dicha petición, l</w:t>
      </w:r>
      <w:r w:rsidR="00D31706" w:rsidRPr="06D4BFB9">
        <w:rPr>
          <w:lang w:val="es-ES"/>
        </w:rPr>
        <w:t>a Cámara de Comptos, de conformidad con la Ley Foral 19/</w:t>
      </w:r>
      <w:r w:rsidR="00D31706" w:rsidRPr="00FC0370">
        <w:rPr>
          <w:spacing w:val="4"/>
        </w:rPr>
        <w:t>1984</w:t>
      </w:r>
      <w:r w:rsidR="00D31706" w:rsidRPr="06D4BFB9">
        <w:rPr>
          <w:lang w:val="es-ES"/>
        </w:rPr>
        <w:t xml:space="preserve">, de 20 de diciembre, </w:t>
      </w:r>
      <w:r w:rsidR="00D31706" w:rsidRPr="06D4BFB9">
        <w:rPr>
          <w:spacing w:val="4"/>
          <w:lang w:val="es-ES"/>
        </w:rPr>
        <w:t>ha fiscalizado la Cuenta General del ejercicio 2023</w:t>
      </w:r>
      <w:r w:rsidR="32FAEA86" w:rsidRPr="06D4BFB9">
        <w:rPr>
          <w:spacing w:val="4"/>
          <w:lang w:val="es-ES"/>
        </w:rPr>
        <w:t xml:space="preserve"> de la </w:t>
      </w:r>
      <w:r w:rsidR="003C06D0">
        <w:rPr>
          <w:spacing w:val="4"/>
          <w:lang w:val="es-ES"/>
        </w:rPr>
        <w:t>Mancomunidad</w:t>
      </w:r>
      <w:r w:rsidR="00D31706" w:rsidRPr="06D4BFB9">
        <w:rPr>
          <w:spacing w:val="4"/>
          <w:lang w:val="es-ES"/>
        </w:rPr>
        <w:t xml:space="preserve"> en combinación con una fiscalización del cumplimiento de legalidad. </w:t>
      </w:r>
    </w:p>
    <w:p w14:paraId="058D8C10" w14:textId="3B97A946" w:rsidR="002B7E8E" w:rsidRDefault="002B7E8E" w:rsidP="00D52999">
      <w:pPr>
        <w:pStyle w:val="texto"/>
        <w:tabs>
          <w:tab w:val="left" w:pos="142"/>
        </w:tabs>
      </w:pPr>
      <w:r w:rsidRPr="2C569507">
        <w:rPr>
          <w:lang w:val="es-ES"/>
        </w:rPr>
        <w:t xml:space="preserve">El trabajo de campo lo realizó </w:t>
      </w:r>
      <w:r w:rsidR="006C2C2B" w:rsidRPr="2C569507">
        <w:rPr>
          <w:lang w:val="es-ES"/>
        </w:rPr>
        <w:t>en</w:t>
      </w:r>
      <w:r w:rsidR="00722FCB" w:rsidRPr="2C569507">
        <w:rPr>
          <w:lang w:val="es-ES"/>
        </w:rPr>
        <w:t xml:space="preserve">tre </w:t>
      </w:r>
      <w:r w:rsidR="00D31706" w:rsidRPr="2C569507">
        <w:rPr>
          <w:lang w:val="es-ES"/>
        </w:rPr>
        <w:t>junio</w:t>
      </w:r>
      <w:r w:rsidR="00722FCB" w:rsidRPr="2C569507">
        <w:rPr>
          <w:lang w:val="es-ES"/>
        </w:rPr>
        <w:t xml:space="preserve"> y agosto</w:t>
      </w:r>
      <w:r w:rsidR="006C2C2B" w:rsidRPr="2C569507">
        <w:rPr>
          <w:lang w:val="es-ES"/>
        </w:rPr>
        <w:t xml:space="preserve"> </w:t>
      </w:r>
      <w:r w:rsidR="00D31706" w:rsidRPr="2C569507">
        <w:rPr>
          <w:lang w:val="es-ES"/>
        </w:rPr>
        <w:t xml:space="preserve">de </w:t>
      </w:r>
      <w:r w:rsidRPr="2C569507">
        <w:rPr>
          <w:lang w:val="es-ES"/>
        </w:rPr>
        <w:t>202</w:t>
      </w:r>
      <w:r w:rsidR="00D31706" w:rsidRPr="2C569507">
        <w:rPr>
          <w:lang w:val="es-ES"/>
        </w:rPr>
        <w:t>4</w:t>
      </w:r>
      <w:r w:rsidRPr="2C569507">
        <w:rPr>
          <w:lang w:val="es-ES"/>
        </w:rPr>
        <w:t xml:space="preserve"> un equipo formado por</w:t>
      </w:r>
      <w:r w:rsidR="00095E67">
        <w:rPr>
          <w:lang w:val="es-ES"/>
        </w:rPr>
        <w:t xml:space="preserve"> </w:t>
      </w:r>
      <w:r w:rsidR="045E6CC6" w:rsidRPr="2C569507">
        <w:rPr>
          <w:lang w:val="es-ES"/>
        </w:rPr>
        <w:t xml:space="preserve">un técnico y </w:t>
      </w:r>
      <w:r w:rsidR="045E6CC6" w:rsidRPr="00FC0370">
        <w:rPr>
          <w:spacing w:val="4"/>
        </w:rPr>
        <w:t>una</w:t>
      </w:r>
      <w:r w:rsidR="045E6CC6" w:rsidRPr="2C569507">
        <w:rPr>
          <w:lang w:val="es-ES"/>
        </w:rPr>
        <w:t xml:space="preserve"> técnica</w:t>
      </w:r>
      <w:r w:rsidRPr="2C569507">
        <w:rPr>
          <w:lang w:val="es-ES"/>
        </w:rPr>
        <w:t xml:space="preserve"> de auditoría y una auditora, con la colaboración de los servicios jurídicos</w:t>
      </w:r>
      <w:r w:rsidR="00D31706" w:rsidRPr="2C569507">
        <w:rPr>
          <w:lang w:val="es-ES"/>
        </w:rPr>
        <w:t>, informáticos</w:t>
      </w:r>
      <w:r w:rsidRPr="2C569507">
        <w:rPr>
          <w:lang w:val="es-ES"/>
        </w:rPr>
        <w:t xml:space="preserve"> y administrativos de la Cámara.</w:t>
      </w:r>
    </w:p>
    <w:p w14:paraId="3DEAEB9A" w14:textId="08D20958" w:rsidR="0083569C" w:rsidRPr="003F1FBD" w:rsidRDefault="0083569C" w:rsidP="0083569C">
      <w:pPr>
        <w:pStyle w:val="texto"/>
      </w:pPr>
      <w:r w:rsidRPr="003F1FBD">
        <w:t xml:space="preserve">Los resultados de este trabajo se pusieron de manifiesto a la presidenta de la </w:t>
      </w:r>
      <w:r w:rsidRPr="003F1FBD">
        <w:rPr>
          <w:spacing w:val="4"/>
        </w:rPr>
        <w:t>Mancomunidad de Residuos Sólidos Urbanos Irati</w:t>
      </w:r>
      <w:r w:rsidR="003F1FBD" w:rsidRPr="003F1FBD">
        <w:t xml:space="preserve"> y a la expresidenta de </w:t>
      </w:r>
      <w:r w:rsidR="00C732F6">
        <w:t>la</w:t>
      </w:r>
      <w:r w:rsidR="003F1FBD" w:rsidRPr="003F1FBD">
        <w:t xml:space="preserve"> Mancomunidad de Residuos Sólidos Urbanos Irati</w:t>
      </w:r>
      <w:r w:rsidRPr="003F1FBD">
        <w:t>, para que formulasen las alegaciones oportunas, de conformidad con lo previsto en el art.11.2 de la Ley Foral 19/1984, reguladora de la Cámara de Comptos de Navarra.</w:t>
      </w:r>
    </w:p>
    <w:p w14:paraId="663E3486" w14:textId="32FCA79A" w:rsidR="0083569C" w:rsidRDefault="0083569C" w:rsidP="0083569C">
      <w:pPr>
        <w:pStyle w:val="texto"/>
        <w:rPr>
          <w:szCs w:val="26"/>
        </w:rPr>
      </w:pPr>
      <w:r w:rsidRPr="003F1FBD">
        <w:t>Transcurrido el plazo fijado, se han prese</w:t>
      </w:r>
      <w:r w:rsidR="00397752">
        <w:t>ntado alegaciones por parte de la presidenta de la Mancomunidad de Residuos Sólidos Irati</w:t>
      </w:r>
      <w:r w:rsidRPr="00C732F6">
        <w:t>,</w:t>
      </w:r>
      <w:r w:rsidRPr="0083569C">
        <w:rPr>
          <w:color w:val="FF0000"/>
        </w:rPr>
        <w:t xml:space="preserve"> </w:t>
      </w:r>
      <w:r w:rsidRPr="00C732F6">
        <w:t>las cuales se incorporan a este informe junto con la respuesta de esta Cámara.</w:t>
      </w:r>
    </w:p>
    <w:p w14:paraId="4EC5B13D" w14:textId="73AD9BC8" w:rsidR="002B7E8E" w:rsidRPr="00DF0D57" w:rsidRDefault="002B7E8E" w:rsidP="00D52999">
      <w:pPr>
        <w:pStyle w:val="texto"/>
        <w:tabs>
          <w:tab w:val="left" w:pos="142"/>
        </w:tabs>
        <w:rPr>
          <w:szCs w:val="26"/>
        </w:rPr>
      </w:pPr>
      <w:r w:rsidRPr="00DF0D57">
        <w:rPr>
          <w:szCs w:val="26"/>
        </w:rPr>
        <w:t>Agradecemos al personal de</w:t>
      </w:r>
      <w:r w:rsidR="00D31706">
        <w:rPr>
          <w:szCs w:val="26"/>
        </w:rPr>
        <w:t xml:space="preserve"> </w:t>
      </w:r>
      <w:r w:rsidRPr="00DF0D57">
        <w:rPr>
          <w:szCs w:val="26"/>
        </w:rPr>
        <w:t>l</w:t>
      </w:r>
      <w:r w:rsidR="00D31706">
        <w:rPr>
          <w:szCs w:val="26"/>
        </w:rPr>
        <w:t>a</w:t>
      </w:r>
      <w:r w:rsidRPr="00DF0D57">
        <w:rPr>
          <w:szCs w:val="26"/>
        </w:rPr>
        <w:t xml:space="preserve"> </w:t>
      </w:r>
      <w:r w:rsidR="003C06D0">
        <w:rPr>
          <w:szCs w:val="26"/>
        </w:rPr>
        <w:t>Mancomunidad</w:t>
      </w:r>
      <w:r w:rsidRPr="00DF0D57">
        <w:rPr>
          <w:szCs w:val="26"/>
        </w:rPr>
        <w:t xml:space="preserve"> la colaboración prestada en la realización del presente trabajo.</w:t>
      </w:r>
    </w:p>
    <w:p w14:paraId="0F49B440" w14:textId="77777777" w:rsidR="002B7E8E" w:rsidRPr="00DF0D57" w:rsidRDefault="002B7E8E" w:rsidP="00D52999">
      <w:pPr>
        <w:pStyle w:val="texto"/>
        <w:tabs>
          <w:tab w:val="left" w:pos="142"/>
        </w:tabs>
        <w:rPr>
          <w:szCs w:val="26"/>
        </w:rPr>
      </w:pPr>
      <w:r w:rsidRPr="00DF0D57">
        <w:rPr>
          <w:szCs w:val="26"/>
        </w:rPr>
        <w:t xml:space="preserve">En relación con los importes monetarios del informe, se ha efectuado un redondeo para </w:t>
      </w:r>
      <w:r w:rsidRPr="00FC0370">
        <w:rPr>
          <w:spacing w:val="4"/>
        </w:rPr>
        <w:t>no</w:t>
      </w:r>
      <w:r w:rsidRPr="00DF0D57">
        <w:rPr>
          <w:szCs w:val="26"/>
        </w:rPr>
        <w:t xml:space="preserve"> mostrar los céntimos. Los datos representan el redondeo de cada valor exacto y no la suma de datos redondeados. Los porcentajes también se calculan sobre los valores exactos y no sobre los redondeos.</w:t>
      </w:r>
    </w:p>
    <w:p w14:paraId="1FC39945" w14:textId="686B2327" w:rsidR="002B7E8E" w:rsidRDefault="002B7E8E" w:rsidP="002B7E8E">
      <w:pPr>
        <w:pStyle w:val="atitulo1"/>
      </w:pPr>
    </w:p>
    <w:p w14:paraId="0562CB0E" w14:textId="77777777" w:rsidR="002B7E8E" w:rsidRDefault="002B7E8E" w:rsidP="002B7E8E">
      <w:pPr>
        <w:rPr>
          <w:rFonts w:ascii="Arial" w:hAnsi="Arial"/>
          <w:b/>
          <w:color w:val="000000"/>
          <w:kern w:val="28"/>
          <w:sz w:val="25"/>
          <w:szCs w:val="26"/>
        </w:rPr>
      </w:pPr>
      <w:r>
        <w:br w:type="page"/>
      </w:r>
    </w:p>
    <w:p w14:paraId="236BFCFE" w14:textId="45F19BFF" w:rsidR="002B7E8E" w:rsidRPr="0065182A" w:rsidRDefault="002B7E8E" w:rsidP="002B7E8E">
      <w:pPr>
        <w:pStyle w:val="atitulo1"/>
      </w:pPr>
      <w:bookmarkStart w:id="2" w:name="_Toc147385020"/>
      <w:bookmarkStart w:id="3" w:name="_Toc182397288"/>
      <w:bookmarkStart w:id="4" w:name="_Toc430935359"/>
      <w:bookmarkStart w:id="5" w:name="_Toc22495432"/>
      <w:bookmarkStart w:id="6" w:name="_Toc55460317"/>
      <w:bookmarkStart w:id="7" w:name="_Toc118266008"/>
      <w:bookmarkStart w:id="8" w:name="_Toc129330300"/>
      <w:bookmarkStart w:id="9" w:name="_Toc188167192"/>
      <w:r w:rsidRPr="0065182A">
        <w:lastRenderedPageBreak/>
        <w:t>II. Objetivos</w:t>
      </w:r>
      <w:r w:rsidR="00722354">
        <w:t>,</w:t>
      </w:r>
      <w:r w:rsidRPr="0065182A">
        <w:t xml:space="preserve"> alcance </w:t>
      </w:r>
      <w:r w:rsidR="00722354">
        <w:t xml:space="preserve">y limitaciones </w:t>
      </w:r>
      <w:r w:rsidRPr="0065182A">
        <w:t>de la fiscalización</w:t>
      </w:r>
      <w:bookmarkEnd w:id="2"/>
      <w:bookmarkEnd w:id="3"/>
    </w:p>
    <w:p w14:paraId="14E434E9" w14:textId="77777777" w:rsidR="002B7E8E" w:rsidRPr="00747723" w:rsidRDefault="002B7E8E" w:rsidP="002B7E8E">
      <w:pPr>
        <w:pStyle w:val="texto"/>
        <w:tabs>
          <w:tab w:val="clear" w:pos="2835"/>
          <w:tab w:val="clear" w:pos="3969"/>
          <w:tab w:val="clear" w:pos="5103"/>
          <w:tab w:val="clear" w:pos="6237"/>
          <w:tab w:val="clear" w:pos="7371"/>
        </w:tabs>
        <w:spacing w:after="80"/>
        <w:rPr>
          <w:sz w:val="25"/>
          <w:szCs w:val="25"/>
        </w:rPr>
      </w:pPr>
      <w:r w:rsidRPr="00747723">
        <w:rPr>
          <w:szCs w:val="26"/>
        </w:rPr>
        <w:t>El objetivo del trabajo es emitir una opinión sobre:</w:t>
      </w:r>
    </w:p>
    <w:p w14:paraId="4140274C" w14:textId="7D0F7F41" w:rsidR="002B7E8E" w:rsidRPr="007434B8" w:rsidRDefault="002B7E8E" w:rsidP="00EF76D5">
      <w:pPr>
        <w:pStyle w:val="texto"/>
        <w:numPr>
          <w:ilvl w:val="0"/>
          <w:numId w:val="18"/>
        </w:numPr>
        <w:tabs>
          <w:tab w:val="num" w:pos="567"/>
          <w:tab w:val="num" w:pos="2770"/>
        </w:tabs>
        <w:ind w:left="0" w:firstLine="289"/>
        <w:rPr>
          <w:color w:val="000000"/>
          <w:szCs w:val="26"/>
        </w:rPr>
      </w:pPr>
      <w:r w:rsidRPr="004B78CE">
        <w:rPr>
          <w:szCs w:val="26"/>
        </w:rPr>
        <w:t xml:space="preserve">Si </w:t>
      </w:r>
      <w:r w:rsidRPr="00EF76D5">
        <w:rPr>
          <w:lang w:val="es-ES" w:eastAsia="es-ES"/>
        </w:rPr>
        <w:t xml:space="preserve">la cuenta </w:t>
      </w:r>
      <w:r w:rsidRPr="00EF76D5">
        <w:rPr>
          <w:sz w:val="24"/>
          <w:lang w:val="es-ES" w:eastAsia="es-ES"/>
        </w:rPr>
        <w:t>general</w:t>
      </w:r>
      <w:r w:rsidRPr="00EF76D5">
        <w:rPr>
          <w:lang w:val="es-ES" w:eastAsia="es-ES"/>
        </w:rPr>
        <w:t xml:space="preserve"> de</w:t>
      </w:r>
      <w:r w:rsidR="00D31706" w:rsidRPr="00EF76D5">
        <w:rPr>
          <w:lang w:val="es-ES" w:eastAsia="es-ES"/>
        </w:rPr>
        <w:t xml:space="preserve"> </w:t>
      </w:r>
      <w:r w:rsidRPr="00EF76D5">
        <w:rPr>
          <w:lang w:val="es-ES" w:eastAsia="es-ES"/>
        </w:rPr>
        <w:t>l</w:t>
      </w:r>
      <w:r w:rsidR="00D31706" w:rsidRPr="00EF76D5">
        <w:rPr>
          <w:lang w:val="es-ES" w:eastAsia="es-ES"/>
        </w:rPr>
        <w:t>a</w:t>
      </w:r>
      <w:r w:rsidRPr="00EF76D5">
        <w:rPr>
          <w:lang w:val="es-ES" w:eastAsia="es-ES"/>
        </w:rPr>
        <w:t xml:space="preserve"> </w:t>
      </w:r>
      <w:r w:rsidR="003C06D0">
        <w:rPr>
          <w:lang w:val="es-ES" w:eastAsia="es-ES"/>
        </w:rPr>
        <w:t>Mancomunidad</w:t>
      </w:r>
      <w:r w:rsidRPr="00EF76D5">
        <w:rPr>
          <w:lang w:val="es-ES" w:eastAsia="es-ES"/>
        </w:rPr>
        <w:t xml:space="preserve"> del ejercicio 202</w:t>
      </w:r>
      <w:r w:rsidR="00D31706" w:rsidRPr="00EF76D5">
        <w:rPr>
          <w:lang w:val="es-ES" w:eastAsia="es-ES"/>
        </w:rPr>
        <w:t>3</w:t>
      </w:r>
      <w:r w:rsidRPr="00EF76D5">
        <w:rPr>
          <w:lang w:val="es-ES" w:eastAsia="es-ES"/>
        </w:rPr>
        <w:t xml:space="preserve"> expresa, en todos los aspectos significativos, la imagen fiel del patrimonio y de la situación financiera a 31 de diciembre de 202</w:t>
      </w:r>
      <w:r w:rsidR="00D31706" w:rsidRPr="00EF76D5">
        <w:rPr>
          <w:lang w:val="es-ES" w:eastAsia="es-ES"/>
        </w:rPr>
        <w:t>3</w:t>
      </w:r>
      <w:r w:rsidRPr="00EF76D5">
        <w:rPr>
          <w:lang w:val="es-ES" w:eastAsia="es-ES"/>
        </w:rPr>
        <w:t>, así como de sus resultados económicos y presupuestarios correspondientes al ejercicio anual terminado en dicha fecha, de conformidad con</w:t>
      </w:r>
      <w:r w:rsidRPr="004B78CE">
        <w:rPr>
          <w:szCs w:val="26"/>
        </w:rPr>
        <w:t xml:space="preserve"> el marco normativo de información financiera que resulta de aplicación y, en particular, con los principios y criterios </w:t>
      </w:r>
      <w:r w:rsidRPr="007434B8">
        <w:rPr>
          <w:color w:val="000000"/>
          <w:szCs w:val="26"/>
        </w:rPr>
        <w:t>contables y presupuestarios contenidos en el mismo.</w:t>
      </w:r>
    </w:p>
    <w:p w14:paraId="0F609324" w14:textId="3B413141" w:rsidR="002B7E8E" w:rsidRPr="004B78CE" w:rsidRDefault="002B7E8E" w:rsidP="00EF76D5">
      <w:pPr>
        <w:pStyle w:val="texto"/>
        <w:numPr>
          <w:ilvl w:val="0"/>
          <w:numId w:val="18"/>
        </w:numPr>
        <w:tabs>
          <w:tab w:val="left" w:pos="567"/>
          <w:tab w:val="num" w:pos="2770"/>
        </w:tabs>
        <w:ind w:left="0" w:firstLine="289"/>
        <w:rPr>
          <w:szCs w:val="26"/>
        </w:rPr>
      </w:pPr>
      <w:r w:rsidRPr="004B78CE">
        <w:rPr>
          <w:szCs w:val="26"/>
        </w:rPr>
        <w:t>Si las actividades, operaciones presupuestarias y financieras y la información refle</w:t>
      </w:r>
      <w:r>
        <w:rPr>
          <w:szCs w:val="26"/>
        </w:rPr>
        <w:t xml:space="preserve">jada en </w:t>
      </w:r>
      <w:r w:rsidRPr="00EF76D5">
        <w:rPr>
          <w:lang w:val="es-ES" w:eastAsia="es-ES"/>
        </w:rPr>
        <w:t>la</w:t>
      </w:r>
      <w:r>
        <w:rPr>
          <w:szCs w:val="26"/>
        </w:rPr>
        <w:t xml:space="preserve"> cuenta general </w:t>
      </w:r>
      <w:r w:rsidRPr="004B78CE">
        <w:rPr>
          <w:szCs w:val="26"/>
        </w:rPr>
        <w:t xml:space="preserve">del ejercicio de </w:t>
      </w:r>
      <w:r>
        <w:rPr>
          <w:szCs w:val="26"/>
        </w:rPr>
        <w:t>202</w:t>
      </w:r>
      <w:r w:rsidR="00D31706">
        <w:rPr>
          <w:szCs w:val="26"/>
        </w:rPr>
        <w:t>3</w:t>
      </w:r>
      <w:r w:rsidRPr="004B78CE">
        <w:rPr>
          <w:szCs w:val="26"/>
        </w:rPr>
        <w:t xml:space="preserve"> resultan conformes, en todos los aspectos significativos, con la normativa aplicable a la gestión de los fondos públicos.</w:t>
      </w:r>
    </w:p>
    <w:p w14:paraId="6356FF11" w14:textId="244541BA" w:rsidR="002B7E8E" w:rsidRPr="00D31706" w:rsidRDefault="235FD0DA" w:rsidP="00D31706">
      <w:pPr>
        <w:pStyle w:val="texto"/>
        <w:tabs>
          <w:tab w:val="left" w:pos="142"/>
        </w:tabs>
      </w:pPr>
      <w:r>
        <w:t xml:space="preserve">El alcance de la fiscalización es la </w:t>
      </w:r>
      <w:r w:rsidR="73020E90">
        <w:t>c</w:t>
      </w:r>
      <w:r>
        <w:t xml:space="preserve">uenta </w:t>
      </w:r>
      <w:r w:rsidR="3BBF1239">
        <w:t>g</w:t>
      </w:r>
      <w:r>
        <w:t>eneral de</w:t>
      </w:r>
      <w:r w:rsidR="00D31706">
        <w:t xml:space="preserve"> </w:t>
      </w:r>
      <w:r>
        <w:t>l</w:t>
      </w:r>
      <w:r w:rsidR="00D31706">
        <w:t>a</w:t>
      </w:r>
      <w:r>
        <w:t xml:space="preserve"> </w:t>
      </w:r>
      <w:r w:rsidR="003C06D0">
        <w:t>Mancomunidad</w:t>
      </w:r>
      <w:r>
        <w:t xml:space="preserve"> </w:t>
      </w:r>
      <w:r w:rsidR="00406FFE">
        <w:t xml:space="preserve">que debe contener, </w:t>
      </w:r>
      <w:r w:rsidR="00406FFE" w:rsidRPr="00EF76D5">
        <w:rPr>
          <w:lang w:val="es-ES" w:eastAsia="es-ES"/>
        </w:rPr>
        <w:t>según</w:t>
      </w:r>
      <w:r w:rsidR="00406FFE">
        <w:t xml:space="preserve"> se establece </w:t>
      </w:r>
      <w:r>
        <w:t xml:space="preserve">en el Decreto Foral 272/1998, </w:t>
      </w:r>
      <w:r w:rsidR="00406FFE">
        <w:t>los siguientes estados</w:t>
      </w:r>
      <w:r>
        <w:t>:</w:t>
      </w:r>
    </w:p>
    <w:p w14:paraId="766E1849" w14:textId="77777777" w:rsidR="002B7E8E" w:rsidRPr="004B78CE" w:rsidRDefault="235FD0DA" w:rsidP="00524678">
      <w:pPr>
        <w:pStyle w:val="texto"/>
        <w:numPr>
          <w:ilvl w:val="0"/>
          <w:numId w:val="18"/>
        </w:numPr>
        <w:tabs>
          <w:tab w:val="num" w:pos="567"/>
          <w:tab w:val="num" w:pos="2770"/>
        </w:tabs>
        <w:ind w:left="0" w:firstLine="289"/>
      </w:pPr>
      <w:r w:rsidRPr="00EF76D5">
        <w:rPr>
          <w:lang w:val="es-ES" w:eastAsia="es-ES"/>
        </w:rPr>
        <w:t>Expediente</w:t>
      </w:r>
      <w:r>
        <w:t xml:space="preserve"> de liquidación del presupuesto.</w:t>
      </w:r>
    </w:p>
    <w:p w14:paraId="5067F547" w14:textId="280B2DD0" w:rsidR="002B7E8E" w:rsidRPr="004B78CE" w:rsidRDefault="235FD0DA" w:rsidP="00524678">
      <w:pPr>
        <w:pStyle w:val="texto"/>
        <w:numPr>
          <w:ilvl w:val="0"/>
          <w:numId w:val="18"/>
        </w:numPr>
        <w:tabs>
          <w:tab w:val="num" w:pos="567"/>
          <w:tab w:val="num" w:pos="2770"/>
        </w:tabs>
        <w:ind w:left="0" w:firstLine="290"/>
      </w:pPr>
      <w:r w:rsidRPr="00EF76D5">
        <w:rPr>
          <w:lang w:val="es-ES" w:eastAsia="es-ES"/>
        </w:rPr>
        <w:t>Balance</w:t>
      </w:r>
      <w:r>
        <w:t xml:space="preserve"> de situación y cuenta de Pérdidas y Ganancias.</w:t>
      </w:r>
    </w:p>
    <w:p w14:paraId="6BD84446" w14:textId="47361640" w:rsidR="002B7E8E" w:rsidRDefault="235FD0DA" w:rsidP="00524678">
      <w:pPr>
        <w:pStyle w:val="texto"/>
        <w:numPr>
          <w:ilvl w:val="0"/>
          <w:numId w:val="18"/>
        </w:numPr>
        <w:tabs>
          <w:tab w:val="num" w:pos="567"/>
          <w:tab w:val="num" w:pos="2770"/>
        </w:tabs>
        <w:ind w:left="0" w:firstLine="290"/>
      </w:pPr>
      <w:r w:rsidRPr="00EF76D5">
        <w:rPr>
          <w:lang w:val="es-ES" w:eastAsia="es-ES"/>
        </w:rPr>
        <w:t>Anexos</w:t>
      </w:r>
      <w:r>
        <w:t xml:space="preserve">: </w:t>
      </w:r>
      <w:r w:rsidRPr="00524678">
        <w:rPr>
          <w:szCs w:val="26"/>
        </w:rPr>
        <w:t>estado</w:t>
      </w:r>
      <w:r>
        <w:t xml:space="preserve"> de tesorería, estado de compromisos de gastos e ingresos futuros, estado de situación y movimiento de valores y memoria de costes de los servicios financiados con tasas y precios públicos.</w:t>
      </w:r>
    </w:p>
    <w:p w14:paraId="7F8194D7" w14:textId="54150D5B" w:rsidR="002B7E8E" w:rsidRDefault="00406FFE" w:rsidP="00524678">
      <w:pPr>
        <w:pStyle w:val="texto"/>
        <w:numPr>
          <w:ilvl w:val="0"/>
          <w:numId w:val="18"/>
        </w:numPr>
        <w:tabs>
          <w:tab w:val="num" w:pos="567"/>
          <w:tab w:val="num" w:pos="2770"/>
        </w:tabs>
        <w:ind w:left="0" w:firstLine="290"/>
      </w:pPr>
      <w:r>
        <w:t>Anexos a</w:t>
      </w:r>
      <w:r w:rsidR="002B7E8E" w:rsidRPr="4F597278">
        <w:t xml:space="preserve"> la </w:t>
      </w:r>
      <w:r w:rsidR="08EDCF13" w:rsidRPr="00524678">
        <w:rPr>
          <w:szCs w:val="26"/>
        </w:rPr>
        <w:t>c</w:t>
      </w:r>
      <w:r w:rsidR="002B7E8E" w:rsidRPr="00524678">
        <w:rPr>
          <w:szCs w:val="26"/>
        </w:rPr>
        <w:t>uenta</w:t>
      </w:r>
      <w:r w:rsidR="002B7E8E" w:rsidRPr="4F597278">
        <w:t xml:space="preserve"> </w:t>
      </w:r>
      <w:r w:rsidR="178B16B6" w:rsidRPr="4F597278">
        <w:t>g</w:t>
      </w:r>
      <w:r w:rsidR="002B7E8E" w:rsidRPr="4F597278">
        <w:t>eneral: memoria, estado de la deuda e informe de intervención.</w:t>
      </w:r>
    </w:p>
    <w:p w14:paraId="46AE457C" w14:textId="190C4D42" w:rsidR="00722354" w:rsidRPr="00705349" w:rsidRDefault="00722354" w:rsidP="06D4BFB9">
      <w:pPr>
        <w:pStyle w:val="texto"/>
        <w:tabs>
          <w:tab w:val="left" w:pos="142"/>
        </w:tabs>
        <w:rPr>
          <w:lang w:val="es-ES"/>
        </w:rPr>
      </w:pPr>
      <w:r w:rsidRPr="2C569507">
        <w:rPr>
          <w:lang w:val="es-ES"/>
        </w:rPr>
        <w:t xml:space="preserve">La cuenta general del ejercicio 2023 está formulada pero no fue aprobada en la </w:t>
      </w:r>
      <w:r w:rsidR="003E7144">
        <w:rPr>
          <w:lang w:val="es-ES"/>
        </w:rPr>
        <w:t>a</w:t>
      </w:r>
      <w:r w:rsidR="003E7144" w:rsidRPr="2C569507">
        <w:rPr>
          <w:lang w:val="es-ES"/>
        </w:rPr>
        <w:t xml:space="preserve">samblea </w:t>
      </w:r>
      <w:r w:rsidR="003E7144">
        <w:rPr>
          <w:lang w:val="es-ES"/>
        </w:rPr>
        <w:t>g</w:t>
      </w:r>
      <w:r w:rsidR="003E7144" w:rsidRPr="2C569507">
        <w:rPr>
          <w:lang w:val="es-ES"/>
        </w:rPr>
        <w:t xml:space="preserve">eneral </w:t>
      </w:r>
      <w:r w:rsidRPr="2C569507">
        <w:rPr>
          <w:lang w:val="es-ES"/>
        </w:rPr>
        <w:t xml:space="preserve">de la </w:t>
      </w:r>
      <w:r w:rsidR="003C06D0">
        <w:rPr>
          <w:lang w:val="es-ES"/>
        </w:rPr>
        <w:t>Mancomunidad</w:t>
      </w:r>
      <w:r w:rsidRPr="2C569507">
        <w:rPr>
          <w:lang w:val="es-ES"/>
        </w:rPr>
        <w:t xml:space="preserve"> </w:t>
      </w:r>
      <w:r w:rsidR="6CAC954E" w:rsidRPr="00095E67">
        <w:rPr>
          <w:lang w:val="es-ES"/>
        </w:rPr>
        <w:t>convocada</w:t>
      </w:r>
      <w:r w:rsidR="6CAC954E" w:rsidRPr="2C569507">
        <w:rPr>
          <w:lang w:val="es-ES"/>
        </w:rPr>
        <w:t xml:space="preserve"> </w:t>
      </w:r>
      <w:r w:rsidRPr="2C569507">
        <w:rPr>
          <w:lang w:val="es-ES"/>
        </w:rPr>
        <w:t>al efecto el 22 de mayo de 2024.</w:t>
      </w:r>
    </w:p>
    <w:p w14:paraId="044FFC31" w14:textId="2CA5AE1B" w:rsidR="002B7E8E" w:rsidRDefault="235FD0DA" w:rsidP="00D52999">
      <w:pPr>
        <w:pStyle w:val="texto"/>
        <w:tabs>
          <w:tab w:val="left" w:pos="142"/>
        </w:tabs>
      </w:pPr>
      <w:r>
        <w:t xml:space="preserve">En cuanto al cumplimiento de legalidad, el alcance se refiere a las operaciones revisadas en las muestras que se </w:t>
      </w:r>
      <w:r w:rsidRPr="00E47952">
        <w:t xml:space="preserve">indican en el apéndice </w:t>
      </w:r>
      <w:r w:rsidR="00544E8B">
        <w:t>5</w:t>
      </w:r>
      <w:r w:rsidR="00544E8B" w:rsidRPr="00E47952">
        <w:t xml:space="preserve"> </w:t>
      </w:r>
      <w:r w:rsidR="03F345DB" w:rsidRPr="00E47952">
        <w:t xml:space="preserve">de </w:t>
      </w:r>
      <w:r w:rsidRPr="00E47952">
        <w:t>este informe</w:t>
      </w:r>
      <w:r>
        <w:t>.</w:t>
      </w:r>
    </w:p>
    <w:p w14:paraId="1CF231A5" w14:textId="5385ECAF" w:rsidR="002B7E8E" w:rsidRDefault="002B7E8E" w:rsidP="06D4BFB9">
      <w:pPr>
        <w:pStyle w:val="texto"/>
        <w:tabs>
          <w:tab w:val="left" w:pos="142"/>
        </w:tabs>
        <w:rPr>
          <w:lang w:val="es-ES"/>
        </w:rPr>
      </w:pPr>
      <w:r w:rsidRPr="22DE07A6">
        <w:rPr>
          <w:lang w:val="es-ES"/>
        </w:rPr>
        <w:t>El alcance temporal de la fiscalización se refiere al ejercicio 202</w:t>
      </w:r>
      <w:r w:rsidR="00D31706" w:rsidRPr="22DE07A6">
        <w:rPr>
          <w:lang w:val="es-ES"/>
        </w:rPr>
        <w:t>3</w:t>
      </w:r>
      <w:r w:rsidRPr="22DE07A6">
        <w:rPr>
          <w:lang w:val="es-ES"/>
        </w:rPr>
        <w:t xml:space="preserve">, si bien </w:t>
      </w:r>
      <w:r w:rsidR="1AB3D72E" w:rsidRPr="22DE07A6">
        <w:rPr>
          <w:lang w:val="es-ES"/>
        </w:rPr>
        <w:t>hemos</w:t>
      </w:r>
      <w:r w:rsidRPr="22DE07A6">
        <w:rPr>
          <w:lang w:val="es-ES"/>
        </w:rPr>
        <w:t xml:space="preserve"> efectuado </w:t>
      </w:r>
      <w:r w:rsidR="0084624E" w:rsidRPr="22DE07A6">
        <w:rPr>
          <w:lang w:val="es-ES"/>
        </w:rPr>
        <w:t>múltiples</w:t>
      </w:r>
      <w:r w:rsidRPr="22DE07A6">
        <w:rPr>
          <w:lang w:val="es-ES"/>
        </w:rPr>
        <w:t xml:space="preserve"> comprobaciones sobre ejercicios</w:t>
      </w:r>
      <w:r w:rsidR="003E4F9D" w:rsidRPr="22DE07A6">
        <w:rPr>
          <w:lang w:val="es-ES"/>
        </w:rPr>
        <w:t xml:space="preserve"> anteriores, principalmente de acreedores y deudores,</w:t>
      </w:r>
      <w:r w:rsidR="0084624E" w:rsidRPr="22DE07A6">
        <w:rPr>
          <w:lang w:val="es-ES"/>
        </w:rPr>
        <w:t xml:space="preserve"> necesarias para conocer el origen de las operaciones no justificadas y</w:t>
      </w:r>
      <w:r w:rsidRPr="22DE07A6">
        <w:rPr>
          <w:lang w:val="es-ES"/>
        </w:rPr>
        <w:t xml:space="preserve"> una mejor consecución de los objetivos establecidos.</w:t>
      </w:r>
    </w:p>
    <w:p w14:paraId="53D5E61E" w14:textId="0DF42E76" w:rsidR="00722354" w:rsidRDefault="00722354" w:rsidP="00D52999">
      <w:pPr>
        <w:pStyle w:val="texto"/>
        <w:tabs>
          <w:tab w:val="left" w:pos="142"/>
        </w:tabs>
      </w:pPr>
    </w:p>
    <w:p w14:paraId="6BA71425" w14:textId="11C5DC3A" w:rsidR="00722354" w:rsidRDefault="00722354" w:rsidP="00D52999">
      <w:pPr>
        <w:pStyle w:val="texto"/>
        <w:tabs>
          <w:tab w:val="left" w:pos="142"/>
        </w:tabs>
      </w:pPr>
    </w:p>
    <w:p w14:paraId="6E9E5DF5" w14:textId="77777777" w:rsidR="00780742" w:rsidRDefault="00780742" w:rsidP="00D52999">
      <w:pPr>
        <w:pStyle w:val="texto"/>
        <w:tabs>
          <w:tab w:val="left" w:pos="142"/>
        </w:tabs>
      </w:pPr>
    </w:p>
    <w:p w14:paraId="0F0DECA7" w14:textId="5957DDD0" w:rsidR="00722354" w:rsidRDefault="00722354" w:rsidP="00D52999">
      <w:pPr>
        <w:pStyle w:val="texto"/>
        <w:tabs>
          <w:tab w:val="left" w:pos="142"/>
        </w:tabs>
      </w:pPr>
      <w:r>
        <w:lastRenderedPageBreak/>
        <w:t>Han constituido limitaciones al alcance de nuestro trabajo las siguientes deficiencias:</w:t>
      </w:r>
    </w:p>
    <w:p w14:paraId="45EA84F0" w14:textId="4927E012" w:rsidR="00722354" w:rsidRDefault="00722354" w:rsidP="000F2C78">
      <w:pPr>
        <w:pStyle w:val="texto"/>
        <w:numPr>
          <w:ilvl w:val="0"/>
          <w:numId w:val="18"/>
        </w:numPr>
        <w:tabs>
          <w:tab w:val="num" w:pos="567"/>
          <w:tab w:val="num" w:pos="2770"/>
        </w:tabs>
        <w:ind w:left="0" w:firstLine="289"/>
      </w:pPr>
      <w:r>
        <w:t>Falta de información sobre gastos e ingresos no contabilizados</w:t>
      </w:r>
      <w:r w:rsidR="00095E67">
        <w:t>.</w:t>
      </w:r>
    </w:p>
    <w:p w14:paraId="0E81B230" w14:textId="6B1514C0" w:rsidR="00722354" w:rsidRDefault="00F8138F" w:rsidP="000F2C78">
      <w:pPr>
        <w:pStyle w:val="texto"/>
        <w:numPr>
          <w:ilvl w:val="0"/>
          <w:numId w:val="18"/>
        </w:numPr>
        <w:tabs>
          <w:tab w:val="num" w:pos="567"/>
          <w:tab w:val="num" w:pos="2770"/>
        </w:tabs>
        <w:ind w:left="0" w:firstLine="289"/>
      </w:pPr>
      <w:r w:rsidRPr="00524678">
        <w:t>Carencia</w:t>
      </w:r>
      <w:r w:rsidRPr="2C569507">
        <w:rPr>
          <w:lang w:val="es-ES"/>
        </w:rPr>
        <w:t xml:space="preserve"> de justificantes de los d</w:t>
      </w:r>
      <w:r w:rsidR="00722354" w:rsidRPr="2C569507">
        <w:rPr>
          <w:lang w:val="es-ES"/>
        </w:rPr>
        <w:t>ocumentos contable</w:t>
      </w:r>
      <w:r w:rsidRPr="2C569507">
        <w:rPr>
          <w:lang w:val="es-ES"/>
        </w:rPr>
        <w:t>s</w:t>
      </w:r>
      <w:r w:rsidR="33EE4218" w:rsidRPr="2C569507">
        <w:rPr>
          <w:lang w:val="es-ES"/>
        </w:rPr>
        <w:t xml:space="preserve"> de operaciones de presupuestos cerrados</w:t>
      </w:r>
      <w:r w:rsidR="4CFC85FA" w:rsidRPr="2C569507">
        <w:rPr>
          <w:lang w:val="es-ES"/>
        </w:rPr>
        <w:t xml:space="preserve">, </w:t>
      </w:r>
      <w:r w:rsidR="7C9CABFE" w:rsidRPr="2C569507">
        <w:rPr>
          <w:lang w:val="es-ES"/>
        </w:rPr>
        <w:t>no presupuestarias e</w:t>
      </w:r>
      <w:r w:rsidR="50A0B36D">
        <w:t xml:space="preserve"> ingresos</w:t>
      </w:r>
      <w:r w:rsidR="5D7E35C8">
        <w:t>.</w:t>
      </w:r>
    </w:p>
    <w:p w14:paraId="38AAA538" w14:textId="1EE08E08" w:rsidR="00722354" w:rsidRDefault="00FF7D08" w:rsidP="000F2C78">
      <w:pPr>
        <w:pStyle w:val="texto"/>
        <w:numPr>
          <w:ilvl w:val="0"/>
          <w:numId w:val="18"/>
        </w:numPr>
        <w:tabs>
          <w:tab w:val="num" w:pos="567"/>
          <w:tab w:val="num" w:pos="2770"/>
        </w:tabs>
        <w:ind w:left="0" w:firstLine="289"/>
      </w:pPr>
      <w:r>
        <w:t>Declaraciones de IVA sin soporte documental</w:t>
      </w:r>
      <w:r w:rsidR="00095E67">
        <w:t>.</w:t>
      </w:r>
    </w:p>
    <w:p w14:paraId="34745E3E" w14:textId="77777777" w:rsidR="00FF7D08" w:rsidRDefault="00FF7D08" w:rsidP="363A5E6A">
      <w:pPr>
        <w:spacing w:after="0"/>
        <w:ind w:firstLine="0"/>
        <w:jc w:val="left"/>
        <w:rPr>
          <w:rFonts w:ascii="Arial" w:hAnsi="Arial"/>
          <w:b/>
          <w:bCs/>
          <w:color w:val="000000"/>
          <w:kern w:val="28"/>
          <w:sz w:val="25"/>
          <w:szCs w:val="25"/>
        </w:rPr>
      </w:pPr>
      <w:bookmarkStart w:id="10" w:name="_Toc147385021"/>
      <w:r>
        <w:br w:type="page"/>
      </w:r>
    </w:p>
    <w:p w14:paraId="6C55128D" w14:textId="4964A0A9" w:rsidR="002B7E8E" w:rsidRPr="00AC5D25" w:rsidRDefault="002B7E8E" w:rsidP="002B7E8E">
      <w:pPr>
        <w:pStyle w:val="atitulo1"/>
      </w:pPr>
      <w:bookmarkStart w:id="11" w:name="_Toc182397289"/>
      <w:r w:rsidRPr="00AC5D25">
        <w:lastRenderedPageBreak/>
        <w:t>III. Opinión</w:t>
      </w:r>
      <w:bookmarkEnd w:id="4"/>
      <w:bookmarkEnd w:id="5"/>
      <w:bookmarkEnd w:id="6"/>
      <w:bookmarkEnd w:id="7"/>
      <w:bookmarkEnd w:id="8"/>
      <w:bookmarkEnd w:id="10"/>
      <w:bookmarkEnd w:id="11"/>
    </w:p>
    <w:p w14:paraId="0E1D1A25" w14:textId="27238C04" w:rsidR="002B7E8E" w:rsidRPr="00705349" w:rsidRDefault="235FD0DA" w:rsidP="00D52999">
      <w:pPr>
        <w:pStyle w:val="texto"/>
        <w:tabs>
          <w:tab w:val="left" w:pos="142"/>
        </w:tabs>
      </w:pPr>
      <w:bookmarkStart w:id="12" w:name="_Toc55460318"/>
      <w:bookmarkStart w:id="13" w:name="_Toc430935360"/>
      <w:bookmarkStart w:id="14" w:name="_Toc22495433"/>
      <w:r>
        <w:t xml:space="preserve">La Cámara de Comptos de Navarra, en uso de las competencias que le atribuye la Ley Foral 19/1984, reguladora de la misma, ha fiscalizado la </w:t>
      </w:r>
      <w:r w:rsidR="6412FCBE">
        <w:t>c</w:t>
      </w:r>
      <w:r>
        <w:t xml:space="preserve">uenta </w:t>
      </w:r>
      <w:r w:rsidR="19A22C11">
        <w:t>g</w:t>
      </w:r>
      <w:r>
        <w:t>eneral de</w:t>
      </w:r>
      <w:r w:rsidR="00D31706">
        <w:t xml:space="preserve"> </w:t>
      </w:r>
      <w:r>
        <w:t>l</w:t>
      </w:r>
      <w:r w:rsidR="00D31706">
        <w:t xml:space="preserve">a </w:t>
      </w:r>
      <w:r w:rsidR="003C06D0">
        <w:t>Mancomunidad</w:t>
      </w:r>
      <w:r w:rsidR="00D31706">
        <w:t xml:space="preserve"> de Residuos Sólidos Urbanos Irati</w:t>
      </w:r>
      <w:r w:rsidR="007C2EFE">
        <w:t>,</w:t>
      </w:r>
      <w:r>
        <w:t xml:space="preserve"> que comprende principalmente el balance de situación a 31 de diciembre de 202</w:t>
      </w:r>
      <w:r w:rsidR="00AF775E">
        <w:t>3</w:t>
      </w:r>
      <w:r>
        <w:t xml:space="preserve">, la cuenta de </w:t>
      </w:r>
      <w:r w:rsidR="02E216F5">
        <w:t>p</w:t>
      </w:r>
      <w:r>
        <w:t>érdidas y ganancias</w:t>
      </w:r>
      <w:r w:rsidR="00A0070D">
        <w:t xml:space="preserve"> y</w:t>
      </w:r>
      <w:r>
        <w:t xml:space="preserve"> el expediente</w:t>
      </w:r>
      <w:r w:rsidR="00A0070D">
        <w:t xml:space="preserve"> de liquidación del presupuesto</w:t>
      </w:r>
      <w:r>
        <w:t>.</w:t>
      </w:r>
    </w:p>
    <w:p w14:paraId="3A1B8EE2" w14:textId="56EAF49D" w:rsidR="002B7E8E" w:rsidRPr="00A6273E" w:rsidRDefault="235FD0DA" w:rsidP="00D52999">
      <w:pPr>
        <w:pStyle w:val="texto"/>
        <w:tabs>
          <w:tab w:val="left" w:pos="142"/>
        </w:tabs>
      </w:pPr>
      <w:r>
        <w:t>Asimismo, ha realizado una fiscalización de cumplimiento de legalidad de</w:t>
      </w:r>
      <w:r w:rsidR="00AF775E">
        <w:t xml:space="preserve"> </w:t>
      </w:r>
      <w:r>
        <w:t>l</w:t>
      </w:r>
      <w:r w:rsidR="00E206FD">
        <w:t xml:space="preserve">a </w:t>
      </w:r>
      <w:r w:rsidR="003C06D0">
        <w:t>Mancomunidad</w:t>
      </w:r>
      <w:r w:rsidR="00E206FD">
        <w:t xml:space="preserve"> en el ejercicio 2023.</w:t>
      </w:r>
    </w:p>
    <w:p w14:paraId="34A40B6E" w14:textId="61858197" w:rsidR="002B7E8E" w:rsidRPr="00AC5D25" w:rsidRDefault="00FB68C5" w:rsidP="00524678">
      <w:pPr>
        <w:pStyle w:val="atitulo2"/>
        <w:spacing w:before="240"/>
      </w:pPr>
      <w:bookmarkStart w:id="15" w:name="_Toc147385022"/>
      <w:bookmarkStart w:id="16" w:name="_Toc118266009"/>
      <w:bookmarkStart w:id="17" w:name="_Toc129330301"/>
      <w:bookmarkStart w:id="18" w:name="_Toc182397290"/>
      <w:r>
        <w:t>III.1</w:t>
      </w:r>
      <w:r w:rsidR="002B7E8E" w:rsidRPr="00AC5D25">
        <w:t xml:space="preserve"> Opinión de </w:t>
      </w:r>
      <w:r w:rsidR="002A79ED">
        <w:t>fiscalización</w:t>
      </w:r>
      <w:r w:rsidR="00E206FD">
        <w:t xml:space="preserve"> </w:t>
      </w:r>
      <w:r w:rsidR="002B7E8E" w:rsidRPr="00AC5D25">
        <w:t>financiera</w:t>
      </w:r>
      <w:bookmarkEnd w:id="12"/>
      <w:bookmarkEnd w:id="13"/>
      <w:bookmarkEnd w:id="14"/>
      <w:bookmarkEnd w:id="15"/>
      <w:bookmarkEnd w:id="16"/>
      <w:bookmarkEnd w:id="17"/>
      <w:r w:rsidR="00AE03D9">
        <w:t xml:space="preserve"> desfavorable</w:t>
      </w:r>
      <w:bookmarkEnd w:id="18"/>
    </w:p>
    <w:p w14:paraId="32C29151" w14:textId="389909B4" w:rsidR="002B7E8E" w:rsidRPr="00AC5D25" w:rsidRDefault="002B7E8E" w:rsidP="002B7E8E">
      <w:pPr>
        <w:pStyle w:val="texto"/>
      </w:pPr>
      <w:bookmarkStart w:id="19" w:name="_Toc120335777"/>
      <w:bookmarkStart w:id="20" w:name="_Toc120335699"/>
      <w:bookmarkStart w:id="21" w:name="_Toc120335532"/>
      <w:bookmarkStart w:id="22" w:name="_Toc461588447"/>
      <w:bookmarkStart w:id="23" w:name="_Toc461590589"/>
      <w:bookmarkStart w:id="24" w:name="_Toc461591109"/>
      <w:bookmarkStart w:id="25" w:name="_Toc461592240"/>
      <w:bookmarkStart w:id="26" w:name="_Toc461593660"/>
      <w:bookmarkStart w:id="27" w:name="_Toc461593793"/>
      <w:bookmarkStart w:id="28" w:name="_Toc461594095"/>
      <w:bookmarkStart w:id="29" w:name="_Toc461594692"/>
      <w:bookmarkStart w:id="30" w:name="_Toc461595085"/>
      <w:bookmarkStart w:id="31" w:name="_Toc461595677"/>
      <w:bookmarkStart w:id="32" w:name="_Toc461601746"/>
      <w:bookmarkStart w:id="33" w:name="_Toc461602533"/>
      <w:bookmarkStart w:id="34" w:name="_Toc462124222"/>
      <w:bookmarkStart w:id="35" w:name="_Toc462124302"/>
      <w:bookmarkStart w:id="36" w:name="_Toc462803277"/>
      <w:bookmarkStart w:id="37" w:name="_Toc463680849"/>
      <w:bookmarkStart w:id="38" w:name="_Toc463680929"/>
      <w:bookmarkStart w:id="39" w:name="_Toc463681086"/>
      <w:bookmarkStart w:id="40" w:name="_Toc464619341"/>
      <w:bookmarkStart w:id="41" w:name="_Toc464870763"/>
      <w:bookmarkStart w:id="42" w:name="_Toc496503482"/>
      <w:bookmarkStart w:id="43" w:name="_Toc69801028"/>
      <w:bookmarkStart w:id="44" w:name="_Toc93816326"/>
      <w:bookmarkStart w:id="45" w:name="_Toc93817013"/>
      <w:bookmarkStart w:id="46" w:name="_Toc318960027"/>
      <w:bookmarkStart w:id="47" w:name="_Toc430935362"/>
      <w:r w:rsidRPr="00AC5D25">
        <w:t xml:space="preserve">En </w:t>
      </w:r>
      <w:r w:rsidRPr="009C20F6">
        <w:t xml:space="preserve">nuestra opinión, </w:t>
      </w:r>
      <w:r w:rsidR="00AE03D9">
        <w:t xml:space="preserve">debido al efecto muy significativo de las cuestiones descritas en la </w:t>
      </w:r>
      <w:r w:rsidR="00B320F0" w:rsidRPr="00B74043">
        <w:t>secció</w:t>
      </w:r>
      <w:r w:rsidR="00860145" w:rsidRPr="00B74043">
        <w:t>n “Fundamento de la opinión de fiscalización</w:t>
      </w:r>
      <w:r w:rsidR="00B320F0" w:rsidRPr="00B74043">
        <w:t xml:space="preserve"> </w:t>
      </w:r>
      <w:r w:rsidR="00B320F0" w:rsidRPr="002448C4">
        <w:t xml:space="preserve">financiera </w:t>
      </w:r>
      <w:r w:rsidR="002448C4" w:rsidRPr="002448C4">
        <w:t>desfavorable</w:t>
      </w:r>
      <w:r w:rsidR="00B320F0" w:rsidRPr="002448C4">
        <w:t xml:space="preserve">” de nuestro informe, </w:t>
      </w:r>
      <w:r w:rsidRPr="002448C4">
        <w:t>la cuenta general del ejercicio 202</w:t>
      </w:r>
      <w:r w:rsidR="00AF775E" w:rsidRPr="002448C4">
        <w:t>3</w:t>
      </w:r>
      <w:r w:rsidR="002448C4">
        <w:t xml:space="preserve"> no</w:t>
      </w:r>
      <w:r w:rsidRPr="002448C4">
        <w:t xml:space="preserve"> expresa, en todos los aspect</w:t>
      </w:r>
      <w:r w:rsidRPr="00860145">
        <w:t xml:space="preserve">os significativos, la imagen fiel del patrimonio, de la situación financiera </w:t>
      </w:r>
      <w:r w:rsidR="001C216C" w:rsidRPr="00860145">
        <w:t xml:space="preserve">de la </w:t>
      </w:r>
      <w:r w:rsidR="003C06D0">
        <w:t>Mancomunidad</w:t>
      </w:r>
      <w:r w:rsidRPr="00860145">
        <w:t xml:space="preserve"> a 31</w:t>
      </w:r>
      <w:r w:rsidRPr="00AC5D25">
        <w:t xml:space="preserve"> de diciembre de 202</w:t>
      </w:r>
      <w:r w:rsidR="00AF775E">
        <w:t>3</w:t>
      </w:r>
      <w:r w:rsidRPr="00AC5D25">
        <w:t xml:space="preserve"> y de sus resultados económicos y presupuestarios correspondientes al ejercicio terminado en dicha fecha, de conformidad con el marco normativo de información financiera pública y, en particular, con los principios y criterios contables y presupuestarios contenidos en el mismo.</w:t>
      </w:r>
    </w:p>
    <w:p w14:paraId="284D50EF" w14:textId="26B38FB2" w:rsidR="002B7E8E" w:rsidRPr="000F119D" w:rsidRDefault="002B7E8E" w:rsidP="00524678">
      <w:pPr>
        <w:pStyle w:val="atitulo2"/>
        <w:spacing w:before="240"/>
        <w:rPr>
          <w:color w:val="auto"/>
        </w:rPr>
      </w:pPr>
      <w:bookmarkStart w:id="48" w:name="_Toc22495434"/>
      <w:bookmarkStart w:id="49" w:name="_Toc55460319"/>
      <w:bookmarkStart w:id="50" w:name="_Toc118266010"/>
      <w:bookmarkStart w:id="51" w:name="_Toc129330302"/>
      <w:bookmarkStart w:id="52" w:name="_Toc147385023"/>
      <w:bookmarkStart w:id="53" w:name="_Toc182397291"/>
      <w:r>
        <w:t>III.</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FB68C5">
        <w:t>2</w:t>
      </w:r>
      <w:r>
        <w:t xml:space="preserve"> </w:t>
      </w:r>
      <w:bookmarkEnd w:id="46"/>
      <w:bookmarkEnd w:id="47"/>
      <w:r>
        <w:t xml:space="preserve">Opinión de </w:t>
      </w:r>
      <w:r w:rsidR="00B320F0" w:rsidRPr="22DE07A6">
        <w:rPr>
          <w:color w:val="auto"/>
        </w:rPr>
        <w:t xml:space="preserve">fiscalización de </w:t>
      </w:r>
      <w:r w:rsidRPr="22DE07A6">
        <w:rPr>
          <w:color w:val="auto"/>
        </w:rPr>
        <w:t xml:space="preserve">cumplimiento </w:t>
      </w:r>
      <w:r w:rsidR="1EA9CBC6" w:rsidRPr="22DE07A6">
        <w:rPr>
          <w:color w:val="auto"/>
        </w:rPr>
        <w:t>desfavorable</w:t>
      </w:r>
      <w:bookmarkEnd w:id="48"/>
      <w:bookmarkEnd w:id="49"/>
      <w:bookmarkEnd w:id="50"/>
      <w:bookmarkEnd w:id="51"/>
      <w:bookmarkEnd w:id="52"/>
      <w:bookmarkEnd w:id="53"/>
    </w:p>
    <w:p w14:paraId="741CE1D1" w14:textId="0F7601E4" w:rsidR="002B7E8E" w:rsidRPr="00AC5D25" w:rsidRDefault="235FD0DA" w:rsidP="002B7E8E">
      <w:pPr>
        <w:pStyle w:val="texto"/>
      </w:pPr>
      <w:r w:rsidRPr="000F119D">
        <w:t xml:space="preserve">En nuestra opinión, </w:t>
      </w:r>
      <w:r w:rsidR="00285EE3">
        <w:t xml:space="preserve">debido al efecto muy significativo </w:t>
      </w:r>
      <w:r w:rsidRPr="000F119D">
        <w:t xml:space="preserve">de las cuestiones descritas en la sección “Fundamento de la opinión de legalidad </w:t>
      </w:r>
      <w:r w:rsidR="00BC28A1">
        <w:t>desfavorable</w:t>
      </w:r>
      <w:r>
        <w:t xml:space="preserve">” de nuestro informe, y teniendo en cuenta el </w:t>
      </w:r>
      <w:r w:rsidRPr="00BC28A1">
        <w:t>alcance del trabajo realizado, las actividades, operaciones presupuestarias y financieras y la información reflejada en la cuenta general de</w:t>
      </w:r>
      <w:r w:rsidR="00AF775E" w:rsidRPr="00BC28A1">
        <w:t xml:space="preserve"> </w:t>
      </w:r>
      <w:r w:rsidRPr="00BC28A1">
        <w:t>l</w:t>
      </w:r>
      <w:r w:rsidR="00AF775E" w:rsidRPr="00BC28A1">
        <w:t xml:space="preserve">a </w:t>
      </w:r>
      <w:r w:rsidR="003C06D0">
        <w:t>Mancomunidad</w:t>
      </w:r>
      <w:r w:rsidRPr="00BC28A1">
        <w:t xml:space="preserve"> </w:t>
      </w:r>
      <w:r w:rsidR="00AF775E" w:rsidRPr="00BC28A1">
        <w:t>del ejercicio 2023</w:t>
      </w:r>
      <w:r w:rsidRPr="00BC28A1">
        <w:t xml:space="preserve"> </w:t>
      </w:r>
      <w:r w:rsidR="00BC28A1" w:rsidRPr="00BC28A1">
        <w:t xml:space="preserve">no </w:t>
      </w:r>
      <w:r w:rsidRPr="00BC28A1">
        <w:t>resultan conformes</w:t>
      </w:r>
      <w:r w:rsidR="005D0A04">
        <w:t>, en todos los aspectos significativos,</w:t>
      </w:r>
      <w:r w:rsidR="00285EE3">
        <w:t xml:space="preserve"> </w:t>
      </w:r>
      <w:r>
        <w:t>con la normativa aplicable a la gestión de los fondos públicos.</w:t>
      </w:r>
    </w:p>
    <w:p w14:paraId="62EBF3C5" w14:textId="77777777" w:rsidR="002B7E8E" w:rsidRPr="00705459" w:rsidRDefault="002B7E8E" w:rsidP="002B7E8E">
      <w:pPr>
        <w:rPr>
          <w:rFonts w:ascii="Arial" w:hAnsi="Arial"/>
          <w:i/>
          <w:iCs/>
          <w:color w:val="000000"/>
          <w:spacing w:val="10"/>
          <w:kern w:val="28"/>
          <w:highlight w:val="yellow"/>
        </w:rPr>
      </w:pPr>
      <w:r w:rsidRPr="00705459">
        <w:rPr>
          <w:rFonts w:ascii="Arial" w:hAnsi="Arial"/>
          <w:i/>
          <w:iCs/>
          <w:color w:val="000000"/>
          <w:spacing w:val="10"/>
          <w:kern w:val="28"/>
          <w:highlight w:val="yellow"/>
        </w:rPr>
        <w:br w:type="page"/>
      </w:r>
    </w:p>
    <w:p w14:paraId="1CEB43E5" w14:textId="77777777" w:rsidR="002B7E8E" w:rsidRPr="00AC5D25" w:rsidRDefault="002B7E8E" w:rsidP="002B7E8E">
      <w:pPr>
        <w:pStyle w:val="atitulo1"/>
      </w:pPr>
      <w:bookmarkStart w:id="54" w:name="_Toc118266011"/>
      <w:bookmarkStart w:id="55" w:name="_Toc129330303"/>
      <w:bookmarkStart w:id="56" w:name="_Toc147385024"/>
      <w:bookmarkStart w:id="57" w:name="_Toc182397292"/>
      <w:r w:rsidRPr="00AC5D25">
        <w:lastRenderedPageBreak/>
        <w:t>IV. Fundamento de la opinión</w:t>
      </w:r>
      <w:bookmarkEnd w:id="54"/>
      <w:bookmarkEnd w:id="55"/>
      <w:bookmarkEnd w:id="56"/>
      <w:bookmarkEnd w:id="57"/>
      <w:r w:rsidRPr="00AC5D25">
        <w:t xml:space="preserve"> </w:t>
      </w:r>
    </w:p>
    <w:p w14:paraId="40AA35D2" w14:textId="77777777" w:rsidR="002B7E8E" w:rsidRPr="00A0070D" w:rsidRDefault="002B7E8E" w:rsidP="00942938">
      <w:pPr>
        <w:pStyle w:val="texto"/>
        <w:tabs>
          <w:tab w:val="left" w:pos="142"/>
        </w:tabs>
      </w:pPr>
      <w:r w:rsidRPr="06D4BFB9">
        <w:rPr>
          <w:lang w:val="es-ES"/>
        </w:rPr>
        <w:t xml:space="preserve">Hemos llevado a cabo nuestra fiscalización de conformidad con los principios fundamentales de fiscalización de las instituciones públicas de control externo y más en concreto, con la ISSAI-ES 200 y la ISSAI-ES 400 referidas a las fiscalizaciones financieras y de cumplimiento de legalidad, así como con las Guías Prácticas de Fiscalización de los órganos de control externo. Nuestras responsabilidades de acuerdo con dichas normas se describen más adelante en la sección “Responsabilidades de la Cámara de Comptos” en relación con la fiscalización de la cuenta general y de cumplimiento de legalidad de nuestro informe. </w:t>
      </w:r>
    </w:p>
    <w:p w14:paraId="22CCE69B" w14:textId="77777777" w:rsidR="002B7E8E" w:rsidRPr="007371F4" w:rsidRDefault="002B7E8E" w:rsidP="00942938">
      <w:pPr>
        <w:pStyle w:val="texto"/>
        <w:tabs>
          <w:tab w:val="left" w:pos="142"/>
        </w:tabs>
        <w:rPr>
          <w:szCs w:val="26"/>
        </w:rPr>
      </w:pPr>
      <w:r w:rsidRPr="007371F4">
        <w:rPr>
          <w:szCs w:val="26"/>
        </w:rPr>
        <w:t xml:space="preserve">Somos independientes de la entidad fiscalizada, de conformidad con los requerimientos de ética y protección de la independencia que son aplicables a nuestra fiscalización de la cuenta general según lo exigido por la normativa reguladora de la actividad de fiscalización pública. </w:t>
      </w:r>
    </w:p>
    <w:p w14:paraId="193B2921" w14:textId="5FC17782" w:rsidR="002B7E8E" w:rsidRPr="007371F4" w:rsidRDefault="002B7E8E" w:rsidP="00942938">
      <w:pPr>
        <w:pStyle w:val="texto"/>
        <w:tabs>
          <w:tab w:val="left" w:pos="142"/>
        </w:tabs>
        <w:rPr>
          <w:szCs w:val="26"/>
        </w:rPr>
      </w:pPr>
      <w:r w:rsidRPr="007371F4">
        <w:rPr>
          <w:szCs w:val="26"/>
        </w:rPr>
        <w:t xml:space="preserve">Consideramos que la evidencia de auditoría que hemos obtenido proporciona una base suficiente y adecuada para nuestra </w:t>
      </w:r>
      <w:r w:rsidRPr="00E206FD">
        <w:rPr>
          <w:szCs w:val="26"/>
        </w:rPr>
        <w:t xml:space="preserve">opinión de </w:t>
      </w:r>
      <w:r w:rsidR="00E206FD" w:rsidRPr="00E206FD">
        <w:rPr>
          <w:szCs w:val="26"/>
        </w:rPr>
        <w:t>fiscalización</w:t>
      </w:r>
      <w:r w:rsidRPr="00E206FD">
        <w:rPr>
          <w:szCs w:val="26"/>
        </w:rPr>
        <w:t xml:space="preserve"> financiera </w:t>
      </w:r>
      <w:r w:rsidR="00BC28A1" w:rsidRPr="000F119D">
        <w:rPr>
          <w:szCs w:val="26"/>
        </w:rPr>
        <w:t xml:space="preserve">y de </w:t>
      </w:r>
      <w:r w:rsidR="00BC28A1" w:rsidRPr="00F13BA0">
        <w:rPr>
          <w:szCs w:val="26"/>
        </w:rPr>
        <w:t xml:space="preserve">legalidad </w:t>
      </w:r>
      <w:r w:rsidR="002448C4">
        <w:rPr>
          <w:szCs w:val="26"/>
        </w:rPr>
        <w:t>desfavorable</w:t>
      </w:r>
      <w:r w:rsidRPr="00F13BA0">
        <w:rPr>
          <w:szCs w:val="26"/>
        </w:rPr>
        <w:t>.</w:t>
      </w:r>
      <w:r w:rsidRPr="007371F4">
        <w:rPr>
          <w:szCs w:val="26"/>
        </w:rPr>
        <w:t xml:space="preserve"> </w:t>
      </w:r>
    </w:p>
    <w:p w14:paraId="13E2B73A" w14:textId="6FE2573B" w:rsidR="002B7E8E" w:rsidRPr="006A2520" w:rsidRDefault="00FB68C5" w:rsidP="00524678">
      <w:pPr>
        <w:pStyle w:val="atitulo2"/>
        <w:spacing w:before="240"/>
        <w:rPr>
          <w:color w:val="auto"/>
        </w:rPr>
      </w:pPr>
      <w:bookmarkStart w:id="58" w:name="_Toc118266013"/>
      <w:bookmarkStart w:id="59" w:name="_Toc129330304"/>
      <w:bookmarkStart w:id="60" w:name="_Toc147385025"/>
      <w:bookmarkStart w:id="61" w:name="_Toc182397293"/>
      <w:r>
        <w:rPr>
          <w:color w:val="auto"/>
        </w:rPr>
        <w:t>IV.1</w:t>
      </w:r>
      <w:r w:rsidR="002B7E8E" w:rsidRPr="22DE07A6">
        <w:rPr>
          <w:color w:val="auto"/>
        </w:rPr>
        <w:t xml:space="preserve"> </w:t>
      </w:r>
      <w:r w:rsidR="002B7E8E" w:rsidRPr="00524678">
        <w:t>Fundamento</w:t>
      </w:r>
      <w:r w:rsidR="002B7E8E" w:rsidRPr="22DE07A6">
        <w:rPr>
          <w:color w:val="auto"/>
        </w:rPr>
        <w:t xml:space="preserve"> de la opinión </w:t>
      </w:r>
      <w:r w:rsidR="00E206FD" w:rsidRPr="22DE07A6">
        <w:rPr>
          <w:color w:val="auto"/>
        </w:rPr>
        <w:t>de fiscalización</w:t>
      </w:r>
      <w:r w:rsidR="00B320F0" w:rsidRPr="22DE07A6">
        <w:rPr>
          <w:color w:val="auto"/>
        </w:rPr>
        <w:t xml:space="preserve"> financiera</w:t>
      </w:r>
      <w:r w:rsidR="002B7E8E" w:rsidRPr="22DE07A6">
        <w:rPr>
          <w:color w:val="auto"/>
        </w:rPr>
        <w:t xml:space="preserve"> </w:t>
      </w:r>
      <w:bookmarkEnd w:id="58"/>
      <w:bookmarkEnd w:id="59"/>
      <w:bookmarkEnd w:id="60"/>
      <w:r w:rsidR="002448C4" w:rsidRPr="22DE07A6">
        <w:rPr>
          <w:color w:val="auto"/>
        </w:rPr>
        <w:t>desfavorable</w:t>
      </w:r>
      <w:r w:rsidR="00794DDD" w:rsidRPr="22DE07A6">
        <w:rPr>
          <w:color w:val="auto"/>
        </w:rPr>
        <w:t>.</w:t>
      </w:r>
      <w:bookmarkEnd w:id="61"/>
      <w:r w:rsidR="00794DDD" w:rsidRPr="22DE07A6">
        <w:rPr>
          <w:color w:val="auto"/>
        </w:rPr>
        <w:t xml:space="preserve"> </w:t>
      </w:r>
    </w:p>
    <w:p w14:paraId="403ECD60" w14:textId="3E26D527" w:rsidR="00285EE3" w:rsidRDefault="00285EE3" w:rsidP="00285EE3">
      <w:pPr>
        <w:pStyle w:val="texto"/>
        <w:tabs>
          <w:tab w:val="left" w:pos="142"/>
        </w:tabs>
        <w:rPr>
          <w:szCs w:val="26"/>
        </w:rPr>
      </w:pPr>
      <w:r>
        <w:rPr>
          <w:szCs w:val="26"/>
        </w:rPr>
        <w:t>Constituyen salvedades a nuestra opinión las siguientes cuestiones:</w:t>
      </w:r>
    </w:p>
    <w:p w14:paraId="1A13D0E3" w14:textId="22CA0CE0" w:rsidR="00742976" w:rsidRPr="005625D7" w:rsidRDefault="00E82A56" w:rsidP="00372D1B">
      <w:pPr>
        <w:pStyle w:val="texto"/>
        <w:numPr>
          <w:ilvl w:val="0"/>
          <w:numId w:val="18"/>
        </w:numPr>
        <w:tabs>
          <w:tab w:val="num" w:pos="567"/>
          <w:tab w:val="num" w:pos="2770"/>
        </w:tabs>
        <w:ind w:left="0" w:firstLine="289"/>
        <w:rPr>
          <w:szCs w:val="26"/>
          <w:lang w:val="es-ES"/>
        </w:rPr>
      </w:pPr>
      <w:r w:rsidRPr="00372D1B">
        <w:t>Hemos</w:t>
      </w:r>
      <w:r w:rsidRPr="005625D7">
        <w:rPr>
          <w:szCs w:val="26"/>
          <w:lang w:val="es-ES"/>
        </w:rPr>
        <w:t xml:space="preserve"> constatado incorrecciones</w:t>
      </w:r>
      <w:r w:rsidR="00742976" w:rsidRPr="005625D7">
        <w:rPr>
          <w:szCs w:val="26"/>
          <w:lang w:val="es-ES"/>
        </w:rPr>
        <w:t xml:space="preserve"> significativas</w:t>
      </w:r>
      <w:r w:rsidRPr="005625D7">
        <w:rPr>
          <w:szCs w:val="26"/>
          <w:lang w:val="es-ES"/>
        </w:rPr>
        <w:t xml:space="preserve"> y es probable que existan </w:t>
      </w:r>
      <w:r w:rsidR="72480022" w:rsidRPr="005625D7" w:rsidDel="00E82A56">
        <w:rPr>
          <w:szCs w:val="26"/>
          <w:lang w:val="es-ES"/>
        </w:rPr>
        <w:t xml:space="preserve">otras </w:t>
      </w:r>
      <w:r w:rsidR="449507AD" w:rsidRPr="005625D7">
        <w:rPr>
          <w:szCs w:val="26"/>
          <w:lang w:val="es-ES"/>
        </w:rPr>
        <w:t>incorreccione</w:t>
      </w:r>
      <w:r w:rsidR="00214D08">
        <w:rPr>
          <w:szCs w:val="26"/>
          <w:lang w:val="es-ES"/>
        </w:rPr>
        <w:t>s, también significativ</w:t>
      </w:r>
      <w:r w:rsidR="00780742">
        <w:rPr>
          <w:szCs w:val="26"/>
          <w:lang w:val="es-ES"/>
        </w:rPr>
        <w:t>a</w:t>
      </w:r>
      <w:r w:rsidR="00214D08">
        <w:rPr>
          <w:szCs w:val="26"/>
          <w:lang w:val="es-ES"/>
        </w:rPr>
        <w:t>s,</w:t>
      </w:r>
      <w:r w:rsidRPr="005625D7">
        <w:rPr>
          <w:szCs w:val="26"/>
          <w:lang w:val="es-ES"/>
        </w:rPr>
        <w:t xml:space="preserve"> que no hemos podido identif</w:t>
      </w:r>
      <w:r w:rsidR="00F13BA0" w:rsidRPr="005625D7">
        <w:rPr>
          <w:szCs w:val="26"/>
          <w:lang w:val="es-ES"/>
        </w:rPr>
        <w:t>icar referidas a anulaciones de saldos, operaciones no contabilizadas y gastos e ingresos compensados</w:t>
      </w:r>
      <w:r w:rsidR="00F3093C" w:rsidRPr="005625D7">
        <w:rPr>
          <w:szCs w:val="26"/>
          <w:lang w:val="es-ES"/>
        </w:rPr>
        <w:t xml:space="preserve">, </w:t>
      </w:r>
      <w:r w:rsidR="00B035EE" w:rsidRPr="005625D7">
        <w:rPr>
          <w:szCs w:val="26"/>
          <w:lang w:val="es-ES"/>
        </w:rPr>
        <w:t>dado que la contabilidad de las operaciones</w:t>
      </w:r>
      <w:r w:rsidR="007C7974" w:rsidRPr="005625D7">
        <w:rPr>
          <w:szCs w:val="26"/>
          <w:lang w:val="es-ES"/>
        </w:rPr>
        <w:t xml:space="preserve"> no es </w:t>
      </w:r>
      <w:r w:rsidR="00F3093C" w:rsidRPr="005625D7">
        <w:rPr>
          <w:szCs w:val="26"/>
          <w:lang w:val="es-ES"/>
        </w:rPr>
        <w:t xml:space="preserve">conforme </w:t>
      </w:r>
      <w:r w:rsidR="00B035EE" w:rsidRPr="005625D7">
        <w:rPr>
          <w:szCs w:val="26"/>
          <w:lang w:val="es-ES"/>
        </w:rPr>
        <w:t xml:space="preserve">con </w:t>
      </w:r>
      <w:r w:rsidR="00F3093C" w:rsidRPr="005625D7">
        <w:rPr>
          <w:szCs w:val="26"/>
          <w:lang w:val="es-ES"/>
        </w:rPr>
        <w:t>los principios y criterios contables y presupuestarios establecidos en el marco normativo</w:t>
      </w:r>
      <w:r w:rsidR="00F13BA0" w:rsidRPr="005625D7">
        <w:rPr>
          <w:szCs w:val="26"/>
          <w:lang w:val="es-ES"/>
        </w:rPr>
        <w:t xml:space="preserve">. </w:t>
      </w:r>
    </w:p>
    <w:p w14:paraId="279B8B32" w14:textId="02FF688E" w:rsidR="00E82A56" w:rsidRPr="00F13BA0" w:rsidRDefault="00F13BA0" w:rsidP="00742976">
      <w:pPr>
        <w:pStyle w:val="texto"/>
        <w:tabs>
          <w:tab w:val="left" w:pos="142"/>
        </w:tabs>
      </w:pPr>
      <w:r w:rsidRPr="2C569507">
        <w:rPr>
          <w:lang w:val="es-ES"/>
        </w:rPr>
        <w:t>Las incorrecciones detectadas</w:t>
      </w:r>
      <w:r w:rsidR="2C2EE1B0" w:rsidRPr="2C569507">
        <w:rPr>
          <w:lang w:val="es-ES"/>
        </w:rPr>
        <w:t xml:space="preserve"> </w:t>
      </w:r>
      <w:r w:rsidR="069D4335" w:rsidRPr="2C569507">
        <w:rPr>
          <w:lang w:val="es-ES"/>
        </w:rPr>
        <w:t>más significativas</w:t>
      </w:r>
      <w:r w:rsidRPr="2C569507">
        <w:rPr>
          <w:lang w:val="es-ES"/>
        </w:rPr>
        <w:t xml:space="preserve"> son las siguientes:</w:t>
      </w:r>
    </w:p>
    <w:p w14:paraId="3E69D3BF" w14:textId="707CDC42" w:rsidR="00BC41E9" w:rsidRDefault="00F13BA0" w:rsidP="00372D1B">
      <w:pPr>
        <w:pStyle w:val="texto"/>
        <w:tabs>
          <w:tab w:val="clear" w:pos="2835"/>
          <w:tab w:val="clear" w:pos="3969"/>
          <w:tab w:val="clear" w:pos="5103"/>
          <w:tab w:val="clear" w:pos="6237"/>
          <w:tab w:val="clear" w:pos="7371"/>
          <w:tab w:val="left" w:pos="284"/>
        </w:tabs>
        <w:ind w:firstLine="142"/>
      </w:pPr>
      <w:r>
        <w:t>-</w:t>
      </w:r>
      <w:r w:rsidR="00372D1B">
        <w:tab/>
      </w:r>
      <w:r w:rsidR="00BC41E9">
        <w:t xml:space="preserve">El saldo de deudores del ejercicio </w:t>
      </w:r>
      <w:r w:rsidR="00214D08">
        <w:t xml:space="preserve">recoge 10.111 euros de </w:t>
      </w:r>
      <w:r w:rsidR="00BC41E9">
        <w:t>subvenciones corrientes incorrectamente contabilizadas</w:t>
      </w:r>
      <w:r w:rsidR="00214D08">
        <w:t xml:space="preserve"> y que deben anularse y, por otro lado, no se han contabilizado </w:t>
      </w:r>
      <w:r w:rsidR="00A6074C">
        <w:t xml:space="preserve">54.842 </w:t>
      </w:r>
      <w:r w:rsidR="00214D08">
        <w:t xml:space="preserve">euros de ingresos que debe el consorcio a la </w:t>
      </w:r>
      <w:r w:rsidR="003C06D0">
        <w:t>Mancomunidad</w:t>
      </w:r>
      <w:r w:rsidR="00214D08">
        <w:t xml:space="preserve"> por la recogida de fracciones resto y envases.</w:t>
      </w:r>
    </w:p>
    <w:p w14:paraId="2E4470C9" w14:textId="5F0622C9" w:rsidR="00553AD1" w:rsidRPr="00553AD1" w:rsidRDefault="00F13BA0" w:rsidP="00372D1B">
      <w:pPr>
        <w:pStyle w:val="texto"/>
        <w:tabs>
          <w:tab w:val="clear" w:pos="2835"/>
          <w:tab w:val="clear" w:pos="3969"/>
          <w:tab w:val="clear" w:pos="5103"/>
          <w:tab w:val="clear" w:pos="6237"/>
          <w:tab w:val="clear" w:pos="7371"/>
          <w:tab w:val="left" w:pos="284"/>
        </w:tabs>
        <w:ind w:firstLine="142"/>
        <w:rPr>
          <w:szCs w:val="26"/>
        </w:rPr>
      </w:pPr>
      <w:r>
        <w:rPr>
          <w:szCs w:val="26"/>
        </w:rPr>
        <w:t>-</w:t>
      </w:r>
      <w:r w:rsidR="00372D1B">
        <w:rPr>
          <w:szCs w:val="26"/>
        </w:rPr>
        <w:tab/>
      </w:r>
      <w:r w:rsidR="007A64DF" w:rsidRPr="00553AD1">
        <w:rPr>
          <w:szCs w:val="26"/>
        </w:rPr>
        <w:t xml:space="preserve">El </w:t>
      </w:r>
      <w:r w:rsidR="007A64DF" w:rsidRPr="00372D1B">
        <w:t>saldo</w:t>
      </w:r>
      <w:r w:rsidR="007A64DF" w:rsidRPr="00553AD1">
        <w:rPr>
          <w:szCs w:val="26"/>
        </w:rPr>
        <w:t xml:space="preserve"> de deudores de ejercicios cerrados está sobrevalorado en</w:t>
      </w:r>
      <w:r w:rsidR="00553AD1">
        <w:rPr>
          <w:szCs w:val="26"/>
        </w:rPr>
        <w:t xml:space="preserve"> 103.4</w:t>
      </w:r>
      <w:r w:rsidR="00FF7D08">
        <w:rPr>
          <w:szCs w:val="26"/>
        </w:rPr>
        <w:t>35</w:t>
      </w:r>
      <w:r w:rsidR="00553AD1">
        <w:rPr>
          <w:szCs w:val="26"/>
        </w:rPr>
        <w:t xml:space="preserve"> euros dado que recoge </w:t>
      </w:r>
      <w:r w:rsidR="00F7703C">
        <w:rPr>
          <w:szCs w:val="26"/>
        </w:rPr>
        <w:t>ingresos cobrados o anulados.</w:t>
      </w:r>
    </w:p>
    <w:p w14:paraId="495DD29B" w14:textId="78DD12A1" w:rsidR="00553AD1" w:rsidRPr="00FF7D08" w:rsidRDefault="00F13BA0" w:rsidP="00372D1B">
      <w:pPr>
        <w:pStyle w:val="texto"/>
        <w:tabs>
          <w:tab w:val="clear" w:pos="2835"/>
          <w:tab w:val="clear" w:pos="3969"/>
          <w:tab w:val="clear" w:pos="5103"/>
          <w:tab w:val="clear" w:pos="6237"/>
          <w:tab w:val="clear" w:pos="7371"/>
          <w:tab w:val="left" w:pos="284"/>
        </w:tabs>
        <w:ind w:firstLine="142"/>
        <w:rPr>
          <w:szCs w:val="26"/>
        </w:rPr>
      </w:pPr>
      <w:r>
        <w:rPr>
          <w:szCs w:val="26"/>
        </w:rPr>
        <w:t>-</w:t>
      </w:r>
      <w:r w:rsidR="00372D1B">
        <w:rPr>
          <w:szCs w:val="26"/>
        </w:rPr>
        <w:tab/>
      </w:r>
      <w:r w:rsidR="007A64DF" w:rsidRPr="00553AD1">
        <w:rPr>
          <w:szCs w:val="26"/>
        </w:rPr>
        <w:t xml:space="preserve">El </w:t>
      </w:r>
      <w:r w:rsidR="007A64DF" w:rsidRPr="00372D1B">
        <w:t>saldo</w:t>
      </w:r>
      <w:r w:rsidR="007A64DF" w:rsidRPr="00553AD1">
        <w:rPr>
          <w:szCs w:val="26"/>
        </w:rPr>
        <w:t xml:space="preserve"> de los deudores no presupuestarios </w:t>
      </w:r>
      <w:r w:rsidR="00FF7D08">
        <w:rPr>
          <w:szCs w:val="26"/>
        </w:rPr>
        <w:t xml:space="preserve">correspondiente al IVA deudor de la Hacienda Foral con la </w:t>
      </w:r>
      <w:r w:rsidR="003C06D0">
        <w:rPr>
          <w:szCs w:val="26"/>
        </w:rPr>
        <w:t>Mancomunidad</w:t>
      </w:r>
      <w:r w:rsidR="00FF7D08" w:rsidRPr="00553AD1">
        <w:rPr>
          <w:szCs w:val="26"/>
        </w:rPr>
        <w:t xml:space="preserve"> </w:t>
      </w:r>
      <w:r w:rsidR="007A64DF" w:rsidRPr="00FF7D08">
        <w:rPr>
          <w:szCs w:val="26"/>
        </w:rPr>
        <w:t xml:space="preserve">está infravalorado en </w:t>
      </w:r>
      <w:r w:rsidR="00175BAA">
        <w:rPr>
          <w:szCs w:val="26"/>
        </w:rPr>
        <w:t>4.406</w:t>
      </w:r>
      <w:r w:rsidR="00553AD1" w:rsidRPr="00FF7D08">
        <w:rPr>
          <w:szCs w:val="26"/>
        </w:rPr>
        <w:t xml:space="preserve"> euros.</w:t>
      </w:r>
      <w:r w:rsidR="007A64DF" w:rsidRPr="00FF7D08">
        <w:rPr>
          <w:szCs w:val="26"/>
        </w:rPr>
        <w:t xml:space="preserve"> </w:t>
      </w:r>
    </w:p>
    <w:p w14:paraId="253D7439" w14:textId="7888805B" w:rsidR="00BC41E9" w:rsidRDefault="00F13BA0" w:rsidP="00372D1B">
      <w:pPr>
        <w:pStyle w:val="texto"/>
        <w:tabs>
          <w:tab w:val="clear" w:pos="2835"/>
          <w:tab w:val="clear" w:pos="3969"/>
          <w:tab w:val="clear" w:pos="5103"/>
          <w:tab w:val="clear" w:pos="6237"/>
          <w:tab w:val="clear" w:pos="7371"/>
          <w:tab w:val="left" w:pos="284"/>
        </w:tabs>
        <w:ind w:firstLine="142"/>
      </w:pPr>
      <w:r>
        <w:t>-</w:t>
      </w:r>
      <w:r w:rsidR="00372D1B">
        <w:tab/>
      </w:r>
      <w:r w:rsidR="00BC41E9">
        <w:t xml:space="preserve">El saldo de acreedores del ejercicio está infravalorado en 41.461 debido a gastos </w:t>
      </w:r>
      <w:r w:rsidR="4462B573">
        <w:t xml:space="preserve">no contabilizados </w:t>
      </w:r>
      <w:r w:rsidR="00BC41E9">
        <w:t>de alquiler de nave y recogida de voluminosos</w:t>
      </w:r>
      <w:r w:rsidR="1EE48E9E">
        <w:t>.</w:t>
      </w:r>
    </w:p>
    <w:p w14:paraId="0ABA5D5C" w14:textId="5298D8CB" w:rsidR="00553AD1" w:rsidRPr="00553AD1" w:rsidRDefault="00F13BA0" w:rsidP="00372D1B">
      <w:pPr>
        <w:pStyle w:val="texto"/>
        <w:tabs>
          <w:tab w:val="clear" w:pos="2835"/>
          <w:tab w:val="clear" w:pos="3969"/>
          <w:tab w:val="clear" w:pos="5103"/>
          <w:tab w:val="clear" w:pos="6237"/>
          <w:tab w:val="clear" w:pos="7371"/>
          <w:tab w:val="left" w:pos="284"/>
        </w:tabs>
        <w:ind w:firstLine="142"/>
        <w:rPr>
          <w:szCs w:val="26"/>
        </w:rPr>
      </w:pPr>
      <w:r>
        <w:rPr>
          <w:szCs w:val="26"/>
        </w:rPr>
        <w:t>-</w:t>
      </w:r>
      <w:r w:rsidR="00372D1B">
        <w:rPr>
          <w:szCs w:val="26"/>
        </w:rPr>
        <w:tab/>
      </w:r>
      <w:r w:rsidR="00553AD1" w:rsidRPr="00553AD1">
        <w:rPr>
          <w:szCs w:val="26"/>
        </w:rPr>
        <w:t xml:space="preserve">El </w:t>
      </w:r>
      <w:r w:rsidR="00553AD1" w:rsidRPr="00372D1B">
        <w:t>saldo</w:t>
      </w:r>
      <w:r w:rsidR="00553AD1" w:rsidRPr="00553AD1">
        <w:rPr>
          <w:szCs w:val="26"/>
        </w:rPr>
        <w:t xml:space="preserve"> de acreedores de ejercicios cerrados está sobrevalorado en 57.332 euros</w:t>
      </w:r>
      <w:r w:rsidR="00F7703C">
        <w:rPr>
          <w:szCs w:val="26"/>
        </w:rPr>
        <w:t xml:space="preserve"> dado que recoge gastos contabilizados por </w:t>
      </w:r>
      <w:r w:rsidR="00F7703C" w:rsidRPr="00FF7D08">
        <w:rPr>
          <w:szCs w:val="26"/>
        </w:rPr>
        <w:t>duplicado o no justificados</w:t>
      </w:r>
      <w:r w:rsidR="00F7703C">
        <w:rPr>
          <w:szCs w:val="26"/>
        </w:rPr>
        <w:t>.</w:t>
      </w:r>
    </w:p>
    <w:p w14:paraId="208D6A1C" w14:textId="20332BC2" w:rsidR="00553AD1" w:rsidRDefault="00F13BA0" w:rsidP="00372D1B">
      <w:pPr>
        <w:pStyle w:val="texto"/>
        <w:tabs>
          <w:tab w:val="clear" w:pos="2835"/>
          <w:tab w:val="clear" w:pos="3969"/>
          <w:tab w:val="clear" w:pos="5103"/>
          <w:tab w:val="clear" w:pos="6237"/>
          <w:tab w:val="clear" w:pos="7371"/>
          <w:tab w:val="left" w:pos="284"/>
        </w:tabs>
        <w:ind w:firstLine="142"/>
        <w:rPr>
          <w:szCs w:val="26"/>
        </w:rPr>
      </w:pPr>
      <w:r>
        <w:rPr>
          <w:szCs w:val="26"/>
        </w:rPr>
        <w:lastRenderedPageBreak/>
        <w:t>-</w:t>
      </w:r>
      <w:r w:rsidR="00372D1B">
        <w:rPr>
          <w:szCs w:val="26"/>
        </w:rPr>
        <w:tab/>
      </w:r>
      <w:r w:rsidR="00553AD1" w:rsidRPr="00553AD1">
        <w:rPr>
          <w:szCs w:val="26"/>
        </w:rPr>
        <w:t xml:space="preserve">El </w:t>
      </w:r>
      <w:r w:rsidR="00553AD1" w:rsidRPr="00372D1B">
        <w:t>saldo</w:t>
      </w:r>
      <w:r w:rsidR="00553AD1" w:rsidRPr="00553AD1">
        <w:rPr>
          <w:szCs w:val="26"/>
        </w:rPr>
        <w:t xml:space="preserve"> de acreedores no presupuestarios está infravalorado en </w:t>
      </w:r>
      <w:r w:rsidR="0084624E">
        <w:rPr>
          <w:szCs w:val="26"/>
        </w:rPr>
        <w:t>180.508</w:t>
      </w:r>
      <w:r w:rsidR="00553AD1" w:rsidRPr="00553AD1">
        <w:rPr>
          <w:szCs w:val="26"/>
        </w:rPr>
        <w:t xml:space="preserve"> euros </w:t>
      </w:r>
      <w:r w:rsidR="0084624E">
        <w:rPr>
          <w:szCs w:val="26"/>
        </w:rPr>
        <w:t xml:space="preserve">debido principalmente a que no se ha contabilizado </w:t>
      </w:r>
      <w:r w:rsidR="00553AD1" w:rsidRPr="00553AD1">
        <w:rPr>
          <w:szCs w:val="26"/>
        </w:rPr>
        <w:t xml:space="preserve">la deuda con el consorcio de Residuos por la tasa consorcial. </w:t>
      </w:r>
    </w:p>
    <w:p w14:paraId="2A752B8D" w14:textId="1A95F2B9" w:rsidR="00FF7D08" w:rsidRDefault="00FF7D08" w:rsidP="00372D1B">
      <w:pPr>
        <w:pStyle w:val="texto"/>
        <w:tabs>
          <w:tab w:val="clear" w:pos="2835"/>
          <w:tab w:val="clear" w:pos="3969"/>
          <w:tab w:val="clear" w:pos="5103"/>
          <w:tab w:val="clear" w:pos="6237"/>
          <w:tab w:val="clear" w:pos="7371"/>
          <w:tab w:val="left" w:pos="284"/>
        </w:tabs>
        <w:ind w:firstLine="142"/>
      </w:pPr>
      <w:r>
        <w:t>-</w:t>
      </w:r>
      <w:r w:rsidR="00372D1B">
        <w:tab/>
      </w:r>
      <w:r>
        <w:t>La desviación de financiación negativa de 14.515 euros imputada como ajuste al resultado presupuestario y la desviación de financi</w:t>
      </w:r>
      <w:r w:rsidR="00F8138F">
        <w:t>ación acumulada negativa de 71.003 euros</w:t>
      </w:r>
      <w:r w:rsidR="00751E9E">
        <w:t>,</w:t>
      </w:r>
      <w:r w:rsidR="00F8138F">
        <w:t xml:space="preserve"> </w:t>
      </w:r>
      <w:r w:rsidR="00126C11">
        <w:t>incluida en e</w:t>
      </w:r>
      <w:r w:rsidR="00F8138F">
        <w:t>l remanente de tesorería son incorrectas</w:t>
      </w:r>
      <w:r w:rsidR="004014F5">
        <w:t xml:space="preserve"> porque los gastos considerados no tienen financiación afecta</w:t>
      </w:r>
      <w:r w:rsidR="00F8138F">
        <w:t>.</w:t>
      </w:r>
    </w:p>
    <w:p w14:paraId="580A889F" w14:textId="40BB2AE0" w:rsidR="007A64DF" w:rsidRPr="0029381A" w:rsidRDefault="007A64DF" w:rsidP="00F13BA0">
      <w:pPr>
        <w:pStyle w:val="texto"/>
        <w:tabs>
          <w:tab w:val="left" w:pos="142"/>
        </w:tabs>
      </w:pPr>
      <w:r>
        <w:t xml:space="preserve">Una vez </w:t>
      </w:r>
      <w:r w:rsidR="009805C4">
        <w:t>corregidos los saldos indicados</w:t>
      </w:r>
      <w:r>
        <w:t xml:space="preserve"> en los párrafos anteriores</w:t>
      </w:r>
      <w:r w:rsidR="00CB4D74">
        <w:t>,</w:t>
      </w:r>
      <w:r>
        <w:t xml:space="preserve"> el Remanente de Tesorería a 31 de diciembre de 2023 ascendería a -</w:t>
      </w:r>
      <w:r w:rsidR="0029381A">
        <w:t xml:space="preserve">279.225 </w:t>
      </w:r>
      <w:r>
        <w:t xml:space="preserve">euros, </w:t>
      </w:r>
      <w:r w:rsidR="0029381A">
        <w:t>344.781</w:t>
      </w:r>
      <w:r>
        <w:t xml:space="preserve"> euros menos que el contabilizado.</w:t>
      </w:r>
    </w:p>
    <w:p w14:paraId="123DAC47" w14:textId="58FA44E7" w:rsidR="0002D318" w:rsidRDefault="0002D318" w:rsidP="00372D1B">
      <w:pPr>
        <w:pStyle w:val="texto"/>
        <w:numPr>
          <w:ilvl w:val="0"/>
          <w:numId w:val="18"/>
        </w:numPr>
        <w:tabs>
          <w:tab w:val="num" w:pos="567"/>
          <w:tab w:val="num" w:pos="2770"/>
        </w:tabs>
        <w:ind w:left="0" w:firstLine="290"/>
        <w:rPr>
          <w:szCs w:val="26"/>
          <w:lang w:val="es-ES"/>
        </w:rPr>
      </w:pPr>
      <w:r w:rsidRPr="2C569507">
        <w:rPr>
          <w:szCs w:val="26"/>
          <w:lang w:val="es-ES"/>
        </w:rPr>
        <w:t xml:space="preserve">Deficiente control interno dado que no existe el control necesario para prevenir, detectar y corregir </w:t>
      </w:r>
      <w:r w:rsidR="49959BA6" w:rsidRPr="2C569507">
        <w:rPr>
          <w:szCs w:val="26"/>
          <w:lang w:val="es-ES"/>
        </w:rPr>
        <w:t>incorrecciones</w:t>
      </w:r>
      <w:r w:rsidRPr="2C569507">
        <w:rPr>
          <w:szCs w:val="26"/>
          <w:lang w:val="es-ES"/>
        </w:rPr>
        <w:t xml:space="preserve"> en los estados financieros.</w:t>
      </w:r>
    </w:p>
    <w:p w14:paraId="26348A0A" w14:textId="22B3BBA4" w:rsidR="00F13BA0" w:rsidRPr="005625D7" w:rsidRDefault="09A73BFB" w:rsidP="00372D1B">
      <w:pPr>
        <w:pStyle w:val="texto"/>
        <w:numPr>
          <w:ilvl w:val="0"/>
          <w:numId w:val="18"/>
        </w:numPr>
        <w:tabs>
          <w:tab w:val="num" w:pos="567"/>
          <w:tab w:val="num" w:pos="2770"/>
        </w:tabs>
        <w:ind w:left="0" w:firstLine="290"/>
        <w:rPr>
          <w:szCs w:val="26"/>
          <w:lang w:val="es-ES"/>
        </w:rPr>
      </w:pPr>
      <w:r w:rsidRPr="005625D7">
        <w:rPr>
          <w:szCs w:val="26"/>
          <w:lang w:val="es-ES"/>
        </w:rPr>
        <w:t>Existen las siguientes d</w:t>
      </w:r>
      <w:r w:rsidR="00F13BA0" w:rsidRPr="005625D7">
        <w:rPr>
          <w:szCs w:val="26"/>
          <w:lang w:val="es-ES"/>
        </w:rPr>
        <w:t xml:space="preserve">eficiencias en la gestión de tesorería: </w:t>
      </w:r>
    </w:p>
    <w:p w14:paraId="48A057E1" w14:textId="042746AE" w:rsidR="00F13BA0" w:rsidRPr="00553AD1" w:rsidRDefault="00F13BA0" w:rsidP="00F13BA0">
      <w:pPr>
        <w:pStyle w:val="texto"/>
        <w:tabs>
          <w:tab w:val="left" w:pos="142"/>
        </w:tabs>
      </w:pPr>
      <w:r>
        <w:t>- La disposición de fondos en las entidades financieras se realiza de forma indistinta y en</w:t>
      </w:r>
      <w:r w:rsidR="00742976">
        <w:t xml:space="preserve"> dos de las tres cuentas corrientes</w:t>
      </w:r>
      <w:r>
        <w:t xml:space="preserve"> no </w:t>
      </w:r>
      <w:r w:rsidR="00742976">
        <w:t>consta</w:t>
      </w:r>
      <w:r>
        <w:t xml:space="preserve"> la presidenta de la </w:t>
      </w:r>
      <w:r w:rsidR="003C06D0">
        <w:t>Mancomunidad</w:t>
      </w:r>
      <w:r>
        <w:t xml:space="preserve"> como autorizada</w:t>
      </w:r>
      <w:r w:rsidR="00742976">
        <w:t xml:space="preserve"> para la disposición de saldos</w:t>
      </w:r>
      <w:r>
        <w:t xml:space="preserve">. </w:t>
      </w:r>
    </w:p>
    <w:p w14:paraId="4A58400F" w14:textId="28FF9A04" w:rsidR="00F13BA0" w:rsidRDefault="00F13BA0" w:rsidP="00372D1B">
      <w:pPr>
        <w:pStyle w:val="texto"/>
        <w:tabs>
          <w:tab w:val="left" w:pos="142"/>
        </w:tabs>
      </w:pPr>
      <w:r w:rsidRPr="2C569507">
        <w:rPr>
          <w:lang w:val="es-ES"/>
        </w:rPr>
        <w:t xml:space="preserve">- </w:t>
      </w:r>
      <w:r w:rsidR="00372D1B">
        <w:rPr>
          <w:lang w:val="es-ES"/>
        </w:rPr>
        <w:tab/>
      </w:r>
      <w:r w:rsidRPr="2C569507">
        <w:rPr>
          <w:lang w:val="es-ES"/>
        </w:rPr>
        <w:t xml:space="preserve">La </w:t>
      </w:r>
      <w:r w:rsidRPr="00372D1B">
        <w:t>gestión</w:t>
      </w:r>
      <w:r w:rsidRPr="2C569507">
        <w:rPr>
          <w:lang w:val="es-ES"/>
        </w:rPr>
        <w:t xml:space="preserve"> de los pagos no responde a </w:t>
      </w:r>
      <w:r w:rsidR="32A5EE9D" w:rsidRPr="2C569507">
        <w:rPr>
          <w:lang w:val="es-ES"/>
        </w:rPr>
        <w:t>una previsión</w:t>
      </w:r>
      <w:r w:rsidR="2F7B39C4" w:rsidRPr="2C569507">
        <w:rPr>
          <w:lang w:val="es-ES"/>
        </w:rPr>
        <w:t xml:space="preserve"> </w:t>
      </w:r>
      <w:r w:rsidRPr="2C569507">
        <w:rPr>
          <w:lang w:val="es-ES"/>
        </w:rPr>
        <w:t xml:space="preserve">acomodada a las disponibilidades de fondos de tesorería y no se han establecido criterios para la realización y priorización de los pagos. </w:t>
      </w:r>
    </w:p>
    <w:p w14:paraId="369E59D0" w14:textId="7691F600" w:rsidR="00F13BA0" w:rsidRDefault="00F13BA0" w:rsidP="00372D1B">
      <w:pPr>
        <w:pStyle w:val="texto"/>
        <w:tabs>
          <w:tab w:val="left" w:pos="426"/>
        </w:tabs>
      </w:pPr>
      <w:r w:rsidRPr="2C569507">
        <w:rPr>
          <w:lang w:val="es-ES"/>
        </w:rPr>
        <w:t>-</w:t>
      </w:r>
      <w:r w:rsidR="00372D1B">
        <w:rPr>
          <w:lang w:val="es-ES"/>
        </w:rPr>
        <w:tab/>
      </w:r>
      <w:r w:rsidRPr="00372D1B">
        <w:t>Para</w:t>
      </w:r>
      <w:r w:rsidRPr="2C569507">
        <w:rPr>
          <w:lang w:val="es-ES"/>
        </w:rPr>
        <w:t xml:space="preserve"> </w:t>
      </w:r>
      <w:r w:rsidRPr="00372D1B">
        <w:t>aliviar</w:t>
      </w:r>
      <w:r w:rsidRPr="2C569507">
        <w:rPr>
          <w:lang w:val="es-ES"/>
        </w:rPr>
        <w:t xml:space="preserve"> las tensiones de tesorería se concert</w:t>
      </w:r>
      <w:r w:rsidR="70A54CD7" w:rsidRPr="2C569507">
        <w:rPr>
          <w:lang w:val="es-ES"/>
        </w:rPr>
        <w:t>ó en marzo</w:t>
      </w:r>
      <w:r w:rsidRPr="2C569507">
        <w:rPr>
          <w:lang w:val="es-ES"/>
        </w:rPr>
        <w:t xml:space="preserve"> de 2023 </w:t>
      </w:r>
      <w:r w:rsidR="47955B3D">
        <w:t xml:space="preserve">un préstamo de tesorería </w:t>
      </w:r>
      <w:r w:rsidR="00EE56F7" w:rsidRPr="2C569507">
        <w:rPr>
          <w:lang w:val="es-ES"/>
        </w:rPr>
        <w:t>por</w:t>
      </w:r>
      <w:r w:rsidRPr="2C569507">
        <w:rPr>
          <w:lang w:val="es-ES"/>
        </w:rPr>
        <w:t xml:space="preserve"> 35.000 euros, </w:t>
      </w:r>
      <w:r w:rsidR="14042086" w:rsidRPr="2C569507">
        <w:rPr>
          <w:lang w:val="es-ES"/>
        </w:rPr>
        <w:t>cuando podrían</w:t>
      </w:r>
      <w:r w:rsidRPr="2C569507">
        <w:rPr>
          <w:lang w:val="es-ES"/>
        </w:rPr>
        <w:t xml:space="preserve"> haber solicitado a la Hacienda Foral, en enero de dicho año, la devolución de 14.095 euros de IVA.</w:t>
      </w:r>
    </w:p>
    <w:p w14:paraId="3C13821E" w14:textId="202326D5" w:rsidR="63633CA5" w:rsidRDefault="63633CA5" w:rsidP="00372D1B">
      <w:pPr>
        <w:pStyle w:val="texto"/>
        <w:numPr>
          <w:ilvl w:val="0"/>
          <w:numId w:val="18"/>
        </w:numPr>
        <w:tabs>
          <w:tab w:val="num" w:pos="567"/>
          <w:tab w:val="num" w:pos="2770"/>
        </w:tabs>
        <w:ind w:left="0" w:firstLine="290"/>
        <w:rPr>
          <w:szCs w:val="26"/>
        </w:rPr>
      </w:pPr>
      <w:r w:rsidRPr="2C569507">
        <w:rPr>
          <w:szCs w:val="26"/>
        </w:rPr>
        <w:t xml:space="preserve">No </w:t>
      </w:r>
      <w:r w:rsidRPr="00372D1B">
        <w:t>consta</w:t>
      </w:r>
      <w:r w:rsidRPr="2C569507">
        <w:rPr>
          <w:szCs w:val="26"/>
        </w:rPr>
        <w:t xml:space="preserve"> un inventario que respalde el saldo de 3,03 millones registrado en el epígrafe de infraestructuras y bienes destinados al uso general, en el que se contabilizan todas las inversiones sin distinguir los distintos elementos de inmovilizado material.</w:t>
      </w:r>
    </w:p>
    <w:p w14:paraId="1F2E6C01" w14:textId="4E27A461" w:rsidR="22DE07A6" w:rsidRDefault="22DE07A6" w:rsidP="22DE07A6">
      <w:pPr>
        <w:pStyle w:val="texto"/>
        <w:tabs>
          <w:tab w:val="left" w:pos="142"/>
        </w:tabs>
      </w:pPr>
    </w:p>
    <w:p w14:paraId="059546B2" w14:textId="77777777" w:rsidR="00214D08" w:rsidRDefault="00214D08">
      <w:pPr>
        <w:spacing w:after="0"/>
        <w:ind w:firstLine="0"/>
        <w:jc w:val="left"/>
        <w:rPr>
          <w:rFonts w:ascii="Arial" w:hAnsi="Arial"/>
          <w:bCs/>
          <w:iCs/>
          <w:spacing w:val="10"/>
          <w:kern w:val="28"/>
          <w:sz w:val="25"/>
          <w:szCs w:val="26"/>
        </w:rPr>
      </w:pPr>
      <w:bookmarkStart w:id="62" w:name="_Toc118266014"/>
      <w:bookmarkStart w:id="63" w:name="_Toc129330305"/>
      <w:r>
        <w:br w:type="page"/>
      </w:r>
    </w:p>
    <w:p w14:paraId="23B61DEF" w14:textId="6D6DE479" w:rsidR="00CC7E64" w:rsidRPr="006A2520" w:rsidRDefault="00CC7E64" w:rsidP="00CC7E64">
      <w:pPr>
        <w:pStyle w:val="atitulo2"/>
        <w:rPr>
          <w:color w:val="auto"/>
        </w:rPr>
      </w:pPr>
      <w:bookmarkStart w:id="64" w:name="_Toc182397294"/>
      <w:r w:rsidRPr="006A2520">
        <w:rPr>
          <w:color w:val="auto"/>
        </w:rPr>
        <w:lastRenderedPageBreak/>
        <w:t>IV.</w:t>
      </w:r>
      <w:r>
        <w:rPr>
          <w:color w:val="auto"/>
        </w:rPr>
        <w:t>2</w:t>
      </w:r>
      <w:r w:rsidRPr="006A2520">
        <w:rPr>
          <w:color w:val="auto"/>
        </w:rPr>
        <w:t xml:space="preserve"> </w:t>
      </w:r>
      <w:r w:rsidRPr="00E206FD">
        <w:rPr>
          <w:color w:val="auto"/>
        </w:rPr>
        <w:t xml:space="preserve">Fundamento de la opinión de </w:t>
      </w:r>
      <w:r w:rsidR="00AE03D9">
        <w:rPr>
          <w:color w:val="auto"/>
        </w:rPr>
        <w:t>legalidad</w:t>
      </w:r>
      <w:r w:rsidR="00E206FD" w:rsidRPr="00B74043">
        <w:rPr>
          <w:color w:val="auto"/>
        </w:rPr>
        <w:t xml:space="preserve"> </w:t>
      </w:r>
      <w:r w:rsidR="00BC28A1">
        <w:rPr>
          <w:color w:val="auto"/>
        </w:rPr>
        <w:t>desfavorable</w:t>
      </w:r>
      <w:bookmarkEnd w:id="64"/>
    </w:p>
    <w:p w14:paraId="61A85540" w14:textId="47CDAE25" w:rsidR="00B035EE" w:rsidRDefault="00B035EE" w:rsidP="5439CC65">
      <w:pPr>
        <w:pStyle w:val="texto"/>
        <w:tabs>
          <w:tab w:val="left" w:pos="142"/>
        </w:tabs>
      </w:pPr>
      <w:r>
        <w:t>Constituyen salvedades a nuestra opinión de legalidad las siguientes cuestiones:</w:t>
      </w:r>
    </w:p>
    <w:p w14:paraId="4C2CA582" w14:textId="64D2F619" w:rsidR="00504E68" w:rsidRPr="008C2FD4" w:rsidRDefault="002A79ED" w:rsidP="00C6720F">
      <w:pPr>
        <w:pStyle w:val="texto"/>
        <w:numPr>
          <w:ilvl w:val="0"/>
          <w:numId w:val="18"/>
        </w:numPr>
        <w:tabs>
          <w:tab w:val="num" w:pos="567"/>
          <w:tab w:val="num" w:pos="2770"/>
        </w:tabs>
        <w:spacing w:after="240"/>
        <w:ind w:left="0" w:firstLine="289"/>
        <w:rPr>
          <w:szCs w:val="26"/>
        </w:rPr>
      </w:pPr>
      <w:r w:rsidRPr="008C2FD4">
        <w:rPr>
          <w:szCs w:val="26"/>
        </w:rPr>
        <w:t>Se han tramitado como contratos de menor</w:t>
      </w:r>
      <w:r w:rsidR="00B74043" w:rsidRPr="008C2FD4">
        <w:rPr>
          <w:szCs w:val="26"/>
        </w:rPr>
        <w:t xml:space="preserve"> cuantía</w:t>
      </w:r>
      <w:r w:rsidRPr="008C2FD4">
        <w:rPr>
          <w:szCs w:val="26"/>
        </w:rPr>
        <w:t xml:space="preserve"> </w:t>
      </w:r>
      <w:r w:rsidR="00F8138F" w:rsidRPr="008C2FD4">
        <w:rPr>
          <w:szCs w:val="26"/>
        </w:rPr>
        <w:t>con un mismo proveedor</w:t>
      </w:r>
      <w:r w:rsidR="008C2FD4" w:rsidRPr="008C2FD4">
        <w:rPr>
          <w:szCs w:val="26"/>
        </w:rPr>
        <w:t xml:space="preserve"> servicios de prestación sucesiva</w:t>
      </w:r>
      <w:r w:rsidR="0394EB12" w:rsidRPr="008C2FD4">
        <w:rPr>
          <w:szCs w:val="26"/>
        </w:rPr>
        <w:t xml:space="preserve"> y suministros recurrentes</w:t>
      </w:r>
      <w:r w:rsidR="008C2FD4" w:rsidRPr="008C2FD4">
        <w:rPr>
          <w:szCs w:val="26"/>
        </w:rPr>
        <w:t>, cuyo valor estimado supera el importe máximo permitido para su tramitación mediante el régimen especial para contratos de menor cuantía. Corresponden a</w:t>
      </w:r>
      <w:r w:rsidR="00F8138F" w:rsidRPr="008C2FD4">
        <w:rPr>
          <w:szCs w:val="26"/>
        </w:rPr>
        <w:t xml:space="preserve"> </w:t>
      </w:r>
      <w:r w:rsidR="00504E68" w:rsidRPr="008C2FD4">
        <w:rPr>
          <w:szCs w:val="26"/>
        </w:rPr>
        <w:t>los siguientes servicios</w:t>
      </w:r>
      <w:r w:rsidR="00214D08">
        <w:rPr>
          <w:szCs w:val="26"/>
        </w:rPr>
        <w:t xml:space="preserve"> y suministros</w:t>
      </w:r>
      <w:r w:rsidR="008C2FD4" w:rsidRPr="008C2FD4">
        <w:rPr>
          <w:szCs w:val="26"/>
        </w:rPr>
        <w:t>:</w:t>
      </w:r>
    </w:p>
    <w:tbl>
      <w:tblPr>
        <w:tblW w:w="8789" w:type="dxa"/>
        <w:tblCellMar>
          <w:left w:w="70" w:type="dxa"/>
          <w:right w:w="70" w:type="dxa"/>
        </w:tblCellMar>
        <w:tblLook w:val="04A0" w:firstRow="1" w:lastRow="0" w:firstColumn="1" w:lastColumn="0" w:noHBand="0" w:noVBand="1"/>
      </w:tblPr>
      <w:tblGrid>
        <w:gridCol w:w="4395"/>
        <w:gridCol w:w="850"/>
        <w:gridCol w:w="850"/>
        <w:gridCol w:w="851"/>
        <w:gridCol w:w="850"/>
        <w:gridCol w:w="993"/>
      </w:tblGrid>
      <w:tr w:rsidR="00A83365" w:rsidRPr="000A296C" w14:paraId="3B6FCF4D" w14:textId="1F855276" w:rsidTr="00A83365">
        <w:trPr>
          <w:trHeight w:val="255"/>
        </w:trPr>
        <w:tc>
          <w:tcPr>
            <w:tcW w:w="4395" w:type="dxa"/>
            <w:tcBorders>
              <w:top w:val="single" w:sz="4" w:space="0" w:color="auto"/>
              <w:left w:val="nil"/>
              <w:bottom w:val="single" w:sz="4" w:space="0" w:color="auto"/>
              <w:right w:val="nil"/>
            </w:tcBorders>
            <w:shd w:val="clear" w:color="auto" w:fill="F4B083" w:themeFill="accent2" w:themeFillTint="99"/>
            <w:vAlign w:val="center"/>
            <w:hideMark/>
          </w:tcPr>
          <w:p w14:paraId="22E2C7BF" w14:textId="77777777" w:rsidR="00A83365" w:rsidRPr="000A296C" w:rsidRDefault="00A83365" w:rsidP="000F119D">
            <w:pPr>
              <w:spacing w:after="0"/>
              <w:ind w:firstLine="0"/>
              <w:rPr>
                <w:rFonts w:ascii="Arial" w:hAnsi="Arial" w:cs="Arial"/>
                <w:color w:val="000000"/>
                <w:sz w:val="18"/>
                <w:szCs w:val="18"/>
                <w:lang w:val="es-ES" w:eastAsia="es-ES"/>
              </w:rPr>
            </w:pPr>
            <w:r w:rsidRPr="5439CC65">
              <w:rPr>
                <w:rFonts w:ascii="Arial" w:hAnsi="Arial" w:cs="Arial"/>
                <w:color w:val="000000" w:themeColor="text1"/>
                <w:sz w:val="18"/>
                <w:szCs w:val="18"/>
                <w:lang w:val="es-ES" w:eastAsia="es-ES"/>
              </w:rPr>
              <w:t>Concepto</w:t>
            </w:r>
          </w:p>
        </w:tc>
        <w:tc>
          <w:tcPr>
            <w:tcW w:w="850" w:type="dxa"/>
            <w:tcBorders>
              <w:top w:val="single" w:sz="4" w:space="0" w:color="auto"/>
              <w:left w:val="nil"/>
              <w:bottom w:val="single" w:sz="4" w:space="0" w:color="auto"/>
              <w:right w:val="nil"/>
            </w:tcBorders>
            <w:shd w:val="clear" w:color="auto" w:fill="F4B083" w:themeFill="accent2" w:themeFillTint="99"/>
          </w:tcPr>
          <w:p w14:paraId="509CCB61" w14:textId="77777777" w:rsidR="00A83365" w:rsidRDefault="00A83365" w:rsidP="000F119D">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ORN</w:t>
            </w:r>
          </w:p>
          <w:p w14:paraId="6F60F735" w14:textId="24FB1D39" w:rsidR="00A83365" w:rsidRPr="000A296C" w:rsidRDefault="00A83365" w:rsidP="000F119D">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 2020</w:t>
            </w:r>
          </w:p>
        </w:tc>
        <w:tc>
          <w:tcPr>
            <w:tcW w:w="850" w:type="dxa"/>
            <w:tcBorders>
              <w:top w:val="single" w:sz="4" w:space="0" w:color="auto"/>
              <w:left w:val="nil"/>
              <w:bottom w:val="single" w:sz="4" w:space="0" w:color="auto"/>
              <w:right w:val="nil"/>
            </w:tcBorders>
            <w:shd w:val="clear" w:color="auto" w:fill="F4B083" w:themeFill="accent2" w:themeFillTint="99"/>
          </w:tcPr>
          <w:p w14:paraId="53CB162A" w14:textId="77777777" w:rsidR="00A83365" w:rsidRDefault="00A83365" w:rsidP="000F119D">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ORN </w:t>
            </w:r>
          </w:p>
          <w:p w14:paraId="3F172669" w14:textId="5F1F6DFB" w:rsidR="00A83365" w:rsidRPr="000A296C" w:rsidRDefault="00A83365" w:rsidP="000F119D">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2021</w:t>
            </w:r>
          </w:p>
        </w:tc>
        <w:tc>
          <w:tcPr>
            <w:tcW w:w="851" w:type="dxa"/>
            <w:tcBorders>
              <w:top w:val="single" w:sz="4" w:space="0" w:color="auto"/>
              <w:left w:val="nil"/>
              <w:bottom w:val="single" w:sz="4" w:space="0" w:color="auto"/>
              <w:right w:val="nil"/>
            </w:tcBorders>
            <w:shd w:val="clear" w:color="auto" w:fill="F4B083" w:themeFill="accent2" w:themeFillTint="99"/>
            <w:noWrap/>
            <w:vAlign w:val="center"/>
            <w:hideMark/>
          </w:tcPr>
          <w:p w14:paraId="17B7D6E8" w14:textId="77777777" w:rsidR="00A83365" w:rsidRDefault="00A83365" w:rsidP="000F119D">
            <w:pPr>
              <w:spacing w:after="0"/>
              <w:ind w:firstLine="0"/>
              <w:jc w:val="right"/>
              <w:rPr>
                <w:rFonts w:ascii="Arial" w:hAnsi="Arial" w:cs="Arial"/>
                <w:color w:val="000000"/>
                <w:sz w:val="18"/>
                <w:szCs w:val="18"/>
                <w:lang w:val="es-ES" w:eastAsia="es-ES"/>
              </w:rPr>
            </w:pPr>
            <w:r w:rsidRPr="000A296C">
              <w:rPr>
                <w:rFonts w:ascii="Arial" w:hAnsi="Arial" w:cs="Arial"/>
                <w:color w:val="000000"/>
                <w:sz w:val="18"/>
                <w:szCs w:val="18"/>
                <w:lang w:val="es-ES" w:eastAsia="es-ES"/>
              </w:rPr>
              <w:t xml:space="preserve">ORN </w:t>
            </w:r>
          </w:p>
          <w:p w14:paraId="7115A19C" w14:textId="62314884" w:rsidR="00A83365" w:rsidRPr="000A296C" w:rsidRDefault="00A83365" w:rsidP="000F119D">
            <w:pPr>
              <w:spacing w:after="0"/>
              <w:ind w:firstLine="0"/>
              <w:jc w:val="right"/>
              <w:rPr>
                <w:rFonts w:ascii="Arial" w:hAnsi="Arial" w:cs="Arial"/>
                <w:color w:val="000000"/>
                <w:sz w:val="18"/>
                <w:szCs w:val="18"/>
                <w:lang w:val="es-ES" w:eastAsia="es-ES"/>
              </w:rPr>
            </w:pPr>
            <w:r w:rsidRPr="000A296C">
              <w:rPr>
                <w:rFonts w:ascii="Arial" w:hAnsi="Arial" w:cs="Arial"/>
                <w:color w:val="000000"/>
                <w:sz w:val="18"/>
                <w:szCs w:val="18"/>
                <w:lang w:val="es-ES" w:eastAsia="es-ES"/>
              </w:rPr>
              <w:t>2022</w:t>
            </w:r>
          </w:p>
        </w:tc>
        <w:tc>
          <w:tcPr>
            <w:tcW w:w="850" w:type="dxa"/>
            <w:tcBorders>
              <w:top w:val="single" w:sz="4" w:space="0" w:color="auto"/>
              <w:left w:val="nil"/>
              <w:bottom w:val="single" w:sz="4" w:space="0" w:color="auto"/>
              <w:right w:val="nil"/>
            </w:tcBorders>
            <w:shd w:val="clear" w:color="auto" w:fill="F4B083" w:themeFill="accent2" w:themeFillTint="99"/>
            <w:noWrap/>
            <w:vAlign w:val="center"/>
            <w:hideMark/>
          </w:tcPr>
          <w:p w14:paraId="4BC387E0" w14:textId="77777777" w:rsidR="00A83365" w:rsidRDefault="00A83365" w:rsidP="000F119D">
            <w:pPr>
              <w:spacing w:after="0"/>
              <w:ind w:firstLine="0"/>
              <w:jc w:val="right"/>
              <w:rPr>
                <w:rFonts w:ascii="Arial" w:hAnsi="Arial" w:cs="Arial"/>
                <w:color w:val="000000"/>
                <w:sz w:val="18"/>
                <w:szCs w:val="18"/>
                <w:lang w:val="es-ES" w:eastAsia="es-ES"/>
              </w:rPr>
            </w:pPr>
            <w:r w:rsidRPr="000A296C">
              <w:rPr>
                <w:rFonts w:ascii="Arial" w:hAnsi="Arial" w:cs="Arial"/>
                <w:color w:val="000000"/>
                <w:sz w:val="18"/>
                <w:szCs w:val="18"/>
                <w:lang w:val="es-ES" w:eastAsia="es-ES"/>
              </w:rPr>
              <w:t xml:space="preserve">ORN </w:t>
            </w:r>
          </w:p>
          <w:p w14:paraId="65E5C97E" w14:textId="13B61801" w:rsidR="00A83365" w:rsidRPr="000A296C" w:rsidRDefault="00A83365" w:rsidP="000F119D">
            <w:pPr>
              <w:spacing w:after="0"/>
              <w:ind w:firstLine="0"/>
              <w:jc w:val="right"/>
              <w:rPr>
                <w:rFonts w:ascii="Arial" w:hAnsi="Arial" w:cs="Arial"/>
                <w:color w:val="000000"/>
                <w:sz w:val="18"/>
                <w:szCs w:val="18"/>
                <w:lang w:val="es-ES" w:eastAsia="es-ES"/>
              </w:rPr>
            </w:pPr>
            <w:r w:rsidRPr="000A296C">
              <w:rPr>
                <w:rFonts w:ascii="Arial" w:hAnsi="Arial" w:cs="Arial"/>
                <w:color w:val="000000"/>
                <w:sz w:val="18"/>
                <w:szCs w:val="18"/>
                <w:lang w:val="es-ES" w:eastAsia="es-ES"/>
              </w:rPr>
              <w:t>2023</w:t>
            </w:r>
          </w:p>
        </w:tc>
        <w:tc>
          <w:tcPr>
            <w:tcW w:w="993" w:type="dxa"/>
            <w:tcBorders>
              <w:top w:val="single" w:sz="4" w:space="0" w:color="auto"/>
              <w:left w:val="nil"/>
              <w:bottom w:val="single" w:sz="4" w:space="0" w:color="auto"/>
              <w:right w:val="nil"/>
            </w:tcBorders>
            <w:shd w:val="clear" w:color="auto" w:fill="F4B083" w:themeFill="accent2" w:themeFillTint="99"/>
          </w:tcPr>
          <w:p w14:paraId="58B943DF" w14:textId="6FBC18F7" w:rsidR="00A83365" w:rsidRPr="000A296C" w:rsidRDefault="00A83365" w:rsidP="000F119D">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Total gasto</w:t>
            </w:r>
          </w:p>
        </w:tc>
      </w:tr>
      <w:tr w:rsidR="00A83365" w:rsidRPr="00181513" w14:paraId="401B4C8D" w14:textId="566D9508" w:rsidTr="00A83365">
        <w:trPr>
          <w:trHeight w:val="198"/>
        </w:trPr>
        <w:tc>
          <w:tcPr>
            <w:tcW w:w="4395" w:type="dxa"/>
            <w:tcBorders>
              <w:top w:val="single" w:sz="4" w:space="0" w:color="auto"/>
              <w:left w:val="nil"/>
              <w:bottom w:val="single" w:sz="2" w:space="0" w:color="auto"/>
              <w:right w:val="nil"/>
            </w:tcBorders>
            <w:shd w:val="clear" w:color="auto" w:fill="auto"/>
            <w:vAlign w:val="center"/>
          </w:tcPr>
          <w:p w14:paraId="0A1579C0" w14:textId="7484612E" w:rsidR="00A83365" w:rsidRDefault="00A83365" w:rsidP="000F119D">
            <w:pPr>
              <w:spacing w:after="0"/>
              <w:ind w:firstLine="0"/>
              <w:rPr>
                <w:rFonts w:ascii="Arial Narrow" w:hAnsi="Arial Narrow" w:cs="Calibri"/>
                <w:lang w:val="es-ES" w:eastAsia="es-ES"/>
              </w:rPr>
            </w:pPr>
            <w:r>
              <w:rPr>
                <w:rFonts w:ascii="Arial Narrow" w:hAnsi="Arial Narrow" w:cs="Calibri"/>
                <w:lang w:val="es-ES" w:eastAsia="es-ES"/>
              </w:rPr>
              <w:t>Carburante</w:t>
            </w:r>
          </w:p>
        </w:tc>
        <w:tc>
          <w:tcPr>
            <w:tcW w:w="850" w:type="dxa"/>
            <w:tcBorders>
              <w:top w:val="single" w:sz="4" w:space="0" w:color="auto"/>
              <w:left w:val="nil"/>
              <w:bottom w:val="single" w:sz="2" w:space="0" w:color="auto"/>
              <w:right w:val="nil"/>
            </w:tcBorders>
          </w:tcPr>
          <w:p w14:paraId="2F7B1FA7" w14:textId="12DF1C9D"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49.012</w:t>
            </w:r>
          </w:p>
        </w:tc>
        <w:tc>
          <w:tcPr>
            <w:tcW w:w="850" w:type="dxa"/>
            <w:tcBorders>
              <w:top w:val="single" w:sz="4" w:space="0" w:color="auto"/>
              <w:left w:val="nil"/>
              <w:bottom w:val="single" w:sz="2" w:space="0" w:color="auto"/>
              <w:right w:val="nil"/>
            </w:tcBorders>
          </w:tcPr>
          <w:p w14:paraId="217A2934" w14:textId="1B01A9F3"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53.032</w:t>
            </w:r>
          </w:p>
        </w:tc>
        <w:tc>
          <w:tcPr>
            <w:tcW w:w="851" w:type="dxa"/>
            <w:tcBorders>
              <w:top w:val="single" w:sz="4" w:space="0" w:color="auto"/>
              <w:left w:val="nil"/>
              <w:bottom w:val="single" w:sz="2" w:space="0" w:color="auto"/>
              <w:right w:val="nil"/>
            </w:tcBorders>
            <w:shd w:val="clear" w:color="auto" w:fill="auto"/>
            <w:noWrap/>
            <w:vAlign w:val="center"/>
          </w:tcPr>
          <w:p w14:paraId="668B7A11" w14:textId="32C98A30" w:rsidR="00A83365" w:rsidRPr="00826290"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66.306</w:t>
            </w:r>
          </w:p>
        </w:tc>
        <w:tc>
          <w:tcPr>
            <w:tcW w:w="850" w:type="dxa"/>
            <w:tcBorders>
              <w:top w:val="single" w:sz="4" w:space="0" w:color="auto"/>
              <w:left w:val="nil"/>
              <w:bottom w:val="single" w:sz="2" w:space="0" w:color="auto"/>
              <w:right w:val="nil"/>
            </w:tcBorders>
            <w:shd w:val="clear" w:color="auto" w:fill="auto"/>
            <w:noWrap/>
            <w:vAlign w:val="center"/>
          </w:tcPr>
          <w:p w14:paraId="0FD6D7A3" w14:textId="3435C23E" w:rsidR="00A83365" w:rsidRPr="00826290"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62.195</w:t>
            </w:r>
          </w:p>
        </w:tc>
        <w:tc>
          <w:tcPr>
            <w:tcW w:w="993" w:type="dxa"/>
            <w:tcBorders>
              <w:top w:val="single" w:sz="4" w:space="0" w:color="auto"/>
              <w:left w:val="nil"/>
              <w:bottom w:val="single" w:sz="2" w:space="0" w:color="auto"/>
              <w:right w:val="nil"/>
            </w:tcBorders>
          </w:tcPr>
          <w:p w14:paraId="44FB37A3" w14:textId="4D659062"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230.545</w:t>
            </w:r>
          </w:p>
        </w:tc>
      </w:tr>
      <w:tr w:rsidR="00A83365" w:rsidRPr="00181513" w14:paraId="4A549E32" w14:textId="749238FC" w:rsidTr="00A83365">
        <w:trPr>
          <w:trHeight w:val="198"/>
        </w:trPr>
        <w:tc>
          <w:tcPr>
            <w:tcW w:w="4395" w:type="dxa"/>
            <w:tcBorders>
              <w:top w:val="single" w:sz="2" w:space="0" w:color="auto"/>
              <w:left w:val="nil"/>
              <w:bottom w:val="single" w:sz="2" w:space="0" w:color="auto"/>
              <w:right w:val="nil"/>
            </w:tcBorders>
            <w:shd w:val="clear" w:color="auto" w:fill="auto"/>
            <w:vAlign w:val="center"/>
          </w:tcPr>
          <w:p w14:paraId="4B707F5C" w14:textId="77777777" w:rsidR="00A83365" w:rsidRPr="000A296C" w:rsidRDefault="00A83365" w:rsidP="000F119D">
            <w:pPr>
              <w:spacing w:after="0"/>
              <w:ind w:firstLine="0"/>
              <w:rPr>
                <w:rFonts w:ascii="Arial Narrow" w:hAnsi="Arial Narrow" w:cs="Calibri"/>
                <w:lang w:val="es-ES" w:eastAsia="es-ES"/>
              </w:rPr>
            </w:pPr>
            <w:r>
              <w:rPr>
                <w:rFonts w:ascii="Arial Narrow" w:hAnsi="Arial Narrow" w:cs="Calibri"/>
                <w:lang w:val="es-ES" w:eastAsia="es-ES"/>
              </w:rPr>
              <w:t xml:space="preserve">Recogida y transporte de contenedores </w:t>
            </w:r>
          </w:p>
        </w:tc>
        <w:tc>
          <w:tcPr>
            <w:tcW w:w="850" w:type="dxa"/>
            <w:tcBorders>
              <w:top w:val="single" w:sz="2" w:space="0" w:color="auto"/>
              <w:left w:val="nil"/>
              <w:bottom w:val="single" w:sz="2" w:space="0" w:color="auto"/>
              <w:right w:val="nil"/>
            </w:tcBorders>
          </w:tcPr>
          <w:p w14:paraId="605E91DA" w14:textId="19AA1650" w:rsidR="00A83365" w:rsidRPr="00826290"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9.694</w:t>
            </w:r>
          </w:p>
        </w:tc>
        <w:tc>
          <w:tcPr>
            <w:tcW w:w="850" w:type="dxa"/>
            <w:tcBorders>
              <w:top w:val="single" w:sz="2" w:space="0" w:color="auto"/>
              <w:left w:val="nil"/>
              <w:bottom w:val="single" w:sz="2" w:space="0" w:color="auto"/>
              <w:right w:val="nil"/>
            </w:tcBorders>
          </w:tcPr>
          <w:p w14:paraId="2E5D7BAB" w14:textId="730E8B48" w:rsidR="00A83365" w:rsidRPr="00826290"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27.256</w:t>
            </w:r>
          </w:p>
        </w:tc>
        <w:tc>
          <w:tcPr>
            <w:tcW w:w="851" w:type="dxa"/>
            <w:tcBorders>
              <w:top w:val="single" w:sz="2" w:space="0" w:color="auto"/>
              <w:left w:val="nil"/>
              <w:bottom w:val="single" w:sz="2" w:space="0" w:color="auto"/>
              <w:right w:val="nil"/>
            </w:tcBorders>
            <w:shd w:val="clear" w:color="auto" w:fill="auto"/>
            <w:noWrap/>
            <w:vAlign w:val="center"/>
          </w:tcPr>
          <w:p w14:paraId="35D2C3B7" w14:textId="76296D92" w:rsidR="00A83365" w:rsidRPr="00826290" w:rsidRDefault="00A83365" w:rsidP="000F119D">
            <w:pPr>
              <w:spacing w:after="0"/>
              <w:ind w:firstLine="0"/>
              <w:jc w:val="right"/>
              <w:rPr>
                <w:rFonts w:ascii="Arial Narrow" w:hAnsi="Arial Narrow" w:cs="Calibri"/>
                <w:lang w:val="es-ES" w:eastAsia="es-ES"/>
              </w:rPr>
            </w:pPr>
            <w:r w:rsidRPr="00826290">
              <w:rPr>
                <w:rFonts w:ascii="Arial Narrow" w:hAnsi="Arial Narrow" w:cs="Calibri"/>
                <w:lang w:val="es-ES" w:eastAsia="es-ES"/>
              </w:rPr>
              <w:t>25.787</w:t>
            </w:r>
          </w:p>
        </w:tc>
        <w:tc>
          <w:tcPr>
            <w:tcW w:w="850" w:type="dxa"/>
            <w:tcBorders>
              <w:top w:val="single" w:sz="2" w:space="0" w:color="auto"/>
              <w:left w:val="nil"/>
              <w:bottom w:val="single" w:sz="2" w:space="0" w:color="auto"/>
              <w:right w:val="nil"/>
            </w:tcBorders>
            <w:shd w:val="clear" w:color="auto" w:fill="auto"/>
            <w:noWrap/>
            <w:vAlign w:val="center"/>
          </w:tcPr>
          <w:p w14:paraId="71AB0E68" w14:textId="77777777" w:rsidR="00A83365" w:rsidRPr="00826290" w:rsidRDefault="00A83365" w:rsidP="000F119D">
            <w:pPr>
              <w:spacing w:after="0"/>
              <w:ind w:firstLine="0"/>
              <w:jc w:val="right"/>
              <w:rPr>
                <w:rFonts w:ascii="Arial Narrow" w:hAnsi="Arial Narrow" w:cs="Calibri"/>
                <w:lang w:val="es-ES" w:eastAsia="es-ES"/>
              </w:rPr>
            </w:pPr>
            <w:r w:rsidRPr="00826290">
              <w:rPr>
                <w:rFonts w:ascii="Arial Narrow" w:hAnsi="Arial Narrow" w:cs="Calibri"/>
                <w:lang w:val="es-ES" w:eastAsia="es-ES"/>
              </w:rPr>
              <w:t>27.734</w:t>
            </w:r>
          </w:p>
        </w:tc>
        <w:tc>
          <w:tcPr>
            <w:tcW w:w="993" w:type="dxa"/>
            <w:tcBorders>
              <w:top w:val="single" w:sz="2" w:space="0" w:color="auto"/>
              <w:left w:val="nil"/>
              <w:bottom w:val="single" w:sz="2" w:space="0" w:color="auto"/>
              <w:right w:val="nil"/>
            </w:tcBorders>
          </w:tcPr>
          <w:p w14:paraId="28A11468" w14:textId="6AFCE061" w:rsidR="00A83365" w:rsidRPr="00826290"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90.471</w:t>
            </w:r>
          </w:p>
        </w:tc>
      </w:tr>
      <w:tr w:rsidR="00A83365" w:rsidRPr="00AF299F" w14:paraId="0ED7266C" w14:textId="4698B32C" w:rsidTr="00A83365">
        <w:trPr>
          <w:trHeight w:val="198"/>
        </w:trPr>
        <w:tc>
          <w:tcPr>
            <w:tcW w:w="4395" w:type="dxa"/>
            <w:tcBorders>
              <w:top w:val="single" w:sz="2" w:space="0" w:color="auto"/>
              <w:left w:val="nil"/>
              <w:bottom w:val="single" w:sz="2" w:space="0" w:color="auto"/>
              <w:right w:val="nil"/>
            </w:tcBorders>
            <w:shd w:val="clear" w:color="auto" w:fill="auto"/>
            <w:vAlign w:val="center"/>
          </w:tcPr>
          <w:p w14:paraId="079D3CB5" w14:textId="26E4E306" w:rsidR="00A83365" w:rsidRPr="00AF299F" w:rsidRDefault="00A83365" w:rsidP="000F119D">
            <w:pPr>
              <w:spacing w:after="0"/>
              <w:ind w:firstLine="0"/>
              <w:rPr>
                <w:rFonts w:ascii="Arial Narrow" w:hAnsi="Arial Narrow" w:cs="Calibri"/>
                <w:lang w:val="es-ES" w:eastAsia="es-ES"/>
              </w:rPr>
            </w:pPr>
            <w:r>
              <w:rPr>
                <w:rFonts w:ascii="Arial Narrow" w:hAnsi="Arial Narrow" w:cs="Calibri"/>
                <w:lang w:val="es-ES" w:eastAsia="es-ES"/>
              </w:rPr>
              <w:t>Mantenimiento de vehículos</w:t>
            </w:r>
          </w:p>
        </w:tc>
        <w:tc>
          <w:tcPr>
            <w:tcW w:w="850" w:type="dxa"/>
            <w:tcBorders>
              <w:top w:val="single" w:sz="2" w:space="0" w:color="auto"/>
              <w:left w:val="nil"/>
              <w:bottom w:val="single" w:sz="2" w:space="0" w:color="auto"/>
              <w:right w:val="nil"/>
            </w:tcBorders>
          </w:tcPr>
          <w:p w14:paraId="380C502C" w14:textId="5C8BEBF3"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20.937</w:t>
            </w:r>
          </w:p>
        </w:tc>
        <w:tc>
          <w:tcPr>
            <w:tcW w:w="850" w:type="dxa"/>
            <w:tcBorders>
              <w:top w:val="single" w:sz="2" w:space="0" w:color="auto"/>
              <w:left w:val="nil"/>
              <w:bottom w:val="single" w:sz="2" w:space="0" w:color="auto"/>
              <w:right w:val="nil"/>
            </w:tcBorders>
          </w:tcPr>
          <w:p w14:paraId="4B6C7995" w14:textId="15F0724E"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28.361</w:t>
            </w:r>
          </w:p>
        </w:tc>
        <w:tc>
          <w:tcPr>
            <w:tcW w:w="851" w:type="dxa"/>
            <w:tcBorders>
              <w:top w:val="single" w:sz="2" w:space="0" w:color="auto"/>
              <w:left w:val="nil"/>
              <w:bottom w:val="single" w:sz="2" w:space="0" w:color="auto"/>
              <w:right w:val="nil"/>
            </w:tcBorders>
            <w:shd w:val="clear" w:color="auto" w:fill="auto"/>
            <w:noWrap/>
            <w:vAlign w:val="center"/>
          </w:tcPr>
          <w:p w14:paraId="1B811B8D" w14:textId="3FFE6971" w:rsidR="00A83365" w:rsidRPr="00AF299F"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17.900</w:t>
            </w:r>
          </w:p>
        </w:tc>
        <w:tc>
          <w:tcPr>
            <w:tcW w:w="850" w:type="dxa"/>
            <w:tcBorders>
              <w:top w:val="single" w:sz="2" w:space="0" w:color="auto"/>
              <w:left w:val="nil"/>
              <w:bottom w:val="single" w:sz="2" w:space="0" w:color="auto"/>
              <w:right w:val="nil"/>
            </w:tcBorders>
            <w:shd w:val="clear" w:color="auto" w:fill="auto"/>
            <w:noWrap/>
            <w:vAlign w:val="center"/>
          </w:tcPr>
          <w:p w14:paraId="430AC292" w14:textId="732D44AB" w:rsidR="00A83365" w:rsidRPr="00AF299F"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21.385</w:t>
            </w:r>
          </w:p>
        </w:tc>
        <w:tc>
          <w:tcPr>
            <w:tcW w:w="993" w:type="dxa"/>
            <w:tcBorders>
              <w:top w:val="single" w:sz="2" w:space="0" w:color="auto"/>
              <w:left w:val="nil"/>
              <w:bottom w:val="single" w:sz="2" w:space="0" w:color="auto"/>
              <w:right w:val="nil"/>
            </w:tcBorders>
          </w:tcPr>
          <w:p w14:paraId="6B1E6D35" w14:textId="601E0055"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88.583</w:t>
            </w:r>
          </w:p>
        </w:tc>
      </w:tr>
      <w:tr w:rsidR="00A83365" w:rsidRPr="00AF299F" w14:paraId="3DD89FBD" w14:textId="09507C60" w:rsidTr="00A83365">
        <w:trPr>
          <w:trHeight w:val="198"/>
        </w:trPr>
        <w:tc>
          <w:tcPr>
            <w:tcW w:w="4395" w:type="dxa"/>
            <w:tcBorders>
              <w:top w:val="single" w:sz="2" w:space="0" w:color="auto"/>
              <w:left w:val="nil"/>
              <w:bottom w:val="single" w:sz="2" w:space="0" w:color="auto"/>
              <w:right w:val="nil"/>
            </w:tcBorders>
            <w:shd w:val="clear" w:color="auto" w:fill="auto"/>
            <w:vAlign w:val="center"/>
          </w:tcPr>
          <w:p w14:paraId="2B45CC17" w14:textId="77777777" w:rsidR="00A83365" w:rsidRPr="00AF299F" w:rsidRDefault="00A83365" w:rsidP="000F119D">
            <w:pPr>
              <w:spacing w:after="0"/>
              <w:ind w:firstLine="0"/>
              <w:rPr>
                <w:rFonts w:ascii="Arial Narrow" w:hAnsi="Arial Narrow" w:cs="Calibri"/>
                <w:lang w:val="es-ES" w:eastAsia="es-ES"/>
              </w:rPr>
            </w:pPr>
            <w:r w:rsidRPr="00AF299F">
              <w:rPr>
                <w:rFonts w:ascii="Arial Narrow" w:hAnsi="Arial Narrow" w:cs="Calibri"/>
                <w:lang w:val="es-ES" w:eastAsia="es-ES"/>
              </w:rPr>
              <w:t xml:space="preserve">Seguros </w:t>
            </w:r>
          </w:p>
        </w:tc>
        <w:tc>
          <w:tcPr>
            <w:tcW w:w="850" w:type="dxa"/>
            <w:tcBorders>
              <w:top w:val="single" w:sz="2" w:space="0" w:color="auto"/>
              <w:left w:val="nil"/>
              <w:bottom w:val="single" w:sz="2" w:space="0" w:color="auto"/>
              <w:right w:val="nil"/>
            </w:tcBorders>
          </w:tcPr>
          <w:p w14:paraId="699EF28A" w14:textId="1C4BF2D9" w:rsidR="00A83365" w:rsidRPr="00AF299F"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13.550</w:t>
            </w:r>
          </w:p>
        </w:tc>
        <w:tc>
          <w:tcPr>
            <w:tcW w:w="850" w:type="dxa"/>
            <w:tcBorders>
              <w:top w:val="single" w:sz="2" w:space="0" w:color="auto"/>
              <w:left w:val="nil"/>
              <w:bottom w:val="single" w:sz="2" w:space="0" w:color="auto"/>
              <w:right w:val="nil"/>
            </w:tcBorders>
          </w:tcPr>
          <w:p w14:paraId="59FAE937" w14:textId="5DD9AF77" w:rsidR="00A83365" w:rsidRPr="00AF299F"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13.828</w:t>
            </w:r>
          </w:p>
        </w:tc>
        <w:tc>
          <w:tcPr>
            <w:tcW w:w="851" w:type="dxa"/>
            <w:tcBorders>
              <w:top w:val="single" w:sz="2" w:space="0" w:color="auto"/>
              <w:left w:val="nil"/>
              <w:bottom w:val="single" w:sz="2" w:space="0" w:color="auto"/>
              <w:right w:val="nil"/>
            </w:tcBorders>
            <w:shd w:val="clear" w:color="auto" w:fill="auto"/>
            <w:noWrap/>
            <w:vAlign w:val="center"/>
          </w:tcPr>
          <w:p w14:paraId="2FB365B9" w14:textId="535E0BE3" w:rsidR="00A83365" w:rsidRPr="00AF299F" w:rsidRDefault="00A83365" w:rsidP="000F119D">
            <w:pPr>
              <w:spacing w:after="0"/>
              <w:ind w:firstLine="0"/>
              <w:jc w:val="right"/>
              <w:rPr>
                <w:rFonts w:ascii="Arial Narrow" w:hAnsi="Arial Narrow" w:cs="Calibri"/>
                <w:lang w:val="es-ES" w:eastAsia="es-ES"/>
              </w:rPr>
            </w:pPr>
            <w:r w:rsidRPr="00AF299F">
              <w:rPr>
                <w:rFonts w:ascii="Arial Narrow" w:hAnsi="Arial Narrow" w:cs="Calibri"/>
                <w:lang w:val="es-ES" w:eastAsia="es-ES"/>
              </w:rPr>
              <w:t>14.073</w:t>
            </w:r>
          </w:p>
        </w:tc>
        <w:tc>
          <w:tcPr>
            <w:tcW w:w="850" w:type="dxa"/>
            <w:tcBorders>
              <w:top w:val="single" w:sz="2" w:space="0" w:color="auto"/>
              <w:left w:val="nil"/>
              <w:bottom w:val="single" w:sz="2" w:space="0" w:color="auto"/>
              <w:right w:val="nil"/>
            </w:tcBorders>
            <w:shd w:val="clear" w:color="auto" w:fill="auto"/>
            <w:noWrap/>
            <w:vAlign w:val="center"/>
          </w:tcPr>
          <w:p w14:paraId="10523C1B" w14:textId="77777777" w:rsidR="00A83365" w:rsidRPr="00AF299F" w:rsidRDefault="00A83365" w:rsidP="000F119D">
            <w:pPr>
              <w:spacing w:after="0"/>
              <w:ind w:firstLine="0"/>
              <w:jc w:val="right"/>
              <w:rPr>
                <w:rFonts w:ascii="Arial Narrow" w:hAnsi="Arial Narrow" w:cs="Calibri"/>
                <w:lang w:val="es-ES" w:eastAsia="es-ES"/>
              </w:rPr>
            </w:pPr>
            <w:r w:rsidRPr="00AF299F">
              <w:rPr>
                <w:rFonts w:ascii="Arial Narrow" w:hAnsi="Arial Narrow" w:cs="Calibri"/>
                <w:lang w:val="es-ES" w:eastAsia="es-ES"/>
              </w:rPr>
              <w:t>14.937</w:t>
            </w:r>
          </w:p>
        </w:tc>
        <w:tc>
          <w:tcPr>
            <w:tcW w:w="993" w:type="dxa"/>
            <w:tcBorders>
              <w:top w:val="single" w:sz="2" w:space="0" w:color="auto"/>
              <w:left w:val="nil"/>
              <w:bottom w:val="single" w:sz="2" w:space="0" w:color="auto"/>
              <w:right w:val="nil"/>
            </w:tcBorders>
          </w:tcPr>
          <w:p w14:paraId="6FC01490" w14:textId="35557D0A" w:rsidR="00A83365" w:rsidRPr="00AF299F" w:rsidRDefault="00A83365" w:rsidP="0029381A">
            <w:pPr>
              <w:spacing w:after="0"/>
              <w:ind w:firstLine="0"/>
              <w:jc w:val="right"/>
              <w:rPr>
                <w:rFonts w:ascii="Arial Narrow" w:hAnsi="Arial Narrow" w:cs="Calibri"/>
                <w:lang w:val="es-ES" w:eastAsia="es-ES"/>
              </w:rPr>
            </w:pPr>
            <w:r>
              <w:rPr>
                <w:rFonts w:ascii="Arial Narrow" w:hAnsi="Arial Narrow" w:cs="Calibri"/>
                <w:lang w:val="es-ES" w:eastAsia="es-ES"/>
              </w:rPr>
              <w:t>56.388</w:t>
            </w:r>
          </w:p>
        </w:tc>
      </w:tr>
      <w:tr w:rsidR="00A83365" w:rsidRPr="00504E68" w14:paraId="354E1008" w14:textId="36E1C02A" w:rsidTr="00A83365">
        <w:trPr>
          <w:trHeight w:val="198"/>
        </w:trPr>
        <w:tc>
          <w:tcPr>
            <w:tcW w:w="4395" w:type="dxa"/>
            <w:tcBorders>
              <w:top w:val="single" w:sz="2" w:space="0" w:color="auto"/>
              <w:left w:val="nil"/>
              <w:bottom w:val="single" w:sz="2" w:space="0" w:color="auto"/>
              <w:right w:val="nil"/>
            </w:tcBorders>
            <w:shd w:val="clear" w:color="auto" w:fill="auto"/>
            <w:vAlign w:val="center"/>
          </w:tcPr>
          <w:p w14:paraId="3A74FDE3" w14:textId="4FED163A" w:rsidR="00A83365" w:rsidRPr="00504E68" w:rsidRDefault="00A83365" w:rsidP="000F119D">
            <w:pPr>
              <w:spacing w:after="0"/>
              <w:ind w:firstLine="0"/>
              <w:rPr>
                <w:rFonts w:ascii="Arial Narrow" w:hAnsi="Arial Narrow" w:cs="Calibri"/>
                <w:lang w:val="es-ES" w:eastAsia="es-ES"/>
              </w:rPr>
            </w:pPr>
            <w:r w:rsidRPr="00504E68">
              <w:rPr>
                <w:rFonts w:ascii="Arial Narrow" w:hAnsi="Arial Narrow" w:cs="Calibri"/>
                <w:lang w:val="es-ES" w:eastAsia="es-ES"/>
              </w:rPr>
              <w:t>Plan de acompañamiento en la gestión de materia orgánica</w:t>
            </w:r>
          </w:p>
        </w:tc>
        <w:tc>
          <w:tcPr>
            <w:tcW w:w="850" w:type="dxa"/>
            <w:tcBorders>
              <w:top w:val="single" w:sz="2" w:space="0" w:color="auto"/>
              <w:left w:val="nil"/>
              <w:bottom w:val="single" w:sz="2" w:space="0" w:color="auto"/>
              <w:right w:val="nil"/>
            </w:tcBorders>
          </w:tcPr>
          <w:p w14:paraId="474193B6" w14:textId="47B01B9E" w:rsidR="00A83365" w:rsidRPr="00504E68" w:rsidRDefault="00A83365" w:rsidP="000F119D">
            <w:pPr>
              <w:spacing w:after="0"/>
              <w:ind w:firstLine="0"/>
              <w:jc w:val="right"/>
              <w:rPr>
                <w:rFonts w:ascii="Arial Narrow" w:hAnsi="Arial Narrow" w:cs="Calibri"/>
                <w:lang w:val="es-ES" w:eastAsia="es-ES"/>
              </w:rPr>
            </w:pPr>
            <w:r w:rsidRPr="00504E68">
              <w:rPr>
                <w:rFonts w:ascii="Arial Narrow" w:hAnsi="Arial Narrow" w:cs="Calibri"/>
                <w:lang w:val="es-ES" w:eastAsia="es-ES"/>
              </w:rPr>
              <w:t>7.865</w:t>
            </w:r>
          </w:p>
        </w:tc>
        <w:tc>
          <w:tcPr>
            <w:tcW w:w="850" w:type="dxa"/>
            <w:tcBorders>
              <w:top w:val="single" w:sz="2" w:space="0" w:color="auto"/>
              <w:left w:val="nil"/>
              <w:bottom w:val="single" w:sz="2" w:space="0" w:color="auto"/>
              <w:right w:val="nil"/>
            </w:tcBorders>
          </w:tcPr>
          <w:p w14:paraId="521CA9BB" w14:textId="6F37B1C6" w:rsidR="00A83365" w:rsidRPr="00504E68" w:rsidRDefault="00A83365" w:rsidP="000F119D">
            <w:pPr>
              <w:spacing w:after="0"/>
              <w:ind w:firstLine="0"/>
              <w:jc w:val="right"/>
              <w:rPr>
                <w:rFonts w:ascii="Arial Narrow" w:hAnsi="Arial Narrow" w:cs="Calibri"/>
                <w:lang w:val="es-ES" w:eastAsia="es-ES"/>
              </w:rPr>
            </w:pPr>
            <w:r w:rsidRPr="00504E68">
              <w:rPr>
                <w:rFonts w:ascii="Arial Narrow" w:hAnsi="Arial Narrow" w:cs="Calibri"/>
                <w:lang w:val="es-ES" w:eastAsia="es-ES"/>
              </w:rPr>
              <w:t>19.530</w:t>
            </w:r>
          </w:p>
        </w:tc>
        <w:tc>
          <w:tcPr>
            <w:tcW w:w="851" w:type="dxa"/>
            <w:tcBorders>
              <w:top w:val="single" w:sz="2" w:space="0" w:color="auto"/>
              <w:left w:val="nil"/>
              <w:bottom w:val="single" w:sz="2" w:space="0" w:color="auto"/>
              <w:right w:val="nil"/>
            </w:tcBorders>
            <w:shd w:val="clear" w:color="auto" w:fill="auto"/>
            <w:noWrap/>
            <w:vAlign w:val="center"/>
          </w:tcPr>
          <w:p w14:paraId="353CBA58" w14:textId="341B1C2E" w:rsidR="00A83365" w:rsidRPr="00504E68" w:rsidRDefault="00A83365" w:rsidP="000F119D">
            <w:pPr>
              <w:spacing w:after="0"/>
              <w:ind w:firstLine="0"/>
              <w:jc w:val="right"/>
              <w:rPr>
                <w:rFonts w:ascii="Arial Narrow" w:hAnsi="Arial Narrow" w:cs="Calibri"/>
                <w:lang w:val="es-ES" w:eastAsia="es-ES"/>
              </w:rPr>
            </w:pPr>
            <w:r w:rsidRPr="00504E68">
              <w:rPr>
                <w:rFonts w:ascii="Arial Narrow" w:hAnsi="Arial Narrow" w:cs="Calibri"/>
                <w:lang w:val="es-ES" w:eastAsia="es-ES"/>
              </w:rPr>
              <w:t>18.887</w:t>
            </w:r>
          </w:p>
        </w:tc>
        <w:tc>
          <w:tcPr>
            <w:tcW w:w="850" w:type="dxa"/>
            <w:tcBorders>
              <w:top w:val="single" w:sz="2" w:space="0" w:color="auto"/>
              <w:left w:val="nil"/>
              <w:bottom w:val="single" w:sz="2" w:space="0" w:color="auto"/>
              <w:right w:val="nil"/>
            </w:tcBorders>
            <w:shd w:val="clear" w:color="auto" w:fill="auto"/>
            <w:noWrap/>
            <w:vAlign w:val="center"/>
          </w:tcPr>
          <w:p w14:paraId="75C58361" w14:textId="001C471E" w:rsidR="00A83365" w:rsidRPr="00504E68" w:rsidRDefault="00A83365" w:rsidP="000F119D">
            <w:pPr>
              <w:spacing w:after="0"/>
              <w:ind w:firstLine="0"/>
              <w:jc w:val="right"/>
              <w:rPr>
                <w:rFonts w:ascii="Arial Narrow" w:hAnsi="Arial Narrow" w:cs="Calibri"/>
                <w:lang w:val="es-ES" w:eastAsia="es-ES"/>
              </w:rPr>
            </w:pPr>
            <w:r w:rsidRPr="00504E68">
              <w:rPr>
                <w:rFonts w:ascii="Arial Narrow" w:hAnsi="Arial Narrow" w:cs="Calibri"/>
                <w:lang w:val="es-ES" w:eastAsia="es-ES"/>
              </w:rPr>
              <w:t>4.441</w:t>
            </w:r>
          </w:p>
        </w:tc>
        <w:tc>
          <w:tcPr>
            <w:tcW w:w="993" w:type="dxa"/>
            <w:tcBorders>
              <w:top w:val="single" w:sz="2" w:space="0" w:color="auto"/>
              <w:left w:val="nil"/>
              <w:bottom w:val="single" w:sz="2" w:space="0" w:color="auto"/>
              <w:right w:val="nil"/>
            </w:tcBorders>
          </w:tcPr>
          <w:p w14:paraId="0D95DBCF" w14:textId="26D8E394" w:rsidR="00A83365" w:rsidRPr="00504E68"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50.723</w:t>
            </w:r>
          </w:p>
        </w:tc>
      </w:tr>
      <w:tr w:rsidR="00A83365" w:rsidRPr="00504E68" w14:paraId="73D143CF" w14:textId="77777777" w:rsidTr="00A83365">
        <w:trPr>
          <w:trHeight w:val="198"/>
        </w:trPr>
        <w:tc>
          <w:tcPr>
            <w:tcW w:w="4395" w:type="dxa"/>
            <w:tcBorders>
              <w:top w:val="single" w:sz="2" w:space="0" w:color="auto"/>
              <w:left w:val="nil"/>
              <w:bottom w:val="single" w:sz="2" w:space="0" w:color="auto"/>
              <w:right w:val="nil"/>
            </w:tcBorders>
            <w:shd w:val="clear" w:color="auto" w:fill="auto"/>
            <w:vAlign w:val="center"/>
          </w:tcPr>
          <w:p w14:paraId="14DF9718" w14:textId="52AEDFEA" w:rsidR="00A83365" w:rsidRDefault="00A83365" w:rsidP="000F119D">
            <w:pPr>
              <w:spacing w:after="0"/>
              <w:ind w:firstLine="0"/>
              <w:rPr>
                <w:rFonts w:ascii="Arial Narrow" w:hAnsi="Arial Narrow" w:cs="Calibri"/>
                <w:lang w:val="es-ES" w:eastAsia="es-ES"/>
              </w:rPr>
            </w:pPr>
            <w:r>
              <w:rPr>
                <w:rFonts w:ascii="Arial Narrow" w:hAnsi="Arial Narrow" w:cs="Calibri"/>
                <w:lang w:val="es-ES" w:eastAsia="es-ES"/>
              </w:rPr>
              <w:t>Agencia ejecutiva</w:t>
            </w:r>
          </w:p>
        </w:tc>
        <w:tc>
          <w:tcPr>
            <w:tcW w:w="850" w:type="dxa"/>
            <w:tcBorders>
              <w:top w:val="single" w:sz="2" w:space="0" w:color="auto"/>
              <w:left w:val="nil"/>
              <w:bottom w:val="single" w:sz="2" w:space="0" w:color="auto"/>
              <w:right w:val="nil"/>
            </w:tcBorders>
          </w:tcPr>
          <w:p w14:paraId="7DA3548D" w14:textId="2C397720"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10.911</w:t>
            </w:r>
          </w:p>
        </w:tc>
        <w:tc>
          <w:tcPr>
            <w:tcW w:w="850" w:type="dxa"/>
            <w:tcBorders>
              <w:top w:val="single" w:sz="2" w:space="0" w:color="auto"/>
              <w:left w:val="nil"/>
              <w:bottom w:val="single" w:sz="2" w:space="0" w:color="auto"/>
              <w:right w:val="nil"/>
            </w:tcBorders>
          </w:tcPr>
          <w:p w14:paraId="7DEFACC4" w14:textId="435849AF"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9.234</w:t>
            </w:r>
          </w:p>
        </w:tc>
        <w:tc>
          <w:tcPr>
            <w:tcW w:w="851" w:type="dxa"/>
            <w:tcBorders>
              <w:top w:val="single" w:sz="2" w:space="0" w:color="auto"/>
              <w:left w:val="nil"/>
              <w:bottom w:val="single" w:sz="2" w:space="0" w:color="auto"/>
              <w:right w:val="nil"/>
            </w:tcBorders>
            <w:shd w:val="clear" w:color="auto" w:fill="auto"/>
            <w:noWrap/>
            <w:vAlign w:val="center"/>
          </w:tcPr>
          <w:p w14:paraId="6EC3CBAB" w14:textId="634C6A63"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3.316</w:t>
            </w:r>
          </w:p>
        </w:tc>
        <w:tc>
          <w:tcPr>
            <w:tcW w:w="850" w:type="dxa"/>
            <w:tcBorders>
              <w:top w:val="single" w:sz="2" w:space="0" w:color="auto"/>
              <w:left w:val="nil"/>
              <w:bottom w:val="single" w:sz="2" w:space="0" w:color="auto"/>
              <w:right w:val="nil"/>
            </w:tcBorders>
            <w:shd w:val="clear" w:color="auto" w:fill="auto"/>
            <w:noWrap/>
            <w:vAlign w:val="center"/>
          </w:tcPr>
          <w:p w14:paraId="686951AF" w14:textId="7A20D946"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10.471</w:t>
            </w:r>
          </w:p>
        </w:tc>
        <w:tc>
          <w:tcPr>
            <w:tcW w:w="993" w:type="dxa"/>
            <w:tcBorders>
              <w:top w:val="single" w:sz="2" w:space="0" w:color="auto"/>
              <w:left w:val="nil"/>
              <w:bottom w:val="single" w:sz="2" w:space="0" w:color="auto"/>
              <w:right w:val="nil"/>
            </w:tcBorders>
          </w:tcPr>
          <w:p w14:paraId="2B6F9C70" w14:textId="667534B7"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33.932</w:t>
            </w:r>
          </w:p>
        </w:tc>
      </w:tr>
      <w:tr w:rsidR="00A83365" w:rsidRPr="00504E68" w14:paraId="0FA23DAC" w14:textId="77777777" w:rsidTr="00A83365">
        <w:trPr>
          <w:trHeight w:val="198"/>
        </w:trPr>
        <w:tc>
          <w:tcPr>
            <w:tcW w:w="4395" w:type="dxa"/>
            <w:tcBorders>
              <w:top w:val="single" w:sz="2" w:space="0" w:color="auto"/>
              <w:left w:val="nil"/>
              <w:bottom w:val="single" w:sz="2" w:space="0" w:color="auto"/>
              <w:right w:val="nil"/>
            </w:tcBorders>
            <w:shd w:val="clear" w:color="auto" w:fill="auto"/>
            <w:vAlign w:val="center"/>
          </w:tcPr>
          <w:p w14:paraId="5FD79238" w14:textId="1C11AF09" w:rsidR="00A83365" w:rsidRDefault="00A83365" w:rsidP="000F119D">
            <w:pPr>
              <w:spacing w:after="0"/>
              <w:ind w:firstLine="0"/>
              <w:rPr>
                <w:rFonts w:ascii="Arial Narrow" w:hAnsi="Arial Narrow" w:cs="Calibri"/>
                <w:lang w:val="es-ES" w:eastAsia="es-ES"/>
              </w:rPr>
            </w:pPr>
            <w:r>
              <w:rPr>
                <w:rFonts w:ascii="Arial Narrow" w:hAnsi="Arial Narrow" w:cs="Calibri"/>
                <w:lang w:val="es-ES" w:eastAsia="es-ES"/>
              </w:rPr>
              <w:t>Mantenimiento del vertedero</w:t>
            </w:r>
          </w:p>
        </w:tc>
        <w:tc>
          <w:tcPr>
            <w:tcW w:w="850" w:type="dxa"/>
            <w:tcBorders>
              <w:top w:val="single" w:sz="2" w:space="0" w:color="auto"/>
              <w:left w:val="nil"/>
              <w:bottom w:val="single" w:sz="2" w:space="0" w:color="auto"/>
              <w:right w:val="nil"/>
            </w:tcBorders>
          </w:tcPr>
          <w:p w14:paraId="7243D41E" w14:textId="6D80B27F" w:rsidR="00A83365" w:rsidRDefault="00A83365">
            <w:pPr>
              <w:spacing w:after="0"/>
              <w:ind w:firstLine="0"/>
              <w:jc w:val="right"/>
              <w:rPr>
                <w:rFonts w:ascii="Arial Narrow" w:hAnsi="Arial Narrow" w:cs="Calibri"/>
                <w:lang w:val="es-ES" w:eastAsia="es-ES"/>
              </w:rPr>
            </w:pPr>
            <w:r>
              <w:rPr>
                <w:rFonts w:ascii="Arial Narrow" w:hAnsi="Arial Narrow" w:cs="Calibri"/>
                <w:lang w:val="es-ES" w:eastAsia="es-ES"/>
              </w:rPr>
              <w:t>3.717</w:t>
            </w:r>
          </w:p>
        </w:tc>
        <w:tc>
          <w:tcPr>
            <w:tcW w:w="850" w:type="dxa"/>
            <w:tcBorders>
              <w:top w:val="single" w:sz="2" w:space="0" w:color="auto"/>
              <w:left w:val="nil"/>
              <w:bottom w:val="single" w:sz="2" w:space="0" w:color="auto"/>
              <w:right w:val="nil"/>
            </w:tcBorders>
          </w:tcPr>
          <w:p w14:paraId="2F2D73D1" w14:textId="0140327E" w:rsidR="00A83365" w:rsidRDefault="00A83365">
            <w:pPr>
              <w:spacing w:after="0"/>
              <w:ind w:firstLine="0"/>
              <w:jc w:val="right"/>
              <w:rPr>
                <w:rFonts w:ascii="Arial Narrow" w:hAnsi="Arial Narrow" w:cs="Calibri"/>
                <w:lang w:val="es-ES" w:eastAsia="es-ES"/>
              </w:rPr>
            </w:pPr>
            <w:r>
              <w:rPr>
                <w:rFonts w:ascii="Arial Narrow" w:hAnsi="Arial Narrow" w:cs="Calibri"/>
                <w:lang w:val="es-ES" w:eastAsia="es-ES"/>
              </w:rPr>
              <w:t>3.717</w:t>
            </w:r>
          </w:p>
        </w:tc>
        <w:tc>
          <w:tcPr>
            <w:tcW w:w="851" w:type="dxa"/>
            <w:tcBorders>
              <w:top w:val="single" w:sz="2" w:space="0" w:color="auto"/>
              <w:left w:val="nil"/>
              <w:bottom w:val="single" w:sz="2" w:space="0" w:color="auto"/>
              <w:right w:val="nil"/>
            </w:tcBorders>
            <w:shd w:val="clear" w:color="auto" w:fill="auto"/>
            <w:noWrap/>
            <w:vAlign w:val="center"/>
          </w:tcPr>
          <w:p w14:paraId="7DC0E892" w14:textId="5529BE79" w:rsidR="00A83365" w:rsidRDefault="00A83365">
            <w:pPr>
              <w:spacing w:after="0"/>
              <w:ind w:firstLine="0"/>
              <w:jc w:val="right"/>
              <w:rPr>
                <w:rFonts w:ascii="Arial Narrow" w:hAnsi="Arial Narrow" w:cs="Calibri"/>
                <w:lang w:val="es-ES" w:eastAsia="es-ES"/>
              </w:rPr>
            </w:pPr>
            <w:r>
              <w:rPr>
                <w:rFonts w:ascii="Arial Narrow" w:hAnsi="Arial Narrow" w:cs="Calibri"/>
                <w:lang w:val="es-ES" w:eastAsia="es-ES"/>
              </w:rPr>
              <w:t>3.717</w:t>
            </w:r>
          </w:p>
        </w:tc>
        <w:tc>
          <w:tcPr>
            <w:tcW w:w="850" w:type="dxa"/>
            <w:tcBorders>
              <w:top w:val="single" w:sz="2" w:space="0" w:color="auto"/>
              <w:left w:val="nil"/>
              <w:bottom w:val="single" w:sz="2" w:space="0" w:color="auto"/>
              <w:right w:val="nil"/>
            </w:tcBorders>
            <w:shd w:val="clear" w:color="auto" w:fill="auto"/>
            <w:noWrap/>
            <w:vAlign w:val="center"/>
          </w:tcPr>
          <w:p w14:paraId="6CA72C76" w14:textId="73F93DB2"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12.939</w:t>
            </w:r>
          </w:p>
        </w:tc>
        <w:tc>
          <w:tcPr>
            <w:tcW w:w="993" w:type="dxa"/>
            <w:tcBorders>
              <w:top w:val="single" w:sz="2" w:space="0" w:color="auto"/>
              <w:left w:val="nil"/>
              <w:bottom w:val="single" w:sz="2" w:space="0" w:color="auto"/>
              <w:right w:val="nil"/>
            </w:tcBorders>
          </w:tcPr>
          <w:p w14:paraId="64619BC8" w14:textId="754D4EB9"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24.090</w:t>
            </w:r>
          </w:p>
        </w:tc>
      </w:tr>
      <w:tr w:rsidR="00A83365" w:rsidRPr="00504E68" w14:paraId="4CC0F5D7" w14:textId="77777777" w:rsidTr="00A83365">
        <w:trPr>
          <w:trHeight w:val="198"/>
        </w:trPr>
        <w:tc>
          <w:tcPr>
            <w:tcW w:w="4395" w:type="dxa"/>
            <w:tcBorders>
              <w:top w:val="single" w:sz="2" w:space="0" w:color="auto"/>
              <w:left w:val="nil"/>
              <w:bottom w:val="single" w:sz="2" w:space="0" w:color="auto"/>
              <w:right w:val="nil"/>
            </w:tcBorders>
            <w:shd w:val="clear" w:color="auto" w:fill="auto"/>
            <w:vAlign w:val="center"/>
          </w:tcPr>
          <w:p w14:paraId="3D9D6A2C" w14:textId="60FF9975" w:rsidR="00A83365" w:rsidRDefault="00A83365" w:rsidP="000F119D">
            <w:pPr>
              <w:spacing w:after="0"/>
              <w:ind w:firstLine="0"/>
              <w:rPr>
                <w:rFonts w:ascii="Arial Narrow" w:hAnsi="Arial Narrow" w:cs="Calibri"/>
                <w:lang w:val="es-ES" w:eastAsia="es-ES"/>
              </w:rPr>
            </w:pPr>
            <w:r>
              <w:rPr>
                <w:rFonts w:ascii="Arial Narrow" w:hAnsi="Arial Narrow" w:cs="Calibri"/>
                <w:lang w:val="es-ES" w:eastAsia="es-ES"/>
              </w:rPr>
              <w:t>Luz</w:t>
            </w:r>
          </w:p>
        </w:tc>
        <w:tc>
          <w:tcPr>
            <w:tcW w:w="850" w:type="dxa"/>
            <w:tcBorders>
              <w:top w:val="single" w:sz="2" w:space="0" w:color="auto"/>
              <w:left w:val="nil"/>
              <w:bottom w:val="single" w:sz="2" w:space="0" w:color="auto"/>
              <w:right w:val="nil"/>
            </w:tcBorders>
          </w:tcPr>
          <w:p w14:paraId="7F5E9408" w14:textId="518349D8"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3.201</w:t>
            </w:r>
          </w:p>
        </w:tc>
        <w:tc>
          <w:tcPr>
            <w:tcW w:w="850" w:type="dxa"/>
            <w:tcBorders>
              <w:top w:val="single" w:sz="2" w:space="0" w:color="auto"/>
              <w:left w:val="nil"/>
              <w:bottom w:val="single" w:sz="2" w:space="0" w:color="auto"/>
              <w:right w:val="nil"/>
            </w:tcBorders>
          </w:tcPr>
          <w:p w14:paraId="6A61F0D0" w14:textId="01402464"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4.181</w:t>
            </w:r>
          </w:p>
        </w:tc>
        <w:tc>
          <w:tcPr>
            <w:tcW w:w="851" w:type="dxa"/>
            <w:tcBorders>
              <w:top w:val="single" w:sz="2" w:space="0" w:color="auto"/>
              <w:left w:val="nil"/>
              <w:bottom w:val="single" w:sz="2" w:space="0" w:color="auto"/>
              <w:right w:val="nil"/>
            </w:tcBorders>
            <w:shd w:val="clear" w:color="auto" w:fill="auto"/>
            <w:noWrap/>
            <w:vAlign w:val="center"/>
          </w:tcPr>
          <w:p w14:paraId="4A6049C8" w14:textId="0000A27B"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5.118</w:t>
            </w:r>
          </w:p>
        </w:tc>
        <w:tc>
          <w:tcPr>
            <w:tcW w:w="850" w:type="dxa"/>
            <w:tcBorders>
              <w:top w:val="single" w:sz="2" w:space="0" w:color="auto"/>
              <w:left w:val="nil"/>
              <w:bottom w:val="single" w:sz="2" w:space="0" w:color="auto"/>
              <w:right w:val="nil"/>
            </w:tcBorders>
            <w:shd w:val="clear" w:color="auto" w:fill="auto"/>
            <w:noWrap/>
            <w:vAlign w:val="center"/>
          </w:tcPr>
          <w:p w14:paraId="6AFB5EE9" w14:textId="44055BC8"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6.780</w:t>
            </w:r>
          </w:p>
        </w:tc>
        <w:tc>
          <w:tcPr>
            <w:tcW w:w="993" w:type="dxa"/>
            <w:tcBorders>
              <w:top w:val="single" w:sz="2" w:space="0" w:color="auto"/>
              <w:left w:val="nil"/>
              <w:bottom w:val="single" w:sz="2" w:space="0" w:color="auto"/>
              <w:right w:val="nil"/>
            </w:tcBorders>
          </w:tcPr>
          <w:p w14:paraId="48750801" w14:textId="5AC68D7C"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19.280</w:t>
            </w:r>
          </w:p>
        </w:tc>
      </w:tr>
      <w:tr w:rsidR="00A83365" w:rsidRPr="00504E68" w14:paraId="25163AE7" w14:textId="491E51CA" w:rsidTr="00A83365">
        <w:trPr>
          <w:trHeight w:val="198"/>
        </w:trPr>
        <w:tc>
          <w:tcPr>
            <w:tcW w:w="4395" w:type="dxa"/>
            <w:tcBorders>
              <w:top w:val="single" w:sz="2" w:space="0" w:color="auto"/>
              <w:left w:val="nil"/>
              <w:bottom w:val="single" w:sz="4" w:space="0" w:color="auto"/>
              <w:right w:val="nil"/>
            </w:tcBorders>
            <w:shd w:val="clear" w:color="auto" w:fill="auto"/>
            <w:vAlign w:val="center"/>
          </w:tcPr>
          <w:p w14:paraId="09B2B4AA" w14:textId="2FA1F66D" w:rsidR="00A83365" w:rsidRPr="00504E68" w:rsidRDefault="00A83365" w:rsidP="000F119D">
            <w:pPr>
              <w:spacing w:after="0"/>
              <w:ind w:firstLine="0"/>
              <w:rPr>
                <w:rFonts w:ascii="Arial Narrow" w:hAnsi="Arial Narrow" w:cs="Calibri"/>
                <w:lang w:val="es-ES" w:eastAsia="es-ES"/>
              </w:rPr>
            </w:pPr>
            <w:r>
              <w:rPr>
                <w:rFonts w:ascii="Arial Narrow" w:hAnsi="Arial Narrow" w:cs="Calibri"/>
                <w:lang w:val="es-ES" w:eastAsia="es-ES"/>
              </w:rPr>
              <w:t>Asesoría contable</w:t>
            </w:r>
          </w:p>
        </w:tc>
        <w:tc>
          <w:tcPr>
            <w:tcW w:w="850" w:type="dxa"/>
            <w:tcBorders>
              <w:top w:val="single" w:sz="2" w:space="0" w:color="auto"/>
              <w:left w:val="nil"/>
              <w:bottom w:val="single" w:sz="4" w:space="0" w:color="auto"/>
              <w:right w:val="nil"/>
            </w:tcBorders>
          </w:tcPr>
          <w:p w14:paraId="7AAD3E47" w14:textId="6573FED0" w:rsidR="00A83365" w:rsidRPr="00504E68"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5.107</w:t>
            </w:r>
          </w:p>
        </w:tc>
        <w:tc>
          <w:tcPr>
            <w:tcW w:w="850" w:type="dxa"/>
            <w:tcBorders>
              <w:top w:val="single" w:sz="2" w:space="0" w:color="auto"/>
              <w:left w:val="nil"/>
              <w:bottom w:val="single" w:sz="4" w:space="0" w:color="auto"/>
              <w:right w:val="nil"/>
            </w:tcBorders>
          </w:tcPr>
          <w:p w14:paraId="633B1683" w14:textId="3CC253B9" w:rsidR="00A83365" w:rsidRPr="00504E68"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4.077</w:t>
            </w:r>
          </w:p>
        </w:tc>
        <w:tc>
          <w:tcPr>
            <w:tcW w:w="851" w:type="dxa"/>
            <w:tcBorders>
              <w:top w:val="single" w:sz="2" w:space="0" w:color="auto"/>
              <w:left w:val="nil"/>
              <w:bottom w:val="single" w:sz="4" w:space="0" w:color="auto"/>
              <w:right w:val="nil"/>
            </w:tcBorders>
            <w:shd w:val="clear" w:color="auto" w:fill="auto"/>
            <w:noWrap/>
            <w:vAlign w:val="center"/>
          </w:tcPr>
          <w:p w14:paraId="6CDB8F01" w14:textId="1C5B1B10" w:rsidR="00A83365" w:rsidRPr="00504E68"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3.715</w:t>
            </w:r>
          </w:p>
        </w:tc>
        <w:tc>
          <w:tcPr>
            <w:tcW w:w="850" w:type="dxa"/>
            <w:tcBorders>
              <w:top w:val="single" w:sz="2" w:space="0" w:color="auto"/>
              <w:left w:val="nil"/>
              <w:bottom w:val="single" w:sz="4" w:space="0" w:color="auto"/>
              <w:right w:val="nil"/>
            </w:tcBorders>
            <w:shd w:val="clear" w:color="auto" w:fill="auto"/>
            <w:noWrap/>
            <w:vAlign w:val="center"/>
          </w:tcPr>
          <w:p w14:paraId="3E0A1D63" w14:textId="7B002FEA" w:rsidR="00A83365" w:rsidRPr="00504E68"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t>5.649</w:t>
            </w:r>
          </w:p>
        </w:tc>
        <w:tc>
          <w:tcPr>
            <w:tcW w:w="993" w:type="dxa"/>
            <w:tcBorders>
              <w:top w:val="single" w:sz="2" w:space="0" w:color="auto"/>
              <w:left w:val="nil"/>
              <w:bottom w:val="single" w:sz="4" w:space="0" w:color="auto"/>
              <w:right w:val="nil"/>
            </w:tcBorders>
          </w:tcPr>
          <w:p w14:paraId="2B349810" w14:textId="5F692234" w:rsidR="00A83365" w:rsidRDefault="00A83365" w:rsidP="000F119D">
            <w:pPr>
              <w:spacing w:after="0"/>
              <w:ind w:firstLine="0"/>
              <w:jc w:val="right"/>
              <w:rPr>
                <w:rFonts w:ascii="Arial Narrow" w:hAnsi="Arial Narrow" w:cs="Calibri"/>
                <w:lang w:val="es-ES" w:eastAsia="es-ES"/>
              </w:rPr>
            </w:pPr>
            <w:r w:rsidRPr="22DE07A6">
              <w:rPr>
                <w:rFonts w:ascii="Arial Narrow" w:hAnsi="Arial Narrow" w:cs="Calibri"/>
                <w:lang w:val="es-ES" w:eastAsia="es-ES"/>
              </w:rPr>
              <w:t>18.548</w:t>
            </w:r>
          </w:p>
        </w:tc>
      </w:tr>
      <w:tr w:rsidR="00A83365" w:rsidRPr="00504E68" w14:paraId="39650DEB" w14:textId="77777777" w:rsidTr="00A83365">
        <w:trPr>
          <w:trHeight w:val="198"/>
        </w:trPr>
        <w:tc>
          <w:tcPr>
            <w:tcW w:w="4395" w:type="dxa"/>
            <w:tcBorders>
              <w:top w:val="single" w:sz="4" w:space="0" w:color="auto"/>
              <w:left w:val="nil"/>
              <w:bottom w:val="single" w:sz="4" w:space="0" w:color="auto"/>
              <w:right w:val="nil"/>
            </w:tcBorders>
            <w:shd w:val="clear" w:color="auto" w:fill="F4B083" w:themeFill="accent2" w:themeFillTint="99"/>
            <w:vAlign w:val="center"/>
          </w:tcPr>
          <w:p w14:paraId="577DBC76" w14:textId="6CCDA4AA" w:rsidR="00A83365" w:rsidRDefault="00A83365" w:rsidP="000F119D">
            <w:pPr>
              <w:spacing w:after="0"/>
              <w:ind w:firstLine="0"/>
              <w:rPr>
                <w:rFonts w:ascii="Arial Narrow" w:hAnsi="Arial Narrow" w:cs="Calibri"/>
                <w:lang w:val="es-ES" w:eastAsia="es-ES"/>
              </w:rPr>
            </w:pPr>
            <w:r>
              <w:rPr>
                <w:rFonts w:ascii="Arial Narrow" w:hAnsi="Arial Narrow" w:cs="Calibri"/>
                <w:lang w:val="es-ES" w:eastAsia="es-ES"/>
              </w:rPr>
              <w:t>Total</w:t>
            </w:r>
          </w:p>
        </w:tc>
        <w:tc>
          <w:tcPr>
            <w:tcW w:w="850" w:type="dxa"/>
            <w:tcBorders>
              <w:top w:val="single" w:sz="4" w:space="0" w:color="auto"/>
              <w:left w:val="nil"/>
              <w:bottom w:val="single" w:sz="4" w:space="0" w:color="auto"/>
              <w:right w:val="nil"/>
            </w:tcBorders>
            <w:shd w:val="clear" w:color="auto" w:fill="F4B083" w:themeFill="accent2" w:themeFillTint="99"/>
          </w:tcPr>
          <w:p w14:paraId="460E16C6" w14:textId="3B3620AC"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fldChar w:fldCharType="begin"/>
            </w:r>
            <w:r>
              <w:rPr>
                <w:rFonts w:ascii="Arial Narrow" w:hAnsi="Arial Narrow" w:cs="Calibri"/>
                <w:lang w:val="es-ES" w:eastAsia="es-ES"/>
              </w:rPr>
              <w:instrText xml:space="preserve"> =SUM(ABOVE) </w:instrText>
            </w:r>
            <w:r>
              <w:rPr>
                <w:rFonts w:ascii="Arial Narrow" w:hAnsi="Arial Narrow" w:cs="Calibri"/>
                <w:lang w:val="es-ES" w:eastAsia="es-ES"/>
              </w:rPr>
              <w:fldChar w:fldCharType="separate"/>
            </w:r>
            <w:r>
              <w:rPr>
                <w:rFonts w:ascii="Arial Narrow" w:hAnsi="Arial Narrow" w:cs="Calibri"/>
                <w:noProof/>
                <w:lang w:val="es-ES" w:eastAsia="es-ES"/>
              </w:rPr>
              <w:t>123.994</w:t>
            </w:r>
            <w:r>
              <w:rPr>
                <w:rFonts w:ascii="Arial Narrow" w:hAnsi="Arial Narrow" w:cs="Calibri"/>
                <w:lang w:val="es-ES" w:eastAsia="es-ES"/>
              </w:rPr>
              <w:fldChar w:fldCharType="end"/>
            </w:r>
          </w:p>
        </w:tc>
        <w:tc>
          <w:tcPr>
            <w:tcW w:w="850" w:type="dxa"/>
            <w:tcBorders>
              <w:top w:val="single" w:sz="4" w:space="0" w:color="auto"/>
              <w:left w:val="nil"/>
              <w:bottom w:val="single" w:sz="4" w:space="0" w:color="auto"/>
              <w:right w:val="nil"/>
            </w:tcBorders>
            <w:shd w:val="clear" w:color="auto" w:fill="F4B083" w:themeFill="accent2" w:themeFillTint="99"/>
          </w:tcPr>
          <w:p w14:paraId="258C9108" w14:textId="79A81C26"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fldChar w:fldCharType="begin"/>
            </w:r>
            <w:r>
              <w:rPr>
                <w:rFonts w:ascii="Arial Narrow" w:hAnsi="Arial Narrow" w:cs="Calibri"/>
                <w:lang w:val="es-ES" w:eastAsia="es-ES"/>
              </w:rPr>
              <w:instrText xml:space="preserve"> =SUM(ABOVE) </w:instrText>
            </w:r>
            <w:r>
              <w:rPr>
                <w:rFonts w:ascii="Arial Narrow" w:hAnsi="Arial Narrow" w:cs="Calibri"/>
                <w:lang w:val="es-ES" w:eastAsia="es-ES"/>
              </w:rPr>
              <w:fldChar w:fldCharType="separate"/>
            </w:r>
            <w:r>
              <w:rPr>
                <w:rFonts w:ascii="Arial Narrow" w:hAnsi="Arial Narrow" w:cs="Calibri"/>
                <w:noProof/>
                <w:lang w:val="es-ES" w:eastAsia="es-ES"/>
              </w:rPr>
              <w:t>163.216</w:t>
            </w:r>
            <w:r>
              <w:rPr>
                <w:rFonts w:ascii="Arial Narrow" w:hAnsi="Arial Narrow" w:cs="Calibri"/>
                <w:lang w:val="es-ES" w:eastAsia="es-ES"/>
              </w:rPr>
              <w:fldChar w:fldCharType="end"/>
            </w:r>
          </w:p>
        </w:tc>
        <w:tc>
          <w:tcPr>
            <w:tcW w:w="851" w:type="dxa"/>
            <w:tcBorders>
              <w:top w:val="single" w:sz="4" w:space="0" w:color="auto"/>
              <w:left w:val="nil"/>
              <w:bottom w:val="single" w:sz="4" w:space="0" w:color="auto"/>
              <w:right w:val="nil"/>
            </w:tcBorders>
            <w:shd w:val="clear" w:color="auto" w:fill="F4B083" w:themeFill="accent2" w:themeFillTint="99"/>
            <w:noWrap/>
            <w:vAlign w:val="center"/>
          </w:tcPr>
          <w:p w14:paraId="1CA4B75A" w14:textId="72AD14A6"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fldChar w:fldCharType="begin"/>
            </w:r>
            <w:r>
              <w:rPr>
                <w:rFonts w:ascii="Arial Narrow" w:hAnsi="Arial Narrow" w:cs="Calibri"/>
                <w:lang w:val="es-ES" w:eastAsia="es-ES"/>
              </w:rPr>
              <w:instrText xml:space="preserve"> =SUM(ABOVE) </w:instrText>
            </w:r>
            <w:r>
              <w:rPr>
                <w:rFonts w:ascii="Arial Narrow" w:hAnsi="Arial Narrow" w:cs="Calibri"/>
                <w:lang w:val="es-ES" w:eastAsia="es-ES"/>
              </w:rPr>
              <w:fldChar w:fldCharType="separate"/>
            </w:r>
            <w:r>
              <w:rPr>
                <w:rFonts w:ascii="Arial Narrow" w:hAnsi="Arial Narrow" w:cs="Calibri"/>
                <w:noProof/>
                <w:lang w:val="es-ES" w:eastAsia="es-ES"/>
              </w:rPr>
              <w:t>158.819</w:t>
            </w:r>
            <w:r>
              <w:rPr>
                <w:rFonts w:ascii="Arial Narrow" w:hAnsi="Arial Narrow" w:cs="Calibri"/>
                <w:lang w:val="es-ES" w:eastAsia="es-ES"/>
              </w:rPr>
              <w:fldChar w:fldCharType="end"/>
            </w:r>
          </w:p>
        </w:tc>
        <w:tc>
          <w:tcPr>
            <w:tcW w:w="850" w:type="dxa"/>
            <w:tcBorders>
              <w:top w:val="single" w:sz="4" w:space="0" w:color="auto"/>
              <w:left w:val="nil"/>
              <w:bottom w:val="single" w:sz="4" w:space="0" w:color="auto"/>
              <w:right w:val="nil"/>
            </w:tcBorders>
            <w:shd w:val="clear" w:color="auto" w:fill="F4B083" w:themeFill="accent2" w:themeFillTint="99"/>
            <w:noWrap/>
            <w:vAlign w:val="center"/>
          </w:tcPr>
          <w:p w14:paraId="761AAA32" w14:textId="7EC7A402" w:rsidR="00A83365"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fldChar w:fldCharType="begin"/>
            </w:r>
            <w:r>
              <w:rPr>
                <w:rFonts w:ascii="Arial Narrow" w:hAnsi="Arial Narrow" w:cs="Calibri"/>
                <w:lang w:val="es-ES" w:eastAsia="es-ES"/>
              </w:rPr>
              <w:instrText xml:space="preserve"> =SUM(ABOVE) </w:instrText>
            </w:r>
            <w:r>
              <w:rPr>
                <w:rFonts w:ascii="Arial Narrow" w:hAnsi="Arial Narrow" w:cs="Calibri"/>
                <w:lang w:val="es-ES" w:eastAsia="es-ES"/>
              </w:rPr>
              <w:fldChar w:fldCharType="separate"/>
            </w:r>
            <w:r>
              <w:rPr>
                <w:rFonts w:ascii="Arial Narrow" w:hAnsi="Arial Narrow" w:cs="Calibri"/>
                <w:noProof/>
                <w:lang w:val="es-ES" w:eastAsia="es-ES"/>
              </w:rPr>
              <w:t>166.531</w:t>
            </w:r>
            <w:r>
              <w:rPr>
                <w:rFonts w:ascii="Arial Narrow" w:hAnsi="Arial Narrow" w:cs="Calibri"/>
                <w:lang w:val="es-ES" w:eastAsia="es-ES"/>
              </w:rPr>
              <w:fldChar w:fldCharType="end"/>
            </w:r>
          </w:p>
        </w:tc>
        <w:tc>
          <w:tcPr>
            <w:tcW w:w="993" w:type="dxa"/>
            <w:tcBorders>
              <w:top w:val="single" w:sz="4" w:space="0" w:color="auto"/>
              <w:left w:val="nil"/>
              <w:bottom w:val="single" w:sz="4" w:space="0" w:color="auto"/>
              <w:right w:val="nil"/>
            </w:tcBorders>
            <w:shd w:val="clear" w:color="auto" w:fill="F4B083" w:themeFill="accent2" w:themeFillTint="99"/>
          </w:tcPr>
          <w:p w14:paraId="78002A56" w14:textId="04D17FCD" w:rsidR="00A83365" w:rsidRPr="22DE07A6" w:rsidRDefault="00A83365" w:rsidP="000F119D">
            <w:pPr>
              <w:spacing w:after="0"/>
              <w:ind w:firstLine="0"/>
              <w:jc w:val="right"/>
              <w:rPr>
                <w:rFonts w:ascii="Arial Narrow" w:hAnsi="Arial Narrow" w:cs="Calibri"/>
                <w:lang w:val="es-ES" w:eastAsia="es-ES"/>
              </w:rPr>
            </w:pPr>
            <w:r>
              <w:rPr>
                <w:rFonts w:ascii="Arial Narrow" w:hAnsi="Arial Narrow" w:cs="Calibri"/>
                <w:lang w:val="es-ES" w:eastAsia="es-ES"/>
              </w:rPr>
              <w:fldChar w:fldCharType="begin"/>
            </w:r>
            <w:r>
              <w:rPr>
                <w:rFonts w:ascii="Arial Narrow" w:hAnsi="Arial Narrow" w:cs="Calibri"/>
                <w:lang w:val="es-ES" w:eastAsia="es-ES"/>
              </w:rPr>
              <w:instrText xml:space="preserve"> =SUM(ABOVE) </w:instrText>
            </w:r>
            <w:r>
              <w:rPr>
                <w:rFonts w:ascii="Arial Narrow" w:hAnsi="Arial Narrow" w:cs="Calibri"/>
                <w:lang w:val="es-ES" w:eastAsia="es-ES"/>
              </w:rPr>
              <w:fldChar w:fldCharType="separate"/>
            </w:r>
            <w:r>
              <w:rPr>
                <w:rFonts w:ascii="Arial Narrow" w:hAnsi="Arial Narrow" w:cs="Calibri"/>
                <w:noProof/>
                <w:lang w:val="es-ES" w:eastAsia="es-ES"/>
              </w:rPr>
              <w:t>612.560</w:t>
            </w:r>
            <w:r>
              <w:rPr>
                <w:rFonts w:ascii="Arial Narrow" w:hAnsi="Arial Narrow" w:cs="Calibri"/>
                <w:lang w:val="es-ES" w:eastAsia="es-ES"/>
              </w:rPr>
              <w:fldChar w:fldCharType="end"/>
            </w:r>
          </w:p>
        </w:tc>
      </w:tr>
    </w:tbl>
    <w:p w14:paraId="0EC9DD0C" w14:textId="1E5170AA" w:rsidR="00504E68" w:rsidRDefault="00504E68" w:rsidP="00C6720F">
      <w:pPr>
        <w:pStyle w:val="texto"/>
        <w:spacing w:before="240"/>
      </w:pPr>
      <w:r>
        <w:t xml:space="preserve">No se ha publicado en el </w:t>
      </w:r>
      <w:r w:rsidR="00406FFE">
        <w:t>p</w:t>
      </w:r>
      <w:r>
        <w:t xml:space="preserve">ortal </w:t>
      </w:r>
      <w:r w:rsidR="00406FFE">
        <w:t xml:space="preserve">de contratación </w:t>
      </w:r>
      <w:r>
        <w:t xml:space="preserve">información trimestral de </w:t>
      </w:r>
      <w:r w:rsidR="00D76AF4">
        <w:t xml:space="preserve">los </w:t>
      </w:r>
      <w:r>
        <w:t>contratos de menor cuantía.</w:t>
      </w:r>
    </w:p>
    <w:p w14:paraId="537ECB2C" w14:textId="7374A225" w:rsidR="001A149D" w:rsidRPr="00F8138F" w:rsidRDefault="001A149D" w:rsidP="00372D1B">
      <w:pPr>
        <w:pStyle w:val="texto"/>
        <w:numPr>
          <w:ilvl w:val="0"/>
          <w:numId w:val="18"/>
        </w:numPr>
        <w:tabs>
          <w:tab w:val="num" w:pos="567"/>
          <w:tab w:val="num" w:pos="2770"/>
        </w:tabs>
        <w:ind w:left="0" w:firstLine="290"/>
        <w:rPr>
          <w:szCs w:val="26"/>
        </w:rPr>
      </w:pPr>
      <w:r w:rsidRPr="00F8138F">
        <w:rPr>
          <w:szCs w:val="26"/>
        </w:rPr>
        <w:t xml:space="preserve">No se </w:t>
      </w:r>
      <w:r w:rsidRPr="00372D1B">
        <w:t>publicó</w:t>
      </w:r>
      <w:r w:rsidRPr="00F8138F">
        <w:rPr>
          <w:szCs w:val="26"/>
        </w:rPr>
        <w:t xml:space="preserve"> en el BON el presupuesto definitivamente aprobado para el ejercicio 2023, requisito que debe cumplirse para su entrada en vigor.</w:t>
      </w:r>
    </w:p>
    <w:p w14:paraId="452AD05C" w14:textId="6A666D00" w:rsidR="001A149D" w:rsidRPr="00F8138F" w:rsidRDefault="001A149D" w:rsidP="00372D1B">
      <w:pPr>
        <w:pStyle w:val="texto"/>
        <w:numPr>
          <w:ilvl w:val="0"/>
          <w:numId w:val="18"/>
        </w:numPr>
        <w:tabs>
          <w:tab w:val="num" w:pos="567"/>
          <w:tab w:val="num" w:pos="2770"/>
        </w:tabs>
        <w:ind w:left="0" w:firstLine="290"/>
        <w:rPr>
          <w:szCs w:val="26"/>
          <w:lang w:val="es-ES"/>
        </w:rPr>
      </w:pPr>
      <w:r w:rsidRPr="06D4BFB9">
        <w:rPr>
          <w:szCs w:val="26"/>
          <w:lang w:val="es-ES"/>
        </w:rPr>
        <w:t xml:space="preserve">El </w:t>
      </w:r>
      <w:r w:rsidRPr="00372D1B">
        <w:t>convenio</w:t>
      </w:r>
      <w:r w:rsidRPr="06D4BFB9">
        <w:rPr>
          <w:szCs w:val="26"/>
          <w:lang w:val="es-ES"/>
        </w:rPr>
        <w:t xml:space="preserve"> laboral de los trabajadores del servicio de residuos de la </w:t>
      </w:r>
      <w:r w:rsidR="003C06D0">
        <w:rPr>
          <w:szCs w:val="26"/>
          <w:lang w:val="es-ES"/>
        </w:rPr>
        <w:t>Mancomunidad</w:t>
      </w:r>
      <w:r w:rsidRPr="06D4BFB9">
        <w:rPr>
          <w:szCs w:val="26"/>
          <w:lang w:val="es-ES"/>
        </w:rPr>
        <w:t xml:space="preserve"> 2019-2021</w:t>
      </w:r>
      <w:r w:rsidR="1671AA4F" w:rsidRPr="06D4BFB9">
        <w:rPr>
          <w:szCs w:val="26"/>
          <w:lang w:val="es-ES"/>
        </w:rPr>
        <w:t xml:space="preserve">, último convenio aprobado, </w:t>
      </w:r>
      <w:r w:rsidRPr="06D4BFB9">
        <w:rPr>
          <w:szCs w:val="26"/>
          <w:lang w:val="es-ES"/>
        </w:rPr>
        <w:t xml:space="preserve">no se tramitó conforme a lo establecido en el Real Decreto 1040/1981, de 22 de mayo, de Registro y Depósito de Convenios Colectivos de Trabajo y en el Real Decreto Legislativo 2/2015, de 23 de octubre, del Estatuto de los Trabajadores, </w:t>
      </w:r>
      <w:r w:rsidR="00083B2D">
        <w:rPr>
          <w:szCs w:val="26"/>
          <w:lang w:val="es-ES"/>
        </w:rPr>
        <w:t>La razón es que,</w:t>
      </w:r>
      <w:r w:rsidRPr="06D4BFB9">
        <w:rPr>
          <w:szCs w:val="26"/>
          <w:lang w:val="es-ES"/>
        </w:rPr>
        <w:t xml:space="preserve"> no se presentó ante la autoridad laboral competente a efectos de su registro ni</w:t>
      </w:r>
      <w:r w:rsidR="00364729">
        <w:rPr>
          <w:szCs w:val="26"/>
          <w:lang w:val="es-ES"/>
        </w:rPr>
        <w:t>,</w:t>
      </w:r>
      <w:r w:rsidRPr="06D4BFB9">
        <w:rPr>
          <w:szCs w:val="26"/>
          <w:lang w:val="es-ES"/>
        </w:rPr>
        <w:t xml:space="preserve"> por tanto</w:t>
      </w:r>
      <w:r w:rsidR="00977B89">
        <w:rPr>
          <w:szCs w:val="26"/>
          <w:lang w:val="es-ES"/>
        </w:rPr>
        <w:t>,</w:t>
      </w:r>
      <w:r w:rsidRPr="06D4BFB9">
        <w:rPr>
          <w:szCs w:val="26"/>
          <w:lang w:val="es-ES"/>
        </w:rPr>
        <w:t xml:space="preserve"> fue remitido al órgano público competente para su depósito y publicación en el BON.</w:t>
      </w:r>
    </w:p>
    <w:p w14:paraId="5C7D6305" w14:textId="3D06A1E8" w:rsidR="001A149D" w:rsidRDefault="001A149D" w:rsidP="00372D1B">
      <w:pPr>
        <w:pStyle w:val="texto"/>
        <w:numPr>
          <w:ilvl w:val="0"/>
          <w:numId w:val="18"/>
        </w:numPr>
        <w:tabs>
          <w:tab w:val="num" w:pos="567"/>
          <w:tab w:val="num" w:pos="2770"/>
        </w:tabs>
        <w:ind w:left="0" w:firstLine="290"/>
        <w:rPr>
          <w:szCs w:val="26"/>
        </w:rPr>
      </w:pPr>
      <w:r w:rsidRPr="00F8138F">
        <w:rPr>
          <w:szCs w:val="26"/>
        </w:rPr>
        <w:t xml:space="preserve">No se </w:t>
      </w:r>
      <w:r w:rsidRPr="00372D1B">
        <w:t>aprobaron</w:t>
      </w:r>
      <w:r w:rsidRPr="00F8138F">
        <w:rPr>
          <w:szCs w:val="26"/>
        </w:rPr>
        <w:t xml:space="preserve"> ni publicaron las tarifas de la tasa de recogida de basuras aplicadas en el ejercicio 2023.</w:t>
      </w:r>
    </w:p>
    <w:p w14:paraId="2351361C" w14:textId="4037A10C" w:rsidR="00C1358C" w:rsidRPr="005625D7" w:rsidRDefault="00C1358C" w:rsidP="00372D1B">
      <w:pPr>
        <w:pStyle w:val="texto"/>
        <w:numPr>
          <w:ilvl w:val="0"/>
          <w:numId w:val="18"/>
        </w:numPr>
        <w:tabs>
          <w:tab w:val="num" w:pos="567"/>
          <w:tab w:val="num" w:pos="2770"/>
        </w:tabs>
        <w:ind w:left="0" w:firstLine="290"/>
        <w:rPr>
          <w:szCs w:val="26"/>
        </w:rPr>
      </w:pPr>
      <w:r w:rsidRPr="005625D7">
        <w:rPr>
          <w:szCs w:val="26"/>
        </w:rPr>
        <w:t>En 2018, 2021, 2022 y 2023, l</w:t>
      </w:r>
      <w:r w:rsidR="008C2FD4" w:rsidRPr="005625D7">
        <w:rPr>
          <w:szCs w:val="26"/>
        </w:rPr>
        <w:t xml:space="preserve">a </w:t>
      </w:r>
      <w:r w:rsidR="003C06D0">
        <w:t>Mancomunidad</w:t>
      </w:r>
      <w:r w:rsidR="008C2FD4" w:rsidRPr="005625D7">
        <w:rPr>
          <w:szCs w:val="26"/>
        </w:rPr>
        <w:t xml:space="preserve"> solicitó</w:t>
      </w:r>
      <w:r w:rsidRPr="005625D7">
        <w:rPr>
          <w:szCs w:val="26"/>
        </w:rPr>
        <w:t xml:space="preserve">, por correo electrónico, </w:t>
      </w:r>
      <w:r w:rsidR="008C2FD4" w:rsidRPr="005625D7">
        <w:rPr>
          <w:szCs w:val="26"/>
        </w:rPr>
        <w:t xml:space="preserve"> a la agencia ejecutiva que suspendiera la recaudación en periodo ejecutivo por el procedimiento de apremio de la deuda por tasa de basuras del </w:t>
      </w:r>
      <w:r w:rsidR="460E84BC" w:rsidRPr="005625D7">
        <w:rPr>
          <w:szCs w:val="26"/>
        </w:rPr>
        <w:t>A</w:t>
      </w:r>
      <w:r w:rsidR="008C2FD4" w:rsidRPr="005625D7">
        <w:rPr>
          <w:szCs w:val="26"/>
        </w:rPr>
        <w:t xml:space="preserve">yuntamiento de Aoiz y </w:t>
      </w:r>
      <w:r w:rsidR="4C3235BE" w:rsidRPr="005625D7">
        <w:rPr>
          <w:szCs w:val="26"/>
        </w:rPr>
        <w:t xml:space="preserve">otras entidades públicas con sede en </w:t>
      </w:r>
      <w:r w:rsidR="008C2FD4" w:rsidRPr="005625D7">
        <w:rPr>
          <w:szCs w:val="26"/>
        </w:rPr>
        <w:t xml:space="preserve">Aoiz </w:t>
      </w:r>
      <w:r w:rsidRPr="005625D7">
        <w:rPr>
          <w:szCs w:val="26"/>
        </w:rPr>
        <w:t>(</w:t>
      </w:r>
      <w:r w:rsidR="006C13BC">
        <w:rPr>
          <w:szCs w:val="26"/>
        </w:rPr>
        <w:t xml:space="preserve">Ikastola, </w:t>
      </w:r>
      <w:r w:rsidRPr="005625D7">
        <w:rPr>
          <w:szCs w:val="26"/>
        </w:rPr>
        <w:t xml:space="preserve">Casa de Cultura, Colegio Público, Bomberos, Escuela de Música, Kanpondoa, Centro polivalencia, </w:t>
      </w:r>
      <w:r w:rsidR="003C06D0">
        <w:rPr>
          <w:szCs w:val="26"/>
        </w:rPr>
        <w:t>Mancomunidad</w:t>
      </w:r>
      <w:r w:rsidRPr="005625D7">
        <w:rPr>
          <w:szCs w:val="26"/>
        </w:rPr>
        <w:t xml:space="preserve"> de Servicios Sociales Izaga y Matadero Municipal) </w:t>
      </w:r>
      <w:r w:rsidR="008C2FD4" w:rsidRPr="005625D7">
        <w:rPr>
          <w:szCs w:val="26"/>
        </w:rPr>
        <w:t xml:space="preserve">de los años 2019 a 2022, sin que conste que el deudor hubiera solicitado aplazamiento, fraccionamiento o compensación. </w:t>
      </w:r>
      <w:r w:rsidRPr="005625D7">
        <w:rPr>
          <w:szCs w:val="26"/>
        </w:rPr>
        <w:t xml:space="preserve">En octubre de 2023, el Ayuntamiento </w:t>
      </w:r>
      <w:r w:rsidRPr="005625D7">
        <w:rPr>
          <w:szCs w:val="26"/>
        </w:rPr>
        <w:lastRenderedPageBreak/>
        <w:t xml:space="preserve">de Aoiz y organismos públicos de Aoiz ingresaron la tasa de basura de los años 2019 a 2022 por un total de 20.345 euros más 2.497 euros en concepto de recargo, inferior en varios casos al 20 por ciento establecido en la normativa. No se cobraron intereses de demora. </w:t>
      </w:r>
    </w:p>
    <w:p w14:paraId="39634911" w14:textId="185414AC" w:rsidR="640C55A1" w:rsidRDefault="640C55A1" w:rsidP="00372D1B">
      <w:pPr>
        <w:pStyle w:val="texto"/>
        <w:numPr>
          <w:ilvl w:val="0"/>
          <w:numId w:val="18"/>
        </w:numPr>
        <w:tabs>
          <w:tab w:val="num" w:pos="567"/>
          <w:tab w:val="num" w:pos="2770"/>
        </w:tabs>
        <w:ind w:left="0" w:firstLine="290"/>
        <w:rPr>
          <w:szCs w:val="26"/>
          <w:lang w:val="es-ES"/>
        </w:rPr>
      </w:pPr>
      <w:r w:rsidRPr="2C569507">
        <w:rPr>
          <w:lang w:val="es-ES"/>
        </w:rPr>
        <w:t xml:space="preserve"> </w:t>
      </w:r>
      <w:r w:rsidR="00214D08">
        <w:rPr>
          <w:szCs w:val="26"/>
          <w:lang w:val="es-ES"/>
        </w:rPr>
        <w:t xml:space="preserve">La </w:t>
      </w:r>
      <w:r w:rsidR="003C06D0">
        <w:t>Mancomunidad</w:t>
      </w:r>
      <w:r w:rsidR="00214D08">
        <w:rPr>
          <w:szCs w:val="26"/>
          <w:lang w:val="es-ES"/>
        </w:rPr>
        <w:t xml:space="preserve"> envió deudas </w:t>
      </w:r>
      <w:r w:rsidRPr="005625D7">
        <w:rPr>
          <w:szCs w:val="26"/>
          <w:lang w:val="es-ES"/>
        </w:rPr>
        <w:t xml:space="preserve">a la agencia ejecutiva para su recaudación por el procedimiento de apremio </w:t>
      </w:r>
      <w:r w:rsidR="00214D08">
        <w:rPr>
          <w:szCs w:val="26"/>
          <w:lang w:val="es-ES"/>
        </w:rPr>
        <w:t xml:space="preserve">y posteriormente le ordenó </w:t>
      </w:r>
      <w:r w:rsidRPr="005625D7">
        <w:rPr>
          <w:szCs w:val="26"/>
          <w:lang w:val="es-ES"/>
        </w:rPr>
        <w:t>que cobrara solamente el principal, sin el recargo correspondiente. Este procedimiento se aplicó al menos a 13 contribuyentes.</w:t>
      </w:r>
    </w:p>
    <w:p w14:paraId="6D67D59D" w14:textId="54B044DD" w:rsidR="002B7E8E" w:rsidRPr="0025740A" w:rsidRDefault="4E0BFDD7">
      <w:pPr>
        <w:pStyle w:val="atitulo1"/>
      </w:pPr>
      <w:r w:rsidRPr="005625D7">
        <w:rPr>
          <w:b w:val="0"/>
          <w:bCs/>
          <w:iCs/>
          <w:color w:val="auto"/>
          <w:spacing w:val="6"/>
          <w:sz w:val="26"/>
          <w:lang w:val="es-ES"/>
        </w:rPr>
        <w:br w:type="page"/>
      </w:r>
      <w:bookmarkStart w:id="65" w:name="_Toc147385026"/>
      <w:bookmarkStart w:id="66" w:name="_Toc182397295"/>
      <w:r w:rsidR="002B7E8E" w:rsidRPr="005625D7">
        <w:lastRenderedPageBreak/>
        <w:t>V. Cuestiones claves de auditoria</w:t>
      </w:r>
      <w:bookmarkEnd w:id="62"/>
      <w:bookmarkEnd w:id="63"/>
      <w:bookmarkEnd w:id="65"/>
      <w:bookmarkEnd w:id="66"/>
    </w:p>
    <w:p w14:paraId="063DE84B" w14:textId="13B0BB8A" w:rsidR="002B7E8E" w:rsidRPr="00A04DF5" w:rsidRDefault="235FD0DA" w:rsidP="00942938">
      <w:pPr>
        <w:pStyle w:val="texto"/>
        <w:tabs>
          <w:tab w:val="left" w:pos="142"/>
        </w:tabs>
      </w:pPr>
      <w:r>
        <w:t xml:space="preserve">Las cuestiones clave de la auditoría son aquellas cuestiones que, según nuestro juicio profesional, han sido de la mayor significatividad en nuestra fiscalización de la cuenta general del periodo actual. Estas cuestiones han sido tratadas en el contexto de nuestra auditoría de la cuenta general en su conjunto y en la formación de nuestra opinión sobre esta, y no expresamos una opinión por separado sobre </w:t>
      </w:r>
      <w:r w:rsidR="1E4C819D">
        <w:t>las mismas</w:t>
      </w:r>
      <w:r>
        <w:t>.</w:t>
      </w:r>
    </w:p>
    <w:p w14:paraId="0B362B40" w14:textId="69E3CA7D" w:rsidR="002B7E8E" w:rsidRPr="00A04DF5" w:rsidRDefault="002B7E8E" w:rsidP="00942938">
      <w:pPr>
        <w:pStyle w:val="texto"/>
        <w:tabs>
          <w:tab w:val="left" w:pos="142"/>
        </w:tabs>
        <w:rPr>
          <w:szCs w:val="26"/>
        </w:rPr>
      </w:pPr>
      <w:r w:rsidRPr="00504E68">
        <w:rPr>
          <w:szCs w:val="26"/>
        </w:rPr>
        <w:t>Excepto por las cuestiones descritas en la</w:t>
      </w:r>
      <w:r w:rsidR="00B320F0" w:rsidRPr="00504E68">
        <w:rPr>
          <w:szCs w:val="26"/>
        </w:rPr>
        <w:t>s secciones</w:t>
      </w:r>
      <w:r w:rsidRPr="00504E68">
        <w:rPr>
          <w:szCs w:val="26"/>
        </w:rPr>
        <w:t xml:space="preserve"> “Fundamento de la opinión de </w:t>
      </w:r>
      <w:r w:rsidR="00B320F0" w:rsidRPr="00504E68">
        <w:rPr>
          <w:szCs w:val="26"/>
        </w:rPr>
        <w:t xml:space="preserve">auditoría </w:t>
      </w:r>
      <w:r w:rsidR="00B320F0" w:rsidRPr="002448C4">
        <w:rPr>
          <w:szCs w:val="26"/>
        </w:rPr>
        <w:t xml:space="preserve">financiera </w:t>
      </w:r>
      <w:r w:rsidR="002448C4" w:rsidRPr="002448C4">
        <w:rPr>
          <w:szCs w:val="26"/>
        </w:rPr>
        <w:t>desfavorable</w:t>
      </w:r>
      <w:r w:rsidR="00B320F0" w:rsidRPr="002448C4">
        <w:rPr>
          <w:szCs w:val="26"/>
        </w:rPr>
        <w:t>” y “Fundamento de la opinión de le</w:t>
      </w:r>
      <w:r w:rsidRPr="002448C4">
        <w:rPr>
          <w:szCs w:val="26"/>
        </w:rPr>
        <w:t xml:space="preserve">galidad </w:t>
      </w:r>
      <w:r w:rsidR="00BC28A1">
        <w:rPr>
          <w:szCs w:val="26"/>
        </w:rPr>
        <w:t>desfavorable</w:t>
      </w:r>
      <w:r w:rsidRPr="002448C4">
        <w:rPr>
          <w:szCs w:val="26"/>
        </w:rPr>
        <w:t xml:space="preserve">” de este informe, no comunicamos </w:t>
      </w:r>
      <w:r w:rsidRPr="00A04DF5">
        <w:rPr>
          <w:szCs w:val="26"/>
        </w:rPr>
        <w:t>ninguna cuestión considerada como clave en nuestra fiscalización.</w:t>
      </w:r>
    </w:p>
    <w:p w14:paraId="1F72F646" w14:textId="77777777" w:rsidR="002B7E8E" w:rsidRPr="00A04DF5" w:rsidRDefault="002B7E8E" w:rsidP="002B7E8E">
      <w:pPr>
        <w:pStyle w:val="texto"/>
        <w:tabs>
          <w:tab w:val="left" w:pos="142"/>
        </w:tabs>
        <w:rPr>
          <w:szCs w:val="26"/>
        </w:rPr>
      </w:pPr>
    </w:p>
    <w:p w14:paraId="08CE6F91" w14:textId="77777777" w:rsidR="002B7E8E" w:rsidRPr="00A04DF5" w:rsidRDefault="002B7E8E" w:rsidP="002B7E8E">
      <w:pPr>
        <w:pStyle w:val="texto"/>
        <w:tabs>
          <w:tab w:val="left" w:pos="142"/>
        </w:tabs>
        <w:rPr>
          <w:szCs w:val="26"/>
        </w:rPr>
      </w:pPr>
      <w:r w:rsidRPr="00A04DF5">
        <w:rPr>
          <w:szCs w:val="26"/>
        </w:rPr>
        <w:br w:type="page"/>
      </w:r>
    </w:p>
    <w:p w14:paraId="0AB52E28" w14:textId="77777777" w:rsidR="002B7E8E" w:rsidRPr="005625D7" w:rsidRDefault="002B7E8E">
      <w:pPr>
        <w:pStyle w:val="atitulo1"/>
      </w:pPr>
      <w:bookmarkStart w:id="67" w:name="_Toc129330306"/>
      <w:bookmarkStart w:id="68" w:name="_Toc147385027"/>
      <w:bookmarkStart w:id="69" w:name="_Toc182397296"/>
      <w:r w:rsidRPr="005625D7">
        <w:lastRenderedPageBreak/>
        <w:t>VI. Párrafo de énfasis</w:t>
      </w:r>
      <w:bookmarkEnd w:id="67"/>
      <w:bookmarkEnd w:id="68"/>
      <w:bookmarkEnd w:id="69"/>
    </w:p>
    <w:p w14:paraId="6BE20DE0" w14:textId="3B2AF2B3" w:rsidR="00356050" w:rsidRPr="0029381A" w:rsidRDefault="103BED4B" w:rsidP="00C6720F">
      <w:pPr>
        <w:pStyle w:val="texto"/>
      </w:pPr>
      <w:r>
        <w:t xml:space="preserve">Llamamos la atención sobre </w:t>
      </w:r>
      <w:r w:rsidR="00F450B2">
        <w:t>la delicada situación financiera en el ejercicio 202</w:t>
      </w:r>
      <w:r w:rsidR="00356050">
        <w:t>3, puesta de manifiesto en el informe del secretario-interventor</w:t>
      </w:r>
      <w:r w:rsidR="002F0E28">
        <w:t>. Dicha situación se caracteriza</w:t>
      </w:r>
      <w:r w:rsidR="00A750ED">
        <w:t>,</w:t>
      </w:r>
      <w:r w:rsidR="00F450B2">
        <w:t xml:space="preserve"> por un ahorro bruto de recursos ordinarios insuficiente para atender la carga financiera del endeudamiento y por la existencia de tensiones de tesorería que han supuesto la concertación</w:t>
      </w:r>
      <w:r w:rsidR="00356050">
        <w:t xml:space="preserve"> de tres préstamos de tesorería</w:t>
      </w:r>
      <w:r w:rsidR="001440D5">
        <w:t>.</w:t>
      </w:r>
      <w:r w:rsidR="00776B8A">
        <w:t xml:space="preserve"> El remanente de tesorería a 31 de diciembre de 2023, corregidas las deficiencias detectadas en la fiscalización, asciende a -</w:t>
      </w:r>
      <w:r w:rsidR="0029381A">
        <w:t>279.225 euros.</w:t>
      </w:r>
    </w:p>
    <w:p w14:paraId="728B8D6B" w14:textId="7338752F" w:rsidR="00CC4648" w:rsidRDefault="00356050" w:rsidP="00C6720F">
      <w:pPr>
        <w:pStyle w:val="texto"/>
        <w:spacing w:after="240"/>
      </w:pPr>
      <w:r>
        <w:t xml:space="preserve">La situación financiera </w:t>
      </w:r>
      <w:r w:rsidR="00F612B8">
        <w:t>empeoró</w:t>
      </w:r>
      <w:r>
        <w:t xml:space="preserve"> del ejercicio 2022 a 2023</w:t>
      </w:r>
      <w:r w:rsidR="00F450B2">
        <w:t xml:space="preserve"> </w:t>
      </w:r>
      <w:r w:rsidR="00E61497">
        <w:t xml:space="preserve">debido al descenso de los </w:t>
      </w:r>
      <w:r w:rsidR="00E61497" w:rsidRPr="00B601C8">
        <w:t>ingresos corrientes</w:t>
      </w:r>
      <w:r w:rsidR="00AD7291" w:rsidRPr="00B601C8">
        <w:t xml:space="preserve"> en un cuatro por ciento, frente al</w:t>
      </w:r>
      <w:r w:rsidR="00AD7291">
        <w:t xml:space="preserve"> mantenimiento de los gastos de funcionamiento</w:t>
      </w:r>
      <w:r w:rsidR="00E61497">
        <w:t xml:space="preserve">, </w:t>
      </w:r>
      <w:r w:rsidR="00AD7291">
        <w:t xml:space="preserve">tal como se muestra en el siguiente cuadro. </w:t>
      </w:r>
    </w:p>
    <w:tbl>
      <w:tblPr>
        <w:tblW w:w="0" w:type="auto"/>
        <w:tblLook w:val="04A0" w:firstRow="1" w:lastRow="0" w:firstColumn="1" w:lastColumn="0" w:noHBand="0" w:noVBand="1"/>
      </w:tblPr>
      <w:tblGrid>
        <w:gridCol w:w="2410"/>
        <w:gridCol w:w="1817"/>
        <w:gridCol w:w="2074"/>
        <w:gridCol w:w="2487"/>
      </w:tblGrid>
      <w:tr w:rsidR="00AD7291" w:rsidRPr="00B30942" w14:paraId="41B2DF85" w14:textId="77777777" w:rsidTr="000163FB">
        <w:trPr>
          <w:trHeight w:val="242"/>
        </w:trPr>
        <w:tc>
          <w:tcPr>
            <w:tcW w:w="2410" w:type="dxa"/>
            <w:tcBorders>
              <w:top w:val="single" w:sz="4" w:space="0" w:color="auto"/>
              <w:left w:val="nil"/>
              <w:bottom w:val="single" w:sz="4" w:space="0" w:color="auto"/>
              <w:right w:val="nil"/>
            </w:tcBorders>
            <w:shd w:val="clear" w:color="auto" w:fill="FABF8F"/>
            <w:vAlign w:val="center"/>
          </w:tcPr>
          <w:p w14:paraId="18A548CF" w14:textId="77777777" w:rsidR="00AD7291" w:rsidRPr="000863F4" w:rsidRDefault="00AD7291" w:rsidP="002A39E5">
            <w:pPr>
              <w:pStyle w:val="cuadroCabe"/>
              <w:rPr>
                <w:lang w:val="es-ES" w:eastAsia="es-ES"/>
              </w:rPr>
            </w:pPr>
            <w:r w:rsidRPr="000863F4">
              <w:rPr>
                <w:lang w:val="es-ES" w:eastAsia="es-ES"/>
              </w:rPr>
              <w:t>Indicador</w:t>
            </w:r>
          </w:p>
        </w:tc>
        <w:tc>
          <w:tcPr>
            <w:tcW w:w="1817" w:type="dxa"/>
            <w:tcBorders>
              <w:top w:val="single" w:sz="4" w:space="0" w:color="auto"/>
              <w:left w:val="nil"/>
              <w:bottom w:val="single" w:sz="4" w:space="0" w:color="auto"/>
              <w:right w:val="nil"/>
            </w:tcBorders>
            <w:shd w:val="clear" w:color="auto" w:fill="FABF8F"/>
            <w:vAlign w:val="center"/>
          </w:tcPr>
          <w:p w14:paraId="4B627C0F" w14:textId="30EEF062" w:rsidR="00AD7291" w:rsidRPr="000863F4" w:rsidRDefault="00AD7291" w:rsidP="002A39E5">
            <w:pPr>
              <w:pStyle w:val="cuadroCabe"/>
              <w:jc w:val="right"/>
              <w:rPr>
                <w:lang w:val="es-ES" w:eastAsia="es-ES"/>
              </w:rPr>
            </w:pPr>
            <w:r w:rsidRPr="000863F4">
              <w:rPr>
                <w:lang w:val="es-ES" w:eastAsia="es-ES"/>
              </w:rPr>
              <w:t>2022</w:t>
            </w:r>
            <w:r w:rsidR="00B601C8" w:rsidRPr="000863F4">
              <w:rPr>
                <w:lang w:val="es-ES" w:eastAsia="es-ES"/>
              </w:rPr>
              <w:t>*</w:t>
            </w:r>
          </w:p>
        </w:tc>
        <w:tc>
          <w:tcPr>
            <w:tcW w:w="2074" w:type="dxa"/>
            <w:tcBorders>
              <w:top w:val="single" w:sz="4" w:space="0" w:color="auto"/>
              <w:left w:val="nil"/>
              <w:bottom w:val="single" w:sz="4" w:space="0" w:color="auto"/>
              <w:right w:val="nil"/>
            </w:tcBorders>
            <w:shd w:val="clear" w:color="auto" w:fill="FABF8F"/>
            <w:vAlign w:val="center"/>
          </w:tcPr>
          <w:p w14:paraId="4F4E5B6F" w14:textId="56C81225" w:rsidR="00AD7291" w:rsidRPr="000863F4" w:rsidRDefault="00AD7291" w:rsidP="002A39E5">
            <w:pPr>
              <w:pStyle w:val="cuadroCabe"/>
              <w:jc w:val="right"/>
              <w:rPr>
                <w:lang w:val="es-ES" w:eastAsia="es-ES"/>
              </w:rPr>
            </w:pPr>
            <w:r w:rsidRPr="000863F4">
              <w:rPr>
                <w:lang w:val="es-ES" w:eastAsia="es-ES"/>
              </w:rPr>
              <w:t>2023</w:t>
            </w:r>
          </w:p>
        </w:tc>
        <w:tc>
          <w:tcPr>
            <w:tcW w:w="2487" w:type="dxa"/>
            <w:tcBorders>
              <w:top w:val="single" w:sz="4" w:space="0" w:color="auto"/>
              <w:left w:val="nil"/>
              <w:bottom w:val="single" w:sz="4" w:space="0" w:color="auto"/>
              <w:right w:val="nil"/>
            </w:tcBorders>
            <w:shd w:val="clear" w:color="auto" w:fill="FABF8F"/>
            <w:vAlign w:val="center"/>
          </w:tcPr>
          <w:p w14:paraId="7399C0AF" w14:textId="649A7EC9" w:rsidR="00AD7291" w:rsidRPr="000863F4" w:rsidRDefault="00AD7291" w:rsidP="002A39E5">
            <w:pPr>
              <w:pStyle w:val="cuadroCabe"/>
              <w:jc w:val="right"/>
              <w:rPr>
                <w:lang w:val="es-ES" w:eastAsia="es-ES"/>
              </w:rPr>
            </w:pPr>
            <w:r w:rsidRPr="000863F4">
              <w:rPr>
                <w:lang w:val="es-ES" w:eastAsia="es-ES"/>
              </w:rPr>
              <w:t>% variación</w:t>
            </w:r>
            <w:r w:rsidR="00321210" w:rsidRPr="000863F4">
              <w:rPr>
                <w:lang w:val="es-ES" w:eastAsia="es-ES"/>
              </w:rPr>
              <w:t xml:space="preserve"> </w:t>
            </w:r>
            <w:r w:rsidRPr="000863F4">
              <w:rPr>
                <w:lang w:val="es-ES" w:eastAsia="es-ES"/>
              </w:rPr>
              <w:t>2023/2022</w:t>
            </w:r>
          </w:p>
        </w:tc>
      </w:tr>
      <w:tr w:rsidR="00AD7291" w:rsidRPr="00E61497" w14:paraId="5B298A67" w14:textId="77777777" w:rsidTr="000163FB">
        <w:trPr>
          <w:trHeight w:val="198"/>
        </w:trPr>
        <w:tc>
          <w:tcPr>
            <w:tcW w:w="2410" w:type="dxa"/>
            <w:tcBorders>
              <w:top w:val="single" w:sz="4" w:space="0" w:color="auto"/>
              <w:left w:val="nil"/>
              <w:bottom w:val="single" w:sz="2" w:space="0" w:color="auto"/>
              <w:right w:val="nil"/>
            </w:tcBorders>
            <w:shd w:val="clear" w:color="auto" w:fill="auto"/>
            <w:vAlign w:val="center"/>
          </w:tcPr>
          <w:p w14:paraId="6143AB7D" w14:textId="00ACF9EC" w:rsidR="00AD7291" w:rsidRPr="00B30942" w:rsidRDefault="00AD7291" w:rsidP="00E61497">
            <w:pPr>
              <w:pStyle w:val="cuadroCabe"/>
              <w:rPr>
                <w:rFonts w:ascii="Arial Narrow" w:hAnsi="Arial Narrow" w:cs="Calibri"/>
                <w:sz w:val="20"/>
                <w:szCs w:val="20"/>
              </w:rPr>
            </w:pPr>
            <w:r w:rsidRPr="00B30942">
              <w:rPr>
                <w:rFonts w:ascii="Arial Narrow" w:hAnsi="Arial Narrow" w:cs="Calibri"/>
                <w:sz w:val="20"/>
                <w:szCs w:val="20"/>
              </w:rPr>
              <w:t>Ingresos corrientes</w:t>
            </w:r>
          </w:p>
        </w:tc>
        <w:tc>
          <w:tcPr>
            <w:tcW w:w="1817" w:type="dxa"/>
            <w:tcBorders>
              <w:top w:val="single" w:sz="4" w:space="0" w:color="auto"/>
              <w:left w:val="nil"/>
              <w:bottom w:val="single" w:sz="2" w:space="0" w:color="auto"/>
              <w:right w:val="nil"/>
            </w:tcBorders>
            <w:shd w:val="clear" w:color="auto" w:fill="auto"/>
            <w:vAlign w:val="center"/>
          </w:tcPr>
          <w:p w14:paraId="2B0A6219" w14:textId="257AF514"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739.670</w:t>
            </w:r>
          </w:p>
        </w:tc>
        <w:tc>
          <w:tcPr>
            <w:tcW w:w="2074" w:type="dxa"/>
            <w:tcBorders>
              <w:top w:val="single" w:sz="4" w:space="0" w:color="auto"/>
              <w:left w:val="nil"/>
              <w:bottom w:val="single" w:sz="2" w:space="0" w:color="auto"/>
              <w:right w:val="nil"/>
            </w:tcBorders>
            <w:vAlign w:val="center"/>
          </w:tcPr>
          <w:p w14:paraId="573363F2" w14:textId="0410113E"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712.356</w:t>
            </w:r>
          </w:p>
        </w:tc>
        <w:tc>
          <w:tcPr>
            <w:tcW w:w="2487" w:type="dxa"/>
            <w:tcBorders>
              <w:top w:val="single" w:sz="4" w:space="0" w:color="auto"/>
              <w:left w:val="nil"/>
              <w:bottom w:val="single" w:sz="2" w:space="0" w:color="auto"/>
              <w:right w:val="nil"/>
            </w:tcBorders>
            <w:vAlign w:val="center"/>
          </w:tcPr>
          <w:p w14:paraId="5021A702" w14:textId="369D2087"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-4</w:t>
            </w:r>
          </w:p>
        </w:tc>
      </w:tr>
      <w:tr w:rsidR="00AD7291" w:rsidRPr="00E61497" w14:paraId="55BC4039" w14:textId="77777777" w:rsidTr="000163FB">
        <w:trPr>
          <w:trHeight w:val="198"/>
        </w:trPr>
        <w:tc>
          <w:tcPr>
            <w:tcW w:w="2410" w:type="dxa"/>
            <w:tcBorders>
              <w:top w:val="single" w:sz="2" w:space="0" w:color="auto"/>
              <w:left w:val="nil"/>
              <w:bottom w:val="single" w:sz="2" w:space="0" w:color="auto"/>
              <w:right w:val="nil"/>
            </w:tcBorders>
            <w:shd w:val="clear" w:color="auto" w:fill="auto"/>
            <w:vAlign w:val="center"/>
          </w:tcPr>
          <w:p w14:paraId="27B64ABF" w14:textId="63A0AE53" w:rsidR="00AD7291" w:rsidRPr="00B30942" w:rsidRDefault="00AD7291" w:rsidP="00E61497">
            <w:pPr>
              <w:pStyle w:val="cuadroCabe"/>
              <w:rPr>
                <w:rFonts w:ascii="Arial Narrow" w:hAnsi="Arial Narrow" w:cs="Calibri"/>
                <w:sz w:val="20"/>
                <w:szCs w:val="20"/>
              </w:rPr>
            </w:pPr>
            <w:r w:rsidRPr="00B30942">
              <w:rPr>
                <w:rFonts w:ascii="Arial Narrow" w:hAnsi="Arial Narrow" w:cs="Calibri"/>
                <w:sz w:val="20"/>
                <w:szCs w:val="20"/>
              </w:rPr>
              <w:t>Gastos de funcionamiento</w:t>
            </w:r>
          </w:p>
        </w:tc>
        <w:tc>
          <w:tcPr>
            <w:tcW w:w="1817" w:type="dxa"/>
            <w:tcBorders>
              <w:top w:val="single" w:sz="2" w:space="0" w:color="auto"/>
              <w:left w:val="nil"/>
              <w:bottom w:val="single" w:sz="2" w:space="0" w:color="auto"/>
              <w:right w:val="nil"/>
            </w:tcBorders>
            <w:shd w:val="clear" w:color="auto" w:fill="auto"/>
            <w:vAlign w:val="center"/>
          </w:tcPr>
          <w:p w14:paraId="354B0978" w14:textId="7BF5F4C4"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694.980</w:t>
            </w:r>
          </w:p>
        </w:tc>
        <w:tc>
          <w:tcPr>
            <w:tcW w:w="2074" w:type="dxa"/>
            <w:tcBorders>
              <w:top w:val="single" w:sz="2" w:space="0" w:color="auto"/>
              <w:left w:val="nil"/>
              <w:bottom w:val="single" w:sz="2" w:space="0" w:color="auto"/>
              <w:right w:val="nil"/>
            </w:tcBorders>
            <w:vAlign w:val="center"/>
          </w:tcPr>
          <w:p w14:paraId="0E7956DA" w14:textId="1A215559"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697.584</w:t>
            </w:r>
          </w:p>
        </w:tc>
        <w:tc>
          <w:tcPr>
            <w:tcW w:w="2487" w:type="dxa"/>
            <w:tcBorders>
              <w:top w:val="single" w:sz="2" w:space="0" w:color="auto"/>
              <w:left w:val="nil"/>
              <w:bottom w:val="single" w:sz="2" w:space="0" w:color="auto"/>
              <w:right w:val="nil"/>
            </w:tcBorders>
            <w:vAlign w:val="center"/>
          </w:tcPr>
          <w:p w14:paraId="3CF7085A" w14:textId="2DC6EE3B"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0,4</w:t>
            </w:r>
          </w:p>
        </w:tc>
      </w:tr>
      <w:tr w:rsidR="00AD7291" w:rsidRPr="00E61497" w14:paraId="645B26AB" w14:textId="77777777" w:rsidTr="000163FB">
        <w:trPr>
          <w:trHeight w:val="198"/>
        </w:trPr>
        <w:tc>
          <w:tcPr>
            <w:tcW w:w="2410" w:type="dxa"/>
            <w:tcBorders>
              <w:top w:val="single" w:sz="2" w:space="0" w:color="auto"/>
              <w:left w:val="nil"/>
              <w:bottom w:val="single" w:sz="2" w:space="0" w:color="auto"/>
              <w:right w:val="nil"/>
            </w:tcBorders>
            <w:shd w:val="clear" w:color="auto" w:fill="auto"/>
            <w:vAlign w:val="center"/>
          </w:tcPr>
          <w:p w14:paraId="0396A4BE" w14:textId="77777777" w:rsidR="00AD7291" w:rsidRPr="00B30942" w:rsidRDefault="00AD7291" w:rsidP="00E61497">
            <w:pPr>
              <w:pStyle w:val="cuadroCabe"/>
              <w:rPr>
                <w:rFonts w:ascii="Arial Narrow" w:hAnsi="Arial Narrow" w:cs="Calibri"/>
                <w:sz w:val="20"/>
                <w:szCs w:val="20"/>
              </w:rPr>
            </w:pPr>
            <w:r w:rsidRPr="00B30942">
              <w:rPr>
                <w:rFonts w:ascii="Arial Narrow" w:hAnsi="Arial Narrow" w:cs="Calibri"/>
                <w:sz w:val="20"/>
                <w:szCs w:val="20"/>
              </w:rPr>
              <w:t>Ahorro bruto</w:t>
            </w:r>
          </w:p>
        </w:tc>
        <w:tc>
          <w:tcPr>
            <w:tcW w:w="1817" w:type="dxa"/>
            <w:tcBorders>
              <w:top w:val="single" w:sz="2" w:space="0" w:color="auto"/>
              <w:left w:val="nil"/>
              <w:bottom w:val="single" w:sz="2" w:space="0" w:color="auto"/>
              <w:right w:val="nil"/>
            </w:tcBorders>
            <w:shd w:val="clear" w:color="auto" w:fill="auto"/>
            <w:vAlign w:val="center"/>
          </w:tcPr>
          <w:p w14:paraId="579960A9" w14:textId="4A68C79C"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44.690</w:t>
            </w:r>
          </w:p>
        </w:tc>
        <w:tc>
          <w:tcPr>
            <w:tcW w:w="2074" w:type="dxa"/>
            <w:tcBorders>
              <w:top w:val="single" w:sz="2" w:space="0" w:color="auto"/>
              <w:left w:val="nil"/>
              <w:bottom w:val="single" w:sz="2" w:space="0" w:color="auto"/>
              <w:right w:val="nil"/>
            </w:tcBorders>
            <w:vAlign w:val="center"/>
          </w:tcPr>
          <w:p w14:paraId="54356EB0" w14:textId="76C59D31"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14.772</w:t>
            </w:r>
          </w:p>
        </w:tc>
        <w:tc>
          <w:tcPr>
            <w:tcW w:w="2487" w:type="dxa"/>
            <w:tcBorders>
              <w:top w:val="single" w:sz="2" w:space="0" w:color="auto"/>
              <w:left w:val="nil"/>
              <w:bottom w:val="single" w:sz="2" w:space="0" w:color="auto"/>
              <w:right w:val="nil"/>
            </w:tcBorders>
            <w:vAlign w:val="center"/>
          </w:tcPr>
          <w:p w14:paraId="102943EA" w14:textId="0618C08C"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-67</w:t>
            </w:r>
          </w:p>
        </w:tc>
      </w:tr>
      <w:tr w:rsidR="00AD7291" w:rsidRPr="00E61497" w14:paraId="681C68F1" w14:textId="77777777" w:rsidTr="000163FB">
        <w:trPr>
          <w:trHeight w:val="198"/>
        </w:trPr>
        <w:tc>
          <w:tcPr>
            <w:tcW w:w="2410" w:type="dxa"/>
            <w:tcBorders>
              <w:top w:val="single" w:sz="2" w:space="0" w:color="auto"/>
              <w:left w:val="nil"/>
              <w:bottom w:val="single" w:sz="2" w:space="0" w:color="auto"/>
              <w:right w:val="nil"/>
            </w:tcBorders>
            <w:shd w:val="clear" w:color="auto" w:fill="auto"/>
            <w:vAlign w:val="center"/>
          </w:tcPr>
          <w:p w14:paraId="1ED63010" w14:textId="77777777" w:rsidR="00AD7291" w:rsidRPr="00B30942" w:rsidRDefault="00AD7291" w:rsidP="00E61497">
            <w:pPr>
              <w:pStyle w:val="cuadroCabe"/>
              <w:rPr>
                <w:rFonts w:ascii="Arial Narrow" w:hAnsi="Arial Narrow" w:cs="Calibri"/>
                <w:sz w:val="20"/>
                <w:szCs w:val="20"/>
              </w:rPr>
            </w:pPr>
            <w:r w:rsidRPr="00B30942">
              <w:rPr>
                <w:rFonts w:ascii="Arial Narrow" w:hAnsi="Arial Narrow" w:cs="Calibri"/>
                <w:sz w:val="20"/>
                <w:szCs w:val="20"/>
              </w:rPr>
              <w:t>Carga financiera</w:t>
            </w:r>
          </w:p>
        </w:tc>
        <w:tc>
          <w:tcPr>
            <w:tcW w:w="1817" w:type="dxa"/>
            <w:tcBorders>
              <w:top w:val="single" w:sz="2" w:space="0" w:color="auto"/>
              <w:left w:val="nil"/>
              <w:bottom w:val="single" w:sz="2" w:space="0" w:color="auto"/>
              <w:right w:val="nil"/>
            </w:tcBorders>
            <w:shd w:val="clear" w:color="auto" w:fill="auto"/>
            <w:vAlign w:val="center"/>
          </w:tcPr>
          <w:p w14:paraId="59F5D62C" w14:textId="761A5BE4"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43.838</w:t>
            </w:r>
          </w:p>
        </w:tc>
        <w:tc>
          <w:tcPr>
            <w:tcW w:w="2074" w:type="dxa"/>
            <w:tcBorders>
              <w:top w:val="single" w:sz="2" w:space="0" w:color="auto"/>
              <w:left w:val="nil"/>
              <w:bottom w:val="single" w:sz="2" w:space="0" w:color="auto"/>
              <w:right w:val="nil"/>
            </w:tcBorders>
            <w:vAlign w:val="center"/>
          </w:tcPr>
          <w:p w14:paraId="6DEFAC9E" w14:textId="5B1D075F"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44.037</w:t>
            </w:r>
          </w:p>
        </w:tc>
        <w:tc>
          <w:tcPr>
            <w:tcW w:w="2487" w:type="dxa"/>
            <w:tcBorders>
              <w:top w:val="single" w:sz="2" w:space="0" w:color="auto"/>
              <w:left w:val="nil"/>
              <w:bottom w:val="single" w:sz="2" w:space="0" w:color="auto"/>
              <w:right w:val="nil"/>
            </w:tcBorders>
            <w:vAlign w:val="center"/>
          </w:tcPr>
          <w:p w14:paraId="380C2319" w14:textId="0AF4524E"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0,4</w:t>
            </w:r>
          </w:p>
        </w:tc>
      </w:tr>
      <w:tr w:rsidR="00AD7291" w:rsidRPr="00AF775E" w14:paraId="7D01A5A6" w14:textId="77777777" w:rsidTr="000163FB">
        <w:trPr>
          <w:trHeight w:val="198"/>
        </w:trPr>
        <w:tc>
          <w:tcPr>
            <w:tcW w:w="2410" w:type="dxa"/>
            <w:tcBorders>
              <w:top w:val="single" w:sz="2" w:space="0" w:color="auto"/>
              <w:left w:val="nil"/>
              <w:bottom w:val="single" w:sz="4" w:space="0" w:color="auto"/>
              <w:right w:val="nil"/>
            </w:tcBorders>
            <w:shd w:val="clear" w:color="auto" w:fill="auto"/>
            <w:vAlign w:val="center"/>
          </w:tcPr>
          <w:p w14:paraId="1F37EE21" w14:textId="77777777" w:rsidR="00AD7291" w:rsidRPr="00B30942" w:rsidRDefault="00AD7291" w:rsidP="00E61497">
            <w:pPr>
              <w:pStyle w:val="cuadroCabe"/>
              <w:rPr>
                <w:rFonts w:ascii="Arial Narrow" w:hAnsi="Arial Narrow" w:cs="Calibri"/>
                <w:sz w:val="20"/>
                <w:szCs w:val="20"/>
              </w:rPr>
            </w:pPr>
            <w:r w:rsidRPr="00B30942">
              <w:rPr>
                <w:rFonts w:ascii="Arial Narrow" w:hAnsi="Arial Narrow" w:cs="Calibri"/>
                <w:sz w:val="20"/>
                <w:szCs w:val="20"/>
              </w:rPr>
              <w:t>Ahorro neto</w:t>
            </w:r>
          </w:p>
        </w:tc>
        <w:tc>
          <w:tcPr>
            <w:tcW w:w="1817" w:type="dxa"/>
            <w:tcBorders>
              <w:top w:val="single" w:sz="2" w:space="0" w:color="auto"/>
              <w:left w:val="nil"/>
              <w:bottom w:val="single" w:sz="4" w:space="0" w:color="auto"/>
              <w:right w:val="nil"/>
            </w:tcBorders>
            <w:shd w:val="clear" w:color="auto" w:fill="auto"/>
            <w:vAlign w:val="center"/>
          </w:tcPr>
          <w:p w14:paraId="586A066D" w14:textId="6CC0B8A0"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852</w:t>
            </w:r>
          </w:p>
        </w:tc>
        <w:tc>
          <w:tcPr>
            <w:tcW w:w="2074" w:type="dxa"/>
            <w:tcBorders>
              <w:top w:val="single" w:sz="2" w:space="0" w:color="auto"/>
              <w:left w:val="nil"/>
              <w:bottom w:val="single" w:sz="4" w:space="0" w:color="auto"/>
              <w:right w:val="nil"/>
            </w:tcBorders>
            <w:vAlign w:val="center"/>
          </w:tcPr>
          <w:p w14:paraId="7CD3B2C8" w14:textId="47F2467F" w:rsidR="00AD7291" w:rsidRPr="00B30942" w:rsidRDefault="00AD7291" w:rsidP="00321210">
            <w:pPr>
              <w:pStyle w:val="cuadroCabe"/>
              <w:jc w:val="right"/>
              <w:rPr>
                <w:rFonts w:ascii="Arial Narrow" w:hAnsi="Arial Narrow" w:cs="Calibri"/>
                <w:sz w:val="20"/>
                <w:szCs w:val="20"/>
              </w:rPr>
            </w:pPr>
            <w:r w:rsidRPr="00B30942">
              <w:rPr>
                <w:rFonts w:ascii="Arial Narrow" w:hAnsi="Arial Narrow" w:cs="Calibri"/>
                <w:sz w:val="20"/>
                <w:szCs w:val="20"/>
              </w:rPr>
              <w:t>-29.265</w:t>
            </w:r>
          </w:p>
        </w:tc>
        <w:tc>
          <w:tcPr>
            <w:tcW w:w="2487" w:type="dxa"/>
            <w:tcBorders>
              <w:top w:val="single" w:sz="2" w:space="0" w:color="auto"/>
              <w:left w:val="nil"/>
              <w:bottom w:val="single" w:sz="4" w:space="0" w:color="auto"/>
              <w:right w:val="nil"/>
            </w:tcBorders>
            <w:vAlign w:val="center"/>
          </w:tcPr>
          <w:p w14:paraId="7862C238" w14:textId="0FFB35FA" w:rsidR="00AD7291" w:rsidRPr="00B30942" w:rsidRDefault="00FE3DD9" w:rsidP="00321210">
            <w:pPr>
              <w:pStyle w:val="cuadroCabe"/>
              <w:jc w:val="right"/>
              <w:rPr>
                <w:rFonts w:ascii="Arial Narrow" w:hAnsi="Arial Narrow" w:cs="Calibri"/>
                <w:sz w:val="20"/>
                <w:szCs w:val="20"/>
              </w:rPr>
            </w:pPr>
            <w:r w:rsidRPr="00B30942">
              <w:rPr>
                <w:rFonts w:ascii="Arial Narrow" w:hAnsi="Arial Narrow" w:cs="Calibri"/>
                <w:sz w:val="20"/>
                <w:szCs w:val="20"/>
              </w:rPr>
              <w:t>-3.535</w:t>
            </w:r>
          </w:p>
        </w:tc>
      </w:tr>
    </w:tbl>
    <w:p w14:paraId="6F0EB1E2" w14:textId="029F72BB" w:rsidR="00B601C8" w:rsidRPr="005625D7" w:rsidRDefault="00B601C8" w:rsidP="003C039D">
      <w:pPr>
        <w:pStyle w:val="texto"/>
        <w:tabs>
          <w:tab w:val="left" w:pos="426"/>
          <w:tab w:val="num" w:pos="720"/>
          <w:tab w:val="num" w:pos="2770"/>
          <w:tab w:val="num" w:pos="6597"/>
        </w:tabs>
        <w:spacing w:before="60" w:after="120" w:line="259" w:lineRule="auto"/>
        <w:ind w:firstLine="0"/>
        <w:rPr>
          <w:sz w:val="18"/>
        </w:rPr>
      </w:pPr>
      <w:r w:rsidRPr="005625D7">
        <w:rPr>
          <w:sz w:val="18"/>
        </w:rPr>
        <w:t>*</w:t>
      </w:r>
      <w:r w:rsidRPr="00A83365">
        <w:rPr>
          <w:rFonts w:ascii="Arial Narrow" w:hAnsi="Arial Narrow"/>
          <w:sz w:val="16"/>
          <w:szCs w:val="16"/>
        </w:rPr>
        <w:t>Ejercicio no auditado</w:t>
      </w:r>
      <w:r w:rsidR="00C0478C">
        <w:rPr>
          <w:rFonts w:ascii="Arial Narrow" w:hAnsi="Arial Narrow"/>
          <w:sz w:val="16"/>
          <w:szCs w:val="16"/>
        </w:rPr>
        <w:t>.</w:t>
      </w:r>
    </w:p>
    <w:p w14:paraId="4FE14641" w14:textId="3FD87BB5" w:rsidR="00FA1EAF" w:rsidRDefault="235FD0DA" w:rsidP="000F2C78">
      <w:pPr>
        <w:pStyle w:val="texto"/>
        <w:tabs>
          <w:tab w:val="left" w:pos="426"/>
          <w:tab w:val="num" w:pos="720"/>
          <w:tab w:val="num" w:pos="2770"/>
          <w:tab w:val="num" w:pos="6597"/>
        </w:tabs>
        <w:spacing w:before="240" w:after="120" w:line="259" w:lineRule="auto"/>
      </w:pPr>
      <w:r>
        <w:t>Nuestra opinión no ha sido modificada en relación con esta</w:t>
      </w:r>
      <w:r w:rsidR="00E61497">
        <w:t xml:space="preserve"> cuestión</w:t>
      </w:r>
      <w:r w:rsidR="00EB1C6D">
        <w:t>.</w:t>
      </w:r>
    </w:p>
    <w:p w14:paraId="7C890FBA" w14:textId="77777777" w:rsidR="00FA1EAF" w:rsidRDefault="00FA1EAF">
      <w:pPr>
        <w:spacing w:after="0"/>
        <w:ind w:firstLine="0"/>
        <w:jc w:val="left"/>
        <w:rPr>
          <w:spacing w:val="6"/>
          <w:sz w:val="26"/>
          <w:szCs w:val="26"/>
        </w:rPr>
      </w:pPr>
      <w:r>
        <w:br w:type="page"/>
      </w:r>
    </w:p>
    <w:p w14:paraId="44B0B142" w14:textId="55117B54" w:rsidR="00544E8B" w:rsidRPr="005625D7" w:rsidRDefault="00544E8B">
      <w:pPr>
        <w:pStyle w:val="atitulo1"/>
      </w:pPr>
      <w:bookmarkStart w:id="70" w:name="_Toc182397297"/>
      <w:bookmarkStart w:id="71" w:name="_Toc118266016"/>
      <w:bookmarkStart w:id="72" w:name="_Toc129330307"/>
      <w:bookmarkStart w:id="73" w:name="_Toc147385029"/>
      <w:r w:rsidRPr="005625D7">
        <w:lastRenderedPageBreak/>
        <w:t>VII. Párrafo de otras cuestiones</w:t>
      </w:r>
      <w:bookmarkEnd w:id="70"/>
    </w:p>
    <w:p w14:paraId="7CCC5180" w14:textId="6ACF77F1" w:rsidR="008B1EC5" w:rsidRDefault="008B1EC5" w:rsidP="005625D7">
      <w:pPr>
        <w:pStyle w:val="texto"/>
        <w:spacing w:before="120"/>
      </w:pPr>
      <w:r>
        <w:t>Destacamos las siguientes cuestiones:</w:t>
      </w:r>
    </w:p>
    <w:p w14:paraId="7434BB05" w14:textId="08B24154" w:rsidR="00F700F9" w:rsidRPr="005625D7" w:rsidRDefault="00F700F9" w:rsidP="00321210">
      <w:pPr>
        <w:pStyle w:val="texto"/>
        <w:numPr>
          <w:ilvl w:val="0"/>
          <w:numId w:val="18"/>
        </w:numPr>
        <w:tabs>
          <w:tab w:val="num" w:pos="567"/>
          <w:tab w:val="num" w:pos="2770"/>
        </w:tabs>
        <w:ind w:left="0" w:firstLine="290"/>
        <w:rPr>
          <w:lang w:val="es-ES"/>
        </w:rPr>
      </w:pPr>
      <w:r w:rsidRPr="005625D7">
        <w:rPr>
          <w:szCs w:val="26"/>
          <w:lang w:val="es-ES"/>
        </w:rPr>
        <w:t xml:space="preserve">La </w:t>
      </w:r>
      <w:r w:rsidRPr="00321210">
        <w:t>cuenta</w:t>
      </w:r>
      <w:r w:rsidRPr="005625D7">
        <w:rPr>
          <w:szCs w:val="26"/>
          <w:lang w:val="es-ES"/>
        </w:rPr>
        <w:t xml:space="preserve"> general del ejercicio 2023 deberá ser reformulada</w:t>
      </w:r>
      <w:r w:rsidR="00EB681D">
        <w:rPr>
          <w:szCs w:val="26"/>
          <w:lang w:val="es-ES"/>
        </w:rPr>
        <w:t xml:space="preserve">, </w:t>
      </w:r>
      <w:r w:rsidR="00EB681D" w:rsidRPr="000F6940">
        <w:rPr>
          <w:szCs w:val="26"/>
          <w:lang w:val="es-ES"/>
        </w:rPr>
        <w:t>antes de su aprobación por la asamblea general</w:t>
      </w:r>
      <w:r w:rsidR="00EB681D">
        <w:rPr>
          <w:szCs w:val="26"/>
          <w:lang w:val="es-ES"/>
        </w:rPr>
        <w:t>,</w:t>
      </w:r>
      <w:r w:rsidRPr="005625D7">
        <w:rPr>
          <w:szCs w:val="26"/>
          <w:lang w:val="es-ES"/>
        </w:rPr>
        <w:t xml:space="preserve"> para corregir las incorrecciones detectadas en la fiscalización e indicadas en este</w:t>
      </w:r>
      <w:r w:rsidR="00EB681D">
        <w:rPr>
          <w:szCs w:val="26"/>
          <w:lang w:val="es-ES"/>
        </w:rPr>
        <w:t xml:space="preserve"> informe</w:t>
      </w:r>
      <w:r w:rsidRPr="005625D7">
        <w:rPr>
          <w:szCs w:val="26"/>
          <w:lang w:val="es-ES"/>
        </w:rPr>
        <w:t>.</w:t>
      </w:r>
    </w:p>
    <w:p w14:paraId="76059811" w14:textId="5DD19067" w:rsidR="00EB681D" w:rsidRDefault="00B601C8" w:rsidP="005625D7">
      <w:pPr>
        <w:pStyle w:val="texto"/>
        <w:spacing w:before="120"/>
      </w:pPr>
      <w:r>
        <w:t xml:space="preserve">En la fiscalización realizada hemos detectado </w:t>
      </w:r>
      <w:r w:rsidR="00884F3A">
        <w:t>incidencias de gestión de personal, de ingresos,</w:t>
      </w:r>
      <w:r w:rsidR="00EB681D">
        <w:t xml:space="preserve"> de contratación administrativa</w:t>
      </w:r>
      <w:r w:rsidR="00884F3A">
        <w:t xml:space="preserve">, debilidades de control interno e incidencias contables y presupuestarias </w:t>
      </w:r>
      <w:r w:rsidR="00EB681D">
        <w:t xml:space="preserve">que han supuesto una inadecuada </w:t>
      </w:r>
      <w:r w:rsidR="00884F3A">
        <w:t xml:space="preserve">contabilización </w:t>
      </w:r>
      <w:r w:rsidR="008B1EC5">
        <w:t xml:space="preserve">de las transacciones realizadas </w:t>
      </w:r>
      <w:r w:rsidR="00EB681D">
        <w:t>y por tanto no existe garantía de</w:t>
      </w:r>
      <w:r w:rsidR="008B1EC5">
        <w:t xml:space="preserve"> la integridad y exactitud de la información contable. </w:t>
      </w:r>
    </w:p>
    <w:p w14:paraId="1E36C654" w14:textId="0F1E2AA8" w:rsidR="00EB681D" w:rsidRDefault="00F35A9B" w:rsidP="00F35A9B">
      <w:pPr>
        <w:pStyle w:val="texto"/>
        <w:numPr>
          <w:ilvl w:val="0"/>
          <w:numId w:val="18"/>
        </w:numPr>
        <w:tabs>
          <w:tab w:val="num" w:pos="567"/>
          <w:tab w:val="num" w:pos="2770"/>
        </w:tabs>
        <w:ind w:left="0" w:firstLine="290"/>
      </w:pPr>
      <w:r>
        <w:rPr>
          <w:szCs w:val="26"/>
          <w:lang w:val="es-ES"/>
        </w:rPr>
        <w:t>La Cámara de Comptos no ha fiscalizado la cuenta general de la Mancomunidad de 2022.</w:t>
      </w:r>
    </w:p>
    <w:p w14:paraId="21505DD7" w14:textId="77777777" w:rsidR="00EB681D" w:rsidRDefault="00EB681D">
      <w:pPr>
        <w:spacing w:after="0"/>
        <w:ind w:firstLine="0"/>
        <w:jc w:val="left"/>
      </w:pPr>
    </w:p>
    <w:p w14:paraId="08D63A23" w14:textId="397D91D5" w:rsidR="00544E8B" w:rsidRDefault="00544E8B">
      <w:pPr>
        <w:spacing w:after="0"/>
        <w:ind w:firstLine="0"/>
        <w:jc w:val="left"/>
        <w:rPr>
          <w:rFonts w:ascii="Arial" w:hAnsi="Arial"/>
          <w:b/>
          <w:color w:val="000000"/>
          <w:kern w:val="28"/>
          <w:sz w:val="25"/>
          <w:szCs w:val="26"/>
        </w:rPr>
      </w:pPr>
      <w:r>
        <w:br w:type="page"/>
      </w:r>
    </w:p>
    <w:p w14:paraId="3B630111" w14:textId="53CA8B5C" w:rsidR="002B7E8E" w:rsidRPr="006B2875" w:rsidRDefault="004E30EC" w:rsidP="002B7E8E">
      <w:pPr>
        <w:pStyle w:val="atitulo1"/>
      </w:pPr>
      <w:bookmarkStart w:id="74" w:name="_Toc182397298"/>
      <w:r>
        <w:lastRenderedPageBreak/>
        <w:t>V</w:t>
      </w:r>
      <w:r w:rsidR="002B7E8E" w:rsidRPr="007F53E0">
        <w:t>II</w:t>
      </w:r>
      <w:r w:rsidR="00544E8B">
        <w:t>I</w:t>
      </w:r>
      <w:r w:rsidR="002B7E8E" w:rsidRPr="007F53E0">
        <w:t>. Responsabilidad de</w:t>
      </w:r>
      <w:r w:rsidR="00AF775E">
        <w:t xml:space="preserve"> </w:t>
      </w:r>
      <w:r w:rsidR="002B7E8E" w:rsidRPr="007F53E0">
        <w:t>l</w:t>
      </w:r>
      <w:r w:rsidR="00AF775E">
        <w:t>a</w:t>
      </w:r>
      <w:r w:rsidR="002B7E8E" w:rsidRPr="007F53E0">
        <w:t xml:space="preserve"> </w:t>
      </w:r>
      <w:bookmarkEnd w:id="71"/>
      <w:bookmarkEnd w:id="72"/>
      <w:bookmarkEnd w:id="73"/>
      <w:r w:rsidR="003C06D0">
        <w:t>Mancomunidad</w:t>
      </w:r>
      <w:bookmarkEnd w:id="74"/>
    </w:p>
    <w:p w14:paraId="0CE8EBEC" w14:textId="5B8498BB" w:rsidR="00F41013" w:rsidRDefault="00A0070D" w:rsidP="2C569507">
      <w:pPr>
        <w:pStyle w:val="texto"/>
        <w:tabs>
          <w:tab w:val="left" w:pos="142"/>
        </w:tabs>
        <w:rPr>
          <w:lang w:val="es-ES"/>
        </w:rPr>
      </w:pPr>
      <w:r w:rsidRPr="2C569507">
        <w:rPr>
          <w:lang w:val="es-ES"/>
        </w:rPr>
        <w:t xml:space="preserve">El </w:t>
      </w:r>
      <w:r w:rsidR="00C1030E" w:rsidRPr="2C569507">
        <w:rPr>
          <w:lang w:val="es-ES"/>
        </w:rPr>
        <w:t>secretario-</w:t>
      </w:r>
      <w:r w:rsidRPr="2C569507">
        <w:rPr>
          <w:lang w:val="es-ES"/>
        </w:rPr>
        <w:t>interventor</w:t>
      </w:r>
      <w:r w:rsidR="002B7E8E" w:rsidRPr="2C569507">
        <w:rPr>
          <w:lang w:val="es-ES"/>
        </w:rPr>
        <w:t xml:space="preserve"> </w:t>
      </w:r>
      <w:r w:rsidR="001C216C" w:rsidRPr="2C569507">
        <w:rPr>
          <w:lang w:val="es-ES"/>
        </w:rPr>
        <w:t xml:space="preserve">de la </w:t>
      </w:r>
      <w:r w:rsidR="003C06D0">
        <w:rPr>
          <w:lang w:val="es-ES"/>
        </w:rPr>
        <w:t>Mancomunidad</w:t>
      </w:r>
      <w:r w:rsidR="002B7E8E" w:rsidRPr="2C569507">
        <w:rPr>
          <w:lang w:val="es-ES"/>
        </w:rPr>
        <w:t xml:space="preserve"> es </w:t>
      </w:r>
      <w:r w:rsidRPr="2C569507">
        <w:rPr>
          <w:lang w:val="es-ES"/>
        </w:rPr>
        <w:t>el</w:t>
      </w:r>
      <w:r w:rsidR="002B7E8E" w:rsidRPr="2C569507">
        <w:rPr>
          <w:lang w:val="es-ES"/>
        </w:rPr>
        <w:t xml:space="preserve"> responsable de formar la cuenta general, de forma que exprese la imagen fiel del patrimonio, de la situación financiera y de los resultados económicos y presupuestarios de la entidad, de conformidad con el marco normativo de información financiera pública aplicable a la entidad. </w:t>
      </w:r>
    </w:p>
    <w:p w14:paraId="7E26EC74" w14:textId="30AA8187" w:rsidR="002B7E8E" w:rsidRPr="005625D7" w:rsidRDefault="00F41013" w:rsidP="2C569507">
      <w:pPr>
        <w:pStyle w:val="texto"/>
        <w:tabs>
          <w:tab w:val="left" w:pos="142"/>
        </w:tabs>
        <w:rPr>
          <w:color w:val="FF0000"/>
          <w:lang w:val="es-ES"/>
        </w:rPr>
      </w:pPr>
      <w:r>
        <w:rPr>
          <w:lang w:val="es-ES"/>
        </w:rPr>
        <w:t xml:space="preserve">Los órganos de gobierno y dirección de la </w:t>
      </w:r>
      <w:r w:rsidR="003C06D0">
        <w:rPr>
          <w:lang w:val="es-ES"/>
        </w:rPr>
        <w:t>Mancomunidad</w:t>
      </w:r>
      <w:r>
        <w:rPr>
          <w:lang w:val="es-ES"/>
        </w:rPr>
        <w:t xml:space="preserve"> deben</w:t>
      </w:r>
      <w:r w:rsidR="002B7E8E" w:rsidRPr="2C569507">
        <w:rPr>
          <w:lang w:val="es-ES"/>
        </w:rPr>
        <w:t xml:space="preserve"> garantizar que las actividades, operaciones presupuestarias y financieras y la información reflejada en la citada cuenta resultan conformes con la normativa aplicable.</w:t>
      </w:r>
      <w:r w:rsidR="1E820D4F" w:rsidRPr="2C569507">
        <w:rPr>
          <w:lang w:val="es-ES"/>
        </w:rPr>
        <w:t xml:space="preserve"> </w:t>
      </w:r>
    </w:p>
    <w:p w14:paraId="29273C10" w14:textId="31D4C47A" w:rsidR="002B7E8E" w:rsidRPr="00A04DF5" w:rsidRDefault="00AF775E" w:rsidP="002B7E8E">
      <w:pPr>
        <w:pStyle w:val="texto"/>
        <w:tabs>
          <w:tab w:val="left" w:pos="142"/>
        </w:tabs>
      </w:pPr>
      <w:r>
        <w:t xml:space="preserve">La </w:t>
      </w:r>
      <w:r w:rsidR="003E7144">
        <w:t xml:space="preserve">asamblea general </w:t>
      </w:r>
      <w:r>
        <w:t xml:space="preserve">de la </w:t>
      </w:r>
      <w:r w:rsidR="003C06D0">
        <w:t>Mancomunidad</w:t>
      </w:r>
      <w:r>
        <w:t xml:space="preserve"> </w:t>
      </w:r>
      <w:r w:rsidR="00C1030E">
        <w:t xml:space="preserve">no aprobó </w:t>
      </w:r>
      <w:r>
        <w:t xml:space="preserve">la cuenta general del ejercicio 2023 </w:t>
      </w:r>
      <w:r w:rsidR="00C1030E">
        <w:t xml:space="preserve">presentada </w:t>
      </w:r>
      <w:r>
        <w:t>el 22 de mayo de 2024.</w:t>
      </w:r>
    </w:p>
    <w:p w14:paraId="083D01ED" w14:textId="04FF56C5" w:rsidR="002B7E8E" w:rsidRPr="00A04DF5" w:rsidRDefault="00C1030E" w:rsidP="06D4BFB9">
      <w:pPr>
        <w:pStyle w:val="texto"/>
        <w:tabs>
          <w:tab w:val="left" w:pos="142"/>
        </w:tabs>
        <w:rPr>
          <w:lang w:val="es-ES"/>
        </w:rPr>
      </w:pPr>
      <w:r w:rsidRPr="06D4BFB9">
        <w:rPr>
          <w:lang w:val="es-ES"/>
        </w:rPr>
        <w:t>L</w:t>
      </w:r>
      <w:r w:rsidR="00AF775E" w:rsidRPr="06D4BFB9">
        <w:rPr>
          <w:lang w:val="es-ES"/>
        </w:rPr>
        <w:t xml:space="preserve">a </w:t>
      </w:r>
      <w:r w:rsidR="003C06D0">
        <w:rPr>
          <w:lang w:val="es-ES"/>
        </w:rPr>
        <w:t>Mancomunidad</w:t>
      </w:r>
      <w:r w:rsidR="002B7E8E" w:rsidRPr="06D4BFB9">
        <w:rPr>
          <w:lang w:val="es-ES"/>
        </w:rPr>
        <w:t xml:space="preserve"> es responsable de establecer los sistemas de control interno que considere necesarios para permitir la preparación de la cuenta general libre de incorrección material, debida a fraude o error, y para garantizar que la actividad realizada esté libre de incumplimientos legales.</w:t>
      </w:r>
    </w:p>
    <w:p w14:paraId="620EE81B" w14:textId="77777777" w:rsidR="00647747" w:rsidRDefault="00647747" w:rsidP="002B7E8E">
      <w:pPr>
        <w:rPr>
          <w:spacing w:val="6"/>
          <w:sz w:val="26"/>
          <w:highlight w:val="yellow"/>
        </w:rPr>
      </w:pPr>
    </w:p>
    <w:p w14:paraId="6537F28F" w14:textId="0E9AC1F1" w:rsidR="002B7E8E" w:rsidRPr="00705459" w:rsidRDefault="002B7E8E" w:rsidP="002B7E8E">
      <w:pPr>
        <w:rPr>
          <w:spacing w:val="6"/>
          <w:sz w:val="26"/>
          <w:highlight w:val="yellow"/>
        </w:rPr>
      </w:pPr>
      <w:r w:rsidRPr="00705459">
        <w:rPr>
          <w:spacing w:val="6"/>
          <w:sz w:val="26"/>
          <w:highlight w:val="yellow"/>
        </w:rPr>
        <w:br w:type="page"/>
      </w:r>
    </w:p>
    <w:p w14:paraId="22134807" w14:textId="12F4A107" w:rsidR="002B7E8E" w:rsidRPr="00B961A0" w:rsidRDefault="00544E8B" w:rsidP="002B7E8E">
      <w:pPr>
        <w:pStyle w:val="atitulo1"/>
      </w:pPr>
      <w:bookmarkStart w:id="75" w:name="_Toc118266017"/>
      <w:bookmarkStart w:id="76" w:name="_Toc129330308"/>
      <w:bookmarkStart w:id="77" w:name="_Toc147385030"/>
      <w:bookmarkStart w:id="78" w:name="_Toc182397299"/>
      <w:r>
        <w:lastRenderedPageBreak/>
        <w:t>IX</w:t>
      </w:r>
      <w:r w:rsidR="002B7E8E" w:rsidRPr="00B961A0">
        <w:t>. Responsabilidad de la Cámara de Comptos de Navarra</w:t>
      </w:r>
      <w:bookmarkEnd w:id="75"/>
      <w:bookmarkEnd w:id="76"/>
      <w:bookmarkEnd w:id="77"/>
      <w:bookmarkEnd w:id="78"/>
    </w:p>
    <w:p w14:paraId="72618719" w14:textId="65BD139B" w:rsidR="002B7E8E" w:rsidRPr="00B961A0" w:rsidRDefault="235FD0DA" w:rsidP="06D4BFB9">
      <w:pPr>
        <w:autoSpaceDE w:val="0"/>
        <w:autoSpaceDN w:val="0"/>
        <w:adjustRightInd w:val="0"/>
        <w:ind w:firstLine="284"/>
        <w:rPr>
          <w:spacing w:val="6"/>
          <w:sz w:val="26"/>
          <w:szCs w:val="26"/>
          <w:lang w:val="es-ES"/>
        </w:rPr>
      </w:pPr>
      <w:r w:rsidRPr="06D4BFB9">
        <w:rPr>
          <w:spacing w:val="6"/>
          <w:sz w:val="26"/>
          <w:szCs w:val="26"/>
          <w:lang w:val="es-ES"/>
        </w:rPr>
        <w:t>Nuestros objetivos son obtener una seguridad razonable de que la cuenta general en su conjunto est</w:t>
      </w:r>
      <w:r w:rsidR="68F639E6" w:rsidRPr="06D4BFB9">
        <w:rPr>
          <w:spacing w:val="6"/>
          <w:sz w:val="26"/>
          <w:szCs w:val="26"/>
          <w:lang w:val="es-ES"/>
        </w:rPr>
        <w:t>á</w:t>
      </w:r>
      <w:r w:rsidRPr="06D4BFB9">
        <w:rPr>
          <w:spacing w:val="6"/>
          <w:sz w:val="26"/>
          <w:szCs w:val="26"/>
          <w:lang w:val="es-ES"/>
        </w:rPr>
        <w:t xml:space="preserve"> libre de incorrección material, debida a fraude o error, y que las actividades, operaciones presupuestarias y financieras y la información reflejada en la citada cuenta resulta conforme con la normativa aplicable con la finalidad de emitir un informe de fiscalización de regularidad que contenga nuestra opinión.</w:t>
      </w:r>
    </w:p>
    <w:p w14:paraId="48EF451B" w14:textId="0B5A94CC" w:rsidR="002B7E8E" w:rsidRPr="00B961A0" w:rsidRDefault="235FD0DA" w:rsidP="1429FEB7">
      <w:pPr>
        <w:autoSpaceDE w:val="0"/>
        <w:autoSpaceDN w:val="0"/>
        <w:adjustRightInd w:val="0"/>
        <w:ind w:firstLine="284"/>
        <w:rPr>
          <w:spacing w:val="6"/>
          <w:sz w:val="26"/>
          <w:szCs w:val="26"/>
        </w:rPr>
      </w:pPr>
      <w:r w:rsidRPr="1429FEB7">
        <w:rPr>
          <w:spacing w:val="6"/>
          <w:sz w:val="26"/>
          <w:szCs w:val="26"/>
        </w:rPr>
        <w:t>Seguridad razonable es un alto grado de seguridad, pero no garantiza que una fiscalización realizada de conformidad con la normativa reguladora de los órganos de control externo siempre detecte una incorrección material o un incumplimiento significativo cuando exista. Las incorrecciones pueden deberse a fraude o error y a incumplimientos de legalidad y se consideran materiales aplicando los criterios de esta Cámara de Comptos y siempre que pueda preverse razonablemente que influyan en las decisiones económicas de las personas usuaria</w:t>
      </w:r>
      <w:r w:rsidR="726FA3CB" w:rsidRPr="1429FEB7">
        <w:rPr>
          <w:spacing w:val="6"/>
          <w:sz w:val="26"/>
          <w:szCs w:val="26"/>
        </w:rPr>
        <w:t>s</w:t>
      </w:r>
      <w:r w:rsidRPr="1429FEB7">
        <w:rPr>
          <w:spacing w:val="6"/>
          <w:sz w:val="26"/>
          <w:szCs w:val="26"/>
        </w:rPr>
        <w:t xml:space="preserve"> de los informes</w:t>
      </w:r>
      <w:r w:rsidR="6E67FFD9" w:rsidRPr="1429FEB7">
        <w:rPr>
          <w:spacing w:val="6"/>
          <w:sz w:val="26"/>
          <w:szCs w:val="26"/>
        </w:rPr>
        <w:t>.</w:t>
      </w:r>
    </w:p>
    <w:p w14:paraId="44F8B054" w14:textId="77777777" w:rsidR="002B7E8E" w:rsidRPr="00B961A0" w:rsidRDefault="002B7E8E" w:rsidP="00F9353A">
      <w:pPr>
        <w:autoSpaceDE w:val="0"/>
        <w:autoSpaceDN w:val="0"/>
        <w:adjustRightInd w:val="0"/>
        <w:ind w:firstLine="284"/>
        <w:rPr>
          <w:spacing w:val="6"/>
          <w:sz w:val="26"/>
        </w:rPr>
      </w:pPr>
      <w:r w:rsidRPr="00B961A0">
        <w:rPr>
          <w:spacing w:val="6"/>
          <w:sz w:val="26"/>
        </w:rPr>
        <w:t>Como parte de una fiscalización de conformidad con la normativa reguladora de los órganos de control externo, aplicamos nuestro juicio profesional y mantenemos una actitud de escepticismo profesional durante toda la auditoría. También:</w:t>
      </w:r>
    </w:p>
    <w:p w14:paraId="10BFE2C1" w14:textId="77777777" w:rsidR="002B7E8E" w:rsidRPr="00B961A0" w:rsidRDefault="235FD0DA" w:rsidP="00321210">
      <w:pPr>
        <w:pStyle w:val="texto"/>
        <w:numPr>
          <w:ilvl w:val="0"/>
          <w:numId w:val="18"/>
        </w:numPr>
        <w:tabs>
          <w:tab w:val="num" w:pos="567"/>
          <w:tab w:val="num" w:pos="2770"/>
        </w:tabs>
        <w:ind w:left="0" w:firstLine="290"/>
        <w:rPr>
          <w:szCs w:val="26"/>
        </w:rPr>
      </w:pPr>
      <w:r w:rsidRPr="00321210">
        <w:t>Identificamos</w:t>
      </w:r>
      <w:r w:rsidRPr="00B961A0">
        <w:rPr>
          <w:szCs w:val="26"/>
        </w:rPr>
        <w:t xml:space="preserve"> y valoramos los riesgos de incorrección material en la cuenta </w:t>
      </w:r>
      <w:r>
        <w:rPr>
          <w:szCs w:val="26"/>
        </w:rPr>
        <w:t>general</w:t>
      </w:r>
      <w:r w:rsidRPr="00B961A0">
        <w:rPr>
          <w:szCs w:val="26"/>
        </w:rPr>
        <w:t xml:space="preserve">,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 </w:t>
      </w:r>
    </w:p>
    <w:p w14:paraId="5D6D3CAA" w14:textId="77777777" w:rsidR="002B7E8E" w:rsidRPr="00B961A0" w:rsidRDefault="235FD0DA" w:rsidP="00321210">
      <w:pPr>
        <w:pStyle w:val="texto"/>
        <w:numPr>
          <w:ilvl w:val="0"/>
          <w:numId w:val="18"/>
        </w:numPr>
        <w:tabs>
          <w:tab w:val="num" w:pos="567"/>
          <w:tab w:val="num" w:pos="2770"/>
        </w:tabs>
        <w:ind w:left="0" w:firstLine="290"/>
        <w:rPr>
          <w:szCs w:val="26"/>
          <w:lang w:val="es-ES"/>
        </w:rPr>
      </w:pPr>
      <w:r w:rsidRPr="00321210">
        <w:t>Obtenemos</w:t>
      </w:r>
      <w:r w:rsidRPr="06D4BFB9">
        <w:rPr>
          <w:szCs w:val="26"/>
          <w:lang w:val="es-ES"/>
        </w:rPr>
        <w:t xml:space="preserve"> conocimiento del control interno relevante para la fiscalización con el fin de diseñar procedimientos de auditoría que sean adecuados en función de las circunstancias, y no con la finalidad de expresar una opinión sobre la eficacia del control interno de la entidad. </w:t>
      </w:r>
    </w:p>
    <w:p w14:paraId="73FFAB46" w14:textId="77777777" w:rsidR="002B7E8E" w:rsidRPr="00B961A0" w:rsidRDefault="235FD0DA" w:rsidP="00321210">
      <w:pPr>
        <w:pStyle w:val="texto"/>
        <w:numPr>
          <w:ilvl w:val="0"/>
          <w:numId w:val="18"/>
        </w:numPr>
        <w:tabs>
          <w:tab w:val="num" w:pos="567"/>
          <w:tab w:val="num" w:pos="2770"/>
        </w:tabs>
        <w:ind w:left="0" w:firstLine="290"/>
        <w:rPr>
          <w:szCs w:val="26"/>
        </w:rPr>
      </w:pPr>
      <w:r w:rsidRPr="00321210">
        <w:t>Evaluamos</w:t>
      </w:r>
      <w:r w:rsidRPr="00B961A0">
        <w:rPr>
          <w:szCs w:val="26"/>
        </w:rPr>
        <w:t xml:space="preserve"> si las políticas contables aplicadas son adecuadas y la razonabilidad de las estimaciones contables y la correspondiente información revelada por el órgano de gestión. </w:t>
      </w:r>
    </w:p>
    <w:p w14:paraId="70BCE321" w14:textId="77777777" w:rsidR="002B7E8E" w:rsidRPr="00B961A0" w:rsidRDefault="235FD0DA" w:rsidP="00321210">
      <w:pPr>
        <w:pStyle w:val="texto"/>
        <w:numPr>
          <w:ilvl w:val="0"/>
          <w:numId w:val="18"/>
        </w:numPr>
        <w:tabs>
          <w:tab w:val="num" w:pos="567"/>
          <w:tab w:val="num" w:pos="2770"/>
        </w:tabs>
        <w:ind w:left="0" w:firstLine="290"/>
        <w:rPr>
          <w:szCs w:val="26"/>
        </w:rPr>
      </w:pPr>
      <w:r w:rsidRPr="00321210">
        <w:t>Evaluamos</w:t>
      </w:r>
      <w:r w:rsidRPr="00B961A0">
        <w:rPr>
          <w:szCs w:val="26"/>
        </w:rPr>
        <w:t xml:space="preserve"> la presentación global, la estructura y el contenido de la cuenta general, incluida la información revelada, y si se representan las transacciones y hechos subyacentes de un modo que logran expresar la imagen fiel. </w:t>
      </w:r>
    </w:p>
    <w:p w14:paraId="01B49DEF" w14:textId="6E795172" w:rsidR="002B7E8E" w:rsidRDefault="002B7E8E" w:rsidP="06D4BFB9">
      <w:pPr>
        <w:autoSpaceDE w:val="0"/>
        <w:autoSpaceDN w:val="0"/>
        <w:adjustRightInd w:val="0"/>
        <w:ind w:firstLine="284"/>
        <w:rPr>
          <w:spacing w:val="6"/>
          <w:sz w:val="26"/>
          <w:szCs w:val="26"/>
          <w:lang w:val="es-ES"/>
        </w:rPr>
      </w:pPr>
      <w:r w:rsidRPr="06D4BFB9">
        <w:rPr>
          <w:spacing w:val="6"/>
          <w:sz w:val="26"/>
          <w:szCs w:val="26"/>
          <w:lang w:val="es-ES"/>
        </w:rPr>
        <w:t xml:space="preserve">Nos comunicamos con el órgano de gobierno de la entidad en relación con, entre otras cuestiones, el alcance y el momento de realización de las pruebas de </w:t>
      </w:r>
      <w:r w:rsidRPr="06D4BFB9">
        <w:rPr>
          <w:spacing w:val="6"/>
          <w:sz w:val="26"/>
          <w:szCs w:val="26"/>
          <w:lang w:val="es-ES"/>
        </w:rPr>
        <w:lastRenderedPageBreak/>
        <w:t>auditoría planificadas y los hallazgos significativos de la fiscalización, así como cualquier deficiencia significativa del control interno que identificamos en el transcurso de la fiscalización. Entre las cuestiones que han sido objeto de comunicación al órgano de gobierno de la entidad, determinamos las que han sido de la mayor significatividad en la fiscalización de la cuenta general y que son, en consecuencia, las cuestiones clave de la auditoría.</w:t>
      </w:r>
    </w:p>
    <w:p w14:paraId="29F1E520" w14:textId="77777777" w:rsidR="00860145" w:rsidRDefault="00860145">
      <w:pPr>
        <w:spacing w:after="0"/>
        <w:ind w:firstLine="0"/>
        <w:jc w:val="left"/>
        <w:rPr>
          <w:rFonts w:ascii="Arial" w:hAnsi="Arial"/>
          <w:b/>
          <w:color w:val="000000"/>
          <w:kern w:val="28"/>
          <w:sz w:val="25"/>
          <w:szCs w:val="26"/>
        </w:rPr>
      </w:pPr>
      <w:r>
        <w:br w:type="page"/>
      </w:r>
    </w:p>
    <w:p w14:paraId="0D5E7CE8" w14:textId="4DD2487B" w:rsidR="00E206FD" w:rsidRPr="00B961A0" w:rsidRDefault="00860145" w:rsidP="00E206FD">
      <w:pPr>
        <w:pStyle w:val="atitulo1"/>
      </w:pPr>
      <w:bookmarkStart w:id="79" w:name="_Toc182397300"/>
      <w:r>
        <w:lastRenderedPageBreak/>
        <w:t>X</w:t>
      </w:r>
      <w:r w:rsidR="00E206FD" w:rsidRPr="00B961A0">
        <w:t xml:space="preserve">. </w:t>
      </w:r>
      <w:r>
        <w:t>Recomendaciones más relevantes</w:t>
      </w:r>
      <w:bookmarkEnd w:id="79"/>
    </w:p>
    <w:p w14:paraId="32668FA6" w14:textId="00101A2E" w:rsidR="002A79ED" w:rsidRPr="003C039D" w:rsidRDefault="002A79ED" w:rsidP="2C569507">
      <w:pPr>
        <w:autoSpaceDE w:val="0"/>
        <w:autoSpaceDN w:val="0"/>
        <w:adjustRightInd w:val="0"/>
        <w:ind w:firstLine="284"/>
        <w:rPr>
          <w:i/>
          <w:spacing w:val="6"/>
          <w:sz w:val="26"/>
          <w:szCs w:val="26"/>
          <w:lang w:val="es-ES"/>
        </w:rPr>
      </w:pPr>
      <w:r w:rsidRPr="2C569507">
        <w:rPr>
          <w:spacing w:val="6"/>
          <w:sz w:val="26"/>
          <w:szCs w:val="26"/>
          <w:lang w:val="es-ES"/>
        </w:rPr>
        <w:t xml:space="preserve">Como resultado del trabajo de fiscalización de </w:t>
      </w:r>
      <w:r w:rsidR="00860145" w:rsidRPr="2C569507">
        <w:rPr>
          <w:spacing w:val="6"/>
          <w:sz w:val="26"/>
          <w:szCs w:val="26"/>
          <w:lang w:val="es-ES"/>
        </w:rPr>
        <w:t xml:space="preserve">la cuenta general y de </w:t>
      </w:r>
      <w:r w:rsidRPr="2C569507">
        <w:rPr>
          <w:spacing w:val="6"/>
          <w:sz w:val="26"/>
          <w:szCs w:val="26"/>
          <w:lang w:val="es-ES"/>
        </w:rPr>
        <w:t xml:space="preserve">cumplimiento </w:t>
      </w:r>
      <w:r w:rsidR="00860145" w:rsidRPr="2C569507">
        <w:rPr>
          <w:spacing w:val="6"/>
          <w:sz w:val="26"/>
          <w:szCs w:val="26"/>
          <w:lang w:val="es-ES"/>
        </w:rPr>
        <w:t>de legalidad en el ejercicio 2023</w:t>
      </w:r>
      <w:r w:rsidRPr="2C569507">
        <w:rPr>
          <w:spacing w:val="6"/>
          <w:sz w:val="26"/>
          <w:szCs w:val="26"/>
          <w:lang w:val="es-ES"/>
        </w:rPr>
        <w:t xml:space="preserve">, </w:t>
      </w:r>
      <w:r w:rsidR="0041191A" w:rsidRPr="2C569507">
        <w:rPr>
          <w:spacing w:val="6"/>
          <w:sz w:val="26"/>
          <w:szCs w:val="26"/>
          <w:lang w:val="es-ES"/>
        </w:rPr>
        <w:t xml:space="preserve">destacamos las siguientes </w:t>
      </w:r>
      <w:r w:rsidR="0041191A" w:rsidRPr="003C039D">
        <w:rPr>
          <w:i/>
          <w:spacing w:val="6"/>
          <w:sz w:val="26"/>
          <w:szCs w:val="26"/>
          <w:lang w:val="es-ES"/>
        </w:rPr>
        <w:t>recomendaciones</w:t>
      </w:r>
      <w:r w:rsidRPr="003C039D">
        <w:rPr>
          <w:i/>
          <w:spacing w:val="6"/>
          <w:sz w:val="26"/>
          <w:szCs w:val="26"/>
          <w:lang w:val="es-ES"/>
        </w:rPr>
        <w:t>:</w:t>
      </w:r>
    </w:p>
    <w:p w14:paraId="7924C9AC" w14:textId="16B6CD3B" w:rsidR="002A79ED" w:rsidRDefault="002A79ED" w:rsidP="00321210">
      <w:pPr>
        <w:pStyle w:val="texto"/>
        <w:numPr>
          <w:ilvl w:val="0"/>
          <w:numId w:val="18"/>
        </w:numPr>
        <w:tabs>
          <w:tab w:val="num" w:pos="567"/>
          <w:tab w:val="num" w:pos="2770"/>
        </w:tabs>
        <w:ind w:left="0" w:firstLine="290"/>
        <w:rPr>
          <w:i/>
          <w:szCs w:val="26"/>
        </w:rPr>
      </w:pPr>
      <w:r w:rsidRPr="00321210">
        <w:rPr>
          <w:i/>
        </w:rPr>
        <w:t>Realizar</w:t>
      </w:r>
      <w:r w:rsidRPr="00707911">
        <w:rPr>
          <w:i/>
          <w:szCs w:val="26"/>
        </w:rPr>
        <w:t xml:space="preserve"> y aprobar </w:t>
      </w:r>
      <w:r w:rsidR="00707911" w:rsidRPr="00707911">
        <w:rPr>
          <w:i/>
          <w:szCs w:val="26"/>
        </w:rPr>
        <w:t>un</w:t>
      </w:r>
      <w:r w:rsidRPr="00707911">
        <w:rPr>
          <w:i/>
          <w:szCs w:val="26"/>
        </w:rPr>
        <w:t xml:space="preserve"> inventario valorado de todos los bienes y derechos municipales, </w:t>
      </w:r>
      <w:r w:rsidR="00707911" w:rsidRPr="00707911">
        <w:rPr>
          <w:i/>
          <w:szCs w:val="26"/>
        </w:rPr>
        <w:t>que acredite</w:t>
      </w:r>
      <w:r w:rsidRPr="00707911">
        <w:rPr>
          <w:i/>
          <w:szCs w:val="26"/>
        </w:rPr>
        <w:t xml:space="preserve"> la razonabilidad del saldo de</w:t>
      </w:r>
      <w:r w:rsidR="00ED599B">
        <w:rPr>
          <w:i/>
          <w:szCs w:val="26"/>
        </w:rPr>
        <w:t xml:space="preserve"> </w:t>
      </w:r>
      <w:r w:rsidRPr="00707911">
        <w:rPr>
          <w:i/>
          <w:szCs w:val="26"/>
        </w:rPr>
        <w:t>l</w:t>
      </w:r>
      <w:r w:rsidR="00ED599B">
        <w:rPr>
          <w:i/>
          <w:szCs w:val="26"/>
        </w:rPr>
        <w:t>os elementos que componen el</w:t>
      </w:r>
      <w:r w:rsidRPr="00707911">
        <w:rPr>
          <w:i/>
          <w:szCs w:val="26"/>
        </w:rPr>
        <w:t xml:space="preserve"> inmovilizado.</w:t>
      </w:r>
      <w:r w:rsidR="00ED599B">
        <w:rPr>
          <w:i/>
          <w:szCs w:val="26"/>
        </w:rPr>
        <w:t xml:space="preserve"> </w:t>
      </w:r>
    </w:p>
    <w:p w14:paraId="47774618" w14:textId="5309C384" w:rsidR="000B16BE" w:rsidRDefault="000B16BE" w:rsidP="00321210">
      <w:pPr>
        <w:pStyle w:val="texto"/>
        <w:numPr>
          <w:ilvl w:val="0"/>
          <w:numId w:val="18"/>
        </w:numPr>
        <w:tabs>
          <w:tab w:val="num" w:pos="567"/>
          <w:tab w:val="num" w:pos="2770"/>
        </w:tabs>
        <w:ind w:left="0" w:firstLine="290"/>
        <w:rPr>
          <w:i/>
          <w:szCs w:val="26"/>
        </w:rPr>
      </w:pPr>
      <w:r w:rsidRPr="00321210">
        <w:rPr>
          <w:i/>
        </w:rPr>
        <w:t>Aprobar</w:t>
      </w:r>
      <w:r>
        <w:rPr>
          <w:i/>
          <w:szCs w:val="26"/>
        </w:rPr>
        <w:t xml:space="preserve"> un plan </w:t>
      </w:r>
      <w:r w:rsidRPr="004942D1">
        <w:rPr>
          <w:i/>
          <w:szCs w:val="26"/>
        </w:rPr>
        <w:t>de disposición de fondos</w:t>
      </w:r>
      <w:r>
        <w:rPr>
          <w:i/>
          <w:szCs w:val="26"/>
        </w:rPr>
        <w:t xml:space="preserve"> en el que se planifiquen los pagos conforme a las disponibilidades de tesorería y se </w:t>
      </w:r>
      <w:r w:rsidR="00126C11">
        <w:rPr>
          <w:i/>
          <w:szCs w:val="26"/>
        </w:rPr>
        <w:t xml:space="preserve">fijen </w:t>
      </w:r>
      <w:r>
        <w:rPr>
          <w:i/>
          <w:szCs w:val="26"/>
        </w:rPr>
        <w:t xml:space="preserve">criterios </w:t>
      </w:r>
      <w:r w:rsidR="00126C11">
        <w:rPr>
          <w:i/>
          <w:szCs w:val="26"/>
        </w:rPr>
        <w:t>que prioricen</w:t>
      </w:r>
      <w:r>
        <w:rPr>
          <w:i/>
          <w:szCs w:val="26"/>
        </w:rPr>
        <w:t xml:space="preserve"> la realización de pagos.</w:t>
      </w:r>
    </w:p>
    <w:p w14:paraId="12E83A81" w14:textId="053FB3E6" w:rsidR="00504E68" w:rsidRDefault="00504E68" w:rsidP="00321210">
      <w:pPr>
        <w:pStyle w:val="texto"/>
        <w:numPr>
          <w:ilvl w:val="0"/>
          <w:numId w:val="18"/>
        </w:numPr>
        <w:tabs>
          <w:tab w:val="num" w:pos="567"/>
          <w:tab w:val="num" w:pos="2770"/>
        </w:tabs>
        <w:ind w:left="0" w:firstLine="290"/>
        <w:rPr>
          <w:i/>
          <w:szCs w:val="26"/>
        </w:rPr>
      </w:pPr>
      <w:r w:rsidRPr="00321210">
        <w:rPr>
          <w:i/>
        </w:rPr>
        <w:t>Tramitar</w:t>
      </w:r>
      <w:r w:rsidRPr="00504E68">
        <w:rPr>
          <w:i/>
          <w:szCs w:val="26"/>
        </w:rPr>
        <w:t xml:space="preserve"> el correspondiente procedimiento de licitación de contratos para prestaciones cuyo valor estimado supere los límites establecidos para los con tratos de menor cuantía.</w:t>
      </w:r>
    </w:p>
    <w:p w14:paraId="6269A710" w14:textId="32847633" w:rsidR="00E36A7B" w:rsidRPr="00E36A7B" w:rsidRDefault="00E36A7B" w:rsidP="00321210">
      <w:pPr>
        <w:pStyle w:val="texto"/>
        <w:numPr>
          <w:ilvl w:val="0"/>
          <w:numId w:val="18"/>
        </w:numPr>
        <w:tabs>
          <w:tab w:val="num" w:pos="567"/>
          <w:tab w:val="num" w:pos="2770"/>
        </w:tabs>
        <w:ind w:left="0" w:firstLine="290"/>
        <w:rPr>
          <w:i/>
          <w:szCs w:val="26"/>
        </w:rPr>
      </w:pPr>
      <w:r w:rsidRPr="00321210">
        <w:rPr>
          <w:i/>
        </w:rPr>
        <w:t>Adoptar</w:t>
      </w:r>
      <w:r w:rsidRPr="00E36A7B">
        <w:rPr>
          <w:i/>
          <w:szCs w:val="26"/>
        </w:rPr>
        <w:t xml:space="preserve"> las medidas previstas en la Ley Foral 2/1995, de 10 de marzo, de Haciendas Locales de Navarra para</w:t>
      </w:r>
      <w:r>
        <w:rPr>
          <w:i/>
          <w:szCs w:val="26"/>
        </w:rPr>
        <w:t xml:space="preserve"> corregir el remanente de tesorería negativo.</w:t>
      </w:r>
      <w:r w:rsidRPr="00E36A7B">
        <w:rPr>
          <w:i/>
          <w:szCs w:val="26"/>
        </w:rPr>
        <w:t xml:space="preserve"> </w:t>
      </w:r>
    </w:p>
    <w:p w14:paraId="71FC91DC" w14:textId="18E28988" w:rsidR="009E1D37" w:rsidRDefault="009E1D37" w:rsidP="00321210">
      <w:pPr>
        <w:pStyle w:val="texto"/>
        <w:numPr>
          <w:ilvl w:val="0"/>
          <w:numId w:val="18"/>
        </w:numPr>
        <w:tabs>
          <w:tab w:val="num" w:pos="567"/>
          <w:tab w:val="num" w:pos="2770"/>
        </w:tabs>
        <w:ind w:left="0" w:firstLine="290"/>
        <w:rPr>
          <w:i/>
          <w:szCs w:val="26"/>
        </w:rPr>
      </w:pPr>
      <w:r w:rsidRPr="00321210">
        <w:rPr>
          <w:i/>
        </w:rPr>
        <w:t>Publicar</w:t>
      </w:r>
      <w:r>
        <w:rPr>
          <w:i/>
          <w:szCs w:val="26"/>
        </w:rPr>
        <w:t xml:space="preserve"> </w:t>
      </w:r>
      <w:r w:rsidR="0029381A">
        <w:rPr>
          <w:i/>
          <w:szCs w:val="26"/>
        </w:rPr>
        <w:t xml:space="preserve">en el BON </w:t>
      </w:r>
      <w:r>
        <w:rPr>
          <w:i/>
          <w:szCs w:val="26"/>
        </w:rPr>
        <w:t xml:space="preserve">el presupuesto </w:t>
      </w:r>
      <w:r w:rsidR="00880D89">
        <w:rPr>
          <w:i/>
          <w:szCs w:val="26"/>
        </w:rPr>
        <w:t xml:space="preserve">general </w:t>
      </w:r>
      <w:r>
        <w:rPr>
          <w:i/>
          <w:szCs w:val="26"/>
        </w:rPr>
        <w:t xml:space="preserve">definitivamente aprobado </w:t>
      </w:r>
      <w:r w:rsidR="0029381A">
        <w:rPr>
          <w:i/>
          <w:szCs w:val="26"/>
        </w:rPr>
        <w:t>en cada ejercicio</w:t>
      </w:r>
      <w:r w:rsidR="00880D89">
        <w:rPr>
          <w:i/>
          <w:szCs w:val="26"/>
        </w:rPr>
        <w:t>.</w:t>
      </w:r>
    </w:p>
    <w:p w14:paraId="509764C3" w14:textId="55C29EF4" w:rsidR="00880D89" w:rsidRDefault="00880D89" w:rsidP="00321210">
      <w:pPr>
        <w:pStyle w:val="texto"/>
        <w:numPr>
          <w:ilvl w:val="0"/>
          <w:numId w:val="18"/>
        </w:numPr>
        <w:tabs>
          <w:tab w:val="num" w:pos="567"/>
          <w:tab w:val="num" w:pos="2770"/>
        </w:tabs>
        <w:ind w:left="0" w:firstLine="290"/>
        <w:rPr>
          <w:i/>
          <w:iCs/>
          <w:szCs w:val="26"/>
        </w:rPr>
      </w:pPr>
      <w:r w:rsidRPr="00321210">
        <w:rPr>
          <w:i/>
        </w:rPr>
        <w:t>Modificar</w:t>
      </w:r>
      <w:r w:rsidRPr="5439CC65">
        <w:rPr>
          <w:i/>
          <w:iCs/>
          <w:szCs w:val="26"/>
        </w:rPr>
        <w:t xml:space="preserve"> los estatutos de la </w:t>
      </w:r>
      <w:r w:rsidR="003C06D0">
        <w:rPr>
          <w:i/>
          <w:iCs/>
          <w:szCs w:val="26"/>
        </w:rPr>
        <w:t>Mancomunidad</w:t>
      </w:r>
      <w:r w:rsidRPr="5439CC65">
        <w:rPr>
          <w:i/>
          <w:iCs/>
          <w:szCs w:val="26"/>
        </w:rPr>
        <w:t>, incluyendo el municipio de Monreal y la indicación del personal que integra la entidad</w:t>
      </w:r>
      <w:r w:rsidR="00E36A7B" w:rsidRPr="5439CC65">
        <w:rPr>
          <w:i/>
          <w:iCs/>
          <w:szCs w:val="26"/>
        </w:rPr>
        <w:t>, entre otros aspectos.</w:t>
      </w:r>
    </w:p>
    <w:p w14:paraId="2EC9573D" w14:textId="37F805DA" w:rsidR="00975953" w:rsidRDefault="00975953" w:rsidP="00321210">
      <w:pPr>
        <w:pStyle w:val="texto"/>
        <w:numPr>
          <w:ilvl w:val="0"/>
          <w:numId w:val="18"/>
        </w:numPr>
        <w:tabs>
          <w:tab w:val="num" w:pos="567"/>
          <w:tab w:val="num" w:pos="2770"/>
        </w:tabs>
        <w:ind w:left="0" w:firstLine="290"/>
        <w:rPr>
          <w:i/>
          <w:szCs w:val="26"/>
        </w:rPr>
      </w:pPr>
      <w:r w:rsidRPr="00321210">
        <w:rPr>
          <w:i/>
        </w:rPr>
        <w:t>Tramitar</w:t>
      </w:r>
      <w:r w:rsidRPr="00975953">
        <w:rPr>
          <w:i/>
          <w:szCs w:val="26"/>
        </w:rPr>
        <w:t xml:space="preserve"> el convenio laboral del personal conforme a lo establecido en la legislación aplicable, a efectos de su registro, depósito y publicación en el BON.</w:t>
      </w:r>
    </w:p>
    <w:p w14:paraId="0DE68995" w14:textId="77777777" w:rsidR="000F119D" w:rsidRPr="000F119D" w:rsidRDefault="000F119D" w:rsidP="00321210">
      <w:pPr>
        <w:pStyle w:val="texto"/>
        <w:numPr>
          <w:ilvl w:val="0"/>
          <w:numId w:val="18"/>
        </w:numPr>
        <w:tabs>
          <w:tab w:val="num" w:pos="567"/>
          <w:tab w:val="num" w:pos="2770"/>
        </w:tabs>
        <w:ind w:left="0" w:firstLine="289"/>
        <w:rPr>
          <w:i/>
          <w:szCs w:val="26"/>
        </w:rPr>
      </w:pPr>
      <w:r w:rsidRPr="00321210">
        <w:rPr>
          <w:i/>
        </w:rPr>
        <w:t>Aprobar</w:t>
      </w:r>
      <w:r w:rsidRPr="000F119D">
        <w:rPr>
          <w:i/>
          <w:szCs w:val="26"/>
        </w:rPr>
        <w:t xml:space="preserve"> una ordenanza de gestión de residuos adaptada a la Ley 7/2022, de 8 de abril, de Residuos y Suelos Contaminados para una Economía Circular.</w:t>
      </w:r>
    </w:p>
    <w:p w14:paraId="49D3915A" w14:textId="6082213D" w:rsidR="002A79ED" w:rsidRDefault="002A79ED" w:rsidP="002B7E8E">
      <w:pPr>
        <w:autoSpaceDE w:val="0"/>
        <w:autoSpaceDN w:val="0"/>
        <w:adjustRightInd w:val="0"/>
        <w:ind w:firstLine="284"/>
        <w:rPr>
          <w:spacing w:val="6"/>
          <w:sz w:val="26"/>
          <w:szCs w:val="26"/>
        </w:rPr>
      </w:pPr>
      <w:r w:rsidRPr="00707911">
        <w:rPr>
          <w:spacing w:val="6"/>
          <w:sz w:val="26"/>
          <w:szCs w:val="26"/>
        </w:rPr>
        <w:t xml:space="preserve">Hemos incluido otras recomendaciones en el Apéndice </w:t>
      </w:r>
      <w:r w:rsidR="00F41013">
        <w:rPr>
          <w:spacing w:val="6"/>
          <w:sz w:val="26"/>
          <w:szCs w:val="26"/>
        </w:rPr>
        <w:t>5</w:t>
      </w:r>
      <w:r w:rsidR="00707911" w:rsidRPr="00707911">
        <w:rPr>
          <w:spacing w:val="6"/>
          <w:sz w:val="26"/>
          <w:szCs w:val="26"/>
        </w:rPr>
        <w:t>,</w:t>
      </w:r>
      <w:r w:rsidRPr="00707911">
        <w:rPr>
          <w:spacing w:val="6"/>
          <w:sz w:val="26"/>
          <w:szCs w:val="26"/>
        </w:rPr>
        <w:t xml:space="preserve"> referido a observaciones y hallazgos adicionales de la fiscalización.</w:t>
      </w:r>
    </w:p>
    <w:p w14:paraId="74757CD8" w14:textId="6A3F2D2F" w:rsidR="003F629F" w:rsidRDefault="00550F63" w:rsidP="00550F63">
      <w:pPr>
        <w:pStyle w:val="texto"/>
        <w:rPr>
          <w:szCs w:val="26"/>
        </w:rPr>
      </w:pPr>
      <w:r w:rsidRPr="00BB60F4">
        <w:t xml:space="preserve">Informe que se emite a propuesta de la auditora </w:t>
      </w:r>
      <w:r>
        <w:t>Asunción Olaechea Estanga</w:t>
      </w:r>
      <w:r w:rsidRPr="00BB60F4">
        <w:t>, responsable de la realización de este trabajo, una vez cumplimentados los trámites previstos por la normativa vigente.</w:t>
      </w:r>
    </w:p>
    <w:p w14:paraId="16021911" w14:textId="77777777" w:rsidR="004526DC" w:rsidRPr="004C0745" w:rsidRDefault="004526DC" w:rsidP="004526DC">
      <w:pPr>
        <w:ind w:firstLine="284"/>
        <w:rPr>
          <w:spacing w:val="6"/>
          <w:sz w:val="26"/>
          <w:szCs w:val="26"/>
        </w:rPr>
      </w:pPr>
      <w:r>
        <w:rPr>
          <w:spacing w:val="6"/>
          <w:sz w:val="26"/>
          <w:szCs w:val="26"/>
        </w:rPr>
        <w:t>Pamplona, 14 de noviembre de 2024</w:t>
      </w:r>
    </w:p>
    <w:p w14:paraId="69885D7E" w14:textId="77777777" w:rsidR="004526DC" w:rsidRPr="004B0295" w:rsidRDefault="004526DC" w:rsidP="004526DC">
      <w:pPr>
        <w:pStyle w:val="texto"/>
        <w:rPr>
          <w:szCs w:val="26"/>
        </w:rPr>
      </w:pPr>
      <w:r>
        <w:rPr>
          <w:szCs w:val="26"/>
        </w:rPr>
        <w:tab/>
        <w:t>El presidente de la Cámara de Comptos: Ignacio Cabeza del Salvador</w:t>
      </w:r>
    </w:p>
    <w:p w14:paraId="1386CF55" w14:textId="0D73DBF5" w:rsidR="003F629F" w:rsidRDefault="003F629F" w:rsidP="002B7E8E">
      <w:pPr>
        <w:autoSpaceDE w:val="0"/>
        <w:autoSpaceDN w:val="0"/>
        <w:adjustRightInd w:val="0"/>
        <w:ind w:firstLine="284"/>
        <w:rPr>
          <w:spacing w:val="6"/>
          <w:sz w:val="26"/>
          <w:szCs w:val="26"/>
        </w:rPr>
      </w:pPr>
    </w:p>
    <w:p w14:paraId="5AF1DCB0" w14:textId="25141AA8" w:rsidR="002B7E8E" w:rsidRPr="00491F03" w:rsidRDefault="103BED4B" w:rsidP="2C569507">
      <w:pPr>
        <w:pStyle w:val="atitulo1"/>
        <w:rPr>
          <w:color w:val="auto"/>
          <w:lang w:val="es-ES"/>
        </w:rPr>
      </w:pPr>
      <w:bookmarkStart w:id="80" w:name="_Toc118266020"/>
      <w:bookmarkStart w:id="81" w:name="_Toc129330310"/>
      <w:bookmarkStart w:id="82" w:name="_Toc147385032"/>
      <w:bookmarkStart w:id="83" w:name="_Toc182397301"/>
      <w:bookmarkEnd w:id="9"/>
      <w:r w:rsidRPr="2C569507">
        <w:rPr>
          <w:lang w:val="es-ES"/>
        </w:rPr>
        <w:lastRenderedPageBreak/>
        <w:t xml:space="preserve">Apéndice 1. </w:t>
      </w:r>
      <w:r w:rsidR="00AF775E" w:rsidRPr="2C569507">
        <w:rPr>
          <w:lang w:val="es-ES"/>
        </w:rPr>
        <w:t xml:space="preserve">Resumen de la Cuenta General de la </w:t>
      </w:r>
      <w:r w:rsidR="003C06D0">
        <w:rPr>
          <w:lang w:val="es-ES"/>
        </w:rPr>
        <w:t>Mancomunidad</w:t>
      </w:r>
      <w:r w:rsidRPr="2C569507">
        <w:rPr>
          <w:lang w:val="es-ES"/>
        </w:rPr>
        <w:t xml:space="preserve">, ejercicio </w:t>
      </w:r>
      <w:bookmarkEnd w:id="80"/>
      <w:bookmarkEnd w:id="81"/>
      <w:bookmarkEnd w:id="82"/>
      <w:r w:rsidR="00AF775E" w:rsidRPr="2C569507">
        <w:rPr>
          <w:color w:val="auto"/>
          <w:lang w:val="es-ES"/>
        </w:rPr>
        <w:t>2023</w:t>
      </w:r>
      <w:r w:rsidR="00E30BE7">
        <w:rPr>
          <w:color w:val="auto"/>
          <w:lang w:val="es-ES"/>
        </w:rPr>
        <w:t xml:space="preserve"> </w:t>
      </w:r>
      <w:r w:rsidR="00E30BE7">
        <w:rPr>
          <w:rStyle w:val="Refdenotaalpie"/>
          <w:color w:val="auto"/>
          <w:lang w:val="es-ES"/>
        </w:rPr>
        <w:footnoteReference w:id="1"/>
      </w:r>
      <w:bookmarkEnd w:id="83"/>
    </w:p>
    <w:p w14:paraId="391FEAE8" w14:textId="4578FCBF" w:rsidR="002B7E8E" w:rsidRPr="00A10067" w:rsidRDefault="002B7E8E" w:rsidP="2E7813AE">
      <w:pPr>
        <w:tabs>
          <w:tab w:val="center" w:pos="2835"/>
          <w:tab w:val="center" w:pos="3969"/>
          <w:tab w:val="center" w:pos="5103"/>
          <w:tab w:val="center" w:pos="6237"/>
          <w:tab w:val="center" w:pos="7371"/>
        </w:tabs>
        <w:spacing w:after="0"/>
        <w:ind w:firstLine="284"/>
        <w:rPr>
          <w:rFonts w:ascii="Arial" w:hAnsi="Arial" w:cs="Arial"/>
          <w:spacing w:val="6"/>
          <w:sz w:val="26"/>
          <w:szCs w:val="26"/>
        </w:rPr>
      </w:pPr>
      <w:bookmarkStart w:id="84" w:name="_Toc22495436"/>
      <w:bookmarkStart w:id="85" w:name="_Toc55460321"/>
      <w:r w:rsidRPr="2E7813AE">
        <w:rPr>
          <w:rFonts w:ascii="Arial" w:hAnsi="Arial" w:cs="Arial"/>
          <w:spacing w:val="6"/>
          <w:sz w:val="26"/>
          <w:szCs w:val="26"/>
        </w:rPr>
        <w:t>Estado de liquidación del presupuesto del ejercicio 20</w:t>
      </w:r>
      <w:bookmarkEnd w:id="84"/>
      <w:bookmarkEnd w:id="85"/>
      <w:r w:rsidRPr="2E7813AE">
        <w:rPr>
          <w:rFonts w:ascii="Arial" w:hAnsi="Arial" w:cs="Arial"/>
          <w:spacing w:val="6"/>
          <w:sz w:val="26"/>
          <w:szCs w:val="26"/>
        </w:rPr>
        <w:t>2</w:t>
      </w:r>
      <w:r w:rsidR="00AF775E" w:rsidRPr="2E7813AE">
        <w:rPr>
          <w:rFonts w:ascii="Arial" w:hAnsi="Arial" w:cs="Arial"/>
          <w:spacing w:val="6"/>
          <w:sz w:val="26"/>
          <w:szCs w:val="26"/>
        </w:rPr>
        <w:t>3</w:t>
      </w:r>
      <w:r w:rsidRPr="2E7813AE">
        <w:rPr>
          <w:rFonts w:ascii="Arial" w:hAnsi="Arial" w:cs="Arial"/>
          <w:spacing w:val="6"/>
          <w:sz w:val="26"/>
          <w:szCs w:val="26"/>
        </w:rPr>
        <w:t xml:space="preserve"> </w:t>
      </w:r>
    </w:p>
    <w:p w14:paraId="01F5B1E2" w14:textId="77777777" w:rsidR="002B7E8E" w:rsidRDefault="235FD0DA" w:rsidP="00127AF3">
      <w:pPr>
        <w:keepLines/>
        <w:tabs>
          <w:tab w:val="right" w:pos="2835"/>
          <w:tab w:val="right" w:pos="3969"/>
          <w:tab w:val="right" w:pos="5103"/>
          <w:tab w:val="right" w:pos="6237"/>
          <w:tab w:val="right" w:pos="7371"/>
        </w:tabs>
        <w:spacing w:before="240" w:after="240"/>
        <w:jc w:val="center"/>
        <w:rPr>
          <w:rFonts w:ascii="Arial" w:hAnsi="Arial"/>
          <w:spacing w:val="6"/>
        </w:rPr>
      </w:pPr>
      <w:r w:rsidRPr="00667DFF">
        <w:rPr>
          <w:rFonts w:ascii="Arial" w:hAnsi="Arial"/>
          <w:spacing w:val="6"/>
        </w:rPr>
        <w:t>Ejecución del presupuesto de gastos. Clasificación económica</w:t>
      </w:r>
    </w:p>
    <w:tbl>
      <w:tblPr>
        <w:tblW w:w="8789" w:type="dxa"/>
        <w:tblLayout w:type="fixed"/>
        <w:tblCellMar>
          <w:left w:w="70" w:type="dxa"/>
          <w:right w:w="70" w:type="dxa"/>
        </w:tblCellMar>
        <w:tblLook w:val="04A0" w:firstRow="1" w:lastRow="0" w:firstColumn="1" w:lastColumn="0" w:noHBand="0" w:noVBand="1"/>
      </w:tblPr>
      <w:tblGrid>
        <w:gridCol w:w="2410"/>
        <w:gridCol w:w="1134"/>
        <w:gridCol w:w="709"/>
        <w:gridCol w:w="1276"/>
        <w:gridCol w:w="992"/>
        <w:gridCol w:w="850"/>
        <w:gridCol w:w="567"/>
        <w:gridCol w:w="851"/>
      </w:tblGrid>
      <w:tr w:rsidR="003370A3" w:rsidRPr="00B043D1" w14:paraId="0CCDE8EB" w14:textId="77777777" w:rsidTr="00996051">
        <w:trPr>
          <w:trHeight w:val="255"/>
        </w:trPr>
        <w:tc>
          <w:tcPr>
            <w:tcW w:w="2410" w:type="dxa"/>
            <w:tcBorders>
              <w:top w:val="single" w:sz="4" w:space="0" w:color="auto"/>
              <w:left w:val="nil"/>
              <w:bottom w:val="single" w:sz="4" w:space="0" w:color="auto"/>
              <w:right w:val="nil"/>
            </w:tcBorders>
            <w:shd w:val="clear" w:color="auto" w:fill="FABF8F"/>
            <w:vAlign w:val="center"/>
            <w:hideMark/>
          </w:tcPr>
          <w:p w14:paraId="15A753AA" w14:textId="77777777" w:rsidR="003370A3" w:rsidRPr="00B043D1" w:rsidRDefault="003370A3" w:rsidP="00B043D1">
            <w:pPr>
              <w:pStyle w:val="cuadroCabe"/>
              <w:jc w:val="left"/>
            </w:pPr>
            <w:r w:rsidRPr="00B043D1">
              <w:t>Gastos</w:t>
            </w:r>
          </w:p>
        </w:tc>
        <w:tc>
          <w:tcPr>
            <w:tcW w:w="1134" w:type="dxa"/>
            <w:tcBorders>
              <w:top w:val="single" w:sz="4" w:space="0" w:color="auto"/>
              <w:left w:val="nil"/>
              <w:bottom w:val="single" w:sz="4" w:space="0" w:color="auto"/>
              <w:right w:val="nil"/>
            </w:tcBorders>
            <w:shd w:val="clear" w:color="auto" w:fill="FABF8F"/>
            <w:tcMar>
              <w:left w:w="0" w:type="dxa"/>
              <w:right w:w="0" w:type="dxa"/>
            </w:tcMar>
            <w:vAlign w:val="center"/>
            <w:hideMark/>
          </w:tcPr>
          <w:p w14:paraId="4A182F75" w14:textId="77777777" w:rsidR="00B043D1" w:rsidRDefault="003370A3" w:rsidP="00B043D1">
            <w:pPr>
              <w:pStyle w:val="cuadroCabe"/>
              <w:jc w:val="right"/>
            </w:pPr>
            <w:r w:rsidRPr="00B043D1">
              <w:t>Crédito</w:t>
            </w:r>
          </w:p>
          <w:p w14:paraId="18EDF9F0" w14:textId="14D1A79F" w:rsidR="003370A3" w:rsidRPr="00B043D1" w:rsidRDefault="00E30BE7" w:rsidP="00B043D1">
            <w:pPr>
              <w:pStyle w:val="cuadroCabe"/>
              <w:jc w:val="right"/>
            </w:pPr>
            <w:r w:rsidRPr="00B043D1">
              <w:t xml:space="preserve"> </w:t>
            </w:r>
            <w:r w:rsidR="003370A3" w:rsidRPr="00B043D1">
              <w:t>inicial</w:t>
            </w:r>
          </w:p>
        </w:tc>
        <w:tc>
          <w:tcPr>
            <w:tcW w:w="709" w:type="dxa"/>
            <w:tcBorders>
              <w:top w:val="single" w:sz="4" w:space="0" w:color="auto"/>
              <w:left w:val="nil"/>
              <w:bottom w:val="single" w:sz="4" w:space="0" w:color="auto"/>
              <w:right w:val="nil"/>
            </w:tcBorders>
            <w:shd w:val="clear" w:color="auto" w:fill="FABF8F"/>
            <w:vAlign w:val="center"/>
            <w:hideMark/>
          </w:tcPr>
          <w:p w14:paraId="1C79116D" w14:textId="77777777" w:rsidR="003370A3" w:rsidRPr="00B043D1" w:rsidRDefault="003370A3" w:rsidP="00B043D1">
            <w:pPr>
              <w:pStyle w:val="cuadroCabe"/>
              <w:jc w:val="right"/>
            </w:pPr>
            <w:r w:rsidRPr="00B043D1">
              <w:t>Modif.</w:t>
            </w:r>
          </w:p>
        </w:tc>
        <w:tc>
          <w:tcPr>
            <w:tcW w:w="1276" w:type="dxa"/>
            <w:tcBorders>
              <w:top w:val="single" w:sz="4" w:space="0" w:color="auto"/>
              <w:left w:val="nil"/>
              <w:bottom w:val="single" w:sz="4" w:space="0" w:color="auto"/>
              <w:right w:val="nil"/>
            </w:tcBorders>
            <w:shd w:val="clear" w:color="auto" w:fill="FABF8F"/>
            <w:vAlign w:val="center"/>
            <w:hideMark/>
          </w:tcPr>
          <w:p w14:paraId="041BC69E" w14:textId="74798386" w:rsidR="003370A3" w:rsidRPr="00B043D1" w:rsidRDefault="00996051" w:rsidP="00996051">
            <w:pPr>
              <w:pStyle w:val="cuadroCabe"/>
              <w:jc w:val="right"/>
            </w:pPr>
            <w:r>
              <w:t xml:space="preserve">    </w:t>
            </w:r>
            <w:r w:rsidR="003370A3" w:rsidRPr="00B043D1">
              <w:t>Crédito</w:t>
            </w:r>
            <w:r w:rsidR="00E30BE7" w:rsidRPr="00B043D1">
              <w:t xml:space="preserve"> </w:t>
            </w:r>
            <w:r w:rsidR="003370A3" w:rsidRPr="00B043D1">
              <w:t>definitivo</w:t>
            </w:r>
          </w:p>
        </w:tc>
        <w:tc>
          <w:tcPr>
            <w:tcW w:w="992" w:type="dxa"/>
            <w:tcBorders>
              <w:top w:val="single" w:sz="4" w:space="0" w:color="auto"/>
              <w:left w:val="nil"/>
              <w:bottom w:val="single" w:sz="4" w:space="0" w:color="auto"/>
              <w:right w:val="nil"/>
            </w:tcBorders>
            <w:shd w:val="clear" w:color="auto" w:fill="FABF8F"/>
            <w:vAlign w:val="center"/>
            <w:hideMark/>
          </w:tcPr>
          <w:p w14:paraId="2870340C" w14:textId="77777777" w:rsidR="003370A3" w:rsidRPr="00B043D1" w:rsidRDefault="00641C40" w:rsidP="00B043D1">
            <w:pPr>
              <w:pStyle w:val="cuadroCabe"/>
              <w:jc w:val="right"/>
            </w:pPr>
            <w:r w:rsidRPr="00B043D1">
              <w:t>ORN</w:t>
            </w:r>
          </w:p>
        </w:tc>
        <w:tc>
          <w:tcPr>
            <w:tcW w:w="850" w:type="dxa"/>
            <w:tcBorders>
              <w:top w:val="single" w:sz="4" w:space="0" w:color="auto"/>
              <w:left w:val="nil"/>
              <w:bottom w:val="single" w:sz="4" w:space="0" w:color="auto"/>
              <w:right w:val="nil"/>
            </w:tcBorders>
            <w:shd w:val="clear" w:color="auto" w:fill="FABF8F"/>
            <w:vAlign w:val="center"/>
            <w:hideMark/>
          </w:tcPr>
          <w:p w14:paraId="23951304" w14:textId="680D8D0C" w:rsidR="003370A3" w:rsidRPr="00B043D1" w:rsidRDefault="003370A3" w:rsidP="00B043D1">
            <w:pPr>
              <w:pStyle w:val="cuadroCabe"/>
              <w:jc w:val="right"/>
            </w:pPr>
            <w:r w:rsidRPr="00B043D1">
              <w:t>Pagos</w:t>
            </w:r>
          </w:p>
        </w:tc>
        <w:tc>
          <w:tcPr>
            <w:tcW w:w="567" w:type="dxa"/>
            <w:tcBorders>
              <w:top w:val="single" w:sz="4" w:space="0" w:color="auto"/>
              <w:left w:val="nil"/>
              <w:bottom w:val="single" w:sz="4" w:space="0" w:color="auto"/>
              <w:right w:val="nil"/>
            </w:tcBorders>
            <w:shd w:val="clear" w:color="auto" w:fill="FABF8F"/>
            <w:vAlign w:val="center"/>
            <w:hideMark/>
          </w:tcPr>
          <w:p w14:paraId="619206FA" w14:textId="5725C6C1" w:rsidR="003370A3" w:rsidRPr="00B043D1" w:rsidRDefault="003370A3" w:rsidP="00B043D1">
            <w:pPr>
              <w:pStyle w:val="cuadroCabe"/>
              <w:jc w:val="right"/>
            </w:pPr>
            <w:r w:rsidRPr="00B043D1">
              <w:t>%</w:t>
            </w:r>
            <w:r w:rsidR="00321210" w:rsidRPr="00B043D1">
              <w:t xml:space="preserve"> </w:t>
            </w:r>
            <w:r w:rsidRPr="00B043D1">
              <w:t>Ejec</w:t>
            </w:r>
          </w:p>
        </w:tc>
        <w:tc>
          <w:tcPr>
            <w:tcW w:w="851" w:type="dxa"/>
            <w:tcBorders>
              <w:top w:val="single" w:sz="4" w:space="0" w:color="auto"/>
              <w:left w:val="nil"/>
              <w:bottom w:val="single" w:sz="4" w:space="0" w:color="auto"/>
              <w:right w:val="nil"/>
            </w:tcBorders>
            <w:shd w:val="clear" w:color="auto" w:fill="FABF8F"/>
            <w:vAlign w:val="center"/>
            <w:hideMark/>
          </w:tcPr>
          <w:p w14:paraId="65583375" w14:textId="77777777" w:rsidR="007A06E9" w:rsidRDefault="003370A3" w:rsidP="00B043D1">
            <w:pPr>
              <w:pStyle w:val="cuadroCabe"/>
              <w:jc w:val="right"/>
            </w:pPr>
            <w:r w:rsidRPr="00B043D1">
              <w:t>%</w:t>
            </w:r>
          </w:p>
          <w:p w14:paraId="023534A0" w14:textId="1F114C25" w:rsidR="003370A3" w:rsidRPr="00B043D1" w:rsidRDefault="00321210" w:rsidP="00A64D61">
            <w:pPr>
              <w:pStyle w:val="cuadroCabe"/>
              <w:jc w:val="right"/>
            </w:pPr>
            <w:r w:rsidRPr="00B043D1">
              <w:t xml:space="preserve"> </w:t>
            </w:r>
            <w:r w:rsidR="00A64D61">
              <w:t>p</w:t>
            </w:r>
            <w:r w:rsidR="003370A3" w:rsidRPr="00B043D1">
              <w:t>agos</w:t>
            </w:r>
          </w:p>
        </w:tc>
      </w:tr>
      <w:tr w:rsidR="00A0070D" w:rsidRPr="00323361" w14:paraId="4FC4EE3B" w14:textId="77777777" w:rsidTr="00996051">
        <w:trPr>
          <w:trHeight w:val="198"/>
        </w:trPr>
        <w:tc>
          <w:tcPr>
            <w:tcW w:w="2410" w:type="dxa"/>
            <w:tcBorders>
              <w:top w:val="single" w:sz="4" w:space="0" w:color="auto"/>
              <w:left w:val="nil"/>
              <w:bottom w:val="single" w:sz="2" w:space="0" w:color="auto"/>
              <w:right w:val="nil"/>
            </w:tcBorders>
            <w:shd w:val="clear" w:color="auto" w:fill="auto"/>
            <w:noWrap/>
            <w:vAlign w:val="center"/>
            <w:hideMark/>
          </w:tcPr>
          <w:p w14:paraId="762EE250" w14:textId="77777777" w:rsidR="00A0070D" w:rsidRPr="00323361" w:rsidRDefault="00A0070D" w:rsidP="00B043D1">
            <w:pPr>
              <w:pStyle w:val="cuatexto"/>
              <w:jc w:val="left"/>
            </w:pPr>
            <w:r w:rsidRPr="00323361">
              <w:t>1. Gastos de personal</w:t>
            </w:r>
          </w:p>
        </w:tc>
        <w:tc>
          <w:tcPr>
            <w:tcW w:w="1134" w:type="dxa"/>
            <w:tcBorders>
              <w:top w:val="single" w:sz="4" w:space="0" w:color="auto"/>
              <w:left w:val="nil"/>
              <w:bottom w:val="single" w:sz="2" w:space="0" w:color="auto"/>
              <w:right w:val="nil"/>
            </w:tcBorders>
            <w:shd w:val="clear" w:color="auto" w:fill="auto"/>
            <w:noWrap/>
            <w:vAlign w:val="center"/>
          </w:tcPr>
          <w:p w14:paraId="01F6D2C3" w14:textId="4A0F9778" w:rsidR="00A0070D" w:rsidRPr="00323361" w:rsidRDefault="00A0070D" w:rsidP="00B043D1">
            <w:pPr>
              <w:pStyle w:val="cuatexto"/>
              <w:jc w:val="right"/>
            </w:pPr>
            <w:r>
              <w:t>421.310</w:t>
            </w:r>
          </w:p>
        </w:tc>
        <w:tc>
          <w:tcPr>
            <w:tcW w:w="709" w:type="dxa"/>
            <w:tcBorders>
              <w:top w:val="single" w:sz="4" w:space="0" w:color="auto"/>
              <w:left w:val="nil"/>
              <w:bottom w:val="single" w:sz="2" w:space="0" w:color="auto"/>
              <w:right w:val="nil"/>
            </w:tcBorders>
            <w:shd w:val="clear" w:color="auto" w:fill="auto"/>
            <w:noWrap/>
            <w:vAlign w:val="center"/>
          </w:tcPr>
          <w:p w14:paraId="7FBE2C13" w14:textId="2E083204" w:rsidR="00A0070D" w:rsidRPr="00323361" w:rsidRDefault="00A0070D" w:rsidP="00B043D1">
            <w:pPr>
              <w:pStyle w:val="cuatexto"/>
              <w:jc w:val="right"/>
            </w:pPr>
            <w:r>
              <w:t>0</w:t>
            </w:r>
          </w:p>
        </w:tc>
        <w:tc>
          <w:tcPr>
            <w:tcW w:w="1276" w:type="dxa"/>
            <w:tcBorders>
              <w:top w:val="single" w:sz="4" w:space="0" w:color="auto"/>
              <w:left w:val="nil"/>
              <w:bottom w:val="single" w:sz="2" w:space="0" w:color="auto"/>
              <w:right w:val="nil"/>
            </w:tcBorders>
            <w:shd w:val="clear" w:color="auto" w:fill="auto"/>
            <w:noWrap/>
            <w:vAlign w:val="center"/>
          </w:tcPr>
          <w:p w14:paraId="5AEAFB56" w14:textId="4632447D" w:rsidR="00A0070D" w:rsidRPr="00323361" w:rsidRDefault="00A0070D" w:rsidP="00B043D1">
            <w:pPr>
              <w:pStyle w:val="cuatexto"/>
              <w:jc w:val="right"/>
            </w:pPr>
            <w:r>
              <w:t>421.310</w:t>
            </w:r>
          </w:p>
        </w:tc>
        <w:tc>
          <w:tcPr>
            <w:tcW w:w="992" w:type="dxa"/>
            <w:tcBorders>
              <w:top w:val="single" w:sz="4" w:space="0" w:color="auto"/>
              <w:left w:val="nil"/>
              <w:bottom w:val="single" w:sz="2" w:space="0" w:color="auto"/>
              <w:right w:val="nil"/>
            </w:tcBorders>
            <w:shd w:val="clear" w:color="auto" w:fill="auto"/>
            <w:noWrap/>
            <w:vAlign w:val="center"/>
          </w:tcPr>
          <w:p w14:paraId="54BD6488" w14:textId="2BC99840" w:rsidR="00A0070D" w:rsidRPr="00323361" w:rsidRDefault="00A0070D" w:rsidP="00B043D1">
            <w:pPr>
              <w:pStyle w:val="cuatexto"/>
              <w:jc w:val="right"/>
            </w:pPr>
            <w:r>
              <w:t>401.284</w:t>
            </w:r>
          </w:p>
        </w:tc>
        <w:tc>
          <w:tcPr>
            <w:tcW w:w="850" w:type="dxa"/>
            <w:tcBorders>
              <w:top w:val="single" w:sz="4" w:space="0" w:color="auto"/>
              <w:left w:val="nil"/>
              <w:bottom w:val="single" w:sz="2" w:space="0" w:color="auto"/>
              <w:right w:val="nil"/>
            </w:tcBorders>
            <w:shd w:val="clear" w:color="auto" w:fill="auto"/>
            <w:noWrap/>
            <w:vAlign w:val="center"/>
          </w:tcPr>
          <w:p w14:paraId="40E12DC5" w14:textId="14446AD3" w:rsidR="00A0070D" w:rsidRPr="00323361" w:rsidRDefault="00723690" w:rsidP="00B043D1">
            <w:pPr>
              <w:pStyle w:val="cuatexto"/>
              <w:jc w:val="right"/>
            </w:pPr>
            <w:r>
              <w:t>397.527</w:t>
            </w:r>
          </w:p>
        </w:tc>
        <w:tc>
          <w:tcPr>
            <w:tcW w:w="567" w:type="dxa"/>
            <w:tcBorders>
              <w:top w:val="single" w:sz="4" w:space="0" w:color="auto"/>
              <w:left w:val="nil"/>
              <w:bottom w:val="single" w:sz="2" w:space="0" w:color="auto"/>
              <w:right w:val="nil"/>
            </w:tcBorders>
            <w:shd w:val="clear" w:color="auto" w:fill="auto"/>
            <w:noWrap/>
            <w:vAlign w:val="center"/>
          </w:tcPr>
          <w:p w14:paraId="0CCF700D" w14:textId="355A50F5" w:rsidR="00A0070D" w:rsidRPr="00323361" w:rsidRDefault="00723690" w:rsidP="00B043D1">
            <w:pPr>
              <w:pStyle w:val="cuatexto"/>
              <w:jc w:val="right"/>
            </w:pPr>
            <w:r>
              <w:t>95</w:t>
            </w:r>
          </w:p>
        </w:tc>
        <w:tc>
          <w:tcPr>
            <w:tcW w:w="851" w:type="dxa"/>
            <w:tcBorders>
              <w:top w:val="single" w:sz="4" w:space="0" w:color="auto"/>
              <w:left w:val="nil"/>
              <w:bottom w:val="single" w:sz="2" w:space="0" w:color="auto"/>
              <w:right w:val="nil"/>
            </w:tcBorders>
            <w:shd w:val="clear" w:color="auto" w:fill="auto"/>
            <w:noWrap/>
            <w:vAlign w:val="center"/>
          </w:tcPr>
          <w:p w14:paraId="02B72823" w14:textId="0E7CC63A" w:rsidR="00A0070D" w:rsidRPr="00323361" w:rsidRDefault="00723690" w:rsidP="00B043D1">
            <w:pPr>
              <w:pStyle w:val="cuatexto"/>
              <w:jc w:val="right"/>
            </w:pPr>
            <w:r>
              <w:t>99</w:t>
            </w:r>
          </w:p>
        </w:tc>
      </w:tr>
      <w:tr w:rsidR="00A0070D" w:rsidRPr="00323361" w14:paraId="513B1AEC" w14:textId="77777777" w:rsidTr="00996051">
        <w:trPr>
          <w:trHeight w:val="198"/>
        </w:trPr>
        <w:tc>
          <w:tcPr>
            <w:tcW w:w="2410" w:type="dxa"/>
            <w:tcBorders>
              <w:top w:val="single" w:sz="2" w:space="0" w:color="auto"/>
              <w:left w:val="nil"/>
              <w:bottom w:val="single" w:sz="2" w:space="0" w:color="auto"/>
              <w:right w:val="nil"/>
            </w:tcBorders>
            <w:shd w:val="clear" w:color="auto" w:fill="auto"/>
            <w:noWrap/>
            <w:vAlign w:val="center"/>
            <w:hideMark/>
          </w:tcPr>
          <w:p w14:paraId="2481090F" w14:textId="60703184" w:rsidR="00A0070D" w:rsidRPr="00323361" w:rsidRDefault="00A0070D" w:rsidP="00B043D1">
            <w:pPr>
              <w:pStyle w:val="cuatexto"/>
              <w:jc w:val="left"/>
            </w:pPr>
            <w:r w:rsidRPr="00323361">
              <w:t>2. Bienes corrientes y serv</w:t>
            </w:r>
            <w:r w:rsidR="00E30BE7">
              <w:t>.</w:t>
            </w:r>
          </w:p>
        </w:tc>
        <w:tc>
          <w:tcPr>
            <w:tcW w:w="1134" w:type="dxa"/>
            <w:tcBorders>
              <w:top w:val="single" w:sz="2" w:space="0" w:color="auto"/>
              <w:left w:val="nil"/>
              <w:bottom w:val="single" w:sz="2" w:space="0" w:color="auto"/>
              <w:right w:val="nil"/>
            </w:tcBorders>
            <w:shd w:val="clear" w:color="auto" w:fill="auto"/>
            <w:noWrap/>
            <w:vAlign w:val="center"/>
          </w:tcPr>
          <w:p w14:paraId="47A773FB" w14:textId="06A702F1" w:rsidR="00A0070D" w:rsidRPr="00323361" w:rsidRDefault="00A0070D" w:rsidP="00B043D1">
            <w:pPr>
              <w:pStyle w:val="cuatexto"/>
              <w:jc w:val="right"/>
            </w:pPr>
            <w:r>
              <w:t>297.100</w:t>
            </w:r>
          </w:p>
        </w:tc>
        <w:tc>
          <w:tcPr>
            <w:tcW w:w="709" w:type="dxa"/>
            <w:tcBorders>
              <w:top w:val="single" w:sz="2" w:space="0" w:color="auto"/>
              <w:left w:val="nil"/>
              <w:bottom w:val="single" w:sz="2" w:space="0" w:color="auto"/>
              <w:right w:val="nil"/>
            </w:tcBorders>
            <w:shd w:val="clear" w:color="auto" w:fill="auto"/>
            <w:noWrap/>
            <w:vAlign w:val="center"/>
          </w:tcPr>
          <w:p w14:paraId="7DDAFDFD" w14:textId="270392FD" w:rsidR="00A0070D" w:rsidRPr="00323361" w:rsidRDefault="00A0070D" w:rsidP="00B043D1">
            <w:pPr>
              <w:pStyle w:val="cuatexto"/>
              <w:jc w:val="right"/>
            </w:pPr>
            <w:r>
              <w:t>0</w:t>
            </w:r>
          </w:p>
        </w:tc>
        <w:tc>
          <w:tcPr>
            <w:tcW w:w="1276" w:type="dxa"/>
            <w:tcBorders>
              <w:top w:val="single" w:sz="2" w:space="0" w:color="auto"/>
              <w:left w:val="nil"/>
              <w:bottom w:val="single" w:sz="2" w:space="0" w:color="auto"/>
              <w:right w:val="nil"/>
            </w:tcBorders>
            <w:shd w:val="clear" w:color="auto" w:fill="auto"/>
            <w:noWrap/>
            <w:vAlign w:val="center"/>
          </w:tcPr>
          <w:p w14:paraId="635DDA7E" w14:textId="117A4F06" w:rsidR="00A0070D" w:rsidRPr="00323361" w:rsidRDefault="00A0070D" w:rsidP="00B043D1">
            <w:pPr>
              <w:pStyle w:val="cuatexto"/>
              <w:jc w:val="right"/>
            </w:pPr>
            <w:r>
              <w:t>297.100</w:t>
            </w:r>
          </w:p>
        </w:tc>
        <w:tc>
          <w:tcPr>
            <w:tcW w:w="992" w:type="dxa"/>
            <w:tcBorders>
              <w:top w:val="single" w:sz="2" w:space="0" w:color="auto"/>
              <w:left w:val="nil"/>
              <w:bottom w:val="single" w:sz="2" w:space="0" w:color="auto"/>
              <w:right w:val="nil"/>
            </w:tcBorders>
            <w:shd w:val="clear" w:color="auto" w:fill="auto"/>
            <w:noWrap/>
            <w:vAlign w:val="center"/>
          </w:tcPr>
          <w:p w14:paraId="0A61D61B" w14:textId="040B4C63" w:rsidR="00A0070D" w:rsidRPr="00323361" w:rsidRDefault="00A0070D" w:rsidP="00B043D1">
            <w:pPr>
              <w:pStyle w:val="cuatexto"/>
              <w:jc w:val="right"/>
            </w:pPr>
            <w:r>
              <w:t>294.347</w:t>
            </w:r>
          </w:p>
        </w:tc>
        <w:tc>
          <w:tcPr>
            <w:tcW w:w="850" w:type="dxa"/>
            <w:tcBorders>
              <w:top w:val="single" w:sz="2" w:space="0" w:color="auto"/>
              <w:left w:val="nil"/>
              <w:bottom w:val="single" w:sz="2" w:space="0" w:color="auto"/>
              <w:right w:val="nil"/>
            </w:tcBorders>
            <w:shd w:val="clear" w:color="auto" w:fill="auto"/>
            <w:noWrap/>
            <w:vAlign w:val="center"/>
          </w:tcPr>
          <w:p w14:paraId="0B07A449" w14:textId="044351EA" w:rsidR="00A0070D" w:rsidRPr="00323361" w:rsidRDefault="00723690" w:rsidP="00B043D1">
            <w:pPr>
              <w:pStyle w:val="cuatexto"/>
              <w:jc w:val="right"/>
            </w:pPr>
            <w:r>
              <w:t>216.394</w:t>
            </w:r>
          </w:p>
        </w:tc>
        <w:tc>
          <w:tcPr>
            <w:tcW w:w="567" w:type="dxa"/>
            <w:tcBorders>
              <w:top w:val="single" w:sz="2" w:space="0" w:color="auto"/>
              <w:left w:val="nil"/>
              <w:bottom w:val="single" w:sz="2" w:space="0" w:color="auto"/>
              <w:right w:val="nil"/>
            </w:tcBorders>
            <w:shd w:val="clear" w:color="auto" w:fill="auto"/>
            <w:noWrap/>
            <w:vAlign w:val="center"/>
          </w:tcPr>
          <w:p w14:paraId="5E240B06" w14:textId="5E67BD3B" w:rsidR="00A0070D" w:rsidRPr="00323361" w:rsidRDefault="00723690" w:rsidP="00B043D1">
            <w:pPr>
              <w:pStyle w:val="cuatexto"/>
              <w:jc w:val="right"/>
            </w:pPr>
            <w:r>
              <w:t>99</w:t>
            </w:r>
          </w:p>
        </w:tc>
        <w:tc>
          <w:tcPr>
            <w:tcW w:w="851" w:type="dxa"/>
            <w:tcBorders>
              <w:top w:val="single" w:sz="2" w:space="0" w:color="auto"/>
              <w:left w:val="nil"/>
              <w:bottom w:val="single" w:sz="2" w:space="0" w:color="auto"/>
              <w:right w:val="nil"/>
            </w:tcBorders>
            <w:shd w:val="clear" w:color="auto" w:fill="auto"/>
            <w:noWrap/>
            <w:vAlign w:val="center"/>
          </w:tcPr>
          <w:p w14:paraId="3D2650BD" w14:textId="54D3C1AD" w:rsidR="00A0070D" w:rsidRPr="00323361" w:rsidRDefault="00723690" w:rsidP="00B043D1">
            <w:pPr>
              <w:pStyle w:val="cuatexto"/>
              <w:jc w:val="right"/>
            </w:pPr>
            <w:r>
              <w:t>74</w:t>
            </w:r>
          </w:p>
        </w:tc>
      </w:tr>
      <w:tr w:rsidR="00A0070D" w:rsidRPr="00323361" w14:paraId="031D5764" w14:textId="77777777" w:rsidTr="00996051">
        <w:trPr>
          <w:trHeight w:val="198"/>
        </w:trPr>
        <w:tc>
          <w:tcPr>
            <w:tcW w:w="2410" w:type="dxa"/>
            <w:tcBorders>
              <w:top w:val="single" w:sz="2" w:space="0" w:color="auto"/>
              <w:left w:val="nil"/>
              <w:bottom w:val="single" w:sz="2" w:space="0" w:color="auto"/>
              <w:right w:val="nil"/>
            </w:tcBorders>
            <w:shd w:val="clear" w:color="auto" w:fill="auto"/>
            <w:noWrap/>
            <w:vAlign w:val="center"/>
            <w:hideMark/>
          </w:tcPr>
          <w:p w14:paraId="011A2C20" w14:textId="77777777" w:rsidR="00A0070D" w:rsidRPr="00323361" w:rsidRDefault="00A0070D" w:rsidP="00B043D1">
            <w:pPr>
              <w:pStyle w:val="cuatexto"/>
              <w:jc w:val="left"/>
            </w:pPr>
            <w:r w:rsidRPr="00323361">
              <w:t>3. Gastos financieros</w:t>
            </w:r>
          </w:p>
        </w:tc>
        <w:tc>
          <w:tcPr>
            <w:tcW w:w="1134" w:type="dxa"/>
            <w:tcBorders>
              <w:top w:val="single" w:sz="2" w:space="0" w:color="auto"/>
              <w:left w:val="nil"/>
              <w:bottom w:val="single" w:sz="2" w:space="0" w:color="auto"/>
              <w:right w:val="nil"/>
            </w:tcBorders>
            <w:shd w:val="clear" w:color="auto" w:fill="auto"/>
            <w:noWrap/>
            <w:vAlign w:val="center"/>
          </w:tcPr>
          <w:p w14:paraId="12ABA9CC" w14:textId="5B4B9BDD" w:rsidR="00A0070D" w:rsidRPr="00323361" w:rsidRDefault="00A0070D" w:rsidP="00B043D1">
            <w:pPr>
              <w:pStyle w:val="cuatexto"/>
              <w:jc w:val="right"/>
            </w:pPr>
            <w:r>
              <w:t>4.600</w:t>
            </w:r>
          </w:p>
        </w:tc>
        <w:tc>
          <w:tcPr>
            <w:tcW w:w="709" w:type="dxa"/>
            <w:tcBorders>
              <w:top w:val="single" w:sz="2" w:space="0" w:color="auto"/>
              <w:left w:val="nil"/>
              <w:bottom w:val="single" w:sz="2" w:space="0" w:color="auto"/>
              <w:right w:val="nil"/>
            </w:tcBorders>
            <w:shd w:val="clear" w:color="auto" w:fill="auto"/>
            <w:noWrap/>
            <w:vAlign w:val="center"/>
          </w:tcPr>
          <w:p w14:paraId="7BD0726E" w14:textId="23A9E70D" w:rsidR="00A0070D" w:rsidRPr="00323361" w:rsidRDefault="00A0070D" w:rsidP="00B043D1">
            <w:pPr>
              <w:pStyle w:val="cuatexto"/>
              <w:jc w:val="right"/>
            </w:pPr>
            <w:r>
              <w:t>0</w:t>
            </w:r>
          </w:p>
        </w:tc>
        <w:tc>
          <w:tcPr>
            <w:tcW w:w="1276" w:type="dxa"/>
            <w:tcBorders>
              <w:top w:val="single" w:sz="2" w:space="0" w:color="auto"/>
              <w:left w:val="nil"/>
              <w:bottom w:val="single" w:sz="2" w:space="0" w:color="auto"/>
              <w:right w:val="nil"/>
            </w:tcBorders>
            <w:shd w:val="clear" w:color="auto" w:fill="auto"/>
            <w:noWrap/>
            <w:vAlign w:val="center"/>
          </w:tcPr>
          <w:p w14:paraId="5A9ABC45" w14:textId="1C3643F7" w:rsidR="00A0070D" w:rsidRPr="00323361" w:rsidRDefault="00A0070D" w:rsidP="00B043D1">
            <w:pPr>
              <w:pStyle w:val="cuatexto"/>
              <w:jc w:val="right"/>
            </w:pPr>
            <w:r>
              <w:t>4.600</w:t>
            </w:r>
          </w:p>
        </w:tc>
        <w:tc>
          <w:tcPr>
            <w:tcW w:w="992" w:type="dxa"/>
            <w:tcBorders>
              <w:top w:val="single" w:sz="2" w:space="0" w:color="auto"/>
              <w:left w:val="nil"/>
              <w:bottom w:val="single" w:sz="2" w:space="0" w:color="auto"/>
              <w:right w:val="nil"/>
            </w:tcBorders>
            <w:shd w:val="clear" w:color="auto" w:fill="auto"/>
            <w:noWrap/>
            <w:vAlign w:val="center"/>
          </w:tcPr>
          <w:p w14:paraId="2C299728" w14:textId="5106FB07" w:rsidR="00A0070D" w:rsidRPr="00323361" w:rsidRDefault="00A0070D" w:rsidP="00B043D1">
            <w:pPr>
              <w:pStyle w:val="cuatexto"/>
              <w:jc w:val="right"/>
            </w:pPr>
            <w:r>
              <w:t>5.087</w:t>
            </w:r>
          </w:p>
        </w:tc>
        <w:tc>
          <w:tcPr>
            <w:tcW w:w="850" w:type="dxa"/>
            <w:tcBorders>
              <w:top w:val="single" w:sz="2" w:space="0" w:color="auto"/>
              <w:left w:val="nil"/>
              <w:bottom w:val="single" w:sz="2" w:space="0" w:color="auto"/>
              <w:right w:val="nil"/>
            </w:tcBorders>
            <w:shd w:val="clear" w:color="auto" w:fill="auto"/>
            <w:noWrap/>
            <w:vAlign w:val="center"/>
          </w:tcPr>
          <w:p w14:paraId="45636BED" w14:textId="396C3603" w:rsidR="00A0070D" w:rsidRPr="00323361" w:rsidRDefault="00723690" w:rsidP="00B043D1">
            <w:pPr>
              <w:pStyle w:val="cuatexto"/>
              <w:jc w:val="right"/>
            </w:pPr>
            <w:r>
              <w:t>5.087</w:t>
            </w:r>
          </w:p>
        </w:tc>
        <w:tc>
          <w:tcPr>
            <w:tcW w:w="567" w:type="dxa"/>
            <w:tcBorders>
              <w:top w:val="single" w:sz="2" w:space="0" w:color="auto"/>
              <w:left w:val="nil"/>
              <w:bottom w:val="single" w:sz="2" w:space="0" w:color="auto"/>
              <w:right w:val="nil"/>
            </w:tcBorders>
            <w:shd w:val="clear" w:color="auto" w:fill="auto"/>
            <w:noWrap/>
            <w:vAlign w:val="center"/>
          </w:tcPr>
          <w:p w14:paraId="663C344E" w14:textId="53340897" w:rsidR="00A0070D" w:rsidRPr="00323361" w:rsidRDefault="00723690" w:rsidP="00B043D1">
            <w:pPr>
              <w:pStyle w:val="cuatexto"/>
              <w:jc w:val="right"/>
            </w:pPr>
            <w:r>
              <w:t>111</w:t>
            </w:r>
          </w:p>
        </w:tc>
        <w:tc>
          <w:tcPr>
            <w:tcW w:w="851" w:type="dxa"/>
            <w:tcBorders>
              <w:top w:val="single" w:sz="2" w:space="0" w:color="auto"/>
              <w:left w:val="nil"/>
              <w:bottom w:val="single" w:sz="2" w:space="0" w:color="auto"/>
              <w:right w:val="nil"/>
            </w:tcBorders>
            <w:shd w:val="clear" w:color="auto" w:fill="auto"/>
            <w:noWrap/>
            <w:vAlign w:val="center"/>
          </w:tcPr>
          <w:p w14:paraId="21B5751D" w14:textId="41EE5BEB" w:rsidR="00A0070D" w:rsidRPr="00323361" w:rsidRDefault="00723690" w:rsidP="00B043D1">
            <w:pPr>
              <w:pStyle w:val="cuatexto"/>
              <w:jc w:val="right"/>
            </w:pPr>
            <w:r>
              <w:t>100</w:t>
            </w:r>
          </w:p>
        </w:tc>
      </w:tr>
      <w:tr w:rsidR="00A0070D" w:rsidRPr="00323361" w14:paraId="375871FC" w14:textId="77777777" w:rsidTr="00996051">
        <w:trPr>
          <w:trHeight w:val="198"/>
        </w:trPr>
        <w:tc>
          <w:tcPr>
            <w:tcW w:w="2410" w:type="dxa"/>
            <w:tcBorders>
              <w:top w:val="single" w:sz="2" w:space="0" w:color="auto"/>
              <w:left w:val="nil"/>
              <w:bottom w:val="single" w:sz="2" w:space="0" w:color="auto"/>
              <w:right w:val="nil"/>
            </w:tcBorders>
            <w:shd w:val="clear" w:color="auto" w:fill="auto"/>
            <w:noWrap/>
            <w:vAlign w:val="center"/>
            <w:hideMark/>
          </w:tcPr>
          <w:p w14:paraId="078639F6" w14:textId="77777777" w:rsidR="00A0070D" w:rsidRPr="00323361" w:rsidRDefault="00A0070D" w:rsidP="00B043D1">
            <w:pPr>
              <w:pStyle w:val="cuatexto"/>
              <w:jc w:val="left"/>
            </w:pPr>
            <w:r w:rsidRPr="00323361">
              <w:t>4. Transferencias corrientes</w:t>
            </w:r>
          </w:p>
        </w:tc>
        <w:tc>
          <w:tcPr>
            <w:tcW w:w="1134" w:type="dxa"/>
            <w:tcBorders>
              <w:top w:val="single" w:sz="2" w:space="0" w:color="auto"/>
              <w:left w:val="nil"/>
              <w:bottom w:val="single" w:sz="2" w:space="0" w:color="auto"/>
              <w:right w:val="nil"/>
            </w:tcBorders>
            <w:shd w:val="clear" w:color="auto" w:fill="auto"/>
            <w:noWrap/>
            <w:vAlign w:val="center"/>
          </w:tcPr>
          <w:p w14:paraId="772B6B39" w14:textId="00505DFB" w:rsidR="00A0070D" w:rsidRPr="00323361" w:rsidRDefault="00A0070D" w:rsidP="00B043D1">
            <w:pPr>
              <w:pStyle w:val="cuatexto"/>
              <w:jc w:val="right"/>
            </w:pPr>
            <w:r>
              <w:t>6.800</w:t>
            </w:r>
          </w:p>
        </w:tc>
        <w:tc>
          <w:tcPr>
            <w:tcW w:w="709" w:type="dxa"/>
            <w:tcBorders>
              <w:top w:val="single" w:sz="2" w:space="0" w:color="auto"/>
              <w:left w:val="nil"/>
              <w:bottom w:val="single" w:sz="2" w:space="0" w:color="auto"/>
              <w:right w:val="nil"/>
            </w:tcBorders>
            <w:shd w:val="clear" w:color="auto" w:fill="auto"/>
            <w:noWrap/>
            <w:vAlign w:val="center"/>
          </w:tcPr>
          <w:p w14:paraId="664C10A3" w14:textId="5B3BA66F" w:rsidR="00A0070D" w:rsidRPr="00323361" w:rsidRDefault="00A0070D" w:rsidP="00B043D1">
            <w:pPr>
              <w:pStyle w:val="cuatexto"/>
              <w:jc w:val="right"/>
            </w:pPr>
            <w:r>
              <w:t>0</w:t>
            </w:r>
          </w:p>
        </w:tc>
        <w:tc>
          <w:tcPr>
            <w:tcW w:w="1276" w:type="dxa"/>
            <w:tcBorders>
              <w:top w:val="single" w:sz="2" w:space="0" w:color="auto"/>
              <w:left w:val="nil"/>
              <w:bottom w:val="single" w:sz="2" w:space="0" w:color="auto"/>
              <w:right w:val="nil"/>
            </w:tcBorders>
            <w:shd w:val="clear" w:color="auto" w:fill="auto"/>
            <w:noWrap/>
            <w:vAlign w:val="center"/>
          </w:tcPr>
          <w:p w14:paraId="1FEEE52F" w14:textId="68DA29B4" w:rsidR="00A0070D" w:rsidRPr="00323361" w:rsidRDefault="00A0070D" w:rsidP="00B043D1">
            <w:pPr>
              <w:pStyle w:val="cuatexto"/>
              <w:jc w:val="right"/>
            </w:pPr>
            <w:r>
              <w:t>6.800</w:t>
            </w:r>
          </w:p>
        </w:tc>
        <w:tc>
          <w:tcPr>
            <w:tcW w:w="992" w:type="dxa"/>
            <w:tcBorders>
              <w:top w:val="single" w:sz="2" w:space="0" w:color="auto"/>
              <w:left w:val="nil"/>
              <w:bottom w:val="single" w:sz="2" w:space="0" w:color="auto"/>
              <w:right w:val="nil"/>
            </w:tcBorders>
            <w:shd w:val="clear" w:color="auto" w:fill="auto"/>
            <w:noWrap/>
            <w:vAlign w:val="center"/>
          </w:tcPr>
          <w:p w14:paraId="3F696717" w14:textId="2874A73D" w:rsidR="00A0070D" w:rsidRPr="00323361" w:rsidRDefault="00723690" w:rsidP="007B2F9F">
            <w:pPr>
              <w:pStyle w:val="cuatexto"/>
              <w:jc w:val="right"/>
            </w:pPr>
            <w:r>
              <w:t>1.95</w:t>
            </w:r>
            <w:r w:rsidR="007B2F9F">
              <w:t>4</w:t>
            </w:r>
          </w:p>
        </w:tc>
        <w:tc>
          <w:tcPr>
            <w:tcW w:w="850" w:type="dxa"/>
            <w:tcBorders>
              <w:top w:val="single" w:sz="2" w:space="0" w:color="auto"/>
              <w:left w:val="nil"/>
              <w:bottom w:val="single" w:sz="2" w:space="0" w:color="auto"/>
              <w:right w:val="nil"/>
            </w:tcBorders>
            <w:shd w:val="clear" w:color="auto" w:fill="auto"/>
            <w:noWrap/>
            <w:vAlign w:val="center"/>
          </w:tcPr>
          <w:p w14:paraId="4BDF3813" w14:textId="35D8BB20" w:rsidR="00A0070D" w:rsidRPr="00323361" w:rsidRDefault="00723690" w:rsidP="00B043D1">
            <w:pPr>
              <w:pStyle w:val="cuatexto"/>
              <w:jc w:val="right"/>
            </w:pPr>
            <w:r>
              <w:t>475</w:t>
            </w:r>
          </w:p>
        </w:tc>
        <w:tc>
          <w:tcPr>
            <w:tcW w:w="567" w:type="dxa"/>
            <w:tcBorders>
              <w:top w:val="single" w:sz="2" w:space="0" w:color="auto"/>
              <w:left w:val="nil"/>
              <w:bottom w:val="single" w:sz="2" w:space="0" w:color="auto"/>
              <w:right w:val="nil"/>
            </w:tcBorders>
            <w:shd w:val="clear" w:color="auto" w:fill="auto"/>
            <w:noWrap/>
            <w:vAlign w:val="center"/>
          </w:tcPr>
          <w:p w14:paraId="662CABB4" w14:textId="7D2E9244" w:rsidR="00A0070D" w:rsidRPr="00323361" w:rsidRDefault="00723690" w:rsidP="00B043D1">
            <w:pPr>
              <w:pStyle w:val="cuatexto"/>
              <w:jc w:val="right"/>
            </w:pPr>
            <w:r>
              <w:t>29</w:t>
            </w:r>
          </w:p>
        </w:tc>
        <w:tc>
          <w:tcPr>
            <w:tcW w:w="851" w:type="dxa"/>
            <w:tcBorders>
              <w:top w:val="single" w:sz="2" w:space="0" w:color="auto"/>
              <w:left w:val="nil"/>
              <w:bottom w:val="single" w:sz="2" w:space="0" w:color="auto"/>
              <w:right w:val="nil"/>
            </w:tcBorders>
            <w:shd w:val="clear" w:color="auto" w:fill="auto"/>
            <w:noWrap/>
            <w:vAlign w:val="center"/>
          </w:tcPr>
          <w:p w14:paraId="4894D1EF" w14:textId="603FACDA" w:rsidR="00A0070D" w:rsidRPr="00323361" w:rsidRDefault="00723690" w:rsidP="00B043D1">
            <w:pPr>
              <w:pStyle w:val="cuatexto"/>
              <w:jc w:val="right"/>
            </w:pPr>
            <w:r>
              <w:t>24</w:t>
            </w:r>
          </w:p>
        </w:tc>
      </w:tr>
      <w:tr w:rsidR="00A0070D" w:rsidRPr="00323361" w14:paraId="48DDE82B" w14:textId="77777777" w:rsidTr="00996051">
        <w:trPr>
          <w:trHeight w:val="198"/>
        </w:trPr>
        <w:tc>
          <w:tcPr>
            <w:tcW w:w="2410" w:type="dxa"/>
            <w:tcBorders>
              <w:top w:val="single" w:sz="2" w:space="0" w:color="auto"/>
              <w:left w:val="nil"/>
              <w:bottom w:val="single" w:sz="2" w:space="0" w:color="auto"/>
              <w:right w:val="nil"/>
            </w:tcBorders>
            <w:shd w:val="clear" w:color="auto" w:fill="auto"/>
            <w:noWrap/>
            <w:vAlign w:val="center"/>
            <w:hideMark/>
          </w:tcPr>
          <w:p w14:paraId="33016EB1" w14:textId="77777777" w:rsidR="00A0070D" w:rsidRPr="00323361" w:rsidRDefault="00A0070D" w:rsidP="00B043D1">
            <w:pPr>
              <w:pStyle w:val="cuatexto"/>
              <w:jc w:val="left"/>
            </w:pPr>
            <w:r w:rsidRPr="00323361">
              <w:t>6. Inversiones reales</w:t>
            </w:r>
          </w:p>
        </w:tc>
        <w:tc>
          <w:tcPr>
            <w:tcW w:w="1134" w:type="dxa"/>
            <w:tcBorders>
              <w:top w:val="single" w:sz="2" w:space="0" w:color="auto"/>
              <w:left w:val="nil"/>
              <w:bottom w:val="single" w:sz="2" w:space="0" w:color="auto"/>
              <w:right w:val="nil"/>
            </w:tcBorders>
            <w:shd w:val="clear" w:color="auto" w:fill="auto"/>
            <w:noWrap/>
            <w:vAlign w:val="center"/>
          </w:tcPr>
          <w:p w14:paraId="776390F0" w14:textId="06421E4C" w:rsidR="00A0070D" w:rsidRPr="00323361" w:rsidRDefault="00A0070D" w:rsidP="00B043D1">
            <w:pPr>
              <w:pStyle w:val="cuatexto"/>
              <w:jc w:val="right"/>
            </w:pPr>
            <w:r>
              <w:t>647.206</w:t>
            </w:r>
          </w:p>
        </w:tc>
        <w:tc>
          <w:tcPr>
            <w:tcW w:w="709" w:type="dxa"/>
            <w:tcBorders>
              <w:top w:val="single" w:sz="2" w:space="0" w:color="auto"/>
              <w:left w:val="nil"/>
              <w:bottom w:val="single" w:sz="2" w:space="0" w:color="auto"/>
              <w:right w:val="nil"/>
            </w:tcBorders>
            <w:shd w:val="clear" w:color="auto" w:fill="auto"/>
            <w:noWrap/>
            <w:vAlign w:val="center"/>
          </w:tcPr>
          <w:p w14:paraId="606EE821" w14:textId="0C57ABCB" w:rsidR="00A0070D" w:rsidRPr="00323361" w:rsidRDefault="00A0070D" w:rsidP="00B043D1">
            <w:pPr>
              <w:pStyle w:val="cuatexto"/>
              <w:jc w:val="right"/>
            </w:pPr>
            <w:r>
              <w:t>0</w:t>
            </w:r>
          </w:p>
        </w:tc>
        <w:tc>
          <w:tcPr>
            <w:tcW w:w="1276" w:type="dxa"/>
            <w:tcBorders>
              <w:top w:val="single" w:sz="2" w:space="0" w:color="auto"/>
              <w:left w:val="nil"/>
              <w:bottom w:val="single" w:sz="2" w:space="0" w:color="auto"/>
              <w:right w:val="nil"/>
            </w:tcBorders>
            <w:shd w:val="clear" w:color="auto" w:fill="auto"/>
            <w:noWrap/>
            <w:vAlign w:val="center"/>
          </w:tcPr>
          <w:p w14:paraId="515EDB75" w14:textId="147EC977" w:rsidR="00A0070D" w:rsidRPr="00323361" w:rsidRDefault="00A0070D" w:rsidP="00B043D1">
            <w:pPr>
              <w:pStyle w:val="cuatexto"/>
              <w:jc w:val="right"/>
            </w:pPr>
            <w:r>
              <w:t>647.206</w:t>
            </w:r>
          </w:p>
        </w:tc>
        <w:tc>
          <w:tcPr>
            <w:tcW w:w="992" w:type="dxa"/>
            <w:tcBorders>
              <w:top w:val="single" w:sz="2" w:space="0" w:color="auto"/>
              <w:left w:val="nil"/>
              <w:bottom w:val="single" w:sz="2" w:space="0" w:color="auto"/>
              <w:right w:val="nil"/>
            </w:tcBorders>
            <w:shd w:val="clear" w:color="auto" w:fill="auto"/>
            <w:noWrap/>
            <w:vAlign w:val="center"/>
          </w:tcPr>
          <w:p w14:paraId="09D359D5" w14:textId="0182695F" w:rsidR="00A0070D" w:rsidRPr="00323361" w:rsidRDefault="00723690" w:rsidP="00B043D1">
            <w:pPr>
              <w:pStyle w:val="cuatexto"/>
              <w:jc w:val="right"/>
            </w:pPr>
            <w:r>
              <w:t>16.725</w:t>
            </w:r>
          </w:p>
        </w:tc>
        <w:tc>
          <w:tcPr>
            <w:tcW w:w="850" w:type="dxa"/>
            <w:tcBorders>
              <w:top w:val="single" w:sz="2" w:space="0" w:color="auto"/>
              <w:left w:val="nil"/>
              <w:bottom w:val="single" w:sz="2" w:space="0" w:color="auto"/>
              <w:right w:val="nil"/>
            </w:tcBorders>
            <w:shd w:val="clear" w:color="auto" w:fill="auto"/>
            <w:noWrap/>
            <w:vAlign w:val="center"/>
          </w:tcPr>
          <w:p w14:paraId="3BEBB233" w14:textId="31488C52" w:rsidR="00A0070D" w:rsidRPr="00323361" w:rsidRDefault="00723690" w:rsidP="00B043D1">
            <w:pPr>
              <w:pStyle w:val="cuatexto"/>
              <w:jc w:val="right"/>
            </w:pPr>
            <w:r>
              <w:t>10.023</w:t>
            </w:r>
          </w:p>
        </w:tc>
        <w:tc>
          <w:tcPr>
            <w:tcW w:w="567" w:type="dxa"/>
            <w:tcBorders>
              <w:top w:val="single" w:sz="2" w:space="0" w:color="auto"/>
              <w:left w:val="nil"/>
              <w:bottom w:val="single" w:sz="2" w:space="0" w:color="auto"/>
              <w:right w:val="nil"/>
            </w:tcBorders>
            <w:shd w:val="clear" w:color="auto" w:fill="auto"/>
            <w:noWrap/>
            <w:vAlign w:val="center"/>
          </w:tcPr>
          <w:p w14:paraId="224139B5" w14:textId="44F60FE1" w:rsidR="00A0070D" w:rsidRPr="00323361" w:rsidRDefault="00723690" w:rsidP="00B043D1">
            <w:pPr>
              <w:pStyle w:val="cuatexto"/>
              <w:jc w:val="right"/>
            </w:pPr>
            <w:r>
              <w:t>3</w:t>
            </w:r>
          </w:p>
        </w:tc>
        <w:tc>
          <w:tcPr>
            <w:tcW w:w="851" w:type="dxa"/>
            <w:tcBorders>
              <w:top w:val="single" w:sz="2" w:space="0" w:color="auto"/>
              <w:left w:val="nil"/>
              <w:bottom w:val="single" w:sz="2" w:space="0" w:color="auto"/>
              <w:right w:val="nil"/>
            </w:tcBorders>
            <w:shd w:val="clear" w:color="auto" w:fill="auto"/>
            <w:noWrap/>
            <w:vAlign w:val="center"/>
          </w:tcPr>
          <w:p w14:paraId="23D9E551" w14:textId="5A9F925D" w:rsidR="00A0070D" w:rsidRPr="00323361" w:rsidRDefault="00723690" w:rsidP="00B043D1">
            <w:pPr>
              <w:pStyle w:val="cuatexto"/>
              <w:jc w:val="right"/>
            </w:pPr>
            <w:r>
              <w:t>60</w:t>
            </w:r>
          </w:p>
        </w:tc>
      </w:tr>
      <w:tr w:rsidR="00A0070D" w:rsidRPr="00323361" w14:paraId="4B65AFC5" w14:textId="77777777" w:rsidTr="00996051">
        <w:trPr>
          <w:trHeight w:val="198"/>
        </w:trPr>
        <w:tc>
          <w:tcPr>
            <w:tcW w:w="2410" w:type="dxa"/>
            <w:tcBorders>
              <w:top w:val="single" w:sz="2" w:space="0" w:color="auto"/>
              <w:left w:val="nil"/>
              <w:bottom w:val="single" w:sz="4" w:space="0" w:color="auto"/>
              <w:right w:val="nil"/>
            </w:tcBorders>
            <w:shd w:val="clear" w:color="auto" w:fill="auto"/>
            <w:noWrap/>
            <w:vAlign w:val="center"/>
            <w:hideMark/>
          </w:tcPr>
          <w:p w14:paraId="70179938" w14:textId="77777777" w:rsidR="00A0070D" w:rsidRPr="00323361" w:rsidRDefault="00A0070D" w:rsidP="00B043D1">
            <w:pPr>
              <w:pStyle w:val="cuatexto"/>
              <w:jc w:val="left"/>
            </w:pPr>
            <w:r w:rsidRPr="00323361">
              <w:t>9. Pasivos financieros</w:t>
            </w:r>
          </w:p>
        </w:tc>
        <w:tc>
          <w:tcPr>
            <w:tcW w:w="1134" w:type="dxa"/>
            <w:tcBorders>
              <w:top w:val="single" w:sz="2" w:space="0" w:color="auto"/>
              <w:left w:val="nil"/>
              <w:bottom w:val="single" w:sz="4" w:space="0" w:color="auto"/>
              <w:right w:val="nil"/>
            </w:tcBorders>
            <w:shd w:val="clear" w:color="auto" w:fill="auto"/>
            <w:noWrap/>
            <w:vAlign w:val="center"/>
          </w:tcPr>
          <w:p w14:paraId="68111057" w14:textId="0861EAC3" w:rsidR="00A0070D" w:rsidRPr="00323361" w:rsidRDefault="00A0070D" w:rsidP="00B043D1">
            <w:pPr>
              <w:pStyle w:val="cuatexto"/>
              <w:jc w:val="right"/>
            </w:pPr>
            <w:r>
              <w:t>38.500</w:t>
            </w:r>
          </w:p>
        </w:tc>
        <w:tc>
          <w:tcPr>
            <w:tcW w:w="709" w:type="dxa"/>
            <w:tcBorders>
              <w:top w:val="single" w:sz="2" w:space="0" w:color="auto"/>
              <w:left w:val="nil"/>
              <w:bottom w:val="single" w:sz="4" w:space="0" w:color="auto"/>
              <w:right w:val="nil"/>
            </w:tcBorders>
            <w:shd w:val="clear" w:color="auto" w:fill="auto"/>
            <w:noWrap/>
            <w:vAlign w:val="center"/>
          </w:tcPr>
          <w:p w14:paraId="24452D0A" w14:textId="79F1BCCC" w:rsidR="00A0070D" w:rsidRPr="00323361" w:rsidRDefault="00A0070D" w:rsidP="00B043D1">
            <w:pPr>
              <w:pStyle w:val="cuatexto"/>
              <w:jc w:val="right"/>
            </w:pPr>
            <w:r>
              <w:t>0</w:t>
            </w:r>
          </w:p>
        </w:tc>
        <w:tc>
          <w:tcPr>
            <w:tcW w:w="1276" w:type="dxa"/>
            <w:tcBorders>
              <w:top w:val="single" w:sz="2" w:space="0" w:color="auto"/>
              <w:left w:val="nil"/>
              <w:bottom w:val="single" w:sz="4" w:space="0" w:color="auto"/>
              <w:right w:val="nil"/>
            </w:tcBorders>
            <w:shd w:val="clear" w:color="auto" w:fill="auto"/>
            <w:noWrap/>
            <w:vAlign w:val="center"/>
          </w:tcPr>
          <w:p w14:paraId="6128461E" w14:textId="4FC5FB63" w:rsidR="00A0070D" w:rsidRPr="00323361" w:rsidRDefault="00A0070D" w:rsidP="00B043D1">
            <w:pPr>
              <w:pStyle w:val="cuatexto"/>
              <w:jc w:val="right"/>
            </w:pPr>
            <w:r>
              <w:t>38.500</w:t>
            </w:r>
          </w:p>
        </w:tc>
        <w:tc>
          <w:tcPr>
            <w:tcW w:w="992" w:type="dxa"/>
            <w:tcBorders>
              <w:top w:val="single" w:sz="2" w:space="0" w:color="auto"/>
              <w:left w:val="nil"/>
              <w:bottom w:val="single" w:sz="4" w:space="0" w:color="auto"/>
              <w:right w:val="nil"/>
            </w:tcBorders>
            <w:shd w:val="clear" w:color="auto" w:fill="auto"/>
            <w:noWrap/>
            <w:vAlign w:val="center"/>
          </w:tcPr>
          <w:p w14:paraId="069075C2" w14:textId="090A374A" w:rsidR="00A0070D" w:rsidRPr="00323361" w:rsidRDefault="00723690" w:rsidP="00B043D1">
            <w:pPr>
              <w:pStyle w:val="cuatexto"/>
              <w:jc w:val="right"/>
            </w:pPr>
            <w:r>
              <w:t>38.950</w:t>
            </w:r>
          </w:p>
        </w:tc>
        <w:tc>
          <w:tcPr>
            <w:tcW w:w="850" w:type="dxa"/>
            <w:tcBorders>
              <w:top w:val="single" w:sz="2" w:space="0" w:color="auto"/>
              <w:left w:val="nil"/>
              <w:bottom w:val="single" w:sz="4" w:space="0" w:color="auto"/>
              <w:right w:val="nil"/>
            </w:tcBorders>
            <w:shd w:val="clear" w:color="auto" w:fill="auto"/>
            <w:noWrap/>
            <w:vAlign w:val="center"/>
          </w:tcPr>
          <w:p w14:paraId="1E67DD2D" w14:textId="2734691A" w:rsidR="00A0070D" w:rsidRPr="00323361" w:rsidRDefault="00723690" w:rsidP="00B043D1">
            <w:pPr>
              <w:pStyle w:val="cuatexto"/>
              <w:jc w:val="right"/>
            </w:pPr>
            <w:r>
              <w:t>38.950</w:t>
            </w:r>
          </w:p>
        </w:tc>
        <w:tc>
          <w:tcPr>
            <w:tcW w:w="567" w:type="dxa"/>
            <w:tcBorders>
              <w:top w:val="single" w:sz="2" w:space="0" w:color="auto"/>
              <w:left w:val="nil"/>
              <w:bottom w:val="single" w:sz="4" w:space="0" w:color="auto"/>
              <w:right w:val="nil"/>
            </w:tcBorders>
            <w:shd w:val="clear" w:color="auto" w:fill="auto"/>
            <w:noWrap/>
            <w:vAlign w:val="center"/>
          </w:tcPr>
          <w:p w14:paraId="7863B65F" w14:textId="69102A0F" w:rsidR="00A0070D" w:rsidRPr="00323361" w:rsidRDefault="00723690" w:rsidP="00B043D1">
            <w:pPr>
              <w:pStyle w:val="cuatexto"/>
              <w:jc w:val="right"/>
            </w:pPr>
            <w:r>
              <w:t>101</w:t>
            </w:r>
          </w:p>
        </w:tc>
        <w:tc>
          <w:tcPr>
            <w:tcW w:w="851" w:type="dxa"/>
            <w:tcBorders>
              <w:top w:val="single" w:sz="2" w:space="0" w:color="auto"/>
              <w:left w:val="nil"/>
              <w:bottom w:val="single" w:sz="4" w:space="0" w:color="auto"/>
              <w:right w:val="nil"/>
            </w:tcBorders>
            <w:shd w:val="clear" w:color="auto" w:fill="auto"/>
            <w:noWrap/>
            <w:vAlign w:val="center"/>
          </w:tcPr>
          <w:p w14:paraId="4C38B786" w14:textId="001019ED" w:rsidR="00A0070D" w:rsidRPr="00323361" w:rsidRDefault="00723690" w:rsidP="00B043D1">
            <w:pPr>
              <w:pStyle w:val="cuatexto"/>
              <w:jc w:val="right"/>
            </w:pPr>
            <w:r>
              <w:t>100</w:t>
            </w:r>
          </w:p>
        </w:tc>
      </w:tr>
      <w:tr w:rsidR="002B7E8E" w:rsidRPr="00B043D1" w14:paraId="2D3D7A7A" w14:textId="77777777" w:rsidTr="00996051">
        <w:trPr>
          <w:trHeight w:val="255"/>
        </w:trPr>
        <w:tc>
          <w:tcPr>
            <w:tcW w:w="2410" w:type="dxa"/>
            <w:tcBorders>
              <w:top w:val="single" w:sz="4" w:space="0" w:color="auto"/>
              <w:left w:val="nil"/>
              <w:bottom w:val="single" w:sz="4" w:space="0" w:color="auto"/>
              <w:right w:val="nil"/>
            </w:tcBorders>
            <w:shd w:val="clear" w:color="auto" w:fill="FABF8F"/>
            <w:vAlign w:val="center"/>
            <w:hideMark/>
          </w:tcPr>
          <w:p w14:paraId="51E8FDB7" w14:textId="77777777" w:rsidR="002B7E8E" w:rsidRPr="00B043D1" w:rsidRDefault="002B7E8E" w:rsidP="00B043D1">
            <w:pPr>
              <w:pStyle w:val="cuadroCabe"/>
              <w:jc w:val="left"/>
            </w:pPr>
            <w:r w:rsidRPr="00B043D1">
              <w:t>Total</w:t>
            </w:r>
          </w:p>
        </w:tc>
        <w:tc>
          <w:tcPr>
            <w:tcW w:w="1134" w:type="dxa"/>
            <w:tcBorders>
              <w:top w:val="single" w:sz="4" w:space="0" w:color="auto"/>
              <w:left w:val="nil"/>
              <w:bottom w:val="single" w:sz="4" w:space="0" w:color="auto"/>
              <w:right w:val="nil"/>
            </w:tcBorders>
            <w:shd w:val="clear" w:color="auto" w:fill="FABF8F"/>
            <w:vAlign w:val="center"/>
          </w:tcPr>
          <w:p w14:paraId="072C5B99" w14:textId="3C6924E0" w:rsidR="002B7E8E" w:rsidRPr="00B043D1" w:rsidRDefault="00723690" w:rsidP="00B043D1">
            <w:pPr>
              <w:pStyle w:val="cuadroCabe"/>
              <w:jc w:val="right"/>
            </w:pPr>
            <w:r w:rsidRPr="00B043D1">
              <w:fldChar w:fldCharType="begin"/>
            </w:r>
            <w:r w:rsidRPr="00B043D1">
              <w:instrText xml:space="preserve"> =SUM(ABOVE) </w:instrText>
            </w:r>
            <w:r w:rsidRPr="00B043D1">
              <w:fldChar w:fldCharType="separate"/>
            </w:r>
            <w:r w:rsidRPr="00B043D1">
              <w:t>1.415.516</w:t>
            </w:r>
            <w:r w:rsidRPr="00B043D1">
              <w:fldChar w:fldCharType="end"/>
            </w:r>
          </w:p>
        </w:tc>
        <w:tc>
          <w:tcPr>
            <w:tcW w:w="709" w:type="dxa"/>
            <w:tcBorders>
              <w:top w:val="single" w:sz="4" w:space="0" w:color="auto"/>
              <w:left w:val="nil"/>
              <w:bottom w:val="single" w:sz="4" w:space="0" w:color="auto"/>
              <w:right w:val="nil"/>
            </w:tcBorders>
            <w:shd w:val="clear" w:color="auto" w:fill="FABF8F"/>
            <w:vAlign w:val="center"/>
          </w:tcPr>
          <w:p w14:paraId="043BB029" w14:textId="7208A898" w:rsidR="002B7E8E" w:rsidRPr="00B043D1" w:rsidRDefault="00723690" w:rsidP="00B043D1">
            <w:pPr>
              <w:pStyle w:val="cuadroCabe"/>
              <w:jc w:val="right"/>
            </w:pPr>
            <w:r w:rsidRPr="00B043D1">
              <w:t>0</w:t>
            </w:r>
          </w:p>
        </w:tc>
        <w:tc>
          <w:tcPr>
            <w:tcW w:w="1276" w:type="dxa"/>
            <w:tcBorders>
              <w:top w:val="single" w:sz="4" w:space="0" w:color="auto"/>
              <w:left w:val="nil"/>
              <w:bottom w:val="single" w:sz="4" w:space="0" w:color="auto"/>
              <w:right w:val="nil"/>
            </w:tcBorders>
            <w:shd w:val="clear" w:color="auto" w:fill="FABF8F"/>
            <w:vAlign w:val="center"/>
          </w:tcPr>
          <w:p w14:paraId="5E7961B7" w14:textId="12B61714" w:rsidR="002B7E8E" w:rsidRPr="00B043D1" w:rsidRDefault="00723690" w:rsidP="00B043D1">
            <w:pPr>
              <w:pStyle w:val="cuadroCabe"/>
              <w:jc w:val="right"/>
            </w:pPr>
            <w:r w:rsidRPr="00B043D1">
              <w:fldChar w:fldCharType="begin"/>
            </w:r>
            <w:r w:rsidRPr="00B043D1">
              <w:instrText xml:space="preserve"> =SUM(ABOVE) </w:instrText>
            </w:r>
            <w:r w:rsidRPr="00B043D1">
              <w:fldChar w:fldCharType="separate"/>
            </w:r>
            <w:r w:rsidRPr="00B043D1">
              <w:t>1.415.516</w:t>
            </w:r>
            <w:r w:rsidRPr="00B043D1">
              <w:fldChar w:fldCharType="end"/>
            </w:r>
          </w:p>
        </w:tc>
        <w:tc>
          <w:tcPr>
            <w:tcW w:w="992" w:type="dxa"/>
            <w:tcBorders>
              <w:top w:val="single" w:sz="4" w:space="0" w:color="auto"/>
              <w:left w:val="nil"/>
              <w:bottom w:val="single" w:sz="4" w:space="0" w:color="auto"/>
              <w:right w:val="nil"/>
            </w:tcBorders>
            <w:shd w:val="clear" w:color="auto" w:fill="FABF8F"/>
            <w:vAlign w:val="center"/>
          </w:tcPr>
          <w:p w14:paraId="38BF8041" w14:textId="4BEB1242" w:rsidR="002B7E8E" w:rsidRPr="00B043D1" w:rsidRDefault="00723690" w:rsidP="007B2F9F">
            <w:pPr>
              <w:pStyle w:val="cuadroCabe"/>
              <w:jc w:val="right"/>
            </w:pPr>
            <w:r w:rsidRPr="00B043D1">
              <w:fldChar w:fldCharType="begin"/>
            </w:r>
            <w:r w:rsidRPr="00B043D1">
              <w:instrText xml:space="preserve"> =SUM(ABOVE) </w:instrText>
            </w:r>
            <w:r w:rsidRPr="00B043D1">
              <w:fldChar w:fldCharType="separate"/>
            </w:r>
            <w:r w:rsidRPr="00B043D1">
              <w:t>758.34</w:t>
            </w:r>
            <w:r w:rsidR="007B2F9F">
              <w:t>5</w:t>
            </w:r>
            <w:r w:rsidRPr="00B043D1">
              <w:fldChar w:fldCharType="end"/>
            </w:r>
          </w:p>
        </w:tc>
        <w:tc>
          <w:tcPr>
            <w:tcW w:w="850" w:type="dxa"/>
            <w:tcBorders>
              <w:top w:val="single" w:sz="4" w:space="0" w:color="auto"/>
              <w:left w:val="nil"/>
              <w:bottom w:val="single" w:sz="4" w:space="0" w:color="auto"/>
              <w:right w:val="nil"/>
            </w:tcBorders>
            <w:shd w:val="clear" w:color="auto" w:fill="FABF8F"/>
            <w:vAlign w:val="center"/>
          </w:tcPr>
          <w:p w14:paraId="072E960C" w14:textId="2AF204E1" w:rsidR="002B7E8E" w:rsidRPr="00B043D1" w:rsidRDefault="00723690" w:rsidP="007B2F9F">
            <w:pPr>
              <w:pStyle w:val="cuadroCabe"/>
              <w:jc w:val="right"/>
            </w:pPr>
            <w:r w:rsidRPr="00B043D1">
              <w:fldChar w:fldCharType="begin"/>
            </w:r>
            <w:r w:rsidRPr="00B043D1">
              <w:instrText xml:space="preserve"> =SUM(ABOVE) </w:instrText>
            </w:r>
            <w:r w:rsidRPr="00B043D1">
              <w:fldChar w:fldCharType="separate"/>
            </w:r>
            <w:r w:rsidRPr="00B043D1">
              <w:t>668.45</w:t>
            </w:r>
            <w:r w:rsidR="007B2F9F">
              <w:t>5</w:t>
            </w:r>
            <w:r w:rsidRPr="00B043D1">
              <w:fldChar w:fldCharType="end"/>
            </w:r>
          </w:p>
        </w:tc>
        <w:tc>
          <w:tcPr>
            <w:tcW w:w="567" w:type="dxa"/>
            <w:tcBorders>
              <w:top w:val="single" w:sz="4" w:space="0" w:color="auto"/>
              <w:left w:val="nil"/>
              <w:bottom w:val="single" w:sz="4" w:space="0" w:color="auto"/>
              <w:right w:val="nil"/>
            </w:tcBorders>
            <w:shd w:val="clear" w:color="auto" w:fill="FABF8F"/>
            <w:vAlign w:val="center"/>
          </w:tcPr>
          <w:p w14:paraId="54E323BA" w14:textId="4EA7769F" w:rsidR="002B7E8E" w:rsidRPr="00B043D1" w:rsidRDefault="00723690" w:rsidP="00B043D1">
            <w:pPr>
              <w:pStyle w:val="cuadroCabe"/>
              <w:jc w:val="right"/>
            </w:pPr>
            <w:r w:rsidRPr="00B043D1">
              <w:t>54</w:t>
            </w:r>
          </w:p>
        </w:tc>
        <w:tc>
          <w:tcPr>
            <w:tcW w:w="851" w:type="dxa"/>
            <w:tcBorders>
              <w:top w:val="single" w:sz="4" w:space="0" w:color="auto"/>
              <w:left w:val="nil"/>
              <w:bottom w:val="single" w:sz="4" w:space="0" w:color="auto"/>
              <w:right w:val="nil"/>
            </w:tcBorders>
            <w:shd w:val="clear" w:color="auto" w:fill="FABF8F"/>
            <w:vAlign w:val="center"/>
          </w:tcPr>
          <w:p w14:paraId="5AA05B6E" w14:textId="0F897062" w:rsidR="002B7E8E" w:rsidRPr="00B043D1" w:rsidRDefault="00723690" w:rsidP="00B043D1">
            <w:pPr>
              <w:pStyle w:val="cuadroCabe"/>
              <w:jc w:val="right"/>
            </w:pPr>
            <w:r w:rsidRPr="00B043D1">
              <w:t>88</w:t>
            </w:r>
          </w:p>
        </w:tc>
      </w:tr>
    </w:tbl>
    <w:p w14:paraId="48A7872C" w14:textId="6568B278" w:rsidR="002B7E8E" w:rsidRDefault="002B7E8E" w:rsidP="00B043D1">
      <w:pPr>
        <w:keepLines/>
        <w:tabs>
          <w:tab w:val="right" w:pos="2835"/>
          <w:tab w:val="right" w:pos="3969"/>
          <w:tab w:val="right" w:pos="5103"/>
          <w:tab w:val="right" w:pos="6237"/>
          <w:tab w:val="right" w:pos="7371"/>
        </w:tabs>
        <w:spacing w:before="240" w:after="240"/>
        <w:jc w:val="center"/>
        <w:rPr>
          <w:rFonts w:ascii="Arial" w:hAnsi="Arial"/>
          <w:spacing w:val="6"/>
        </w:rPr>
      </w:pPr>
      <w:r w:rsidRPr="00667DFF">
        <w:rPr>
          <w:rFonts w:ascii="Arial" w:hAnsi="Arial"/>
          <w:spacing w:val="6"/>
        </w:rPr>
        <w:t>Ejecución del presupuesto de ingresos. Clasificación económica</w:t>
      </w:r>
    </w:p>
    <w:tbl>
      <w:tblPr>
        <w:tblW w:w="8789" w:type="dxa"/>
        <w:tblLayout w:type="fixed"/>
        <w:tblCellMar>
          <w:left w:w="70" w:type="dxa"/>
          <w:right w:w="70" w:type="dxa"/>
        </w:tblCellMar>
        <w:tblLook w:val="04A0" w:firstRow="1" w:lastRow="0" w:firstColumn="1" w:lastColumn="0" w:noHBand="0" w:noVBand="1"/>
      </w:tblPr>
      <w:tblGrid>
        <w:gridCol w:w="1418"/>
        <w:gridCol w:w="992"/>
        <w:gridCol w:w="1134"/>
        <w:gridCol w:w="709"/>
        <w:gridCol w:w="1276"/>
        <w:gridCol w:w="992"/>
        <w:gridCol w:w="850"/>
        <w:gridCol w:w="567"/>
        <w:gridCol w:w="851"/>
      </w:tblGrid>
      <w:tr w:rsidR="00D444DC" w:rsidRPr="00127AF3" w14:paraId="266015FD" w14:textId="77777777" w:rsidTr="003820CA">
        <w:trPr>
          <w:trHeight w:val="255"/>
        </w:trPr>
        <w:tc>
          <w:tcPr>
            <w:tcW w:w="2410" w:type="dxa"/>
            <w:gridSpan w:val="2"/>
            <w:tcBorders>
              <w:top w:val="single" w:sz="4" w:space="0" w:color="auto"/>
              <w:left w:val="nil"/>
              <w:bottom w:val="single" w:sz="4" w:space="0" w:color="auto"/>
              <w:right w:val="nil"/>
            </w:tcBorders>
            <w:shd w:val="clear" w:color="auto" w:fill="FABF8F"/>
            <w:vAlign w:val="center"/>
            <w:hideMark/>
          </w:tcPr>
          <w:p w14:paraId="2B961A80" w14:textId="77777777" w:rsidR="00D444DC" w:rsidRPr="00127AF3" w:rsidRDefault="00D444DC" w:rsidP="00127AF3">
            <w:pPr>
              <w:pStyle w:val="cuadroCabe"/>
              <w:jc w:val="left"/>
            </w:pPr>
            <w:r w:rsidRPr="00127AF3">
              <w:t>Ingresos</w:t>
            </w:r>
          </w:p>
        </w:tc>
        <w:tc>
          <w:tcPr>
            <w:tcW w:w="1134" w:type="dxa"/>
            <w:tcBorders>
              <w:top w:val="single" w:sz="4" w:space="0" w:color="auto"/>
              <w:left w:val="nil"/>
              <w:bottom w:val="single" w:sz="4" w:space="0" w:color="auto"/>
              <w:right w:val="nil"/>
            </w:tcBorders>
            <w:shd w:val="clear" w:color="auto" w:fill="FABF8F"/>
            <w:vAlign w:val="center"/>
            <w:hideMark/>
          </w:tcPr>
          <w:p w14:paraId="16A8A9FA" w14:textId="5704CB5A" w:rsidR="00D444DC" w:rsidRPr="00127AF3" w:rsidRDefault="00D444DC" w:rsidP="00127AF3">
            <w:pPr>
              <w:pStyle w:val="cuadroCabe"/>
              <w:jc w:val="right"/>
            </w:pPr>
            <w:r w:rsidRPr="00127AF3">
              <w:t>Previsión</w:t>
            </w:r>
          </w:p>
          <w:p w14:paraId="20FE1EEE" w14:textId="77777777" w:rsidR="00D444DC" w:rsidRPr="00127AF3" w:rsidRDefault="00D444DC" w:rsidP="00127AF3">
            <w:pPr>
              <w:pStyle w:val="cuadroCabe"/>
              <w:jc w:val="right"/>
            </w:pPr>
            <w:r w:rsidRPr="00127AF3">
              <w:t>Inicial</w:t>
            </w:r>
          </w:p>
        </w:tc>
        <w:tc>
          <w:tcPr>
            <w:tcW w:w="709" w:type="dxa"/>
            <w:tcBorders>
              <w:top w:val="single" w:sz="4" w:space="0" w:color="auto"/>
              <w:left w:val="nil"/>
              <w:bottom w:val="single" w:sz="4" w:space="0" w:color="auto"/>
              <w:right w:val="nil"/>
            </w:tcBorders>
            <w:shd w:val="clear" w:color="auto" w:fill="FABF8F"/>
            <w:vAlign w:val="center"/>
            <w:hideMark/>
          </w:tcPr>
          <w:p w14:paraId="4C1C7C52" w14:textId="77777777" w:rsidR="00D444DC" w:rsidRPr="00127AF3" w:rsidRDefault="00D444DC" w:rsidP="00127AF3">
            <w:pPr>
              <w:pStyle w:val="cuadroCabe"/>
              <w:jc w:val="right"/>
            </w:pPr>
            <w:r w:rsidRPr="00127AF3">
              <w:t>Modif.</w:t>
            </w:r>
          </w:p>
        </w:tc>
        <w:tc>
          <w:tcPr>
            <w:tcW w:w="1276" w:type="dxa"/>
            <w:tcBorders>
              <w:top w:val="single" w:sz="4" w:space="0" w:color="auto"/>
              <w:left w:val="nil"/>
              <w:bottom w:val="single" w:sz="4" w:space="0" w:color="auto"/>
              <w:right w:val="nil"/>
            </w:tcBorders>
            <w:shd w:val="clear" w:color="auto" w:fill="FABF8F"/>
            <w:tcMar>
              <w:left w:w="0" w:type="dxa"/>
              <w:right w:w="0" w:type="dxa"/>
            </w:tcMar>
            <w:vAlign w:val="center"/>
            <w:hideMark/>
          </w:tcPr>
          <w:p w14:paraId="43AAB409" w14:textId="77777777" w:rsidR="00127AF3" w:rsidRDefault="00D444DC" w:rsidP="00127AF3">
            <w:pPr>
              <w:pStyle w:val="cuadroCabe"/>
              <w:jc w:val="right"/>
            </w:pPr>
            <w:r w:rsidRPr="00127AF3">
              <w:t>Previsión</w:t>
            </w:r>
          </w:p>
          <w:p w14:paraId="2FFF2FA7" w14:textId="5FBF2992" w:rsidR="00D444DC" w:rsidRPr="00127AF3" w:rsidRDefault="00E30BE7" w:rsidP="00127AF3">
            <w:pPr>
              <w:pStyle w:val="cuadroCabe"/>
              <w:jc w:val="right"/>
            </w:pPr>
            <w:r w:rsidRPr="00127AF3">
              <w:t xml:space="preserve"> </w:t>
            </w:r>
            <w:r w:rsidR="00D444DC" w:rsidRPr="00127AF3">
              <w:t>definitiva</w:t>
            </w:r>
          </w:p>
        </w:tc>
        <w:tc>
          <w:tcPr>
            <w:tcW w:w="992" w:type="dxa"/>
            <w:tcBorders>
              <w:top w:val="single" w:sz="4" w:space="0" w:color="auto"/>
              <w:left w:val="nil"/>
              <w:bottom w:val="single" w:sz="4" w:space="0" w:color="auto"/>
              <w:right w:val="nil"/>
            </w:tcBorders>
            <w:shd w:val="clear" w:color="auto" w:fill="FABF8F"/>
            <w:vAlign w:val="center"/>
            <w:hideMark/>
          </w:tcPr>
          <w:p w14:paraId="793B3B60" w14:textId="77777777" w:rsidR="00D444DC" w:rsidRPr="00127AF3" w:rsidRDefault="00D444DC" w:rsidP="00127AF3">
            <w:pPr>
              <w:pStyle w:val="cuadroCabe"/>
              <w:jc w:val="right"/>
            </w:pPr>
            <w:r w:rsidRPr="00127AF3">
              <w:t>DRN</w:t>
            </w:r>
          </w:p>
        </w:tc>
        <w:tc>
          <w:tcPr>
            <w:tcW w:w="850" w:type="dxa"/>
            <w:tcBorders>
              <w:top w:val="single" w:sz="4" w:space="0" w:color="auto"/>
              <w:left w:val="nil"/>
              <w:bottom w:val="single" w:sz="4" w:space="0" w:color="auto"/>
              <w:right w:val="nil"/>
            </w:tcBorders>
            <w:shd w:val="clear" w:color="auto" w:fill="FABF8F"/>
            <w:vAlign w:val="center"/>
            <w:hideMark/>
          </w:tcPr>
          <w:p w14:paraId="532C05CC" w14:textId="77777777" w:rsidR="00D444DC" w:rsidRPr="00127AF3" w:rsidRDefault="00D444DC" w:rsidP="00127AF3">
            <w:pPr>
              <w:pStyle w:val="cuadroCabe"/>
              <w:jc w:val="right"/>
            </w:pPr>
            <w:r w:rsidRPr="00127AF3">
              <w:t>Cobros</w:t>
            </w:r>
          </w:p>
        </w:tc>
        <w:tc>
          <w:tcPr>
            <w:tcW w:w="567" w:type="dxa"/>
            <w:tcBorders>
              <w:top w:val="single" w:sz="4" w:space="0" w:color="auto"/>
              <w:left w:val="nil"/>
              <w:bottom w:val="single" w:sz="4" w:space="0" w:color="auto"/>
              <w:right w:val="nil"/>
            </w:tcBorders>
            <w:shd w:val="clear" w:color="auto" w:fill="FABF8F"/>
            <w:vAlign w:val="center"/>
            <w:hideMark/>
          </w:tcPr>
          <w:p w14:paraId="37381100" w14:textId="6DFA3321" w:rsidR="00D444DC" w:rsidRPr="00127AF3" w:rsidRDefault="00D444DC" w:rsidP="00127AF3">
            <w:pPr>
              <w:pStyle w:val="cuadroCabe"/>
              <w:jc w:val="right"/>
            </w:pPr>
            <w:r w:rsidRPr="00127AF3">
              <w:t>%</w:t>
            </w:r>
          </w:p>
          <w:p w14:paraId="20F9F1AA" w14:textId="57EE29C6" w:rsidR="00D444DC" w:rsidRPr="00127AF3" w:rsidRDefault="00D444DC" w:rsidP="003820CA">
            <w:pPr>
              <w:pStyle w:val="cuadroCabe"/>
              <w:jc w:val="right"/>
            </w:pPr>
            <w:r w:rsidRPr="00127AF3">
              <w:t>Ejec</w:t>
            </w:r>
          </w:p>
        </w:tc>
        <w:tc>
          <w:tcPr>
            <w:tcW w:w="851" w:type="dxa"/>
            <w:tcBorders>
              <w:top w:val="single" w:sz="4" w:space="0" w:color="auto"/>
              <w:left w:val="nil"/>
              <w:bottom w:val="single" w:sz="4" w:space="0" w:color="auto"/>
              <w:right w:val="nil"/>
            </w:tcBorders>
            <w:shd w:val="clear" w:color="auto" w:fill="FABF8F"/>
            <w:vAlign w:val="center"/>
            <w:hideMark/>
          </w:tcPr>
          <w:p w14:paraId="4E7F95C1" w14:textId="3288675C" w:rsidR="00D444DC" w:rsidRPr="00127AF3" w:rsidRDefault="00D444DC" w:rsidP="00127AF3">
            <w:pPr>
              <w:pStyle w:val="cuadroCabe"/>
              <w:jc w:val="right"/>
            </w:pPr>
            <w:r w:rsidRPr="00127AF3">
              <w:t>%</w:t>
            </w:r>
          </w:p>
          <w:p w14:paraId="2A4E7724" w14:textId="4AFA1568" w:rsidR="00D444DC" w:rsidRPr="00127AF3" w:rsidRDefault="00A64D61" w:rsidP="00127AF3">
            <w:pPr>
              <w:pStyle w:val="cuadroCabe"/>
              <w:jc w:val="right"/>
            </w:pPr>
            <w:r>
              <w:t>c</w:t>
            </w:r>
            <w:r w:rsidR="00D444DC" w:rsidRPr="00127AF3">
              <w:t>obros</w:t>
            </w:r>
          </w:p>
        </w:tc>
      </w:tr>
      <w:tr w:rsidR="00723690" w:rsidRPr="00323361" w14:paraId="77B44EBC" w14:textId="77777777" w:rsidTr="003820CA">
        <w:trPr>
          <w:trHeight w:val="198"/>
        </w:trPr>
        <w:tc>
          <w:tcPr>
            <w:tcW w:w="2410" w:type="dxa"/>
            <w:gridSpan w:val="2"/>
            <w:tcBorders>
              <w:top w:val="single" w:sz="2" w:space="0" w:color="auto"/>
              <w:left w:val="nil"/>
              <w:bottom w:val="single" w:sz="2" w:space="0" w:color="auto"/>
              <w:right w:val="nil"/>
            </w:tcBorders>
            <w:shd w:val="clear" w:color="auto" w:fill="auto"/>
            <w:noWrap/>
            <w:vAlign w:val="center"/>
            <w:hideMark/>
          </w:tcPr>
          <w:p w14:paraId="341F1283" w14:textId="77777777" w:rsidR="00723690" w:rsidRPr="0013478D" w:rsidRDefault="00723690" w:rsidP="00127AF3">
            <w:pPr>
              <w:pStyle w:val="cuatexto"/>
              <w:jc w:val="left"/>
            </w:pPr>
            <w:r w:rsidRPr="0013478D">
              <w:t>3. Tasas, precios públicos y otros ingresos</w:t>
            </w:r>
          </w:p>
        </w:tc>
        <w:tc>
          <w:tcPr>
            <w:tcW w:w="1134" w:type="dxa"/>
            <w:tcBorders>
              <w:top w:val="single" w:sz="2" w:space="0" w:color="auto"/>
              <w:left w:val="nil"/>
              <w:bottom w:val="single" w:sz="2" w:space="0" w:color="auto"/>
              <w:right w:val="nil"/>
            </w:tcBorders>
            <w:shd w:val="clear" w:color="auto" w:fill="auto"/>
            <w:noWrap/>
            <w:vAlign w:val="center"/>
          </w:tcPr>
          <w:p w14:paraId="5AFA09CD" w14:textId="3BBADDFB" w:rsidR="00723690" w:rsidRPr="0013478D" w:rsidRDefault="00723690" w:rsidP="00127AF3">
            <w:pPr>
              <w:pStyle w:val="cuatexto"/>
              <w:jc w:val="right"/>
            </w:pPr>
            <w:r>
              <w:t>651.300</w:t>
            </w:r>
          </w:p>
        </w:tc>
        <w:tc>
          <w:tcPr>
            <w:tcW w:w="709" w:type="dxa"/>
            <w:tcBorders>
              <w:top w:val="single" w:sz="2" w:space="0" w:color="auto"/>
              <w:left w:val="nil"/>
              <w:bottom w:val="single" w:sz="2" w:space="0" w:color="auto"/>
              <w:right w:val="nil"/>
            </w:tcBorders>
            <w:shd w:val="clear" w:color="auto" w:fill="auto"/>
            <w:noWrap/>
            <w:vAlign w:val="center"/>
          </w:tcPr>
          <w:p w14:paraId="76D0F52A" w14:textId="5F89B867" w:rsidR="00723690" w:rsidRPr="0013478D" w:rsidRDefault="00723690" w:rsidP="00127AF3">
            <w:pPr>
              <w:pStyle w:val="cuatexto"/>
              <w:jc w:val="right"/>
            </w:pPr>
            <w:r>
              <w:t>0</w:t>
            </w:r>
          </w:p>
        </w:tc>
        <w:tc>
          <w:tcPr>
            <w:tcW w:w="1276" w:type="dxa"/>
            <w:tcBorders>
              <w:top w:val="single" w:sz="2" w:space="0" w:color="auto"/>
              <w:left w:val="nil"/>
              <w:bottom w:val="single" w:sz="2" w:space="0" w:color="auto"/>
              <w:right w:val="nil"/>
            </w:tcBorders>
            <w:shd w:val="clear" w:color="auto" w:fill="auto"/>
            <w:noWrap/>
            <w:vAlign w:val="center"/>
          </w:tcPr>
          <w:p w14:paraId="2B7E29F5" w14:textId="0FE7FAAE" w:rsidR="00723690" w:rsidRPr="0013478D" w:rsidRDefault="00723690" w:rsidP="00127AF3">
            <w:pPr>
              <w:pStyle w:val="cuatexto"/>
              <w:jc w:val="right"/>
            </w:pPr>
            <w:r>
              <w:t>651.300</w:t>
            </w:r>
          </w:p>
        </w:tc>
        <w:tc>
          <w:tcPr>
            <w:tcW w:w="992" w:type="dxa"/>
            <w:tcBorders>
              <w:top w:val="single" w:sz="2" w:space="0" w:color="auto"/>
              <w:left w:val="nil"/>
              <w:bottom w:val="single" w:sz="2" w:space="0" w:color="auto"/>
              <w:right w:val="nil"/>
            </w:tcBorders>
            <w:shd w:val="clear" w:color="auto" w:fill="auto"/>
            <w:noWrap/>
            <w:vAlign w:val="center"/>
          </w:tcPr>
          <w:p w14:paraId="3609F6DE" w14:textId="32002EFD" w:rsidR="00723690" w:rsidRPr="0013478D" w:rsidRDefault="00723690" w:rsidP="00127AF3">
            <w:pPr>
              <w:pStyle w:val="cuatexto"/>
              <w:jc w:val="right"/>
            </w:pPr>
            <w:r>
              <w:t>628.900</w:t>
            </w:r>
          </w:p>
        </w:tc>
        <w:tc>
          <w:tcPr>
            <w:tcW w:w="850" w:type="dxa"/>
            <w:tcBorders>
              <w:top w:val="single" w:sz="2" w:space="0" w:color="auto"/>
              <w:left w:val="nil"/>
              <w:bottom w:val="single" w:sz="2" w:space="0" w:color="auto"/>
              <w:right w:val="nil"/>
            </w:tcBorders>
            <w:shd w:val="clear" w:color="auto" w:fill="auto"/>
            <w:noWrap/>
            <w:vAlign w:val="center"/>
          </w:tcPr>
          <w:p w14:paraId="0839B75F" w14:textId="1D2C90C3" w:rsidR="00723690" w:rsidRPr="0013478D" w:rsidRDefault="00723690" w:rsidP="00127AF3">
            <w:pPr>
              <w:pStyle w:val="cuatexto"/>
              <w:jc w:val="right"/>
            </w:pPr>
            <w:r>
              <w:t>565.178</w:t>
            </w:r>
          </w:p>
        </w:tc>
        <w:tc>
          <w:tcPr>
            <w:tcW w:w="567" w:type="dxa"/>
            <w:tcBorders>
              <w:top w:val="single" w:sz="2" w:space="0" w:color="auto"/>
              <w:left w:val="nil"/>
              <w:bottom w:val="single" w:sz="2" w:space="0" w:color="auto"/>
              <w:right w:val="nil"/>
            </w:tcBorders>
            <w:shd w:val="clear" w:color="auto" w:fill="auto"/>
            <w:noWrap/>
            <w:vAlign w:val="center"/>
          </w:tcPr>
          <w:p w14:paraId="1B5ACE85" w14:textId="3E2E9D79" w:rsidR="00723690" w:rsidRPr="0013478D" w:rsidRDefault="00723690" w:rsidP="00127AF3">
            <w:pPr>
              <w:pStyle w:val="cuatexto"/>
              <w:jc w:val="right"/>
            </w:pPr>
            <w:r>
              <w:t>97</w:t>
            </w:r>
          </w:p>
        </w:tc>
        <w:tc>
          <w:tcPr>
            <w:tcW w:w="851" w:type="dxa"/>
            <w:tcBorders>
              <w:top w:val="single" w:sz="2" w:space="0" w:color="auto"/>
              <w:left w:val="nil"/>
              <w:bottom w:val="single" w:sz="2" w:space="0" w:color="auto"/>
              <w:right w:val="nil"/>
            </w:tcBorders>
            <w:shd w:val="clear" w:color="auto" w:fill="auto"/>
            <w:noWrap/>
            <w:vAlign w:val="center"/>
          </w:tcPr>
          <w:p w14:paraId="72947656" w14:textId="70F0073B" w:rsidR="00723690" w:rsidRPr="0013478D" w:rsidRDefault="00723690" w:rsidP="00127AF3">
            <w:pPr>
              <w:pStyle w:val="cuatexto"/>
              <w:jc w:val="right"/>
            </w:pPr>
            <w:r>
              <w:t>90</w:t>
            </w:r>
          </w:p>
        </w:tc>
      </w:tr>
      <w:tr w:rsidR="00723690" w:rsidRPr="00323361" w14:paraId="57A4851F" w14:textId="77777777" w:rsidTr="003820CA">
        <w:trPr>
          <w:trHeight w:val="198"/>
        </w:trPr>
        <w:tc>
          <w:tcPr>
            <w:tcW w:w="2410" w:type="dxa"/>
            <w:gridSpan w:val="2"/>
            <w:tcBorders>
              <w:top w:val="single" w:sz="2" w:space="0" w:color="auto"/>
              <w:left w:val="nil"/>
              <w:bottom w:val="single" w:sz="2" w:space="0" w:color="auto"/>
              <w:right w:val="nil"/>
            </w:tcBorders>
            <w:shd w:val="clear" w:color="auto" w:fill="auto"/>
            <w:noWrap/>
            <w:vAlign w:val="center"/>
            <w:hideMark/>
          </w:tcPr>
          <w:p w14:paraId="3C8BF47C" w14:textId="77777777" w:rsidR="00723690" w:rsidRPr="0013478D" w:rsidRDefault="00723690" w:rsidP="00127AF3">
            <w:pPr>
              <w:pStyle w:val="cuatexto"/>
              <w:jc w:val="left"/>
            </w:pPr>
            <w:r w:rsidRPr="0013478D">
              <w:t>4. Transferencia corrientes</w:t>
            </w:r>
          </w:p>
        </w:tc>
        <w:tc>
          <w:tcPr>
            <w:tcW w:w="1134" w:type="dxa"/>
            <w:tcBorders>
              <w:top w:val="single" w:sz="2" w:space="0" w:color="auto"/>
              <w:left w:val="nil"/>
              <w:bottom w:val="single" w:sz="2" w:space="0" w:color="auto"/>
              <w:right w:val="nil"/>
            </w:tcBorders>
            <w:shd w:val="clear" w:color="auto" w:fill="auto"/>
            <w:noWrap/>
            <w:vAlign w:val="center"/>
          </w:tcPr>
          <w:p w14:paraId="2A7943FC" w14:textId="522D32F5" w:rsidR="00723690" w:rsidRPr="0013478D" w:rsidRDefault="00723690" w:rsidP="00127AF3">
            <w:pPr>
              <w:pStyle w:val="cuatexto"/>
              <w:jc w:val="right"/>
            </w:pPr>
            <w:r>
              <w:t>124.000</w:t>
            </w:r>
          </w:p>
        </w:tc>
        <w:tc>
          <w:tcPr>
            <w:tcW w:w="709" w:type="dxa"/>
            <w:tcBorders>
              <w:top w:val="single" w:sz="2" w:space="0" w:color="auto"/>
              <w:left w:val="nil"/>
              <w:bottom w:val="single" w:sz="2" w:space="0" w:color="auto"/>
              <w:right w:val="nil"/>
            </w:tcBorders>
            <w:shd w:val="clear" w:color="auto" w:fill="auto"/>
            <w:noWrap/>
            <w:vAlign w:val="center"/>
          </w:tcPr>
          <w:p w14:paraId="67EA1BEE" w14:textId="2656A103" w:rsidR="00723690" w:rsidRPr="0013478D" w:rsidRDefault="00723690" w:rsidP="00127AF3">
            <w:pPr>
              <w:pStyle w:val="cuatexto"/>
              <w:jc w:val="right"/>
            </w:pPr>
            <w:r>
              <w:t>0</w:t>
            </w:r>
          </w:p>
        </w:tc>
        <w:tc>
          <w:tcPr>
            <w:tcW w:w="1276" w:type="dxa"/>
            <w:tcBorders>
              <w:top w:val="single" w:sz="2" w:space="0" w:color="auto"/>
              <w:left w:val="nil"/>
              <w:bottom w:val="single" w:sz="2" w:space="0" w:color="auto"/>
              <w:right w:val="nil"/>
            </w:tcBorders>
            <w:shd w:val="clear" w:color="auto" w:fill="auto"/>
            <w:noWrap/>
            <w:vAlign w:val="center"/>
          </w:tcPr>
          <w:p w14:paraId="612BD335" w14:textId="5188941E" w:rsidR="00723690" w:rsidRPr="0013478D" w:rsidRDefault="00723690" w:rsidP="00127AF3">
            <w:pPr>
              <w:pStyle w:val="cuatexto"/>
              <w:jc w:val="right"/>
            </w:pPr>
            <w:r>
              <w:t>124.000</w:t>
            </w:r>
          </w:p>
        </w:tc>
        <w:tc>
          <w:tcPr>
            <w:tcW w:w="992" w:type="dxa"/>
            <w:tcBorders>
              <w:top w:val="single" w:sz="2" w:space="0" w:color="auto"/>
              <w:left w:val="nil"/>
              <w:bottom w:val="single" w:sz="2" w:space="0" w:color="auto"/>
              <w:right w:val="nil"/>
            </w:tcBorders>
            <w:shd w:val="clear" w:color="auto" w:fill="auto"/>
            <w:noWrap/>
            <w:vAlign w:val="center"/>
          </w:tcPr>
          <w:p w14:paraId="5CC38B9D" w14:textId="76FE47B8" w:rsidR="00723690" w:rsidRPr="0013478D" w:rsidRDefault="00723690" w:rsidP="00127AF3">
            <w:pPr>
              <w:pStyle w:val="cuatexto"/>
              <w:jc w:val="right"/>
            </w:pPr>
            <w:r>
              <w:t>83.455</w:t>
            </w:r>
          </w:p>
        </w:tc>
        <w:tc>
          <w:tcPr>
            <w:tcW w:w="850" w:type="dxa"/>
            <w:tcBorders>
              <w:top w:val="single" w:sz="2" w:space="0" w:color="auto"/>
              <w:left w:val="nil"/>
              <w:bottom w:val="single" w:sz="2" w:space="0" w:color="auto"/>
              <w:right w:val="nil"/>
            </w:tcBorders>
            <w:shd w:val="clear" w:color="auto" w:fill="auto"/>
            <w:noWrap/>
            <w:vAlign w:val="center"/>
          </w:tcPr>
          <w:p w14:paraId="39B486AA" w14:textId="58B9E0EA" w:rsidR="00723690" w:rsidRPr="0013478D" w:rsidRDefault="00723690" w:rsidP="00127AF3">
            <w:pPr>
              <w:pStyle w:val="cuatexto"/>
              <w:jc w:val="right"/>
            </w:pPr>
            <w:r>
              <w:t>0</w:t>
            </w:r>
          </w:p>
        </w:tc>
        <w:tc>
          <w:tcPr>
            <w:tcW w:w="567" w:type="dxa"/>
            <w:tcBorders>
              <w:top w:val="single" w:sz="2" w:space="0" w:color="auto"/>
              <w:left w:val="nil"/>
              <w:bottom w:val="single" w:sz="2" w:space="0" w:color="auto"/>
              <w:right w:val="nil"/>
            </w:tcBorders>
            <w:shd w:val="clear" w:color="auto" w:fill="auto"/>
            <w:noWrap/>
            <w:vAlign w:val="center"/>
          </w:tcPr>
          <w:p w14:paraId="60525613" w14:textId="6D796053" w:rsidR="00723690" w:rsidRPr="0013478D" w:rsidRDefault="00723690" w:rsidP="00127AF3">
            <w:pPr>
              <w:pStyle w:val="cuatexto"/>
              <w:jc w:val="right"/>
            </w:pPr>
            <w:r>
              <w:t>67</w:t>
            </w:r>
          </w:p>
        </w:tc>
        <w:tc>
          <w:tcPr>
            <w:tcW w:w="851" w:type="dxa"/>
            <w:tcBorders>
              <w:top w:val="single" w:sz="2" w:space="0" w:color="auto"/>
              <w:left w:val="nil"/>
              <w:bottom w:val="single" w:sz="2" w:space="0" w:color="auto"/>
              <w:right w:val="nil"/>
            </w:tcBorders>
            <w:shd w:val="clear" w:color="auto" w:fill="auto"/>
            <w:noWrap/>
            <w:vAlign w:val="center"/>
          </w:tcPr>
          <w:p w14:paraId="2CE73B84" w14:textId="06EE88F0" w:rsidR="00723690" w:rsidRPr="0013478D" w:rsidRDefault="00723690" w:rsidP="00127AF3">
            <w:pPr>
              <w:pStyle w:val="cuatexto"/>
              <w:jc w:val="right"/>
            </w:pPr>
            <w:r>
              <w:t>0</w:t>
            </w:r>
          </w:p>
        </w:tc>
      </w:tr>
      <w:tr w:rsidR="00723690" w:rsidRPr="00323361" w14:paraId="298AB2D1" w14:textId="77777777" w:rsidTr="003820CA">
        <w:trPr>
          <w:trHeight w:val="198"/>
        </w:trPr>
        <w:tc>
          <w:tcPr>
            <w:tcW w:w="2410" w:type="dxa"/>
            <w:gridSpan w:val="2"/>
            <w:tcBorders>
              <w:top w:val="single" w:sz="2" w:space="0" w:color="auto"/>
              <w:left w:val="nil"/>
              <w:bottom w:val="single" w:sz="2" w:space="0" w:color="auto"/>
              <w:right w:val="nil"/>
            </w:tcBorders>
            <w:shd w:val="clear" w:color="auto" w:fill="auto"/>
            <w:noWrap/>
            <w:hideMark/>
          </w:tcPr>
          <w:p w14:paraId="359A654C" w14:textId="7D3E990B" w:rsidR="00723690" w:rsidRPr="0013478D" w:rsidRDefault="00723690" w:rsidP="00127AF3">
            <w:pPr>
              <w:pStyle w:val="cuatexto"/>
              <w:jc w:val="left"/>
              <w:rPr>
                <w:lang w:val="es-ES"/>
              </w:rPr>
            </w:pPr>
            <w:r w:rsidRPr="06D4BFB9">
              <w:rPr>
                <w:lang w:val="es-ES"/>
              </w:rPr>
              <w:t>5. Ing</w:t>
            </w:r>
            <w:r w:rsidR="00E30BE7">
              <w:rPr>
                <w:lang w:val="es-ES"/>
              </w:rPr>
              <w:t xml:space="preserve">. </w:t>
            </w:r>
            <w:r w:rsidRPr="06D4BFB9">
              <w:rPr>
                <w:lang w:val="es-ES"/>
              </w:rPr>
              <w:t>patrimo. y aprov comunales</w:t>
            </w:r>
          </w:p>
        </w:tc>
        <w:tc>
          <w:tcPr>
            <w:tcW w:w="1134" w:type="dxa"/>
            <w:tcBorders>
              <w:top w:val="single" w:sz="2" w:space="0" w:color="auto"/>
              <w:left w:val="nil"/>
              <w:bottom w:val="single" w:sz="2" w:space="0" w:color="auto"/>
              <w:right w:val="nil"/>
            </w:tcBorders>
            <w:shd w:val="clear" w:color="auto" w:fill="auto"/>
            <w:noWrap/>
            <w:vAlign w:val="center"/>
          </w:tcPr>
          <w:p w14:paraId="3336C195" w14:textId="489677C8" w:rsidR="00723690" w:rsidRPr="0013478D" w:rsidRDefault="00723690" w:rsidP="00127AF3">
            <w:pPr>
              <w:pStyle w:val="cuatexto"/>
              <w:jc w:val="right"/>
            </w:pPr>
            <w:r>
              <w:t>10</w:t>
            </w:r>
          </w:p>
        </w:tc>
        <w:tc>
          <w:tcPr>
            <w:tcW w:w="709" w:type="dxa"/>
            <w:tcBorders>
              <w:top w:val="single" w:sz="2" w:space="0" w:color="auto"/>
              <w:left w:val="nil"/>
              <w:bottom w:val="single" w:sz="2" w:space="0" w:color="auto"/>
              <w:right w:val="nil"/>
            </w:tcBorders>
            <w:shd w:val="clear" w:color="auto" w:fill="auto"/>
            <w:noWrap/>
            <w:vAlign w:val="center"/>
          </w:tcPr>
          <w:p w14:paraId="0146225B" w14:textId="4ED7E32D" w:rsidR="00723690" w:rsidRPr="0013478D" w:rsidRDefault="00723690" w:rsidP="00127AF3">
            <w:pPr>
              <w:pStyle w:val="cuatexto"/>
              <w:jc w:val="right"/>
            </w:pPr>
            <w:r>
              <w:t>0</w:t>
            </w:r>
          </w:p>
        </w:tc>
        <w:tc>
          <w:tcPr>
            <w:tcW w:w="1276" w:type="dxa"/>
            <w:tcBorders>
              <w:top w:val="single" w:sz="2" w:space="0" w:color="auto"/>
              <w:left w:val="nil"/>
              <w:bottom w:val="single" w:sz="2" w:space="0" w:color="auto"/>
              <w:right w:val="nil"/>
            </w:tcBorders>
            <w:shd w:val="clear" w:color="auto" w:fill="auto"/>
            <w:noWrap/>
            <w:vAlign w:val="center"/>
          </w:tcPr>
          <w:p w14:paraId="2695D53E" w14:textId="7FA7117F" w:rsidR="00723690" w:rsidRPr="0013478D" w:rsidRDefault="00723690" w:rsidP="00127AF3">
            <w:pPr>
              <w:pStyle w:val="cuatexto"/>
              <w:jc w:val="right"/>
            </w:pPr>
            <w:r>
              <w:t>10</w:t>
            </w:r>
          </w:p>
        </w:tc>
        <w:tc>
          <w:tcPr>
            <w:tcW w:w="992" w:type="dxa"/>
            <w:tcBorders>
              <w:top w:val="single" w:sz="2" w:space="0" w:color="auto"/>
              <w:left w:val="nil"/>
              <w:bottom w:val="single" w:sz="2" w:space="0" w:color="auto"/>
              <w:right w:val="nil"/>
            </w:tcBorders>
            <w:shd w:val="clear" w:color="auto" w:fill="auto"/>
            <w:noWrap/>
            <w:vAlign w:val="center"/>
          </w:tcPr>
          <w:p w14:paraId="12113B21" w14:textId="0B38A415" w:rsidR="00723690" w:rsidRPr="0013478D" w:rsidRDefault="00723690" w:rsidP="00127AF3">
            <w:pPr>
              <w:pStyle w:val="cuatexto"/>
              <w:jc w:val="right"/>
            </w:pPr>
            <w:r>
              <w:t>1</w:t>
            </w:r>
          </w:p>
        </w:tc>
        <w:tc>
          <w:tcPr>
            <w:tcW w:w="850" w:type="dxa"/>
            <w:tcBorders>
              <w:top w:val="single" w:sz="2" w:space="0" w:color="auto"/>
              <w:left w:val="nil"/>
              <w:bottom w:val="single" w:sz="2" w:space="0" w:color="auto"/>
              <w:right w:val="nil"/>
            </w:tcBorders>
            <w:shd w:val="clear" w:color="auto" w:fill="auto"/>
            <w:noWrap/>
            <w:vAlign w:val="center"/>
          </w:tcPr>
          <w:p w14:paraId="054599AF" w14:textId="39C7E70F" w:rsidR="00723690" w:rsidRPr="0013478D" w:rsidRDefault="00723690" w:rsidP="00127AF3">
            <w:pPr>
              <w:pStyle w:val="cuatexto"/>
              <w:jc w:val="right"/>
            </w:pPr>
            <w:r>
              <w:t>1</w:t>
            </w:r>
          </w:p>
        </w:tc>
        <w:tc>
          <w:tcPr>
            <w:tcW w:w="567" w:type="dxa"/>
            <w:tcBorders>
              <w:top w:val="single" w:sz="2" w:space="0" w:color="auto"/>
              <w:left w:val="nil"/>
              <w:bottom w:val="single" w:sz="2" w:space="0" w:color="auto"/>
              <w:right w:val="nil"/>
            </w:tcBorders>
            <w:shd w:val="clear" w:color="auto" w:fill="auto"/>
            <w:noWrap/>
            <w:vAlign w:val="center"/>
          </w:tcPr>
          <w:p w14:paraId="299BFF4E" w14:textId="0BEE521C" w:rsidR="00723690" w:rsidRPr="0013478D" w:rsidRDefault="00723690" w:rsidP="00127AF3">
            <w:pPr>
              <w:pStyle w:val="cuatexto"/>
              <w:jc w:val="right"/>
            </w:pPr>
            <w:r>
              <w:t>12</w:t>
            </w:r>
          </w:p>
        </w:tc>
        <w:tc>
          <w:tcPr>
            <w:tcW w:w="851" w:type="dxa"/>
            <w:tcBorders>
              <w:top w:val="single" w:sz="2" w:space="0" w:color="auto"/>
              <w:left w:val="nil"/>
              <w:bottom w:val="single" w:sz="2" w:space="0" w:color="auto"/>
              <w:right w:val="nil"/>
            </w:tcBorders>
            <w:shd w:val="clear" w:color="auto" w:fill="auto"/>
            <w:noWrap/>
            <w:vAlign w:val="center"/>
          </w:tcPr>
          <w:p w14:paraId="25668B4D" w14:textId="45165751" w:rsidR="00723690" w:rsidRPr="0013478D" w:rsidRDefault="00723690" w:rsidP="00127AF3">
            <w:pPr>
              <w:pStyle w:val="cuatexto"/>
              <w:jc w:val="right"/>
            </w:pPr>
            <w:r>
              <w:t>100</w:t>
            </w:r>
          </w:p>
        </w:tc>
      </w:tr>
      <w:tr w:rsidR="00723690" w:rsidRPr="00323361" w14:paraId="0FAF4602" w14:textId="77777777" w:rsidTr="003820CA">
        <w:trPr>
          <w:trHeight w:val="198"/>
        </w:trPr>
        <w:tc>
          <w:tcPr>
            <w:tcW w:w="2410" w:type="dxa"/>
            <w:gridSpan w:val="2"/>
            <w:tcBorders>
              <w:top w:val="single" w:sz="2" w:space="0" w:color="auto"/>
              <w:left w:val="nil"/>
              <w:bottom w:val="single" w:sz="2" w:space="0" w:color="auto"/>
              <w:right w:val="nil"/>
            </w:tcBorders>
            <w:shd w:val="clear" w:color="auto" w:fill="auto"/>
            <w:noWrap/>
            <w:vAlign w:val="center"/>
            <w:hideMark/>
          </w:tcPr>
          <w:p w14:paraId="2EE17ED2" w14:textId="77777777" w:rsidR="00723690" w:rsidRPr="0013478D" w:rsidRDefault="00723690" w:rsidP="00127AF3">
            <w:pPr>
              <w:pStyle w:val="cuatexto"/>
              <w:jc w:val="left"/>
            </w:pPr>
            <w:r w:rsidRPr="0013478D">
              <w:t>7. Transferencias de capital</w:t>
            </w:r>
          </w:p>
        </w:tc>
        <w:tc>
          <w:tcPr>
            <w:tcW w:w="1134" w:type="dxa"/>
            <w:tcBorders>
              <w:top w:val="single" w:sz="2" w:space="0" w:color="auto"/>
              <w:left w:val="nil"/>
              <w:bottom w:val="single" w:sz="2" w:space="0" w:color="auto"/>
              <w:right w:val="nil"/>
            </w:tcBorders>
            <w:shd w:val="clear" w:color="auto" w:fill="auto"/>
            <w:noWrap/>
            <w:vAlign w:val="center"/>
          </w:tcPr>
          <w:p w14:paraId="2D1304C0" w14:textId="30B773AB" w:rsidR="00723690" w:rsidRPr="0013478D" w:rsidRDefault="00723690" w:rsidP="00127AF3">
            <w:pPr>
              <w:pStyle w:val="cuatexto"/>
              <w:jc w:val="right"/>
            </w:pPr>
            <w:r>
              <w:t>608.696</w:t>
            </w:r>
          </w:p>
        </w:tc>
        <w:tc>
          <w:tcPr>
            <w:tcW w:w="709" w:type="dxa"/>
            <w:tcBorders>
              <w:top w:val="single" w:sz="2" w:space="0" w:color="auto"/>
              <w:left w:val="nil"/>
              <w:bottom w:val="single" w:sz="2" w:space="0" w:color="auto"/>
              <w:right w:val="nil"/>
            </w:tcBorders>
            <w:shd w:val="clear" w:color="auto" w:fill="auto"/>
            <w:noWrap/>
            <w:vAlign w:val="center"/>
          </w:tcPr>
          <w:p w14:paraId="55025BEF" w14:textId="797A8541" w:rsidR="00723690" w:rsidRPr="0013478D" w:rsidRDefault="00723690" w:rsidP="00127AF3">
            <w:pPr>
              <w:pStyle w:val="cuatexto"/>
              <w:jc w:val="right"/>
            </w:pPr>
            <w:r>
              <w:t>0</w:t>
            </w:r>
          </w:p>
        </w:tc>
        <w:tc>
          <w:tcPr>
            <w:tcW w:w="1276" w:type="dxa"/>
            <w:tcBorders>
              <w:top w:val="single" w:sz="2" w:space="0" w:color="auto"/>
              <w:left w:val="nil"/>
              <w:bottom w:val="single" w:sz="2" w:space="0" w:color="auto"/>
              <w:right w:val="nil"/>
            </w:tcBorders>
            <w:shd w:val="clear" w:color="auto" w:fill="auto"/>
            <w:noWrap/>
            <w:vAlign w:val="center"/>
          </w:tcPr>
          <w:p w14:paraId="37FAA747" w14:textId="475723BB" w:rsidR="00723690" w:rsidRPr="0013478D" w:rsidRDefault="00723690" w:rsidP="00127AF3">
            <w:pPr>
              <w:pStyle w:val="cuatexto"/>
              <w:jc w:val="right"/>
            </w:pPr>
            <w:r>
              <w:t>608.696</w:t>
            </w:r>
          </w:p>
        </w:tc>
        <w:tc>
          <w:tcPr>
            <w:tcW w:w="992" w:type="dxa"/>
            <w:tcBorders>
              <w:top w:val="single" w:sz="2" w:space="0" w:color="auto"/>
              <w:left w:val="nil"/>
              <w:bottom w:val="single" w:sz="2" w:space="0" w:color="auto"/>
              <w:right w:val="nil"/>
            </w:tcBorders>
            <w:shd w:val="clear" w:color="auto" w:fill="auto"/>
            <w:noWrap/>
            <w:vAlign w:val="center"/>
          </w:tcPr>
          <w:p w14:paraId="1CF0B101" w14:textId="577851C4" w:rsidR="00723690" w:rsidRPr="0013478D" w:rsidRDefault="00723690" w:rsidP="00127AF3">
            <w:pPr>
              <w:pStyle w:val="cuatexto"/>
              <w:jc w:val="right"/>
            </w:pPr>
            <w:r>
              <w:t>0</w:t>
            </w:r>
          </w:p>
        </w:tc>
        <w:tc>
          <w:tcPr>
            <w:tcW w:w="850" w:type="dxa"/>
            <w:tcBorders>
              <w:top w:val="single" w:sz="2" w:space="0" w:color="auto"/>
              <w:left w:val="nil"/>
              <w:bottom w:val="single" w:sz="2" w:space="0" w:color="auto"/>
              <w:right w:val="nil"/>
            </w:tcBorders>
            <w:shd w:val="clear" w:color="auto" w:fill="auto"/>
            <w:noWrap/>
            <w:vAlign w:val="center"/>
          </w:tcPr>
          <w:p w14:paraId="25F58AB7" w14:textId="40BC9728" w:rsidR="00723690" w:rsidRPr="0013478D" w:rsidRDefault="00723690" w:rsidP="00127AF3">
            <w:pPr>
              <w:pStyle w:val="cuatexto"/>
              <w:jc w:val="right"/>
            </w:pPr>
            <w:r>
              <w:t>0</w:t>
            </w:r>
          </w:p>
        </w:tc>
        <w:tc>
          <w:tcPr>
            <w:tcW w:w="567" w:type="dxa"/>
            <w:tcBorders>
              <w:top w:val="single" w:sz="2" w:space="0" w:color="auto"/>
              <w:left w:val="nil"/>
              <w:bottom w:val="single" w:sz="2" w:space="0" w:color="auto"/>
              <w:right w:val="nil"/>
            </w:tcBorders>
            <w:shd w:val="clear" w:color="auto" w:fill="auto"/>
            <w:noWrap/>
            <w:vAlign w:val="center"/>
          </w:tcPr>
          <w:p w14:paraId="63F14F84" w14:textId="4D029255" w:rsidR="00723690" w:rsidRPr="0013478D" w:rsidRDefault="00723690" w:rsidP="00127AF3">
            <w:pPr>
              <w:pStyle w:val="cuatexto"/>
              <w:jc w:val="right"/>
            </w:pPr>
            <w:r>
              <w:t>0</w:t>
            </w:r>
          </w:p>
        </w:tc>
        <w:tc>
          <w:tcPr>
            <w:tcW w:w="851" w:type="dxa"/>
            <w:tcBorders>
              <w:top w:val="single" w:sz="2" w:space="0" w:color="auto"/>
              <w:left w:val="nil"/>
              <w:bottom w:val="single" w:sz="2" w:space="0" w:color="auto"/>
              <w:right w:val="nil"/>
            </w:tcBorders>
            <w:shd w:val="clear" w:color="auto" w:fill="auto"/>
            <w:noWrap/>
            <w:vAlign w:val="center"/>
          </w:tcPr>
          <w:p w14:paraId="3706B644" w14:textId="49E2E847" w:rsidR="00723690" w:rsidRPr="0013478D" w:rsidRDefault="00723690" w:rsidP="00127AF3">
            <w:pPr>
              <w:pStyle w:val="cuatexto"/>
              <w:jc w:val="right"/>
            </w:pPr>
            <w:r>
              <w:t>0</w:t>
            </w:r>
          </w:p>
        </w:tc>
      </w:tr>
      <w:tr w:rsidR="00723690" w:rsidRPr="00323361" w14:paraId="60E0C41A" w14:textId="77777777" w:rsidTr="003820CA">
        <w:trPr>
          <w:trHeight w:val="198"/>
        </w:trPr>
        <w:tc>
          <w:tcPr>
            <w:tcW w:w="2410" w:type="dxa"/>
            <w:gridSpan w:val="2"/>
            <w:tcBorders>
              <w:top w:val="single" w:sz="2" w:space="0" w:color="auto"/>
              <w:left w:val="nil"/>
              <w:bottom w:val="single" w:sz="4" w:space="0" w:color="auto"/>
              <w:right w:val="nil"/>
            </w:tcBorders>
            <w:shd w:val="clear" w:color="auto" w:fill="auto"/>
            <w:noWrap/>
            <w:vAlign w:val="center"/>
            <w:hideMark/>
          </w:tcPr>
          <w:p w14:paraId="58DE3B5D" w14:textId="77777777" w:rsidR="00723690" w:rsidRPr="0013478D" w:rsidRDefault="00723690" w:rsidP="00127AF3">
            <w:pPr>
              <w:pStyle w:val="cuatexto"/>
              <w:jc w:val="left"/>
            </w:pPr>
            <w:r w:rsidRPr="0013478D">
              <w:t>9. Pasivos financieros</w:t>
            </w:r>
          </w:p>
        </w:tc>
        <w:tc>
          <w:tcPr>
            <w:tcW w:w="1134" w:type="dxa"/>
            <w:tcBorders>
              <w:top w:val="single" w:sz="2" w:space="0" w:color="auto"/>
              <w:left w:val="nil"/>
              <w:bottom w:val="single" w:sz="4" w:space="0" w:color="auto"/>
              <w:right w:val="nil"/>
            </w:tcBorders>
            <w:shd w:val="clear" w:color="auto" w:fill="auto"/>
            <w:noWrap/>
            <w:vAlign w:val="center"/>
          </w:tcPr>
          <w:p w14:paraId="5D64A453" w14:textId="5EC6FE1E" w:rsidR="00723690" w:rsidRPr="0013478D" w:rsidRDefault="00723690" w:rsidP="00127AF3">
            <w:pPr>
              <w:pStyle w:val="cuatexto"/>
              <w:jc w:val="right"/>
            </w:pPr>
            <w:r>
              <w:t>31.510</w:t>
            </w:r>
          </w:p>
        </w:tc>
        <w:tc>
          <w:tcPr>
            <w:tcW w:w="709" w:type="dxa"/>
            <w:tcBorders>
              <w:top w:val="single" w:sz="2" w:space="0" w:color="auto"/>
              <w:left w:val="nil"/>
              <w:bottom w:val="single" w:sz="4" w:space="0" w:color="auto"/>
              <w:right w:val="nil"/>
            </w:tcBorders>
            <w:shd w:val="clear" w:color="auto" w:fill="auto"/>
            <w:noWrap/>
            <w:vAlign w:val="center"/>
          </w:tcPr>
          <w:p w14:paraId="2F356373" w14:textId="4FDFAE38" w:rsidR="00723690" w:rsidRPr="0013478D" w:rsidRDefault="00723690" w:rsidP="00127AF3">
            <w:pPr>
              <w:pStyle w:val="cuatexto"/>
              <w:jc w:val="right"/>
            </w:pPr>
            <w:r>
              <w:t>0</w:t>
            </w:r>
          </w:p>
        </w:tc>
        <w:tc>
          <w:tcPr>
            <w:tcW w:w="1276" w:type="dxa"/>
            <w:tcBorders>
              <w:top w:val="single" w:sz="2" w:space="0" w:color="auto"/>
              <w:left w:val="nil"/>
              <w:bottom w:val="single" w:sz="4" w:space="0" w:color="auto"/>
              <w:right w:val="nil"/>
            </w:tcBorders>
            <w:shd w:val="clear" w:color="auto" w:fill="auto"/>
            <w:noWrap/>
            <w:vAlign w:val="center"/>
          </w:tcPr>
          <w:p w14:paraId="1EAD5720" w14:textId="75029AAA" w:rsidR="00723690" w:rsidRPr="0013478D" w:rsidRDefault="00723690" w:rsidP="00127AF3">
            <w:pPr>
              <w:pStyle w:val="cuatexto"/>
              <w:jc w:val="right"/>
            </w:pPr>
            <w:r>
              <w:t>31.510</w:t>
            </w:r>
          </w:p>
        </w:tc>
        <w:tc>
          <w:tcPr>
            <w:tcW w:w="992" w:type="dxa"/>
            <w:tcBorders>
              <w:top w:val="single" w:sz="2" w:space="0" w:color="auto"/>
              <w:left w:val="nil"/>
              <w:bottom w:val="single" w:sz="4" w:space="0" w:color="auto"/>
              <w:right w:val="nil"/>
            </w:tcBorders>
            <w:shd w:val="clear" w:color="auto" w:fill="auto"/>
            <w:noWrap/>
            <w:vAlign w:val="center"/>
          </w:tcPr>
          <w:p w14:paraId="632095EE" w14:textId="03C761DD" w:rsidR="00723690" w:rsidRPr="0013478D" w:rsidRDefault="00723690" w:rsidP="00127AF3">
            <w:pPr>
              <w:pStyle w:val="cuatexto"/>
              <w:jc w:val="right"/>
            </w:pPr>
            <w:r>
              <w:t>0</w:t>
            </w:r>
          </w:p>
        </w:tc>
        <w:tc>
          <w:tcPr>
            <w:tcW w:w="850" w:type="dxa"/>
            <w:tcBorders>
              <w:top w:val="single" w:sz="2" w:space="0" w:color="auto"/>
              <w:left w:val="nil"/>
              <w:bottom w:val="single" w:sz="4" w:space="0" w:color="auto"/>
              <w:right w:val="nil"/>
            </w:tcBorders>
            <w:shd w:val="clear" w:color="auto" w:fill="auto"/>
            <w:noWrap/>
            <w:vAlign w:val="center"/>
          </w:tcPr>
          <w:p w14:paraId="1B3485E1" w14:textId="53D406FC" w:rsidR="00723690" w:rsidRPr="0013478D" w:rsidRDefault="00723690" w:rsidP="00127AF3">
            <w:pPr>
              <w:pStyle w:val="cuatexto"/>
              <w:jc w:val="right"/>
            </w:pPr>
            <w:r>
              <w:t>0</w:t>
            </w:r>
          </w:p>
        </w:tc>
        <w:tc>
          <w:tcPr>
            <w:tcW w:w="567" w:type="dxa"/>
            <w:tcBorders>
              <w:top w:val="single" w:sz="2" w:space="0" w:color="auto"/>
              <w:left w:val="nil"/>
              <w:bottom w:val="single" w:sz="4" w:space="0" w:color="auto"/>
              <w:right w:val="nil"/>
            </w:tcBorders>
            <w:shd w:val="clear" w:color="auto" w:fill="auto"/>
            <w:noWrap/>
            <w:vAlign w:val="center"/>
          </w:tcPr>
          <w:p w14:paraId="6E55690C" w14:textId="3CD6B970" w:rsidR="00723690" w:rsidRPr="0013478D" w:rsidRDefault="00723690" w:rsidP="00127AF3">
            <w:pPr>
              <w:pStyle w:val="cuatexto"/>
              <w:jc w:val="right"/>
            </w:pPr>
            <w:r>
              <w:t>0</w:t>
            </w:r>
          </w:p>
        </w:tc>
        <w:tc>
          <w:tcPr>
            <w:tcW w:w="851" w:type="dxa"/>
            <w:tcBorders>
              <w:top w:val="single" w:sz="2" w:space="0" w:color="auto"/>
              <w:left w:val="nil"/>
              <w:bottom w:val="single" w:sz="4" w:space="0" w:color="auto"/>
              <w:right w:val="nil"/>
            </w:tcBorders>
            <w:shd w:val="clear" w:color="auto" w:fill="auto"/>
            <w:noWrap/>
            <w:vAlign w:val="center"/>
          </w:tcPr>
          <w:p w14:paraId="340B0297" w14:textId="5620F45C" w:rsidR="00723690" w:rsidRPr="0013478D" w:rsidRDefault="00723690" w:rsidP="00127AF3">
            <w:pPr>
              <w:pStyle w:val="cuatexto"/>
              <w:jc w:val="right"/>
            </w:pPr>
            <w:r>
              <w:t>0</w:t>
            </w:r>
          </w:p>
        </w:tc>
      </w:tr>
      <w:tr w:rsidR="00723690" w:rsidRPr="00127AF3" w14:paraId="12252003" w14:textId="77777777" w:rsidTr="003820CA">
        <w:trPr>
          <w:trHeight w:val="255"/>
        </w:trPr>
        <w:tc>
          <w:tcPr>
            <w:tcW w:w="1418" w:type="dxa"/>
            <w:tcBorders>
              <w:top w:val="single" w:sz="4" w:space="0" w:color="auto"/>
              <w:left w:val="nil"/>
              <w:bottom w:val="single" w:sz="4" w:space="0" w:color="auto"/>
              <w:right w:val="nil"/>
            </w:tcBorders>
            <w:shd w:val="clear" w:color="auto" w:fill="FABF8F"/>
            <w:vAlign w:val="center"/>
            <w:hideMark/>
          </w:tcPr>
          <w:p w14:paraId="4B4370B4" w14:textId="77777777" w:rsidR="00723690" w:rsidRPr="00127AF3" w:rsidRDefault="00723690" w:rsidP="00127AF3">
            <w:pPr>
              <w:pStyle w:val="cuadroCabe"/>
              <w:jc w:val="left"/>
            </w:pPr>
            <w:r w:rsidRPr="00127AF3">
              <w:t>Total</w:t>
            </w:r>
          </w:p>
        </w:tc>
        <w:tc>
          <w:tcPr>
            <w:tcW w:w="2126" w:type="dxa"/>
            <w:gridSpan w:val="2"/>
            <w:tcBorders>
              <w:top w:val="single" w:sz="4" w:space="0" w:color="auto"/>
              <w:left w:val="nil"/>
              <w:bottom w:val="single" w:sz="4" w:space="0" w:color="auto"/>
              <w:right w:val="nil"/>
            </w:tcBorders>
            <w:shd w:val="clear" w:color="auto" w:fill="FABF8F"/>
            <w:vAlign w:val="center"/>
          </w:tcPr>
          <w:p w14:paraId="680C3C40" w14:textId="2B23E1CB" w:rsidR="00723690" w:rsidRPr="00127AF3" w:rsidRDefault="00723690" w:rsidP="00127AF3">
            <w:pPr>
              <w:pStyle w:val="cuadroCabe"/>
              <w:jc w:val="right"/>
            </w:pPr>
            <w:r w:rsidRPr="00127AF3">
              <w:fldChar w:fldCharType="begin"/>
            </w:r>
            <w:r w:rsidRPr="00127AF3">
              <w:instrText xml:space="preserve"> =SUM(ABOVE) </w:instrText>
            </w:r>
            <w:r w:rsidRPr="00127AF3">
              <w:fldChar w:fldCharType="separate"/>
            </w:r>
            <w:r w:rsidRPr="00127AF3">
              <w:t>1.415.516</w:t>
            </w:r>
            <w:r w:rsidRPr="00127AF3">
              <w:fldChar w:fldCharType="end"/>
            </w:r>
          </w:p>
        </w:tc>
        <w:tc>
          <w:tcPr>
            <w:tcW w:w="709" w:type="dxa"/>
            <w:tcBorders>
              <w:top w:val="single" w:sz="4" w:space="0" w:color="auto"/>
              <w:left w:val="nil"/>
              <w:bottom w:val="single" w:sz="4" w:space="0" w:color="auto"/>
              <w:right w:val="nil"/>
            </w:tcBorders>
            <w:shd w:val="clear" w:color="auto" w:fill="FABF8F"/>
            <w:vAlign w:val="center"/>
          </w:tcPr>
          <w:p w14:paraId="1EBE3C0B" w14:textId="14212FF5" w:rsidR="00723690" w:rsidRPr="00127AF3" w:rsidRDefault="00723690" w:rsidP="00127AF3">
            <w:pPr>
              <w:pStyle w:val="cuadroCabe"/>
              <w:jc w:val="right"/>
            </w:pPr>
            <w:r w:rsidRPr="00127AF3">
              <w:t>0</w:t>
            </w:r>
          </w:p>
        </w:tc>
        <w:tc>
          <w:tcPr>
            <w:tcW w:w="1276" w:type="dxa"/>
            <w:tcBorders>
              <w:top w:val="single" w:sz="4" w:space="0" w:color="auto"/>
              <w:left w:val="nil"/>
              <w:bottom w:val="single" w:sz="4" w:space="0" w:color="auto"/>
              <w:right w:val="nil"/>
            </w:tcBorders>
            <w:shd w:val="clear" w:color="auto" w:fill="FABF8F"/>
            <w:vAlign w:val="center"/>
          </w:tcPr>
          <w:p w14:paraId="51E7E9AC" w14:textId="55BD5931" w:rsidR="00723690" w:rsidRPr="00127AF3" w:rsidRDefault="00723690" w:rsidP="00127AF3">
            <w:pPr>
              <w:pStyle w:val="cuadroCabe"/>
              <w:jc w:val="right"/>
            </w:pPr>
            <w:r w:rsidRPr="00127AF3">
              <w:fldChar w:fldCharType="begin"/>
            </w:r>
            <w:r w:rsidRPr="00127AF3">
              <w:instrText xml:space="preserve"> =SUM(ABOVE) </w:instrText>
            </w:r>
            <w:r w:rsidRPr="00127AF3">
              <w:fldChar w:fldCharType="separate"/>
            </w:r>
            <w:r w:rsidRPr="00127AF3">
              <w:t>1.415.516</w:t>
            </w:r>
            <w:r w:rsidRPr="00127AF3">
              <w:fldChar w:fldCharType="end"/>
            </w:r>
          </w:p>
        </w:tc>
        <w:tc>
          <w:tcPr>
            <w:tcW w:w="992" w:type="dxa"/>
            <w:tcBorders>
              <w:top w:val="single" w:sz="4" w:space="0" w:color="auto"/>
              <w:left w:val="nil"/>
              <w:bottom w:val="single" w:sz="4" w:space="0" w:color="auto"/>
              <w:right w:val="nil"/>
            </w:tcBorders>
            <w:shd w:val="clear" w:color="auto" w:fill="FABF8F"/>
            <w:vAlign w:val="center"/>
          </w:tcPr>
          <w:p w14:paraId="39203DEC" w14:textId="3225A5D5" w:rsidR="00723690" w:rsidRPr="00127AF3" w:rsidRDefault="00723690" w:rsidP="00127AF3">
            <w:pPr>
              <w:pStyle w:val="cuadroCabe"/>
              <w:jc w:val="right"/>
            </w:pPr>
            <w:r w:rsidRPr="00127AF3">
              <w:fldChar w:fldCharType="begin"/>
            </w:r>
            <w:r w:rsidRPr="00127AF3">
              <w:instrText xml:space="preserve"> =SUM(ABOVE) </w:instrText>
            </w:r>
            <w:r w:rsidRPr="00127AF3">
              <w:fldChar w:fldCharType="separate"/>
            </w:r>
            <w:r w:rsidRPr="00127AF3">
              <w:t>712.356</w:t>
            </w:r>
            <w:r w:rsidRPr="00127AF3">
              <w:fldChar w:fldCharType="end"/>
            </w:r>
          </w:p>
        </w:tc>
        <w:tc>
          <w:tcPr>
            <w:tcW w:w="850" w:type="dxa"/>
            <w:tcBorders>
              <w:top w:val="single" w:sz="4" w:space="0" w:color="auto"/>
              <w:left w:val="nil"/>
              <w:bottom w:val="single" w:sz="4" w:space="0" w:color="auto"/>
              <w:right w:val="nil"/>
            </w:tcBorders>
            <w:shd w:val="clear" w:color="auto" w:fill="FABF8F"/>
            <w:vAlign w:val="center"/>
          </w:tcPr>
          <w:p w14:paraId="2B5987C1" w14:textId="6871F361" w:rsidR="00723690" w:rsidRPr="00127AF3" w:rsidRDefault="00723690" w:rsidP="003820CA">
            <w:pPr>
              <w:pStyle w:val="cuadroCabe"/>
              <w:jc w:val="center"/>
            </w:pPr>
            <w:r w:rsidRPr="00127AF3">
              <w:t>565.179</w:t>
            </w:r>
          </w:p>
        </w:tc>
        <w:tc>
          <w:tcPr>
            <w:tcW w:w="567" w:type="dxa"/>
            <w:tcBorders>
              <w:top w:val="single" w:sz="4" w:space="0" w:color="auto"/>
              <w:left w:val="nil"/>
              <w:bottom w:val="single" w:sz="4" w:space="0" w:color="auto"/>
              <w:right w:val="nil"/>
            </w:tcBorders>
            <w:shd w:val="clear" w:color="auto" w:fill="FABF8F"/>
            <w:vAlign w:val="center"/>
          </w:tcPr>
          <w:p w14:paraId="4C1829E2" w14:textId="65620D51" w:rsidR="00723690" w:rsidRPr="00127AF3" w:rsidRDefault="00723690" w:rsidP="000F2C78">
            <w:pPr>
              <w:pStyle w:val="cuadroCabe"/>
              <w:jc w:val="right"/>
            </w:pPr>
            <w:r w:rsidRPr="00127AF3">
              <w:t>50</w:t>
            </w:r>
          </w:p>
        </w:tc>
        <w:tc>
          <w:tcPr>
            <w:tcW w:w="851" w:type="dxa"/>
            <w:tcBorders>
              <w:top w:val="single" w:sz="4" w:space="0" w:color="auto"/>
              <w:left w:val="nil"/>
              <w:bottom w:val="single" w:sz="4" w:space="0" w:color="auto"/>
              <w:right w:val="nil"/>
            </w:tcBorders>
            <w:shd w:val="clear" w:color="auto" w:fill="FABF8F"/>
            <w:vAlign w:val="center"/>
          </w:tcPr>
          <w:p w14:paraId="5AC8E1DA" w14:textId="5B61FFF6" w:rsidR="00723690" w:rsidRPr="00127AF3" w:rsidRDefault="00723690" w:rsidP="00127AF3">
            <w:pPr>
              <w:pStyle w:val="cuadroCabe"/>
              <w:jc w:val="right"/>
            </w:pPr>
            <w:r w:rsidRPr="00127AF3">
              <w:t>79</w:t>
            </w:r>
          </w:p>
        </w:tc>
      </w:tr>
    </w:tbl>
    <w:p w14:paraId="3A0FF5F2" w14:textId="4CBF5694" w:rsidR="00D444DC" w:rsidRDefault="00D444DC" w:rsidP="002B7E8E">
      <w:pPr>
        <w:tabs>
          <w:tab w:val="center" w:pos="2835"/>
          <w:tab w:val="center" w:pos="3969"/>
          <w:tab w:val="center" w:pos="5103"/>
          <w:tab w:val="center" w:pos="6237"/>
          <w:tab w:val="center" w:pos="7371"/>
        </w:tabs>
        <w:spacing w:after="100"/>
        <w:ind w:firstLine="284"/>
        <w:jc w:val="center"/>
        <w:rPr>
          <w:rFonts w:ascii="Arial" w:hAnsi="Arial" w:cs="Arial"/>
          <w:spacing w:val="6"/>
        </w:rPr>
      </w:pPr>
      <w:bookmarkStart w:id="86" w:name="_Toc22495437"/>
      <w:bookmarkStart w:id="87" w:name="_Toc55460322"/>
    </w:p>
    <w:p w14:paraId="5630AD66" w14:textId="77777777" w:rsidR="00D444DC" w:rsidRDefault="00D444DC">
      <w:pPr>
        <w:spacing w:after="0"/>
        <w:ind w:firstLine="0"/>
        <w:jc w:val="left"/>
        <w:rPr>
          <w:rFonts w:ascii="Arial" w:hAnsi="Arial" w:cs="Arial"/>
          <w:spacing w:val="6"/>
        </w:rPr>
      </w:pPr>
      <w:r>
        <w:rPr>
          <w:rFonts w:ascii="Arial" w:hAnsi="Arial" w:cs="Arial"/>
          <w:spacing w:val="6"/>
        </w:rPr>
        <w:br w:type="page"/>
      </w:r>
    </w:p>
    <w:p w14:paraId="147FEA7B" w14:textId="523D8EA0" w:rsidR="002B7E8E" w:rsidRPr="00CA5DFB" w:rsidRDefault="235FD0DA" w:rsidP="00CB7B2F">
      <w:pPr>
        <w:tabs>
          <w:tab w:val="center" w:pos="2835"/>
          <w:tab w:val="center" w:pos="3969"/>
          <w:tab w:val="center" w:pos="5103"/>
          <w:tab w:val="center" w:pos="6237"/>
          <w:tab w:val="center" w:pos="7371"/>
        </w:tabs>
        <w:spacing w:after="240"/>
        <w:ind w:firstLine="284"/>
        <w:jc w:val="center"/>
        <w:rPr>
          <w:rFonts w:ascii="Arial" w:hAnsi="Arial" w:cs="Arial"/>
          <w:spacing w:val="6"/>
        </w:rPr>
      </w:pPr>
      <w:r w:rsidRPr="00CA5DFB">
        <w:rPr>
          <w:rFonts w:ascii="Arial" w:hAnsi="Arial" w:cs="Arial"/>
          <w:spacing w:val="6"/>
        </w:rPr>
        <w:lastRenderedPageBreak/>
        <w:t xml:space="preserve">Resultado presupuestario </w:t>
      </w:r>
      <w:bookmarkEnd w:id="86"/>
      <w:r w:rsidRPr="00CA5DFB">
        <w:rPr>
          <w:rFonts w:ascii="Arial" w:hAnsi="Arial" w:cs="Arial"/>
          <w:spacing w:val="6"/>
        </w:rPr>
        <w:t>del ejercicio 20</w:t>
      </w:r>
      <w:bookmarkEnd w:id="87"/>
      <w:r w:rsidRPr="00CA5DFB">
        <w:rPr>
          <w:rFonts w:ascii="Arial" w:hAnsi="Arial" w:cs="Arial"/>
          <w:spacing w:val="6"/>
        </w:rPr>
        <w:t>2</w:t>
      </w:r>
      <w:r w:rsidR="00AF775E">
        <w:rPr>
          <w:rFonts w:ascii="Arial" w:hAnsi="Arial" w:cs="Arial"/>
          <w:spacing w:val="6"/>
        </w:rPr>
        <w:t>3</w:t>
      </w:r>
    </w:p>
    <w:tbl>
      <w:tblPr>
        <w:tblW w:w="8789" w:type="dxa"/>
        <w:tblCellMar>
          <w:left w:w="70" w:type="dxa"/>
          <w:right w:w="70" w:type="dxa"/>
        </w:tblCellMar>
        <w:tblLook w:val="04A0" w:firstRow="1" w:lastRow="0" w:firstColumn="1" w:lastColumn="0" w:noHBand="0" w:noVBand="1"/>
      </w:tblPr>
      <w:tblGrid>
        <w:gridCol w:w="4253"/>
        <w:gridCol w:w="1701"/>
        <w:gridCol w:w="1559"/>
        <w:gridCol w:w="1276"/>
      </w:tblGrid>
      <w:tr w:rsidR="009E615E" w:rsidRPr="00846A07" w14:paraId="3D777AB3" w14:textId="77777777" w:rsidTr="001F1623">
        <w:trPr>
          <w:trHeight w:val="255"/>
        </w:trPr>
        <w:tc>
          <w:tcPr>
            <w:tcW w:w="4253" w:type="dxa"/>
            <w:tcBorders>
              <w:top w:val="single" w:sz="2" w:space="0" w:color="auto"/>
              <w:left w:val="nil"/>
              <w:bottom w:val="single" w:sz="4" w:space="0" w:color="auto"/>
              <w:right w:val="nil"/>
            </w:tcBorders>
            <w:shd w:val="clear" w:color="auto" w:fill="FABF8F"/>
            <w:noWrap/>
            <w:vAlign w:val="center"/>
            <w:hideMark/>
          </w:tcPr>
          <w:p w14:paraId="253EC1D4" w14:textId="77777777" w:rsidR="00FE3DD9" w:rsidRPr="00846A07" w:rsidRDefault="00FE3DD9" w:rsidP="00846A07">
            <w:pPr>
              <w:pStyle w:val="cuadroCabe"/>
            </w:pPr>
            <w:r w:rsidRPr="00846A07">
              <w:t>Concepto</w:t>
            </w:r>
          </w:p>
        </w:tc>
        <w:tc>
          <w:tcPr>
            <w:tcW w:w="1701" w:type="dxa"/>
            <w:tcBorders>
              <w:top w:val="single" w:sz="2" w:space="0" w:color="auto"/>
              <w:left w:val="nil"/>
              <w:bottom w:val="single" w:sz="4" w:space="0" w:color="auto"/>
              <w:right w:val="nil"/>
            </w:tcBorders>
            <w:shd w:val="clear" w:color="auto" w:fill="FABF8F"/>
            <w:vAlign w:val="center"/>
          </w:tcPr>
          <w:p w14:paraId="32490DD4" w14:textId="2373B79E" w:rsidR="00FE3DD9" w:rsidRPr="00846A07" w:rsidRDefault="00FE3DD9" w:rsidP="00846A07">
            <w:pPr>
              <w:pStyle w:val="cuadroCabe"/>
              <w:jc w:val="right"/>
            </w:pPr>
            <w:r w:rsidRPr="00846A07">
              <w:t>2023</w:t>
            </w:r>
          </w:p>
        </w:tc>
        <w:tc>
          <w:tcPr>
            <w:tcW w:w="1559" w:type="dxa"/>
            <w:tcBorders>
              <w:top w:val="single" w:sz="2" w:space="0" w:color="auto"/>
              <w:left w:val="nil"/>
              <w:bottom w:val="single" w:sz="4" w:space="0" w:color="auto"/>
              <w:right w:val="nil"/>
            </w:tcBorders>
            <w:shd w:val="clear" w:color="auto" w:fill="FABF8F"/>
            <w:noWrap/>
            <w:vAlign w:val="center"/>
          </w:tcPr>
          <w:p w14:paraId="3A713548" w14:textId="6378A884" w:rsidR="00FE3DD9" w:rsidRPr="00846A07" w:rsidRDefault="009E615E" w:rsidP="00846A07">
            <w:pPr>
              <w:pStyle w:val="cuadroCabe"/>
              <w:jc w:val="right"/>
            </w:pPr>
            <w:r w:rsidRPr="00846A07">
              <w:t>Correcciones</w:t>
            </w:r>
          </w:p>
        </w:tc>
        <w:tc>
          <w:tcPr>
            <w:tcW w:w="1276" w:type="dxa"/>
            <w:tcBorders>
              <w:top w:val="single" w:sz="2" w:space="0" w:color="auto"/>
              <w:left w:val="nil"/>
              <w:bottom w:val="single" w:sz="4" w:space="0" w:color="auto"/>
              <w:right w:val="nil"/>
            </w:tcBorders>
            <w:shd w:val="clear" w:color="auto" w:fill="FABF8F"/>
            <w:noWrap/>
            <w:vAlign w:val="center"/>
            <w:hideMark/>
          </w:tcPr>
          <w:p w14:paraId="5177A41D" w14:textId="1070BFF0" w:rsidR="00FE3DD9" w:rsidRPr="00846A07" w:rsidRDefault="00FE3DD9" w:rsidP="00846A07">
            <w:pPr>
              <w:pStyle w:val="cuadroCabe"/>
              <w:jc w:val="right"/>
            </w:pPr>
            <w:r w:rsidRPr="00846A07">
              <w:t>2023</w:t>
            </w:r>
          </w:p>
        </w:tc>
      </w:tr>
      <w:tr w:rsidR="00FE3DD9" w:rsidRPr="001F1623" w14:paraId="64077246" w14:textId="77777777" w:rsidTr="006C6FE6">
        <w:trPr>
          <w:trHeight w:val="198"/>
        </w:trPr>
        <w:tc>
          <w:tcPr>
            <w:tcW w:w="4253" w:type="dxa"/>
            <w:tcBorders>
              <w:top w:val="single" w:sz="4" w:space="0" w:color="auto"/>
              <w:left w:val="nil"/>
              <w:bottom w:val="single" w:sz="2" w:space="0" w:color="auto"/>
              <w:right w:val="nil"/>
            </w:tcBorders>
            <w:shd w:val="clear" w:color="auto" w:fill="auto"/>
            <w:vAlign w:val="center"/>
            <w:hideMark/>
          </w:tcPr>
          <w:p w14:paraId="116B6E09" w14:textId="77777777" w:rsidR="00FE3DD9" w:rsidRPr="001F1623" w:rsidRDefault="00FE3DD9" w:rsidP="00846A07">
            <w:pPr>
              <w:pStyle w:val="cuatexto"/>
              <w:rPr>
                <w:sz w:val="18"/>
                <w:szCs w:val="18"/>
              </w:rPr>
            </w:pPr>
            <w:r w:rsidRPr="001F1623">
              <w:rPr>
                <w:sz w:val="18"/>
                <w:szCs w:val="18"/>
              </w:rPr>
              <w:t>Derechos reconocidos netos</w:t>
            </w:r>
          </w:p>
        </w:tc>
        <w:tc>
          <w:tcPr>
            <w:tcW w:w="1701" w:type="dxa"/>
            <w:tcBorders>
              <w:top w:val="single" w:sz="4" w:space="0" w:color="auto"/>
              <w:left w:val="nil"/>
              <w:bottom w:val="single" w:sz="2" w:space="0" w:color="auto"/>
              <w:right w:val="nil"/>
            </w:tcBorders>
            <w:vAlign w:val="center"/>
          </w:tcPr>
          <w:p w14:paraId="32E5CB1C" w14:textId="2957E11F" w:rsidR="00FE3DD9" w:rsidRPr="001F1623" w:rsidRDefault="00FE3DD9" w:rsidP="00846A07">
            <w:pPr>
              <w:pStyle w:val="cuatexto"/>
              <w:jc w:val="right"/>
              <w:rPr>
                <w:sz w:val="18"/>
                <w:szCs w:val="18"/>
              </w:rPr>
            </w:pPr>
            <w:r w:rsidRPr="001F1623">
              <w:rPr>
                <w:sz w:val="18"/>
                <w:szCs w:val="18"/>
              </w:rPr>
              <w:t>712.356</w:t>
            </w:r>
          </w:p>
        </w:tc>
        <w:tc>
          <w:tcPr>
            <w:tcW w:w="1559" w:type="dxa"/>
            <w:tcBorders>
              <w:top w:val="single" w:sz="4" w:space="0" w:color="auto"/>
              <w:left w:val="nil"/>
              <w:bottom w:val="single" w:sz="2" w:space="0" w:color="auto"/>
              <w:right w:val="nil"/>
            </w:tcBorders>
            <w:shd w:val="clear" w:color="auto" w:fill="auto"/>
            <w:noWrap/>
            <w:vAlign w:val="center"/>
          </w:tcPr>
          <w:p w14:paraId="0373E87E" w14:textId="006D1567" w:rsidR="00FE3DD9" w:rsidRPr="001F1623" w:rsidRDefault="00FE3DD9" w:rsidP="00846A07">
            <w:pPr>
              <w:pStyle w:val="cuatexto"/>
              <w:jc w:val="right"/>
              <w:rPr>
                <w:sz w:val="18"/>
                <w:szCs w:val="18"/>
              </w:rPr>
            </w:pPr>
          </w:p>
        </w:tc>
        <w:tc>
          <w:tcPr>
            <w:tcW w:w="1276" w:type="dxa"/>
            <w:tcBorders>
              <w:top w:val="single" w:sz="4" w:space="0" w:color="auto"/>
              <w:left w:val="nil"/>
              <w:bottom w:val="single" w:sz="2" w:space="0" w:color="auto"/>
              <w:right w:val="nil"/>
            </w:tcBorders>
            <w:shd w:val="clear" w:color="auto" w:fill="auto"/>
            <w:noWrap/>
            <w:vAlign w:val="center"/>
          </w:tcPr>
          <w:p w14:paraId="36DC620B" w14:textId="36E4386B" w:rsidR="00FE3DD9" w:rsidRPr="001F1623" w:rsidRDefault="00FE3DD9" w:rsidP="00846A07">
            <w:pPr>
              <w:pStyle w:val="cuatexto"/>
              <w:jc w:val="right"/>
              <w:rPr>
                <w:sz w:val="18"/>
                <w:szCs w:val="18"/>
              </w:rPr>
            </w:pPr>
            <w:r w:rsidRPr="001F1623">
              <w:rPr>
                <w:sz w:val="18"/>
                <w:szCs w:val="18"/>
              </w:rPr>
              <w:t>712.356</w:t>
            </w:r>
          </w:p>
        </w:tc>
      </w:tr>
      <w:tr w:rsidR="00FE3DD9" w:rsidRPr="001F1623" w14:paraId="62241FDF" w14:textId="77777777" w:rsidTr="003650C1">
        <w:trPr>
          <w:trHeight w:val="198"/>
        </w:trPr>
        <w:tc>
          <w:tcPr>
            <w:tcW w:w="4253" w:type="dxa"/>
            <w:tcBorders>
              <w:top w:val="single" w:sz="2" w:space="0" w:color="auto"/>
              <w:left w:val="nil"/>
              <w:bottom w:val="single" w:sz="4" w:space="0" w:color="auto"/>
              <w:right w:val="nil"/>
            </w:tcBorders>
            <w:shd w:val="clear" w:color="auto" w:fill="auto"/>
            <w:vAlign w:val="center"/>
            <w:hideMark/>
          </w:tcPr>
          <w:p w14:paraId="4FA0442C" w14:textId="77777777" w:rsidR="00FE3DD9" w:rsidRPr="001F1623" w:rsidRDefault="00FE3DD9" w:rsidP="00846A07">
            <w:pPr>
              <w:pStyle w:val="cuatexto"/>
              <w:rPr>
                <w:sz w:val="18"/>
                <w:szCs w:val="18"/>
              </w:rPr>
            </w:pPr>
            <w:r w:rsidRPr="001F1623">
              <w:rPr>
                <w:sz w:val="18"/>
                <w:szCs w:val="18"/>
              </w:rPr>
              <w:t>Obligaciones reconocidas netas</w:t>
            </w:r>
          </w:p>
        </w:tc>
        <w:tc>
          <w:tcPr>
            <w:tcW w:w="1701" w:type="dxa"/>
            <w:tcBorders>
              <w:top w:val="single" w:sz="2" w:space="0" w:color="auto"/>
              <w:left w:val="nil"/>
              <w:bottom w:val="single" w:sz="4" w:space="0" w:color="auto"/>
              <w:right w:val="nil"/>
            </w:tcBorders>
            <w:vAlign w:val="center"/>
          </w:tcPr>
          <w:p w14:paraId="06165485" w14:textId="2B6428FF" w:rsidR="00FE3DD9" w:rsidRPr="001F1623" w:rsidRDefault="00FE3DD9" w:rsidP="00846A07">
            <w:pPr>
              <w:pStyle w:val="cuatexto"/>
              <w:jc w:val="right"/>
              <w:rPr>
                <w:sz w:val="18"/>
                <w:szCs w:val="18"/>
              </w:rPr>
            </w:pPr>
            <w:r w:rsidRPr="001F1623">
              <w:rPr>
                <w:sz w:val="18"/>
                <w:szCs w:val="18"/>
              </w:rPr>
              <w:t>758.345</w:t>
            </w:r>
          </w:p>
        </w:tc>
        <w:tc>
          <w:tcPr>
            <w:tcW w:w="1559" w:type="dxa"/>
            <w:tcBorders>
              <w:top w:val="single" w:sz="2" w:space="0" w:color="auto"/>
              <w:left w:val="nil"/>
              <w:bottom w:val="single" w:sz="4" w:space="0" w:color="auto"/>
              <w:right w:val="nil"/>
            </w:tcBorders>
            <w:shd w:val="clear" w:color="auto" w:fill="auto"/>
            <w:noWrap/>
            <w:vAlign w:val="center"/>
          </w:tcPr>
          <w:p w14:paraId="1E0FB646" w14:textId="73DAB607" w:rsidR="00FE3DD9" w:rsidRPr="001F1623" w:rsidRDefault="00FE3DD9" w:rsidP="00846A07">
            <w:pPr>
              <w:pStyle w:val="cuatexto"/>
              <w:jc w:val="right"/>
              <w:rPr>
                <w:sz w:val="18"/>
                <w:szCs w:val="18"/>
              </w:rPr>
            </w:pPr>
          </w:p>
        </w:tc>
        <w:tc>
          <w:tcPr>
            <w:tcW w:w="1276" w:type="dxa"/>
            <w:tcBorders>
              <w:top w:val="single" w:sz="2" w:space="0" w:color="auto"/>
              <w:left w:val="nil"/>
              <w:bottom w:val="single" w:sz="4" w:space="0" w:color="auto"/>
              <w:right w:val="nil"/>
            </w:tcBorders>
            <w:shd w:val="clear" w:color="auto" w:fill="auto"/>
            <w:noWrap/>
            <w:vAlign w:val="center"/>
          </w:tcPr>
          <w:p w14:paraId="346DF1B7" w14:textId="4FBA192E" w:rsidR="00FE3DD9" w:rsidRPr="001F1623" w:rsidRDefault="00FE3DD9" w:rsidP="00846A07">
            <w:pPr>
              <w:pStyle w:val="cuatexto"/>
              <w:jc w:val="right"/>
              <w:rPr>
                <w:sz w:val="18"/>
                <w:szCs w:val="18"/>
              </w:rPr>
            </w:pPr>
            <w:r w:rsidRPr="001F1623">
              <w:rPr>
                <w:sz w:val="18"/>
                <w:szCs w:val="18"/>
              </w:rPr>
              <w:t>758.345</w:t>
            </w:r>
          </w:p>
        </w:tc>
      </w:tr>
      <w:tr w:rsidR="00FE3DD9" w:rsidRPr="001F1623" w14:paraId="0DC4ABA2" w14:textId="77777777" w:rsidTr="003650C1">
        <w:trPr>
          <w:trHeight w:val="198"/>
        </w:trPr>
        <w:tc>
          <w:tcPr>
            <w:tcW w:w="4253" w:type="dxa"/>
            <w:tcBorders>
              <w:top w:val="single" w:sz="4" w:space="0" w:color="auto"/>
              <w:left w:val="nil"/>
              <w:bottom w:val="single" w:sz="4" w:space="0" w:color="auto"/>
              <w:right w:val="nil"/>
            </w:tcBorders>
            <w:shd w:val="clear" w:color="auto" w:fill="auto"/>
            <w:vAlign w:val="center"/>
            <w:hideMark/>
          </w:tcPr>
          <w:p w14:paraId="2F023017" w14:textId="77777777" w:rsidR="00FE3DD9" w:rsidRPr="001F1623" w:rsidRDefault="00FE3DD9" w:rsidP="00846A07">
            <w:pPr>
              <w:pStyle w:val="cuatexto"/>
              <w:rPr>
                <w:rFonts w:ascii="Arial" w:hAnsi="Arial" w:cs="Arial"/>
                <w:szCs w:val="20"/>
              </w:rPr>
            </w:pPr>
            <w:r w:rsidRPr="001F1623">
              <w:rPr>
                <w:rFonts w:ascii="Arial" w:hAnsi="Arial" w:cs="Arial"/>
                <w:szCs w:val="20"/>
              </w:rPr>
              <w:t>Resultado Presupuestario</w:t>
            </w:r>
          </w:p>
        </w:tc>
        <w:tc>
          <w:tcPr>
            <w:tcW w:w="1701" w:type="dxa"/>
            <w:tcBorders>
              <w:top w:val="single" w:sz="4" w:space="0" w:color="auto"/>
              <w:left w:val="nil"/>
              <w:bottom w:val="single" w:sz="4" w:space="0" w:color="auto"/>
              <w:right w:val="nil"/>
            </w:tcBorders>
            <w:vAlign w:val="center"/>
          </w:tcPr>
          <w:p w14:paraId="40436E37" w14:textId="3C858419" w:rsidR="00FE3DD9" w:rsidRPr="001F1623" w:rsidRDefault="00FE3DD9" w:rsidP="00846A07">
            <w:pPr>
              <w:pStyle w:val="cuatexto"/>
              <w:jc w:val="right"/>
              <w:rPr>
                <w:rFonts w:ascii="Arial" w:hAnsi="Arial" w:cs="Arial"/>
              </w:rPr>
            </w:pPr>
            <w:r w:rsidRPr="001F1623">
              <w:rPr>
                <w:rFonts w:ascii="Arial" w:hAnsi="Arial" w:cs="Arial"/>
              </w:rPr>
              <w:t>-45.989</w:t>
            </w:r>
          </w:p>
        </w:tc>
        <w:tc>
          <w:tcPr>
            <w:tcW w:w="1559" w:type="dxa"/>
            <w:tcBorders>
              <w:top w:val="single" w:sz="4" w:space="0" w:color="auto"/>
              <w:left w:val="nil"/>
              <w:bottom w:val="single" w:sz="4" w:space="0" w:color="auto"/>
              <w:right w:val="nil"/>
            </w:tcBorders>
            <w:shd w:val="clear" w:color="auto" w:fill="auto"/>
            <w:noWrap/>
            <w:vAlign w:val="center"/>
          </w:tcPr>
          <w:p w14:paraId="0674E150" w14:textId="288631CB" w:rsidR="00FE3DD9" w:rsidRPr="001F1623" w:rsidRDefault="00FE3DD9" w:rsidP="00846A07">
            <w:pPr>
              <w:pStyle w:val="cuatexto"/>
              <w:jc w:val="right"/>
              <w:rPr>
                <w:rFonts w:ascii="Arial" w:hAnsi="Arial" w:cs="Arial"/>
              </w:rPr>
            </w:pPr>
          </w:p>
        </w:tc>
        <w:tc>
          <w:tcPr>
            <w:tcW w:w="1276" w:type="dxa"/>
            <w:tcBorders>
              <w:top w:val="single" w:sz="4" w:space="0" w:color="auto"/>
              <w:left w:val="nil"/>
              <w:bottom w:val="single" w:sz="4" w:space="0" w:color="auto"/>
              <w:right w:val="nil"/>
            </w:tcBorders>
            <w:shd w:val="clear" w:color="auto" w:fill="auto"/>
            <w:noWrap/>
            <w:vAlign w:val="center"/>
          </w:tcPr>
          <w:p w14:paraId="1F8DB159" w14:textId="5C67CE46" w:rsidR="00FE3DD9" w:rsidRPr="001F1623" w:rsidRDefault="00FE3DD9" w:rsidP="00846A07">
            <w:pPr>
              <w:pStyle w:val="cuatexto"/>
              <w:jc w:val="right"/>
              <w:rPr>
                <w:rFonts w:ascii="Arial" w:hAnsi="Arial" w:cs="Arial"/>
              </w:rPr>
            </w:pPr>
            <w:r w:rsidRPr="001F1623">
              <w:rPr>
                <w:rFonts w:ascii="Arial" w:hAnsi="Arial" w:cs="Arial"/>
              </w:rPr>
              <w:t>-45.989</w:t>
            </w:r>
          </w:p>
        </w:tc>
      </w:tr>
      <w:tr w:rsidR="00FE3DD9" w:rsidRPr="001F1623" w14:paraId="43E8BC2F" w14:textId="77777777" w:rsidTr="006C6FE6">
        <w:trPr>
          <w:trHeight w:val="198"/>
        </w:trPr>
        <w:tc>
          <w:tcPr>
            <w:tcW w:w="4253" w:type="dxa"/>
            <w:tcBorders>
              <w:top w:val="single" w:sz="4" w:space="0" w:color="auto"/>
              <w:left w:val="nil"/>
              <w:bottom w:val="single" w:sz="2" w:space="0" w:color="auto"/>
              <w:right w:val="nil"/>
            </w:tcBorders>
            <w:shd w:val="clear" w:color="auto" w:fill="auto"/>
            <w:vAlign w:val="center"/>
            <w:hideMark/>
          </w:tcPr>
          <w:p w14:paraId="050507AA" w14:textId="77777777" w:rsidR="00FE3DD9" w:rsidRPr="001F1623" w:rsidRDefault="00FE3DD9" w:rsidP="00846A07">
            <w:pPr>
              <w:pStyle w:val="cuatexto"/>
              <w:rPr>
                <w:sz w:val="18"/>
                <w:szCs w:val="18"/>
              </w:rPr>
            </w:pPr>
            <w:r w:rsidRPr="001F1623">
              <w:rPr>
                <w:sz w:val="18"/>
                <w:szCs w:val="18"/>
              </w:rPr>
              <w:t>Ajustes</w:t>
            </w:r>
          </w:p>
        </w:tc>
        <w:tc>
          <w:tcPr>
            <w:tcW w:w="1701" w:type="dxa"/>
            <w:tcBorders>
              <w:top w:val="single" w:sz="4" w:space="0" w:color="auto"/>
              <w:left w:val="nil"/>
              <w:bottom w:val="single" w:sz="2" w:space="0" w:color="auto"/>
              <w:right w:val="nil"/>
            </w:tcBorders>
            <w:vAlign w:val="center"/>
          </w:tcPr>
          <w:p w14:paraId="63C8930D" w14:textId="77777777" w:rsidR="00FE3DD9" w:rsidRPr="001F1623" w:rsidRDefault="00FE3DD9" w:rsidP="00846A07">
            <w:pPr>
              <w:pStyle w:val="cuatexto"/>
              <w:jc w:val="right"/>
              <w:rPr>
                <w:sz w:val="18"/>
                <w:szCs w:val="18"/>
              </w:rPr>
            </w:pPr>
          </w:p>
        </w:tc>
        <w:tc>
          <w:tcPr>
            <w:tcW w:w="1559" w:type="dxa"/>
            <w:tcBorders>
              <w:top w:val="single" w:sz="4" w:space="0" w:color="auto"/>
              <w:left w:val="nil"/>
              <w:bottom w:val="single" w:sz="2" w:space="0" w:color="auto"/>
              <w:right w:val="nil"/>
            </w:tcBorders>
            <w:shd w:val="clear" w:color="auto" w:fill="auto"/>
            <w:noWrap/>
            <w:vAlign w:val="center"/>
          </w:tcPr>
          <w:p w14:paraId="6D71D07C" w14:textId="75E81708" w:rsidR="00FE3DD9" w:rsidRPr="001F1623" w:rsidRDefault="00FE3DD9" w:rsidP="00846A07">
            <w:pPr>
              <w:pStyle w:val="cuatexto"/>
              <w:jc w:val="right"/>
              <w:rPr>
                <w:sz w:val="18"/>
                <w:szCs w:val="18"/>
              </w:rPr>
            </w:pPr>
          </w:p>
        </w:tc>
        <w:tc>
          <w:tcPr>
            <w:tcW w:w="1276" w:type="dxa"/>
            <w:tcBorders>
              <w:top w:val="single" w:sz="4" w:space="0" w:color="auto"/>
              <w:left w:val="nil"/>
              <w:bottom w:val="single" w:sz="2" w:space="0" w:color="auto"/>
              <w:right w:val="nil"/>
            </w:tcBorders>
            <w:shd w:val="clear" w:color="auto" w:fill="auto"/>
            <w:noWrap/>
            <w:vAlign w:val="center"/>
          </w:tcPr>
          <w:p w14:paraId="2BA226A1" w14:textId="77777777" w:rsidR="00FE3DD9" w:rsidRPr="001F1623" w:rsidRDefault="00FE3DD9" w:rsidP="00846A07">
            <w:pPr>
              <w:pStyle w:val="cuatexto"/>
              <w:jc w:val="right"/>
              <w:rPr>
                <w:sz w:val="18"/>
                <w:szCs w:val="18"/>
              </w:rPr>
            </w:pPr>
          </w:p>
        </w:tc>
      </w:tr>
      <w:tr w:rsidR="00FE3DD9" w:rsidRPr="001F1623" w14:paraId="1FF3BD76" w14:textId="77777777" w:rsidTr="006C6FE6">
        <w:trPr>
          <w:trHeight w:val="198"/>
        </w:trPr>
        <w:tc>
          <w:tcPr>
            <w:tcW w:w="4253" w:type="dxa"/>
            <w:tcBorders>
              <w:top w:val="single" w:sz="2" w:space="0" w:color="auto"/>
              <w:left w:val="nil"/>
              <w:bottom w:val="single" w:sz="2" w:space="0" w:color="auto"/>
              <w:right w:val="nil"/>
            </w:tcBorders>
            <w:shd w:val="clear" w:color="auto" w:fill="auto"/>
            <w:vAlign w:val="center"/>
            <w:hideMark/>
          </w:tcPr>
          <w:p w14:paraId="5053416D" w14:textId="77777777" w:rsidR="00FE3DD9" w:rsidRPr="001F1623" w:rsidRDefault="00FE3DD9" w:rsidP="00846A07">
            <w:pPr>
              <w:pStyle w:val="cuatexto"/>
              <w:rPr>
                <w:sz w:val="18"/>
                <w:szCs w:val="18"/>
              </w:rPr>
            </w:pPr>
            <w:r w:rsidRPr="001F1623">
              <w:rPr>
                <w:sz w:val="18"/>
                <w:szCs w:val="18"/>
              </w:rPr>
              <w:t>Desviación financiación positiva</w:t>
            </w:r>
          </w:p>
        </w:tc>
        <w:tc>
          <w:tcPr>
            <w:tcW w:w="1701" w:type="dxa"/>
            <w:tcBorders>
              <w:top w:val="single" w:sz="2" w:space="0" w:color="auto"/>
              <w:left w:val="nil"/>
              <w:bottom w:val="single" w:sz="2" w:space="0" w:color="auto"/>
              <w:right w:val="nil"/>
            </w:tcBorders>
            <w:vAlign w:val="center"/>
          </w:tcPr>
          <w:p w14:paraId="4044F983" w14:textId="6929752B" w:rsidR="00FE3DD9" w:rsidRPr="001F1623" w:rsidRDefault="00FE3DD9" w:rsidP="00846A07">
            <w:pPr>
              <w:pStyle w:val="cuatexto"/>
              <w:jc w:val="right"/>
              <w:rPr>
                <w:sz w:val="18"/>
                <w:szCs w:val="18"/>
              </w:rPr>
            </w:pPr>
            <w:r w:rsidRPr="001F1623">
              <w:rPr>
                <w:sz w:val="18"/>
                <w:szCs w:val="18"/>
              </w:rPr>
              <w:t>0</w:t>
            </w:r>
          </w:p>
        </w:tc>
        <w:tc>
          <w:tcPr>
            <w:tcW w:w="1559" w:type="dxa"/>
            <w:tcBorders>
              <w:top w:val="single" w:sz="2" w:space="0" w:color="auto"/>
              <w:left w:val="nil"/>
              <w:bottom w:val="single" w:sz="2" w:space="0" w:color="auto"/>
              <w:right w:val="nil"/>
            </w:tcBorders>
            <w:shd w:val="clear" w:color="auto" w:fill="auto"/>
            <w:noWrap/>
            <w:vAlign w:val="center"/>
          </w:tcPr>
          <w:p w14:paraId="7E7B864B" w14:textId="3F30F284" w:rsidR="00FE3DD9" w:rsidRPr="001F1623" w:rsidRDefault="00FE3DD9" w:rsidP="00846A07">
            <w:pPr>
              <w:pStyle w:val="cuatexto"/>
              <w:jc w:val="right"/>
              <w:rPr>
                <w:sz w:val="18"/>
                <w:szCs w:val="18"/>
              </w:rPr>
            </w:pPr>
          </w:p>
        </w:tc>
        <w:tc>
          <w:tcPr>
            <w:tcW w:w="1276" w:type="dxa"/>
            <w:tcBorders>
              <w:top w:val="single" w:sz="2" w:space="0" w:color="auto"/>
              <w:left w:val="nil"/>
              <w:bottom w:val="single" w:sz="2" w:space="0" w:color="auto"/>
              <w:right w:val="nil"/>
            </w:tcBorders>
            <w:shd w:val="clear" w:color="auto" w:fill="auto"/>
            <w:noWrap/>
            <w:vAlign w:val="center"/>
          </w:tcPr>
          <w:p w14:paraId="4CFFB073" w14:textId="6203C719" w:rsidR="00FE3DD9" w:rsidRPr="001F1623" w:rsidRDefault="00FE3DD9" w:rsidP="00846A07">
            <w:pPr>
              <w:pStyle w:val="cuatexto"/>
              <w:jc w:val="right"/>
              <w:rPr>
                <w:sz w:val="18"/>
                <w:szCs w:val="18"/>
              </w:rPr>
            </w:pPr>
            <w:r w:rsidRPr="001F1623">
              <w:rPr>
                <w:sz w:val="18"/>
                <w:szCs w:val="18"/>
              </w:rPr>
              <w:t>0</w:t>
            </w:r>
          </w:p>
        </w:tc>
      </w:tr>
      <w:tr w:rsidR="00FE3DD9" w:rsidRPr="001F1623" w14:paraId="7ABFBD22" w14:textId="77777777" w:rsidTr="006C6FE6">
        <w:trPr>
          <w:trHeight w:val="198"/>
        </w:trPr>
        <w:tc>
          <w:tcPr>
            <w:tcW w:w="4253" w:type="dxa"/>
            <w:tcBorders>
              <w:top w:val="single" w:sz="2" w:space="0" w:color="auto"/>
              <w:left w:val="nil"/>
              <w:bottom w:val="single" w:sz="2" w:space="0" w:color="auto"/>
              <w:right w:val="nil"/>
            </w:tcBorders>
            <w:shd w:val="clear" w:color="auto" w:fill="auto"/>
            <w:vAlign w:val="center"/>
            <w:hideMark/>
          </w:tcPr>
          <w:p w14:paraId="612B1673" w14:textId="77777777" w:rsidR="00FE3DD9" w:rsidRPr="001F1623" w:rsidRDefault="00FE3DD9" w:rsidP="00846A07">
            <w:pPr>
              <w:pStyle w:val="cuatexto"/>
              <w:rPr>
                <w:sz w:val="18"/>
                <w:szCs w:val="18"/>
              </w:rPr>
            </w:pPr>
            <w:r w:rsidRPr="001F1623">
              <w:rPr>
                <w:sz w:val="18"/>
                <w:szCs w:val="18"/>
              </w:rPr>
              <w:t>Desviación financiación negativa</w:t>
            </w:r>
          </w:p>
        </w:tc>
        <w:tc>
          <w:tcPr>
            <w:tcW w:w="1701" w:type="dxa"/>
            <w:tcBorders>
              <w:top w:val="single" w:sz="2" w:space="0" w:color="auto"/>
              <w:left w:val="nil"/>
              <w:bottom w:val="single" w:sz="2" w:space="0" w:color="auto"/>
              <w:right w:val="nil"/>
            </w:tcBorders>
            <w:vAlign w:val="center"/>
          </w:tcPr>
          <w:p w14:paraId="72816E1C" w14:textId="7680D466" w:rsidR="00FE3DD9" w:rsidRPr="001F1623" w:rsidRDefault="00FE3DD9" w:rsidP="00846A07">
            <w:pPr>
              <w:pStyle w:val="cuatexto"/>
              <w:jc w:val="right"/>
              <w:rPr>
                <w:sz w:val="18"/>
                <w:szCs w:val="18"/>
              </w:rPr>
            </w:pPr>
            <w:r w:rsidRPr="001F1623">
              <w:rPr>
                <w:sz w:val="18"/>
                <w:szCs w:val="18"/>
              </w:rPr>
              <w:t>14.516</w:t>
            </w:r>
          </w:p>
        </w:tc>
        <w:tc>
          <w:tcPr>
            <w:tcW w:w="1559" w:type="dxa"/>
            <w:tcBorders>
              <w:top w:val="single" w:sz="2" w:space="0" w:color="auto"/>
              <w:left w:val="nil"/>
              <w:bottom w:val="single" w:sz="2" w:space="0" w:color="auto"/>
              <w:right w:val="nil"/>
            </w:tcBorders>
            <w:shd w:val="clear" w:color="auto" w:fill="auto"/>
            <w:noWrap/>
            <w:vAlign w:val="center"/>
          </w:tcPr>
          <w:p w14:paraId="45A6497B" w14:textId="4E98B483" w:rsidR="00FE3DD9" w:rsidRPr="001F1623" w:rsidRDefault="009E615E" w:rsidP="00846A07">
            <w:pPr>
              <w:pStyle w:val="cuatexto"/>
              <w:jc w:val="right"/>
              <w:rPr>
                <w:sz w:val="18"/>
                <w:szCs w:val="18"/>
              </w:rPr>
            </w:pPr>
            <w:r w:rsidRPr="001F1623">
              <w:rPr>
                <w:sz w:val="18"/>
                <w:szCs w:val="18"/>
              </w:rPr>
              <w:t>-14.516</w:t>
            </w:r>
          </w:p>
        </w:tc>
        <w:tc>
          <w:tcPr>
            <w:tcW w:w="1276" w:type="dxa"/>
            <w:tcBorders>
              <w:top w:val="single" w:sz="2" w:space="0" w:color="auto"/>
              <w:left w:val="nil"/>
              <w:bottom w:val="single" w:sz="2" w:space="0" w:color="auto"/>
              <w:right w:val="nil"/>
            </w:tcBorders>
            <w:shd w:val="clear" w:color="auto" w:fill="auto"/>
            <w:noWrap/>
            <w:vAlign w:val="center"/>
          </w:tcPr>
          <w:p w14:paraId="5DA5AEA7" w14:textId="0F22CD12" w:rsidR="00FE3DD9" w:rsidRPr="001F1623" w:rsidRDefault="009E615E" w:rsidP="00846A07">
            <w:pPr>
              <w:pStyle w:val="cuatexto"/>
              <w:jc w:val="right"/>
              <w:rPr>
                <w:sz w:val="18"/>
                <w:szCs w:val="18"/>
              </w:rPr>
            </w:pPr>
            <w:r w:rsidRPr="001F1623">
              <w:rPr>
                <w:sz w:val="18"/>
                <w:szCs w:val="18"/>
              </w:rPr>
              <w:t>0</w:t>
            </w:r>
          </w:p>
        </w:tc>
      </w:tr>
      <w:tr w:rsidR="00FE3DD9" w:rsidRPr="001F1623" w14:paraId="66279025" w14:textId="77777777" w:rsidTr="003650C1">
        <w:trPr>
          <w:trHeight w:val="198"/>
        </w:trPr>
        <w:tc>
          <w:tcPr>
            <w:tcW w:w="4253" w:type="dxa"/>
            <w:tcBorders>
              <w:top w:val="single" w:sz="2" w:space="0" w:color="auto"/>
              <w:left w:val="nil"/>
              <w:bottom w:val="single" w:sz="4" w:space="0" w:color="auto"/>
              <w:right w:val="nil"/>
            </w:tcBorders>
            <w:shd w:val="clear" w:color="auto" w:fill="auto"/>
            <w:vAlign w:val="center"/>
            <w:hideMark/>
          </w:tcPr>
          <w:p w14:paraId="6086E711" w14:textId="77777777" w:rsidR="00FE3DD9" w:rsidRPr="001F1623" w:rsidRDefault="00FE3DD9" w:rsidP="00846A07">
            <w:pPr>
              <w:pStyle w:val="cuatexto"/>
              <w:rPr>
                <w:sz w:val="18"/>
                <w:szCs w:val="18"/>
              </w:rPr>
            </w:pPr>
            <w:r w:rsidRPr="001F1623">
              <w:rPr>
                <w:sz w:val="18"/>
                <w:szCs w:val="18"/>
              </w:rPr>
              <w:t>Gastos financiados con remanente de tesorería</w:t>
            </w:r>
          </w:p>
        </w:tc>
        <w:tc>
          <w:tcPr>
            <w:tcW w:w="1701" w:type="dxa"/>
            <w:tcBorders>
              <w:top w:val="single" w:sz="2" w:space="0" w:color="auto"/>
              <w:left w:val="nil"/>
              <w:bottom w:val="single" w:sz="4" w:space="0" w:color="auto"/>
              <w:right w:val="nil"/>
            </w:tcBorders>
            <w:vAlign w:val="center"/>
          </w:tcPr>
          <w:p w14:paraId="062B7629" w14:textId="47614ED5" w:rsidR="00FE3DD9" w:rsidRPr="001F1623" w:rsidRDefault="00FE3DD9" w:rsidP="00846A07">
            <w:pPr>
              <w:pStyle w:val="cuatexto"/>
              <w:jc w:val="right"/>
              <w:rPr>
                <w:sz w:val="18"/>
                <w:szCs w:val="18"/>
              </w:rPr>
            </w:pPr>
            <w:r w:rsidRPr="001F1623">
              <w:rPr>
                <w:sz w:val="18"/>
                <w:szCs w:val="18"/>
              </w:rPr>
              <w:t>0</w:t>
            </w:r>
          </w:p>
        </w:tc>
        <w:tc>
          <w:tcPr>
            <w:tcW w:w="1559" w:type="dxa"/>
            <w:tcBorders>
              <w:top w:val="single" w:sz="2" w:space="0" w:color="auto"/>
              <w:left w:val="nil"/>
              <w:bottom w:val="single" w:sz="4" w:space="0" w:color="auto"/>
              <w:right w:val="nil"/>
            </w:tcBorders>
            <w:shd w:val="clear" w:color="auto" w:fill="auto"/>
            <w:noWrap/>
            <w:vAlign w:val="center"/>
          </w:tcPr>
          <w:p w14:paraId="1328A579" w14:textId="1C45D972" w:rsidR="00FE3DD9" w:rsidRPr="001F1623" w:rsidRDefault="00FE3DD9" w:rsidP="00846A07">
            <w:pPr>
              <w:pStyle w:val="cuatexto"/>
              <w:jc w:val="right"/>
              <w:rPr>
                <w:sz w:val="18"/>
                <w:szCs w:val="18"/>
              </w:rPr>
            </w:pPr>
          </w:p>
        </w:tc>
        <w:tc>
          <w:tcPr>
            <w:tcW w:w="1276" w:type="dxa"/>
            <w:tcBorders>
              <w:top w:val="single" w:sz="2" w:space="0" w:color="auto"/>
              <w:left w:val="nil"/>
              <w:bottom w:val="single" w:sz="4" w:space="0" w:color="auto"/>
              <w:right w:val="nil"/>
            </w:tcBorders>
            <w:shd w:val="clear" w:color="auto" w:fill="auto"/>
            <w:noWrap/>
            <w:vAlign w:val="center"/>
          </w:tcPr>
          <w:p w14:paraId="4E2492E7" w14:textId="09378544" w:rsidR="00FE3DD9" w:rsidRPr="001F1623" w:rsidRDefault="00FE3DD9" w:rsidP="00846A07">
            <w:pPr>
              <w:pStyle w:val="cuatexto"/>
              <w:jc w:val="right"/>
              <w:rPr>
                <w:sz w:val="18"/>
                <w:szCs w:val="18"/>
              </w:rPr>
            </w:pPr>
            <w:r w:rsidRPr="001F1623">
              <w:rPr>
                <w:sz w:val="18"/>
                <w:szCs w:val="18"/>
              </w:rPr>
              <w:t>0</w:t>
            </w:r>
          </w:p>
        </w:tc>
      </w:tr>
      <w:tr w:rsidR="00FE3DD9" w:rsidRPr="001F1623" w14:paraId="2A6DF21A" w14:textId="77777777" w:rsidTr="003650C1">
        <w:trPr>
          <w:trHeight w:val="198"/>
        </w:trPr>
        <w:tc>
          <w:tcPr>
            <w:tcW w:w="4253" w:type="dxa"/>
            <w:tcBorders>
              <w:top w:val="single" w:sz="4" w:space="0" w:color="auto"/>
              <w:left w:val="nil"/>
              <w:bottom w:val="single" w:sz="4" w:space="0" w:color="auto"/>
              <w:right w:val="nil"/>
            </w:tcBorders>
            <w:shd w:val="clear" w:color="000000" w:fill="FFFFFF"/>
            <w:noWrap/>
            <w:vAlign w:val="center"/>
            <w:hideMark/>
          </w:tcPr>
          <w:p w14:paraId="6416702E" w14:textId="77777777" w:rsidR="00FE3DD9" w:rsidRPr="001F1623" w:rsidRDefault="00FE3DD9" w:rsidP="00846A07">
            <w:pPr>
              <w:pStyle w:val="cuatexto"/>
              <w:rPr>
                <w:rFonts w:ascii="Arial" w:hAnsi="Arial" w:cs="Arial"/>
                <w:bCs/>
              </w:rPr>
            </w:pPr>
            <w:r w:rsidRPr="001F1623">
              <w:rPr>
                <w:rFonts w:ascii="Arial" w:hAnsi="Arial" w:cs="Arial"/>
                <w:bCs/>
              </w:rPr>
              <w:t>Resultado Presupuestario Ajustado</w:t>
            </w:r>
          </w:p>
        </w:tc>
        <w:tc>
          <w:tcPr>
            <w:tcW w:w="1701" w:type="dxa"/>
            <w:tcBorders>
              <w:top w:val="single" w:sz="4" w:space="0" w:color="auto"/>
              <w:left w:val="nil"/>
              <w:bottom w:val="single" w:sz="4" w:space="0" w:color="auto"/>
              <w:right w:val="nil"/>
            </w:tcBorders>
            <w:vAlign w:val="center"/>
          </w:tcPr>
          <w:p w14:paraId="34191981" w14:textId="7B1A0BEE" w:rsidR="00FE3DD9" w:rsidRPr="001F1623" w:rsidRDefault="00FE3DD9" w:rsidP="00846A07">
            <w:pPr>
              <w:pStyle w:val="cuatexto"/>
              <w:jc w:val="right"/>
              <w:rPr>
                <w:rFonts w:ascii="Arial" w:hAnsi="Arial" w:cs="Arial"/>
              </w:rPr>
            </w:pPr>
            <w:r w:rsidRPr="001F1623">
              <w:rPr>
                <w:rFonts w:ascii="Arial" w:hAnsi="Arial" w:cs="Arial"/>
              </w:rPr>
              <w:t>-31.473</w:t>
            </w:r>
          </w:p>
        </w:tc>
        <w:tc>
          <w:tcPr>
            <w:tcW w:w="1559" w:type="dxa"/>
            <w:tcBorders>
              <w:top w:val="single" w:sz="4" w:space="0" w:color="auto"/>
              <w:left w:val="nil"/>
              <w:bottom w:val="single" w:sz="4" w:space="0" w:color="auto"/>
              <w:right w:val="nil"/>
            </w:tcBorders>
            <w:shd w:val="clear" w:color="auto" w:fill="auto"/>
            <w:noWrap/>
            <w:vAlign w:val="center"/>
          </w:tcPr>
          <w:p w14:paraId="239B8B92" w14:textId="3EB3B1BF" w:rsidR="00FE3DD9" w:rsidRPr="001F1623" w:rsidRDefault="00FE3DD9" w:rsidP="00846A07">
            <w:pPr>
              <w:pStyle w:val="cuatexto"/>
              <w:jc w:val="right"/>
              <w:rPr>
                <w:rFonts w:ascii="Arial" w:hAnsi="Arial" w:cs="Arial"/>
              </w:rPr>
            </w:pPr>
          </w:p>
        </w:tc>
        <w:tc>
          <w:tcPr>
            <w:tcW w:w="1276" w:type="dxa"/>
            <w:tcBorders>
              <w:top w:val="single" w:sz="4" w:space="0" w:color="auto"/>
              <w:left w:val="nil"/>
              <w:bottom w:val="single" w:sz="4" w:space="0" w:color="auto"/>
              <w:right w:val="nil"/>
            </w:tcBorders>
            <w:shd w:val="clear" w:color="auto" w:fill="auto"/>
            <w:noWrap/>
            <w:vAlign w:val="center"/>
          </w:tcPr>
          <w:p w14:paraId="53510FF4" w14:textId="2D2D2067" w:rsidR="00FE3DD9" w:rsidRPr="001F1623" w:rsidRDefault="00FE3DD9" w:rsidP="00846A07">
            <w:pPr>
              <w:pStyle w:val="cuatexto"/>
              <w:jc w:val="right"/>
              <w:rPr>
                <w:rFonts w:ascii="Arial" w:hAnsi="Arial" w:cs="Arial"/>
              </w:rPr>
            </w:pPr>
            <w:r w:rsidRPr="001F1623">
              <w:rPr>
                <w:rFonts w:ascii="Arial" w:hAnsi="Arial" w:cs="Arial"/>
              </w:rPr>
              <w:t>-</w:t>
            </w:r>
            <w:r w:rsidR="009E615E" w:rsidRPr="001F1623">
              <w:rPr>
                <w:rFonts w:ascii="Arial" w:hAnsi="Arial" w:cs="Arial"/>
              </w:rPr>
              <w:t>45.989</w:t>
            </w:r>
          </w:p>
        </w:tc>
      </w:tr>
    </w:tbl>
    <w:p w14:paraId="546193C6" w14:textId="3A2C4BB2" w:rsidR="002B7E8E" w:rsidRDefault="235FD0DA" w:rsidP="009E4BFA">
      <w:pPr>
        <w:tabs>
          <w:tab w:val="center" w:pos="2835"/>
          <w:tab w:val="center" w:pos="3969"/>
          <w:tab w:val="center" w:pos="5103"/>
          <w:tab w:val="center" w:pos="6237"/>
          <w:tab w:val="center" w:pos="7371"/>
        </w:tabs>
        <w:spacing w:before="240" w:after="240"/>
        <w:ind w:firstLine="284"/>
        <w:jc w:val="center"/>
        <w:rPr>
          <w:rFonts w:ascii="Arial" w:hAnsi="Arial" w:cs="Arial"/>
          <w:spacing w:val="6"/>
        </w:rPr>
      </w:pPr>
      <w:bookmarkStart w:id="88" w:name="_Toc22495438"/>
      <w:bookmarkStart w:id="89" w:name="_Toc55460323"/>
      <w:r w:rsidRPr="00CA5DFB">
        <w:rPr>
          <w:rFonts w:ascii="Arial" w:hAnsi="Arial" w:cs="Arial"/>
          <w:spacing w:val="6"/>
        </w:rPr>
        <w:t xml:space="preserve">Estado de remanente de tesorería </w:t>
      </w:r>
      <w:bookmarkEnd w:id="88"/>
      <w:r w:rsidRPr="00CA5DFB">
        <w:rPr>
          <w:rFonts w:ascii="Arial" w:hAnsi="Arial" w:cs="Arial"/>
          <w:spacing w:val="6"/>
        </w:rPr>
        <w:t>del ejercicio 20</w:t>
      </w:r>
      <w:bookmarkEnd w:id="89"/>
      <w:r w:rsidRPr="00CA5DFB">
        <w:rPr>
          <w:rFonts w:ascii="Arial" w:hAnsi="Arial" w:cs="Arial"/>
          <w:spacing w:val="6"/>
        </w:rPr>
        <w:t>2</w:t>
      </w:r>
      <w:r w:rsidR="00AF775E">
        <w:rPr>
          <w:rFonts w:ascii="Arial" w:hAnsi="Arial" w:cs="Arial"/>
          <w:spacing w:val="6"/>
        </w:rPr>
        <w:t>3</w:t>
      </w:r>
    </w:p>
    <w:tbl>
      <w:tblPr>
        <w:tblW w:w="8789" w:type="dxa"/>
        <w:tblCellMar>
          <w:left w:w="70" w:type="dxa"/>
          <w:right w:w="70" w:type="dxa"/>
        </w:tblCellMar>
        <w:tblLook w:val="04A0" w:firstRow="1" w:lastRow="0" w:firstColumn="1" w:lastColumn="0" w:noHBand="0" w:noVBand="1"/>
      </w:tblPr>
      <w:tblGrid>
        <w:gridCol w:w="5043"/>
        <w:gridCol w:w="1008"/>
        <w:gridCol w:w="1585"/>
        <w:gridCol w:w="1153"/>
      </w:tblGrid>
      <w:tr w:rsidR="0084624E" w:rsidRPr="001116A8" w14:paraId="7F068B53" w14:textId="77777777" w:rsidTr="001F1623">
        <w:trPr>
          <w:trHeight w:val="255"/>
        </w:trPr>
        <w:tc>
          <w:tcPr>
            <w:tcW w:w="4962" w:type="dxa"/>
            <w:tcBorders>
              <w:top w:val="single" w:sz="4" w:space="0" w:color="auto"/>
              <w:left w:val="nil"/>
              <w:bottom w:val="single" w:sz="4" w:space="0" w:color="auto"/>
              <w:right w:val="nil"/>
            </w:tcBorders>
            <w:shd w:val="clear" w:color="auto" w:fill="FABF8F"/>
            <w:vAlign w:val="center"/>
            <w:hideMark/>
          </w:tcPr>
          <w:p w14:paraId="630B0AB2" w14:textId="77777777" w:rsidR="0084624E" w:rsidRPr="001116A8" w:rsidRDefault="0084624E" w:rsidP="001116A8">
            <w:pPr>
              <w:pStyle w:val="cuadroCabe"/>
            </w:pPr>
            <w:r w:rsidRPr="001116A8">
              <w:t>Concepto</w:t>
            </w:r>
          </w:p>
        </w:tc>
        <w:tc>
          <w:tcPr>
            <w:tcW w:w="992" w:type="dxa"/>
            <w:tcBorders>
              <w:top w:val="single" w:sz="4" w:space="0" w:color="auto"/>
              <w:left w:val="nil"/>
              <w:bottom w:val="single" w:sz="4" w:space="0" w:color="auto"/>
              <w:right w:val="nil"/>
            </w:tcBorders>
            <w:shd w:val="clear" w:color="auto" w:fill="FABF8F"/>
            <w:vAlign w:val="center"/>
          </w:tcPr>
          <w:p w14:paraId="17A5F4E1" w14:textId="69CEC9B3" w:rsidR="0084624E" w:rsidRPr="001116A8" w:rsidRDefault="0084624E" w:rsidP="001116A8">
            <w:pPr>
              <w:pStyle w:val="cuadroCabe"/>
              <w:jc w:val="right"/>
            </w:pPr>
            <w:r w:rsidRPr="001116A8">
              <w:t xml:space="preserve">2023    </w:t>
            </w:r>
          </w:p>
        </w:tc>
        <w:tc>
          <w:tcPr>
            <w:tcW w:w="1559" w:type="dxa"/>
            <w:tcBorders>
              <w:top w:val="single" w:sz="4" w:space="0" w:color="auto"/>
              <w:left w:val="nil"/>
              <w:bottom w:val="single" w:sz="4" w:space="0" w:color="auto"/>
              <w:right w:val="nil"/>
            </w:tcBorders>
            <w:shd w:val="clear" w:color="auto" w:fill="FABF8F"/>
            <w:vAlign w:val="center"/>
            <w:hideMark/>
          </w:tcPr>
          <w:p w14:paraId="007151C5" w14:textId="14C157A6" w:rsidR="0084624E" w:rsidRPr="001116A8" w:rsidRDefault="0084624E" w:rsidP="001116A8">
            <w:pPr>
              <w:pStyle w:val="cuadroCabe"/>
              <w:jc w:val="right"/>
            </w:pPr>
            <w:r w:rsidRPr="001116A8">
              <w:t>Correcciones</w:t>
            </w:r>
          </w:p>
        </w:tc>
        <w:tc>
          <w:tcPr>
            <w:tcW w:w="1134" w:type="dxa"/>
            <w:tcBorders>
              <w:top w:val="single" w:sz="4" w:space="0" w:color="auto"/>
              <w:left w:val="nil"/>
              <w:bottom w:val="single" w:sz="4" w:space="0" w:color="auto"/>
              <w:right w:val="nil"/>
            </w:tcBorders>
            <w:shd w:val="clear" w:color="auto" w:fill="FABF8F"/>
            <w:vAlign w:val="center"/>
            <w:hideMark/>
          </w:tcPr>
          <w:p w14:paraId="6AB40893" w14:textId="77777777" w:rsidR="0084624E" w:rsidRPr="001116A8" w:rsidRDefault="0084624E" w:rsidP="001116A8">
            <w:pPr>
              <w:pStyle w:val="cuadroCabe"/>
              <w:jc w:val="right"/>
            </w:pPr>
            <w:r w:rsidRPr="001116A8">
              <w:t>2023</w:t>
            </w:r>
          </w:p>
          <w:p w14:paraId="0FE494CD" w14:textId="15F8EA90" w:rsidR="0084624E" w:rsidRPr="001116A8" w:rsidRDefault="0084624E" w:rsidP="001116A8">
            <w:pPr>
              <w:pStyle w:val="cuadroCabe"/>
              <w:jc w:val="right"/>
            </w:pPr>
            <w:r w:rsidRPr="001116A8">
              <w:t xml:space="preserve">corregido    </w:t>
            </w:r>
          </w:p>
        </w:tc>
      </w:tr>
      <w:tr w:rsidR="0084624E" w:rsidRPr="006C6FE6" w14:paraId="5FDDF6AF" w14:textId="77777777" w:rsidTr="00CA5E3D">
        <w:trPr>
          <w:trHeight w:val="255"/>
        </w:trPr>
        <w:tc>
          <w:tcPr>
            <w:tcW w:w="4962" w:type="dxa"/>
            <w:tcBorders>
              <w:top w:val="single" w:sz="4" w:space="0" w:color="auto"/>
              <w:left w:val="nil"/>
              <w:bottom w:val="single" w:sz="4" w:space="0" w:color="auto"/>
              <w:right w:val="nil"/>
            </w:tcBorders>
            <w:shd w:val="clear" w:color="auto" w:fill="auto"/>
            <w:vAlign w:val="center"/>
            <w:hideMark/>
          </w:tcPr>
          <w:p w14:paraId="68AA3B35" w14:textId="77777777" w:rsidR="0084624E" w:rsidRPr="006C6FE6" w:rsidRDefault="0084624E" w:rsidP="001116A8">
            <w:pPr>
              <w:pStyle w:val="cuatexto"/>
              <w:rPr>
                <w:rFonts w:ascii="Arial" w:hAnsi="Arial" w:cs="Arial"/>
                <w:szCs w:val="20"/>
              </w:rPr>
            </w:pPr>
            <w:r w:rsidRPr="006C6FE6">
              <w:rPr>
                <w:rFonts w:ascii="Arial" w:hAnsi="Arial" w:cs="Arial"/>
                <w:szCs w:val="20"/>
              </w:rPr>
              <w:t>(+) Derechos pendientes de cobro</w:t>
            </w:r>
          </w:p>
        </w:tc>
        <w:tc>
          <w:tcPr>
            <w:tcW w:w="992" w:type="dxa"/>
            <w:tcBorders>
              <w:top w:val="single" w:sz="4" w:space="0" w:color="auto"/>
              <w:left w:val="nil"/>
              <w:bottom w:val="single" w:sz="4" w:space="0" w:color="auto"/>
              <w:right w:val="nil"/>
            </w:tcBorders>
            <w:vAlign w:val="center"/>
          </w:tcPr>
          <w:p w14:paraId="0086D6B2" w14:textId="3D1CCF2A" w:rsidR="0084624E" w:rsidRPr="006C6FE6" w:rsidRDefault="0084624E" w:rsidP="001116A8">
            <w:pPr>
              <w:pStyle w:val="cuatexto"/>
              <w:jc w:val="right"/>
              <w:rPr>
                <w:rFonts w:ascii="Arial" w:hAnsi="Arial" w:cs="Arial"/>
                <w:szCs w:val="20"/>
              </w:rPr>
            </w:pPr>
            <w:r w:rsidRPr="006C6FE6">
              <w:rPr>
                <w:rFonts w:ascii="Arial" w:hAnsi="Arial" w:cs="Arial"/>
                <w:szCs w:val="20"/>
              </w:rPr>
              <w:t>181.173</w:t>
            </w:r>
          </w:p>
        </w:tc>
        <w:tc>
          <w:tcPr>
            <w:tcW w:w="1559" w:type="dxa"/>
            <w:tcBorders>
              <w:top w:val="single" w:sz="4" w:space="0" w:color="auto"/>
              <w:left w:val="nil"/>
              <w:bottom w:val="single" w:sz="4" w:space="0" w:color="auto"/>
              <w:right w:val="nil"/>
            </w:tcBorders>
            <w:shd w:val="clear" w:color="auto" w:fill="auto"/>
            <w:noWrap/>
            <w:vAlign w:val="center"/>
          </w:tcPr>
          <w:p w14:paraId="3BAF738C" w14:textId="2A7EF24D" w:rsidR="0084624E" w:rsidRPr="006C6FE6" w:rsidRDefault="004E45EA" w:rsidP="001116A8">
            <w:pPr>
              <w:pStyle w:val="cuatexto"/>
              <w:jc w:val="right"/>
              <w:rPr>
                <w:rFonts w:ascii="Arial" w:hAnsi="Arial" w:cs="Arial"/>
                <w:szCs w:val="20"/>
              </w:rPr>
            </w:pPr>
            <w:r w:rsidRPr="006C6FE6">
              <w:rPr>
                <w:rFonts w:ascii="Arial" w:hAnsi="Arial" w:cs="Arial"/>
                <w:szCs w:val="20"/>
              </w:rPr>
              <w:t>-109.14</w:t>
            </w:r>
            <w:r w:rsidR="0029381A" w:rsidRPr="006C6FE6">
              <w:rPr>
                <w:rFonts w:ascii="Arial" w:hAnsi="Arial" w:cs="Arial"/>
                <w:szCs w:val="20"/>
              </w:rPr>
              <w:t>0</w:t>
            </w:r>
          </w:p>
        </w:tc>
        <w:tc>
          <w:tcPr>
            <w:tcW w:w="1134" w:type="dxa"/>
            <w:tcBorders>
              <w:top w:val="single" w:sz="4" w:space="0" w:color="auto"/>
              <w:left w:val="nil"/>
              <w:bottom w:val="single" w:sz="4" w:space="0" w:color="auto"/>
              <w:right w:val="nil"/>
            </w:tcBorders>
            <w:shd w:val="clear" w:color="auto" w:fill="auto"/>
            <w:noWrap/>
            <w:vAlign w:val="center"/>
          </w:tcPr>
          <w:p w14:paraId="327CE632" w14:textId="7C44FB25" w:rsidR="0084624E" w:rsidRPr="006C6FE6" w:rsidRDefault="004E45EA" w:rsidP="001116A8">
            <w:pPr>
              <w:pStyle w:val="cuatexto"/>
              <w:jc w:val="right"/>
              <w:rPr>
                <w:rFonts w:ascii="Arial" w:hAnsi="Arial" w:cs="Arial"/>
                <w:szCs w:val="20"/>
              </w:rPr>
            </w:pPr>
            <w:r w:rsidRPr="006C6FE6">
              <w:rPr>
                <w:rFonts w:ascii="Arial" w:hAnsi="Arial" w:cs="Arial"/>
                <w:szCs w:val="20"/>
              </w:rPr>
              <w:t>72.0</w:t>
            </w:r>
            <w:r w:rsidR="0029381A" w:rsidRPr="006C6FE6">
              <w:rPr>
                <w:rFonts w:ascii="Arial" w:hAnsi="Arial" w:cs="Arial"/>
                <w:szCs w:val="20"/>
              </w:rPr>
              <w:t>33</w:t>
            </w:r>
          </w:p>
        </w:tc>
      </w:tr>
      <w:tr w:rsidR="0084624E" w:rsidRPr="001F1623" w14:paraId="6A83B239" w14:textId="77777777" w:rsidTr="00CA5E3D">
        <w:trPr>
          <w:trHeight w:val="198"/>
        </w:trPr>
        <w:tc>
          <w:tcPr>
            <w:tcW w:w="4962" w:type="dxa"/>
            <w:tcBorders>
              <w:top w:val="single" w:sz="4" w:space="0" w:color="auto"/>
              <w:left w:val="nil"/>
              <w:bottom w:val="single" w:sz="2" w:space="0" w:color="auto"/>
              <w:right w:val="nil"/>
            </w:tcBorders>
            <w:shd w:val="clear" w:color="auto" w:fill="auto"/>
            <w:vAlign w:val="center"/>
            <w:hideMark/>
          </w:tcPr>
          <w:p w14:paraId="714E42BA" w14:textId="77777777" w:rsidR="0084624E" w:rsidRPr="001F1623" w:rsidRDefault="0084624E" w:rsidP="001116A8">
            <w:pPr>
              <w:pStyle w:val="cuatexto"/>
              <w:rPr>
                <w:sz w:val="18"/>
                <w:szCs w:val="18"/>
              </w:rPr>
            </w:pPr>
            <w:r w:rsidRPr="001F1623">
              <w:rPr>
                <w:sz w:val="18"/>
                <w:szCs w:val="18"/>
              </w:rPr>
              <w:t>(+) Presupuesto Ingresos: Ejercicio corriente</w:t>
            </w:r>
          </w:p>
        </w:tc>
        <w:tc>
          <w:tcPr>
            <w:tcW w:w="992" w:type="dxa"/>
            <w:tcBorders>
              <w:top w:val="single" w:sz="4" w:space="0" w:color="auto"/>
              <w:left w:val="nil"/>
              <w:bottom w:val="single" w:sz="2" w:space="0" w:color="auto"/>
              <w:right w:val="nil"/>
            </w:tcBorders>
            <w:vAlign w:val="center"/>
          </w:tcPr>
          <w:p w14:paraId="6D5FE092" w14:textId="154450C2" w:rsidR="0084624E" w:rsidRPr="001F1623" w:rsidRDefault="0084624E" w:rsidP="001116A8">
            <w:pPr>
              <w:pStyle w:val="cuatexto"/>
              <w:jc w:val="right"/>
              <w:rPr>
                <w:sz w:val="18"/>
                <w:szCs w:val="18"/>
              </w:rPr>
            </w:pPr>
            <w:r w:rsidRPr="001F1623">
              <w:rPr>
                <w:sz w:val="18"/>
                <w:szCs w:val="18"/>
              </w:rPr>
              <w:t>147.177</w:t>
            </w:r>
          </w:p>
        </w:tc>
        <w:tc>
          <w:tcPr>
            <w:tcW w:w="1559" w:type="dxa"/>
            <w:tcBorders>
              <w:top w:val="single" w:sz="4" w:space="0" w:color="auto"/>
              <w:left w:val="nil"/>
              <w:bottom w:val="single" w:sz="2" w:space="0" w:color="auto"/>
              <w:right w:val="nil"/>
            </w:tcBorders>
            <w:shd w:val="clear" w:color="auto" w:fill="auto"/>
            <w:noWrap/>
            <w:vAlign w:val="center"/>
          </w:tcPr>
          <w:p w14:paraId="0CE9B292" w14:textId="56200B81" w:rsidR="0084624E" w:rsidRPr="001F1623" w:rsidRDefault="004E45EA" w:rsidP="001116A8">
            <w:pPr>
              <w:pStyle w:val="cuatexto"/>
              <w:jc w:val="right"/>
              <w:rPr>
                <w:sz w:val="18"/>
                <w:szCs w:val="18"/>
              </w:rPr>
            </w:pPr>
            <w:r w:rsidRPr="001F1623">
              <w:rPr>
                <w:sz w:val="18"/>
                <w:szCs w:val="18"/>
              </w:rPr>
              <w:t>-10.111</w:t>
            </w:r>
          </w:p>
        </w:tc>
        <w:tc>
          <w:tcPr>
            <w:tcW w:w="1134" w:type="dxa"/>
            <w:tcBorders>
              <w:top w:val="single" w:sz="4" w:space="0" w:color="auto"/>
              <w:left w:val="nil"/>
              <w:bottom w:val="single" w:sz="2" w:space="0" w:color="auto"/>
              <w:right w:val="nil"/>
            </w:tcBorders>
            <w:shd w:val="clear" w:color="auto" w:fill="auto"/>
            <w:noWrap/>
            <w:vAlign w:val="center"/>
          </w:tcPr>
          <w:p w14:paraId="181291F6" w14:textId="04B3821D" w:rsidR="0084624E" w:rsidRPr="001F1623" w:rsidRDefault="004E45EA" w:rsidP="001116A8">
            <w:pPr>
              <w:pStyle w:val="cuatexto"/>
              <w:jc w:val="right"/>
              <w:rPr>
                <w:sz w:val="18"/>
                <w:szCs w:val="18"/>
              </w:rPr>
            </w:pPr>
            <w:r w:rsidRPr="001F1623">
              <w:rPr>
                <w:sz w:val="18"/>
                <w:szCs w:val="18"/>
              </w:rPr>
              <w:t>137.066</w:t>
            </w:r>
          </w:p>
        </w:tc>
      </w:tr>
      <w:tr w:rsidR="0084624E" w:rsidRPr="001F1623" w14:paraId="21A75480" w14:textId="77777777" w:rsidTr="006C6FE6">
        <w:trPr>
          <w:trHeight w:val="198"/>
        </w:trPr>
        <w:tc>
          <w:tcPr>
            <w:tcW w:w="4962" w:type="dxa"/>
            <w:tcBorders>
              <w:top w:val="single" w:sz="2" w:space="0" w:color="auto"/>
              <w:left w:val="nil"/>
              <w:bottom w:val="single" w:sz="2" w:space="0" w:color="auto"/>
              <w:right w:val="nil"/>
            </w:tcBorders>
            <w:shd w:val="clear" w:color="auto" w:fill="auto"/>
            <w:vAlign w:val="center"/>
            <w:hideMark/>
          </w:tcPr>
          <w:p w14:paraId="0FA2DCAE" w14:textId="77777777" w:rsidR="0084624E" w:rsidRPr="001F1623" w:rsidRDefault="0084624E" w:rsidP="001116A8">
            <w:pPr>
              <w:pStyle w:val="cuatexto"/>
              <w:rPr>
                <w:sz w:val="18"/>
                <w:szCs w:val="18"/>
              </w:rPr>
            </w:pPr>
            <w:r w:rsidRPr="001F1623">
              <w:rPr>
                <w:sz w:val="18"/>
                <w:szCs w:val="18"/>
              </w:rPr>
              <w:t>(+) Presupuesto Ingresos: Ejercicios cerrados</w:t>
            </w:r>
          </w:p>
        </w:tc>
        <w:tc>
          <w:tcPr>
            <w:tcW w:w="992" w:type="dxa"/>
            <w:tcBorders>
              <w:top w:val="single" w:sz="2" w:space="0" w:color="auto"/>
              <w:left w:val="nil"/>
              <w:bottom w:val="single" w:sz="2" w:space="0" w:color="auto"/>
              <w:right w:val="nil"/>
            </w:tcBorders>
            <w:vAlign w:val="center"/>
          </w:tcPr>
          <w:p w14:paraId="6D0DF66C" w14:textId="78DAD56D" w:rsidR="0084624E" w:rsidRPr="001F1623" w:rsidRDefault="0084624E" w:rsidP="001116A8">
            <w:pPr>
              <w:pStyle w:val="cuatexto"/>
              <w:jc w:val="right"/>
              <w:rPr>
                <w:sz w:val="18"/>
                <w:szCs w:val="18"/>
              </w:rPr>
            </w:pPr>
            <w:r w:rsidRPr="001F1623">
              <w:rPr>
                <w:sz w:val="18"/>
                <w:szCs w:val="18"/>
              </w:rPr>
              <w:t>224.921</w:t>
            </w:r>
          </w:p>
        </w:tc>
        <w:tc>
          <w:tcPr>
            <w:tcW w:w="1559" w:type="dxa"/>
            <w:tcBorders>
              <w:top w:val="single" w:sz="2" w:space="0" w:color="auto"/>
              <w:left w:val="nil"/>
              <w:bottom w:val="single" w:sz="2" w:space="0" w:color="auto"/>
              <w:right w:val="nil"/>
            </w:tcBorders>
            <w:shd w:val="clear" w:color="auto" w:fill="auto"/>
            <w:noWrap/>
            <w:vAlign w:val="center"/>
          </w:tcPr>
          <w:p w14:paraId="53B6626A" w14:textId="3C2E7A72" w:rsidR="0084624E" w:rsidRPr="001F1623" w:rsidRDefault="004E45EA" w:rsidP="001116A8">
            <w:pPr>
              <w:pStyle w:val="cuatexto"/>
              <w:jc w:val="right"/>
              <w:rPr>
                <w:sz w:val="18"/>
                <w:szCs w:val="18"/>
              </w:rPr>
            </w:pPr>
            <w:r w:rsidRPr="001F1623">
              <w:rPr>
                <w:sz w:val="18"/>
                <w:szCs w:val="18"/>
              </w:rPr>
              <w:t>-103.4</w:t>
            </w:r>
            <w:r w:rsidR="0029381A" w:rsidRPr="001F1623">
              <w:rPr>
                <w:sz w:val="18"/>
                <w:szCs w:val="18"/>
              </w:rPr>
              <w:t>35</w:t>
            </w:r>
          </w:p>
        </w:tc>
        <w:tc>
          <w:tcPr>
            <w:tcW w:w="1134" w:type="dxa"/>
            <w:tcBorders>
              <w:top w:val="single" w:sz="2" w:space="0" w:color="auto"/>
              <w:left w:val="nil"/>
              <w:bottom w:val="single" w:sz="2" w:space="0" w:color="auto"/>
              <w:right w:val="nil"/>
            </w:tcBorders>
            <w:shd w:val="clear" w:color="auto" w:fill="auto"/>
            <w:noWrap/>
            <w:vAlign w:val="center"/>
          </w:tcPr>
          <w:p w14:paraId="79F2295C" w14:textId="77D6E3FA" w:rsidR="0084624E" w:rsidRPr="001F1623" w:rsidRDefault="004E45EA" w:rsidP="001116A8">
            <w:pPr>
              <w:pStyle w:val="cuatexto"/>
              <w:jc w:val="right"/>
              <w:rPr>
                <w:sz w:val="18"/>
                <w:szCs w:val="18"/>
              </w:rPr>
            </w:pPr>
            <w:r w:rsidRPr="001F1623">
              <w:rPr>
                <w:sz w:val="18"/>
                <w:szCs w:val="18"/>
              </w:rPr>
              <w:t>121.4</w:t>
            </w:r>
            <w:r w:rsidR="0029381A" w:rsidRPr="001F1623">
              <w:rPr>
                <w:sz w:val="18"/>
                <w:szCs w:val="18"/>
              </w:rPr>
              <w:t>86</w:t>
            </w:r>
          </w:p>
        </w:tc>
      </w:tr>
      <w:tr w:rsidR="0084624E" w:rsidRPr="001F1623" w14:paraId="768E2803" w14:textId="77777777" w:rsidTr="006C6FE6">
        <w:trPr>
          <w:trHeight w:val="198"/>
        </w:trPr>
        <w:tc>
          <w:tcPr>
            <w:tcW w:w="4962" w:type="dxa"/>
            <w:tcBorders>
              <w:top w:val="single" w:sz="2" w:space="0" w:color="auto"/>
              <w:left w:val="nil"/>
              <w:bottom w:val="single" w:sz="2" w:space="0" w:color="auto"/>
              <w:right w:val="nil"/>
            </w:tcBorders>
            <w:shd w:val="clear" w:color="auto" w:fill="auto"/>
            <w:vAlign w:val="center"/>
            <w:hideMark/>
          </w:tcPr>
          <w:p w14:paraId="71759508" w14:textId="77777777" w:rsidR="0084624E" w:rsidRPr="001F1623" w:rsidRDefault="0084624E" w:rsidP="001116A8">
            <w:pPr>
              <w:pStyle w:val="cuatexto"/>
              <w:rPr>
                <w:sz w:val="18"/>
                <w:szCs w:val="18"/>
              </w:rPr>
            </w:pPr>
            <w:r w:rsidRPr="001F1623">
              <w:rPr>
                <w:sz w:val="18"/>
                <w:szCs w:val="18"/>
              </w:rPr>
              <w:t>(+) Ingresos extrapresupuestarios</w:t>
            </w:r>
          </w:p>
        </w:tc>
        <w:tc>
          <w:tcPr>
            <w:tcW w:w="992" w:type="dxa"/>
            <w:tcBorders>
              <w:top w:val="single" w:sz="2" w:space="0" w:color="auto"/>
              <w:left w:val="nil"/>
              <w:bottom w:val="single" w:sz="2" w:space="0" w:color="auto"/>
              <w:right w:val="nil"/>
            </w:tcBorders>
            <w:vAlign w:val="center"/>
          </w:tcPr>
          <w:p w14:paraId="4129402A" w14:textId="7E3AA437" w:rsidR="0084624E" w:rsidRPr="001F1623" w:rsidRDefault="0084624E" w:rsidP="001116A8">
            <w:pPr>
              <w:pStyle w:val="cuatexto"/>
              <w:jc w:val="right"/>
              <w:rPr>
                <w:sz w:val="18"/>
                <w:szCs w:val="18"/>
              </w:rPr>
            </w:pPr>
            <w:r w:rsidRPr="001F1623">
              <w:rPr>
                <w:sz w:val="18"/>
                <w:szCs w:val="18"/>
              </w:rPr>
              <w:t>23.508</w:t>
            </w:r>
          </w:p>
        </w:tc>
        <w:tc>
          <w:tcPr>
            <w:tcW w:w="1559" w:type="dxa"/>
            <w:tcBorders>
              <w:top w:val="single" w:sz="2" w:space="0" w:color="auto"/>
              <w:left w:val="nil"/>
              <w:bottom w:val="single" w:sz="2" w:space="0" w:color="auto"/>
              <w:right w:val="nil"/>
            </w:tcBorders>
            <w:shd w:val="clear" w:color="auto" w:fill="auto"/>
            <w:noWrap/>
            <w:vAlign w:val="center"/>
          </w:tcPr>
          <w:p w14:paraId="7D0E7E19" w14:textId="0BF02435" w:rsidR="0084624E" w:rsidRPr="001F1623" w:rsidRDefault="004E45EA" w:rsidP="001116A8">
            <w:pPr>
              <w:pStyle w:val="cuatexto"/>
              <w:jc w:val="right"/>
              <w:rPr>
                <w:sz w:val="18"/>
                <w:szCs w:val="18"/>
              </w:rPr>
            </w:pPr>
            <w:r w:rsidRPr="001F1623">
              <w:rPr>
                <w:sz w:val="18"/>
                <w:szCs w:val="18"/>
              </w:rPr>
              <w:t>4.406</w:t>
            </w:r>
          </w:p>
        </w:tc>
        <w:tc>
          <w:tcPr>
            <w:tcW w:w="1134" w:type="dxa"/>
            <w:tcBorders>
              <w:top w:val="single" w:sz="2" w:space="0" w:color="auto"/>
              <w:left w:val="nil"/>
              <w:bottom w:val="single" w:sz="2" w:space="0" w:color="auto"/>
              <w:right w:val="nil"/>
            </w:tcBorders>
            <w:shd w:val="clear" w:color="auto" w:fill="auto"/>
            <w:noWrap/>
            <w:vAlign w:val="center"/>
          </w:tcPr>
          <w:p w14:paraId="6F28019D" w14:textId="1A0B141C" w:rsidR="0084624E" w:rsidRPr="001F1623" w:rsidRDefault="004E45EA" w:rsidP="001116A8">
            <w:pPr>
              <w:pStyle w:val="cuatexto"/>
              <w:jc w:val="right"/>
              <w:rPr>
                <w:sz w:val="18"/>
                <w:szCs w:val="18"/>
              </w:rPr>
            </w:pPr>
            <w:r w:rsidRPr="001F1623">
              <w:rPr>
                <w:sz w:val="18"/>
                <w:szCs w:val="18"/>
              </w:rPr>
              <w:t>27.914</w:t>
            </w:r>
          </w:p>
        </w:tc>
      </w:tr>
      <w:tr w:rsidR="0084624E" w:rsidRPr="001F1623" w14:paraId="43BAB356" w14:textId="77777777" w:rsidTr="003D52CB">
        <w:trPr>
          <w:trHeight w:val="198"/>
        </w:trPr>
        <w:tc>
          <w:tcPr>
            <w:tcW w:w="4962" w:type="dxa"/>
            <w:tcBorders>
              <w:top w:val="single" w:sz="2" w:space="0" w:color="auto"/>
              <w:left w:val="nil"/>
              <w:bottom w:val="single" w:sz="4" w:space="0" w:color="auto"/>
              <w:right w:val="nil"/>
            </w:tcBorders>
            <w:shd w:val="clear" w:color="auto" w:fill="auto"/>
            <w:vAlign w:val="center"/>
            <w:hideMark/>
          </w:tcPr>
          <w:p w14:paraId="18B5254A" w14:textId="77777777" w:rsidR="0084624E" w:rsidRPr="001F1623" w:rsidRDefault="0084624E" w:rsidP="001116A8">
            <w:pPr>
              <w:pStyle w:val="cuatexto"/>
              <w:rPr>
                <w:sz w:val="18"/>
                <w:szCs w:val="18"/>
              </w:rPr>
            </w:pPr>
            <w:r w:rsidRPr="001F1623">
              <w:rPr>
                <w:sz w:val="18"/>
                <w:szCs w:val="18"/>
              </w:rPr>
              <w:t>(-) Derechos de difícil recaudación</w:t>
            </w:r>
          </w:p>
        </w:tc>
        <w:tc>
          <w:tcPr>
            <w:tcW w:w="992" w:type="dxa"/>
            <w:tcBorders>
              <w:top w:val="single" w:sz="2" w:space="0" w:color="auto"/>
              <w:left w:val="nil"/>
              <w:bottom w:val="single" w:sz="4" w:space="0" w:color="auto"/>
              <w:right w:val="nil"/>
            </w:tcBorders>
            <w:vAlign w:val="center"/>
          </w:tcPr>
          <w:p w14:paraId="23FB7AB7" w14:textId="2ABAC84B" w:rsidR="0084624E" w:rsidRPr="001F1623" w:rsidRDefault="0084624E" w:rsidP="001116A8">
            <w:pPr>
              <w:pStyle w:val="cuatexto"/>
              <w:jc w:val="right"/>
              <w:rPr>
                <w:sz w:val="18"/>
                <w:szCs w:val="18"/>
              </w:rPr>
            </w:pPr>
            <w:r w:rsidRPr="001F1623">
              <w:rPr>
                <w:sz w:val="18"/>
                <w:szCs w:val="18"/>
              </w:rPr>
              <w:t>214.433</w:t>
            </w:r>
          </w:p>
        </w:tc>
        <w:tc>
          <w:tcPr>
            <w:tcW w:w="1559" w:type="dxa"/>
            <w:tcBorders>
              <w:top w:val="single" w:sz="2" w:space="0" w:color="auto"/>
              <w:left w:val="nil"/>
              <w:bottom w:val="single" w:sz="4" w:space="0" w:color="auto"/>
              <w:right w:val="nil"/>
            </w:tcBorders>
            <w:shd w:val="clear" w:color="auto" w:fill="auto"/>
            <w:noWrap/>
            <w:vAlign w:val="center"/>
          </w:tcPr>
          <w:p w14:paraId="501145AA" w14:textId="6582003E" w:rsidR="0084624E" w:rsidRPr="001F1623" w:rsidRDefault="0084624E" w:rsidP="001116A8">
            <w:pPr>
              <w:pStyle w:val="cuatexto"/>
              <w:jc w:val="right"/>
              <w:rPr>
                <w:sz w:val="18"/>
                <w:szCs w:val="18"/>
              </w:rPr>
            </w:pPr>
          </w:p>
        </w:tc>
        <w:tc>
          <w:tcPr>
            <w:tcW w:w="1134" w:type="dxa"/>
            <w:tcBorders>
              <w:top w:val="single" w:sz="2" w:space="0" w:color="auto"/>
              <w:left w:val="nil"/>
              <w:bottom w:val="single" w:sz="4" w:space="0" w:color="auto"/>
              <w:right w:val="nil"/>
            </w:tcBorders>
            <w:shd w:val="clear" w:color="auto" w:fill="auto"/>
            <w:noWrap/>
            <w:vAlign w:val="center"/>
          </w:tcPr>
          <w:p w14:paraId="17035F42" w14:textId="3690FD60" w:rsidR="0084624E" w:rsidRPr="001F1623" w:rsidRDefault="004E45EA" w:rsidP="001116A8">
            <w:pPr>
              <w:pStyle w:val="cuatexto"/>
              <w:jc w:val="right"/>
              <w:rPr>
                <w:sz w:val="18"/>
                <w:szCs w:val="18"/>
              </w:rPr>
            </w:pPr>
            <w:r w:rsidRPr="001F1623">
              <w:rPr>
                <w:sz w:val="18"/>
                <w:szCs w:val="18"/>
              </w:rPr>
              <w:t>214.4</w:t>
            </w:r>
            <w:r w:rsidR="0029381A" w:rsidRPr="001F1623">
              <w:rPr>
                <w:sz w:val="18"/>
                <w:szCs w:val="18"/>
              </w:rPr>
              <w:t>3</w:t>
            </w:r>
            <w:r w:rsidRPr="001F1623">
              <w:rPr>
                <w:sz w:val="18"/>
                <w:szCs w:val="18"/>
              </w:rPr>
              <w:t>3</w:t>
            </w:r>
          </w:p>
        </w:tc>
      </w:tr>
      <w:tr w:rsidR="0084624E" w:rsidRPr="00BB3275" w14:paraId="7CA3808F" w14:textId="77777777" w:rsidTr="003D52CB">
        <w:trPr>
          <w:trHeight w:val="198"/>
        </w:trPr>
        <w:tc>
          <w:tcPr>
            <w:tcW w:w="4962" w:type="dxa"/>
            <w:tcBorders>
              <w:top w:val="single" w:sz="4" w:space="0" w:color="auto"/>
              <w:left w:val="nil"/>
              <w:bottom w:val="single" w:sz="4" w:space="0" w:color="auto"/>
              <w:right w:val="nil"/>
            </w:tcBorders>
            <w:shd w:val="clear" w:color="auto" w:fill="auto"/>
            <w:vAlign w:val="center"/>
            <w:hideMark/>
          </w:tcPr>
          <w:p w14:paraId="109D0BE8" w14:textId="77777777" w:rsidR="0084624E" w:rsidRPr="006C6FE6" w:rsidRDefault="0084624E" w:rsidP="001116A8">
            <w:pPr>
              <w:pStyle w:val="cuatexto"/>
              <w:rPr>
                <w:rFonts w:ascii="Arial" w:hAnsi="Arial" w:cs="Arial"/>
                <w:szCs w:val="20"/>
              </w:rPr>
            </w:pPr>
            <w:r w:rsidRPr="006C6FE6">
              <w:rPr>
                <w:rFonts w:ascii="Arial" w:hAnsi="Arial" w:cs="Arial"/>
                <w:szCs w:val="20"/>
              </w:rPr>
              <w:t>(-) Obligaciones pendientes de pago</w:t>
            </w:r>
          </w:p>
        </w:tc>
        <w:tc>
          <w:tcPr>
            <w:tcW w:w="992" w:type="dxa"/>
            <w:tcBorders>
              <w:top w:val="single" w:sz="4" w:space="0" w:color="auto"/>
              <w:left w:val="nil"/>
              <w:bottom w:val="single" w:sz="4" w:space="0" w:color="auto"/>
              <w:right w:val="nil"/>
            </w:tcBorders>
            <w:vAlign w:val="center"/>
          </w:tcPr>
          <w:p w14:paraId="610845F4" w14:textId="5AA2B7E4" w:rsidR="0084624E" w:rsidRPr="006C6FE6" w:rsidRDefault="0084624E" w:rsidP="001116A8">
            <w:pPr>
              <w:pStyle w:val="cuatexto"/>
              <w:jc w:val="right"/>
              <w:rPr>
                <w:rFonts w:ascii="Arial" w:hAnsi="Arial" w:cs="Arial"/>
                <w:szCs w:val="20"/>
              </w:rPr>
            </w:pPr>
            <w:r w:rsidRPr="006C6FE6">
              <w:rPr>
                <w:rFonts w:ascii="Arial" w:hAnsi="Arial" w:cs="Arial"/>
                <w:szCs w:val="20"/>
              </w:rPr>
              <w:t>286.208</w:t>
            </w:r>
          </w:p>
        </w:tc>
        <w:tc>
          <w:tcPr>
            <w:tcW w:w="1559" w:type="dxa"/>
            <w:tcBorders>
              <w:top w:val="single" w:sz="4" w:space="0" w:color="auto"/>
              <w:left w:val="nil"/>
              <w:bottom w:val="single" w:sz="4" w:space="0" w:color="auto"/>
              <w:right w:val="nil"/>
            </w:tcBorders>
            <w:shd w:val="clear" w:color="auto" w:fill="auto"/>
            <w:noWrap/>
            <w:vAlign w:val="center"/>
          </w:tcPr>
          <w:p w14:paraId="26C45FCD" w14:textId="17751B63" w:rsidR="0084624E" w:rsidRPr="006C6FE6" w:rsidRDefault="004E45EA" w:rsidP="001116A8">
            <w:pPr>
              <w:pStyle w:val="cuatexto"/>
              <w:jc w:val="right"/>
              <w:rPr>
                <w:rFonts w:ascii="Arial" w:hAnsi="Arial" w:cs="Arial"/>
                <w:szCs w:val="20"/>
              </w:rPr>
            </w:pPr>
            <w:r w:rsidRPr="006C6FE6">
              <w:rPr>
                <w:rFonts w:ascii="Arial" w:hAnsi="Arial" w:cs="Arial"/>
                <w:szCs w:val="20"/>
              </w:rPr>
              <w:t>164.638</w:t>
            </w:r>
          </w:p>
        </w:tc>
        <w:tc>
          <w:tcPr>
            <w:tcW w:w="1134" w:type="dxa"/>
            <w:tcBorders>
              <w:top w:val="single" w:sz="4" w:space="0" w:color="auto"/>
              <w:left w:val="nil"/>
              <w:bottom w:val="single" w:sz="4" w:space="0" w:color="auto"/>
              <w:right w:val="nil"/>
            </w:tcBorders>
            <w:shd w:val="clear" w:color="auto" w:fill="auto"/>
            <w:noWrap/>
            <w:vAlign w:val="center"/>
          </w:tcPr>
          <w:p w14:paraId="24E383AB" w14:textId="21890063" w:rsidR="0084624E" w:rsidRPr="006C6FE6" w:rsidRDefault="004E45EA" w:rsidP="001116A8">
            <w:pPr>
              <w:pStyle w:val="cuatexto"/>
              <w:jc w:val="right"/>
              <w:rPr>
                <w:rFonts w:ascii="Arial" w:hAnsi="Arial" w:cs="Arial"/>
                <w:szCs w:val="20"/>
              </w:rPr>
            </w:pPr>
            <w:r w:rsidRPr="006C6FE6">
              <w:rPr>
                <w:rFonts w:ascii="Arial" w:hAnsi="Arial" w:cs="Arial"/>
                <w:szCs w:val="20"/>
              </w:rPr>
              <w:t>450.84</w:t>
            </w:r>
            <w:r w:rsidR="0029381A" w:rsidRPr="006C6FE6">
              <w:rPr>
                <w:rFonts w:ascii="Arial" w:hAnsi="Arial" w:cs="Arial"/>
                <w:szCs w:val="20"/>
              </w:rPr>
              <w:t>6</w:t>
            </w:r>
          </w:p>
        </w:tc>
      </w:tr>
      <w:tr w:rsidR="0084624E" w:rsidRPr="001F1623" w14:paraId="1FCE8221" w14:textId="77777777" w:rsidTr="00CA5E3D">
        <w:trPr>
          <w:trHeight w:val="198"/>
        </w:trPr>
        <w:tc>
          <w:tcPr>
            <w:tcW w:w="4962" w:type="dxa"/>
            <w:tcBorders>
              <w:top w:val="single" w:sz="4" w:space="0" w:color="auto"/>
              <w:left w:val="nil"/>
              <w:bottom w:val="single" w:sz="2" w:space="0" w:color="auto"/>
              <w:right w:val="nil"/>
            </w:tcBorders>
            <w:shd w:val="clear" w:color="auto" w:fill="auto"/>
            <w:vAlign w:val="center"/>
            <w:hideMark/>
          </w:tcPr>
          <w:p w14:paraId="038A29F2" w14:textId="77777777" w:rsidR="0084624E" w:rsidRPr="001F1623" w:rsidRDefault="0084624E" w:rsidP="001116A8">
            <w:pPr>
              <w:pStyle w:val="cuatexto"/>
              <w:rPr>
                <w:sz w:val="18"/>
                <w:szCs w:val="18"/>
              </w:rPr>
            </w:pPr>
            <w:r w:rsidRPr="001F1623">
              <w:rPr>
                <w:sz w:val="18"/>
                <w:szCs w:val="18"/>
              </w:rPr>
              <w:t>(-) Presupuesto de Gastos: Ejercicio corriente</w:t>
            </w:r>
          </w:p>
        </w:tc>
        <w:tc>
          <w:tcPr>
            <w:tcW w:w="992" w:type="dxa"/>
            <w:tcBorders>
              <w:top w:val="single" w:sz="4" w:space="0" w:color="auto"/>
              <w:left w:val="nil"/>
              <w:bottom w:val="single" w:sz="2" w:space="0" w:color="auto"/>
              <w:right w:val="nil"/>
            </w:tcBorders>
            <w:vAlign w:val="center"/>
          </w:tcPr>
          <w:p w14:paraId="194083AC" w14:textId="2F758D15" w:rsidR="0084624E" w:rsidRPr="001F1623" w:rsidRDefault="0084624E" w:rsidP="001116A8">
            <w:pPr>
              <w:pStyle w:val="cuatexto"/>
              <w:jc w:val="right"/>
              <w:rPr>
                <w:sz w:val="18"/>
                <w:szCs w:val="18"/>
              </w:rPr>
            </w:pPr>
            <w:r w:rsidRPr="001F1623">
              <w:rPr>
                <w:sz w:val="18"/>
                <w:szCs w:val="18"/>
              </w:rPr>
              <w:t>89.891</w:t>
            </w:r>
          </w:p>
        </w:tc>
        <w:tc>
          <w:tcPr>
            <w:tcW w:w="1559" w:type="dxa"/>
            <w:tcBorders>
              <w:top w:val="single" w:sz="4" w:space="0" w:color="auto"/>
              <w:left w:val="nil"/>
              <w:bottom w:val="single" w:sz="2" w:space="0" w:color="auto"/>
              <w:right w:val="nil"/>
            </w:tcBorders>
            <w:shd w:val="clear" w:color="auto" w:fill="auto"/>
            <w:noWrap/>
            <w:vAlign w:val="center"/>
          </w:tcPr>
          <w:p w14:paraId="32745DC4" w14:textId="7DB78F97" w:rsidR="0084624E" w:rsidRPr="001F1623" w:rsidRDefault="004E45EA" w:rsidP="001116A8">
            <w:pPr>
              <w:pStyle w:val="cuatexto"/>
              <w:jc w:val="right"/>
              <w:rPr>
                <w:sz w:val="18"/>
                <w:szCs w:val="18"/>
              </w:rPr>
            </w:pPr>
            <w:r w:rsidRPr="001F1623">
              <w:rPr>
                <w:sz w:val="18"/>
                <w:szCs w:val="18"/>
              </w:rPr>
              <w:t>41.461</w:t>
            </w:r>
          </w:p>
        </w:tc>
        <w:tc>
          <w:tcPr>
            <w:tcW w:w="1134" w:type="dxa"/>
            <w:tcBorders>
              <w:top w:val="single" w:sz="4" w:space="0" w:color="auto"/>
              <w:left w:val="nil"/>
              <w:bottom w:val="single" w:sz="2" w:space="0" w:color="auto"/>
              <w:right w:val="nil"/>
            </w:tcBorders>
            <w:shd w:val="clear" w:color="auto" w:fill="auto"/>
            <w:noWrap/>
            <w:vAlign w:val="center"/>
          </w:tcPr>
          <w:p w14:paraId="603CB789" w14:textId="5B3B4DBB" w:rsidR="0084624E" w:rsidRPr="001F1623" w:rsidRDefault="004E45EA" w:rsidP="001116A8">
            <w:pPr>
              <w:pStyle w:val="cuatexto"/>
              <w:jc w:val="right"/>
              <w:rPr>
                <w:sz w:val="18"/>
                <w:szCs w:val="18"/>
              </w:rPr>
            </w:pPr>
            <w:r w:rsidRPr="001F1623">
              <w:rPr>
                <w:sz w:val="18"/>
                <w:szCs w:val="18"/>
              </w:rPr>
              <w:t>131.351</w:t>
            </w:r>
          </w:p>
        </w:tc>
      </w:tr>
      <w:tr w:rsidR="0084624E" w:rsidRPr="001F1623" w14:paraId="62336650" w14:textId="77777777" w:rsidTr="006C6FE6">
        <w:trPr>
          <w:trHeight w:val="198"/>
        </w:trPr>
        <w:tc>
          <w:tcPr>
            <w:tcW w:w="4962" w:type="dxa"/>
            <w:tcBorders>
              <w:top w:val="single" w:sz="2" w:space="0" w:color="auto"/>
              <w:left w:val="nil"/>
              <w:bottom w:val="single" w:sz="2" w:space="0" w:color="auto"/>
              <w:right w:val="nil"/>
            </w:tcBorders>
            <w:shd w:val="clear" w:color="auto" w:fill="auto"/>
            <w:vAlign w:val="center"/>
            <w:hideMark/>
          </w:tcPr>
          <w:p w14:paraId="7618392A" w14:textId="77777777" w:rsidR="0084624E" w:rsidRPr="001F1623" w:rsidRDefault="0084624E" w:rsidP="001116A8">
            <w:pPr>
              <w:pStyle w:val="cuatexto"/>
              <w:rPr>
                <w:sz w:val="18"/>
                <w:szCs w:val="18"/>
              </w:rPr>
            </w:pPr>
            <w:r w:rsidRPr="001F1623">
              <w:rPr>
                <w:sz w:val="18"/>
                <w:szCs w:val="18"/>
              </w:rPr>
              <w:t>(-) Presupuesto de Gastos: Ejercicios cerrados</w:t>
            </w:r>
          </w:p>
        </w:tc>
        <w:tc>
          <w:tcPr>
            <w:tcW w:w="992" w:type="dxa"/>
            <w:tcBorders>
              <w:top w:val="single" w:sz="2" w:space="0" w:color="auto"/>
              <w:left w:val="nil"/>
              <w:bottom w:val="single" w:sz="2" w:space="0" w:color="auto"/>
              <w:right w:val="nil"/>
            </w:tcBorders>
            <w:vAlign w:val="center"/>
          </w:tcPr>
          <w:p w14:paraId="62AA1A91" w14:textId="4BB21DA5" w:rsidR="0084624E" w:rsidRPr="001F1623" w:rsidRDefault="0084624E" w:rsidP="001116A8">
            <w:pPr>
              <w:pStyle w:val="cuatexto"/>
              <w:jc w:val="right"/>
              <w:rPr>
                <w:sz w:val="18"/>
                <w:szCs w:val="18"/>
              </w:rPr>
            </w:pPr>
            <w:r w:rsidRPr="001F1623">
              <w:rPr>
                <w:sz w:val="18"/>
                <w:szCs w:val="18"/>
              </w:rPr>
              <w:t>62.879</w:t>
            </w:r>
          </w:p>
        </w:tc>
        <w:tc>
          <w:tcPr>
            <w:tcW w:w="1559" w:type="dxa"/>
            <w:tcBorders>
              <w:top w:val="single" w:sz="2" w:space="0" w:color="auto"/>
              <w:left w:val="nil"/>
              <w:bottom w:val="single" w:sz="2" w:space="0" w:color="auto"/>
              <w:right w:val="nil"/>
            </w:tcBorders>
            <w:shd w:val="clear" w:color="auto" w:fill="auto"/>
            <w:noWrap/>
            <w:vAlign w:val="center"/>
          </w:tcPr>
          <w:p w14:paraId="36E4A95E" w14:textId="40A22B59" w:rsidR="0084624E" w:rsidRPr="001F1623" w:rsidRDefault="004E45EA" w:rsidP="001116A8">
            <w:pPr>
              <w:pStyle w:val="cuatexto"/>
              <w:jc w:val="right"/>
              <w:rPr>
                <w:sz w:val="18"/>
                <w:szCs w:val="18"/>
              </w:rPr>
            </w:pPr>
            <w:r w:rsidRPr="001F1623">
              <w:rPr>
                <w:sz w:val="18"/>
                <w:szCs w:val="18"/>
              </w:rPr>
              <w:t>-57.332</w:t>
            </w:r>
          </w:p>
        </w:tc>
        <w:tc>
          <w:tcPr>
            <w:tcW w:w="1134" w:type="dxa"/>
            <w:tcBorders>
              <w:top w:val="single" w:sz="2" w:space="0" w:color="auto"/>
              <w:left w:val="nil"/>
              <w:bottom w:val="single" w:sz="2" w:space="0" w:color="auto"/>
              <w:right w:val="nil"/>
            </w:tcBorders>
            <w:shd w:val="clear" w:color="auto" w:fill="auto"/>
            <w:noWrap/>
            <w:vAlign w:val="center"/>
          </w:tcPr>
          <w:p w14:paraId="2F9ECECD" w14:textId="44C7F424" w:rsidR="0084624E" w:rsidRPr="001F1623" w:rsidRDefault="004E45EA" w:rsidP="001116A8">
            <w:pPr>
              <w:pStyle w:val="cuatexto"/>
              <w:jc w:val="right"/>
              <w:rPr>
                <w:sz w:val="18"/>
                <w:szCs w:val="18"/>
              </w:rPr>
            </w:pPr>
            <w:r w:rsidRPr="001F1623">
              <w:rPr>
                <w:sz w:val="18"/>
                <w:szCs w:val="18"/>
              </w:rPr>
              <w:t>5.547</w:t>
            </w:r>
          </w:p>
        </w:tc>
      </w:tr>
      <w:tr w:rsidR="0084624E" w:rsidRPr="001F1623" w14:paraId="2BAFECEE" w14:textId="77777777" w:rsidTr="003D52CB">
        <w:trPr>
          <w:trHeight w:val="198"/>
        </w:trPr>
        <w:tc>
          <w:tcPr>
            <w:tcW w:w="4962" w:type="dxa"/>
            <w:tcBorders>
              <w:top w:val="single" w:sz="2" w:space="0" w:color="auto"/>
              <w:left w:val="nil"/>
              <w:bottom w:val="single" w:sz="4" w:space="0" w:color="auto"/>
              <w:right w:val="nil"/>
            </w:tcBorders>
            <w:shd w:val="clear" w:color="auto" w:fill="auto"/>
            <w:vAlign w:val="center"/>
            <w:hideMark/>
          </w:tcPr>
          <w:p w14:paraId="15642D93" w14:textId="77777777" w:rsidR="0084624E" w:rsidRPr="001F1623" w:rsidRDefault="0084624E" w:rsidP="001116A8">
            <w:pPr>
              <w:pStyle w:val="cuatexto"/>
              <w:rPr>
                <w:sz w:val="18"/>
                <w:szCs w:val="18"/>
              </w:rPr>
            </w:pPr>
            <w:r w:rsidRPr="001F1623">
              <w:rPr>
                <w:sz w:val="18"/>
                <w:szCs w:val="18"/>
              </w:rPr>
              <w:t>(-) Gastos extrapresupuestarios</w:t>
            </w:r>
          </w:p>
        </w:tc>
        <w:tc>
          <w:tcPr>
            <w:tcW w:w="992" w:type="dxa"/>
            <w:tcBorders>
              <w:top w:val="single" w:sz="2" w:space="0" w:color="auto"/>
              <w:left w:val="nil"/>
              <w:bottom w:val="single" w:sz="4" w:space="0" w:color="auto"/>
              <w:right w:val="nil"/>
            </w:tcBorders>
            <w:vAlign w:val="center"/>
          </w:tcPr>
          <w:p w14:paraId="0F681997" w14:textId="0B281391" w:rsidR="0084624E" w:rsidRPr="001F1623" w:rsidRDefault="0084624E" w:rsidP="001116A8">
            <w:pPr>
              <w:pStyle w:val="cuatexto"/>
              <w:jc w:val="right"/>
              <w:rPr>
                <w:sz w:val="18"/>
                <w:szCs w:val="18"/>
              </w:rPr>
            </w:pPr>
            <w:r w:rsidRPr="001F1623">
              <w:rPr>
                <w:sz w:val="18"/>
                <w:szCs w:val="18"/>
              </w:rPr>
              <w:t>133.438</w:t>
            </w:r>
          </w:p>
        </w:tc>
        <w:tc>
          <w:tcPr>
            <w:tcW w:w="1559" w:type="dxa"/>
            <w:tcBorders>
              <w:top w:val="single" w:sz="2" w:space="0" w:color="auto"/>
              <w:left w:val="nil"/>
              <w:bottom w:val="single" w:sz="4" w:space="0" w:color="auto"/>
              <w:right w:val="nil"/>
            </w:tcBorders>
            <w:shd w:val="clear" w:color="auto" w:fill="auto"/>
            <w:noWrap/>
            <w:vAlign w:val="center"/>
          </w:tcPr>
          <w:p w14:paraId="0EA5D351" w14:textId="1075FE1A" w:rsidR="0084624E" w:rsidRPr="001F1623" w:rsidRDefault="004E45EA" w:rsidP="001116A8">
            <w:pPr>
              <w:pStyle w:val="cuatexto"/>
              <w:jc w:val="right"/>
              <w:rPr>
                <w:sz w:val="18"/>
                <w:szCs w:val="18"/>
              </w:rPr>
            </w:pPr>
            <w:r w:rsidRPr="001F1623">
              <w:rPr>
                <w:sz w:val="18"/>
                <w:szCs w:val="18"/>
              </w:rPr>
              <w:t>180.509</w:t>
            </w:r>
          </w:p>
        </w:tc>
        <w:tc>
          <w:tcPr>
            <w:tcW w:w="1134" w:type="dxa"/>
            <w:tcBorders>
              <w:top w:val="single" w:sz="2" w:space="0" w:color="auto"/>
              <w:left w:val="nil"/>
              <w:bottom w:val="single" w:sz="4" w:space="0" w:color="auto"/>
              <w:right w:val="nil"/>
            </w:tcBorders>
            <w:shd w:val="clear" w:color="auto" w:fill="auto"/>
            <w:noWrap/>
            <w:vAlign w:val="center"/>
          </w:tcPr>
          <w:p w14:paraId="03B37235" w14:textId="6EF8932E" w:rsidR="0084624E" w:rsidRPr="001F1623" w:rsidRDefault="004E45EA" w:rsidP="001116A8">
            <w:pPr>
              <w:pStyle w:val="cuatexto"/>
              <w:jc w:val="right"/>
              <w:rPr>
                <w:sz w:val="18"/>
                <w:szCs w:val="18"/>
              </w:rPr>
            </w:pPr>
            <w:r w:rsidRPr="001F1623">
              <w:rPr>
                <w:sz w:val="18"/>
                <w:szCs w:val="18"/>
              </w:rPr>
              <w:t>313.947</w:t>
            </w:r>
          </w:p>
        </w:tc>
      </w:tr>
      <w:tr w:rsidR="0084624E" w:rsidRPr="00BB3275" w14:paraId="4F6736D3" w14:textId="77777777" w:rsidTr="003D52CB">
        <w:trPr>
          <w:trHeight w:val="255"/>
        </w:trPr>
        <w:tc>
          <w:tcPr>
            <w:tcW w:w="4962" w:type="dxa"/>
            <w:tcBorders>
              <w:top w:val="single" w:sz="4" w:space="0" w:color="auto"/>
              <w:left w:val="nil"/>
              <w:bottom w:val="single" w:sz="4" w:space="0" w:color="auto"/>
              <w:right w:val="nil"/>
            </w:tcBorders>
            <w:shd w:val="clear" w:color="auto" w:fill="auto"/>
            <w:vAlign w:val="center"/>
            <w:hideMark/>
          </w:tcPr>
          <w:p w14:paraId="23D3F6D4" w14:textId="77777777" w:rsidR="0084624E" w:rsidRPr="006C6FE6" w:rsidRDefault="0084624E" w:rsidP="001116A8">
            <w:pPr>
              <w:pStyle w:val="cuatexto"/>
              <w:rPr>
                <w:rFonts w:ascii="Arial" w:hAnsi="Arial" w:cs="Arial"/>
              </w:rPr>
            </w:pPr>
            <w:r w:rsidRPr="006C6FE6">
              <w:rPr>
                <w:rFonts w:ascii="Arial" w:hAnsi="Arial" w:cs="Arial"/>
              </w:rPr>
              <w:t>(+) Fondos líquidos de Tesorería</w:t>
            </w:r>
          </w:p>
        </w:tc>
        <w:tc>
          <w:tcPr>
            <w:tcW w:w="992" w:type="dxa"/>
            <w:tcBorders>
              <w:top w:val="single" w:sz="4" w:space="0" w:color="auto"/>
              <w:left w:val="nil"/>
              <w:bottom w:val="single" w:sz="4" w:space="0" w:color="auto"/>
              <w:right w:val="nil"/>
            </w:tcBorders>
            <w:vAlign w:val="center"/>
          </w:tcPr>
          <w:p w14:paraId="5F19F7E6" w14:textId="1B83663D" w:rsidR="0084624E" w:rsidRPr="006C6FE6" w:rsidRDefault="0084624E" w:rsidP="001116A8">
            <w:pPr>
              <w:pStyle w:val="cuatexto"/>
              <w:jc w:val="right"/>
              <w:rPr>
                <w:rFonts w:ascii="Arial" w:hAnsi="Arial" w:cs="Arial"/>
              </w:rPr>
            </w:pPr>
            <w:r w:rsidRPr="006C6FE6">
              <w:rPr>
                <w:rFonts w:ascii="Arial" w:hAnsi="Arial" w:cs="Arial"/>
              </w:rPr>
              <w:t>99.588</w:t>
            </w:r>
          </w:p>
        </w:tc>
        <w:tc>
          <w:tcPr>
            <w:tcW w:w="1559" w:type="dxa"/>
            <w:tcBorders>
              <w:top w:val="single" w:sz="4" w:space="0" w:color="auto"/>
              <w:left w:val="nil"/>
              <w:bottom w:val="single" w:sz="4" w:space="0" w:color="auto"/>
              <w:right w:val="nil"/>
            </w:tcBorders>
            <w:shd w:val="clear" w:color="auto" w:fill="auto"/>
            <w:noWrap/>
            <w:vAlign w:val="center"/>
          </w:tcPr>
          <w:p w14:paraId="15B0E063" w14:textId="1EB851F0" w:rsidR="0084624E" w:rsidRPr="006C6FE6" w:rsidRDefault="0084624E" w:rsidP="001116A8">
            <w:pPr>
              <w:pStyle w:val="cuatexto"/>
              <w:jc w:val="right"/>
              <w:rPr>
                <w:rFonts w:ascii="Arial" w:hAnsi="Arial" w:cs="Arial"/>
              </w:rPr>
            </w:pPr>
          </w:p>
        </w:tc>
        <w:tc>
          <w:tcPr>
            <w:tcW w:w="1134" w:type="dxa"/>
            <w:tcBorders>
              <w:top w:val="single" w:sz="4" w:space="0" w:color="auto"/>
              <w:left w:val="nil"/>
              <w:bottom w:val="single" w:sz="4" w:space="0" w:color="auto"/>
              <w:right w:val="nil"/>
            </w:tcBorders>
            <w:shd w:val="clear" w:color="auto" w:fill="auto"/>
            <w:noWrap/>
            <w:vAlign w:val="center"/>
          </w:tcPr>
          <w:p w14:paraId="3D9CE060" w14:textId="54C8FD0D" w:rsidR="0084624E" w:rsidRPr="006C6FE6" w:rsidRDefault="004E45EA" w:rsidP="001116A8">
            <w:pPr>
              <w:pStyle w:val="cuatexto"/>
              <w:jc w:val="right"/>
              <w:rPr>
                <w:rFonts w:ascii="Arial" w:hAnsi="Arial" w:cs="Arial"/>
              </w:rPr>
            </w:pPr>
            <w:r w:rsidRPr="006C6FE6">
              <w:rPr>
                <w:rFonts w:ascii="Arial" w:hAnsi="Arial" w:cs="Arial"/>
              </w:rPr>
              <w:t>99.588</w:t>
            </w:r>
          </w:p>
        </w:tc>
      </w:tr>
      <w:tr w:rsidR="0084624E" w:rsidRPr="001F1623" w14:paraId="65EFDEF1" w14:textId="77777777" w:rsidTr="003D52CB">
        <w:trPr>
          <w:trHeight w:val="198"/>
        </w:trPr>
        <w:tc>
          <w:tcPr>
            <w:tcW w:w="4962" w:type="dxa"/>
            <w:tcBorders>
              <w:top w:val="single" w:sz="4" w:space="0" w:color="auto"/>
              <w:left w:val="nil"/>
              <w:bottom w:val="single" w:sz="4" w:space="0" w:color="auto"/>
              <w:right w:val="nil"/>
            </w:tcBorders>
            <w:shd w:val="clear" w:color="auto" w:fill="auto"/>
            <w:vAlign w:val="center"/>
            <w:hideMark/>
          </w:tcPr>
          <w:p w14:paraId="26B20A45" w14:textId="77777777" w:rsidR="0084624E" w:rsidRPr="001F1623" w:rsidRDefault="0084624E" w:rsidP="001116A8">
            <w:pPr>
              <w:pStyle w:val="cuatexto"/>
              <w:rPr>
                <w:sz w:val="18"/>
                <w:szCs w:val="18"/>
              </w:rPr>
            </w:pPr>
            <w:r w:rsidRPr="001F1623">
              <w:rPr>
                <w:sz w:val="18"/>
                <w:szCs w:val="18"/>
              </w:rPr>
              <w:t>(+) Desviaciones financiación acumuladas negativas</w:t>
            </w:r>
          </w:p>
        </w:tc>
        <w:tc>
          <w:tcPr>
            <w:tcW w:w="992" w:type="dxa"/>
            <w:tcBorders>
              <w:top w:val="single" w:sz="4" w:space="0" w:color="auto"/>
              <w:left w:val="nil"/>
              <w:bottom w:val="single" w:sz="4" w:space="0" w:color="auto"/>
              <w:right w:val="nil"/>
            </w:tcBorders>
            <w:vAlign w:val="center"/>
          </w:tcPr>
          <w:p w14:paraId="5AF65360" w14:textId="1AF5ED5B" w:rsidR="0084624E" w:rsidRPr="001F1623" w:rsidRDefault="0084624E" w:rsidP="001116A8">
            <w:pPr>
              <w:pStyle w:val="cuatexto"/>
              <w:jc w:val="right"/>
              <w:rPr>
                <w:sz w:val="18"/>
                <w:szCs w:val="18"/>
              </w:rPr>
            </w:pPr>
            <w:r w:rsidRPr="001F1623">
              <w:rPr>
                <w:sz w:val="18"/>
                <w:szCs w:val="18"/>
              </w:rPr>
              <w:t>71.003</w:t>
            </w:r>
          </w:p>
        </w:tc>
        <w:tc>
          <w:tcPr>
            <w:tcW w:w="1559" w:type="dxa"/>
            <w:tcBorders>
              <w:top w:val="single" w:sz="4" w:space="0" w:color="auto"/>
              <w:left w:val="nil"/>
              <w:bottom w:val="single" w:sz="4" w:space="0" w:color="auto"/>
              <w:right w:val="nil"/>
            </w:tcBorders>
            <w:shd w:val="clear" w:color="auto" w:fill="auto"/>
            <w:noWrap/>
            <w:vAlign w:val="center"/>
          </w:tcPr>
          <w:p w14:paraId="1740C2F3" w14:textId="78D0F6A5" w:rsidR="0084624E" w:rsidRPr="001F1623" w:rsidRDefault="00FE3DD9" w:rsidP="001116A8">
            <w:pPr>
              <w:pStyle w:val="cuatexto"/>
              <w:jc w:val="right"/>
              <w:rPr>
                <w:sz w:val="18"/>
                <w:szCs w:val="18"/>
              </w:rPr>
            </w:pPr>
            <w:r w:rsidRPr="001F1623">
              <w:rPr>
                <w:sz w:val="18"/>
                <w:szCs w:val="18"/>
              </w:rPr>
              <w:t>-71.003</w:t>
            </w:r>
          </w:p>
        </w:tc>
        <w:tc>
          <w:tcPr>
            <w:tcW w:w="1134" w:type="dxa"/>
            <w:tcBorders>
              <w:top w:val="single" w:sz="4" w:space="0" w:color="auto"/>
              <w:left w:val="nil"/>
              <w:bottom w:val="single" w:sz="4" w:space="0" w:color="auto"/>
              <w:right w:val="nil"/>
            </w:tcBorders>
            <w:shd w:val="clear" w:color="auto" w:fill="auto"/>
            <w:noWrap/>
            <w:vAlign w:val="center"/>
          </w:tcPr>
          <w:p w14:paraId="2A839B80" w14:textId="02B8C2E5" w:rsidR="0084624E" w:rsidRPr="001F1623" w:rsidRDefault="00DA60E0" w:rsidP="001116A8">
            <w:pPr>
              <w:pStyle w:val="cuatexto"/>
              <w:jc w:val="right"/>
              <w:rPr>
                <w:sz w:val="18"/>
                <w:szCs w:val="18"/>
              </w:rPr>
            </w:pPr>
            <w:r w:rsidRPr="001F1623">
              <w:rPr>
                <w:sz w:val="18"/>
                <w:szCs w:val="18"/>
              </w:rPr>
              <w:t>0</w:t>
            </w:r>
          </w:p>
        </w:tc>
      </w:tr>
      <w:tr w:rsidR="0084624E" w:rsidRPr="00BB3275" w14:paraId="32A862C1" w14:textId="77777777" w:rsidTr="003D52CB">
        <w:trPr>
          <w:trHeight w:val="255"/>
        </w:trPr>
        <w:tc>
          <w:tcPr>
            <w:tcW w:w="4962" w:type="dxa"/>
            <w:tcBorders>
              <w:top w:val="single" w:sz="4" w:space="0" w:color="auto"/>
              <w:left w:val="nil"/>
              <w:bottom w:val="single" w:sz="4" w:space="0" w:color="auto"/>
              <w:right w:val="nil"/>
            </w:tcBorders>
            <w:shd w:val="clear" w:color="auto" w:fill="auto"/>
            <w:vAlign w:val="center"/>
            <w:hideMark/>
          </w:tcPr>
          <w:p w14:paraId="79D54030" w14:textId="77777777" w:rsidR="0084624E" w:rsidRPr="006C6FE6" w:rsidRDefault="0084624E" w:rsidP="001116A8">
            <w:pPr>
              <w:pStyle w:val="cuatexto"/>
              <w:rPr>
                <w:rFonts w:ascii="Arial" w:hAnsi="Arial" w:cs="Arial"/>
                <w:szCs w:val="20"/>
              </w:rPr>
            </w:pPr>
            <w:r w:rsidRPr="006C6FE6">
              <w:rPr>
                <w:rFonts w:ascii="Arial" w:hAnsi="Arial" w:cs="Arial"/>
                <w:szCs w:val="20"/>
              </w:rPr>
              <w:t>Remanente de Tesorería Total</w:t>
            </w:r>
          </w:p>
        </w:tc>
        <w:tc>
          <w:tcPr>
            <w:tcW w:w="992" w:type="dxa"/>
            <w:tcBorders>
              <w:top w:val="single" w:sz="4" w:space="0" w:color="auto"/>
              <w:left w:val="nil"/>
              <w:bottom w:val="single" w:sz="4" w:space="0" w:color="auto"/>
              <w:right w:val="nil"/>
            </w:tcBorders>
            <w:vAlign w:val="center"/>
          </w:tcPr>
          <w:p w14:paraId="231CD6E1" w14:textId="679F8290" w:rsidR="0084624E" w:rsidRPr="006C6FE6" w:rsidRDefault="0084624E" w:rsidP="001116A8">
            <w:pPr>
              <w:pStyle w:val="cuatexto"/>
              <w:jc w:val="right"/>
              <w:rPr>
                <w:rFonts w:ascii="Arial" w:hAnsi="Arial" w:cs="Arial"/>
                <w:szCs w:val="20"/>
              </w:rPr>
            </w:pPr>
            <w:r w:rsidRPr="006C6FE6">
              <w:rPr>
                <w:rFonts w:ascii="Arial" w:hAnsi="Arial" w:cs="Arial"/>
                <w:szCs w:val="20"/>
              </w:rPr>
              <w:t>65.557</w:t>
            </w:r>
          </w:p>
        </w:tc>
        <w:tc>
          <w:tcPr>
            <w:tcW w:w="1559" w:type="dxa"/>
            <w:tcBorders>
              <w:top w:val="single" w:sz="4" w:space="0" w:color="auto"/>
              <w:left w:val="nil"/>
              <w:bottom w:val="single" w:sz="4" w:space="0" w:color="auto"/>
              <w:right w:val="nil"/>
            </w:tcBorders>
            <w:shd w:val="clear" w:color="auto" w:fill="auto"/>
            <w:noWrap/>
            <w:vAlign w:val="center"/>
          </w:tcPr>
          <w:p w14:paraId="44BD6EDB" w14:textId="59DC00AA" w:rsidR="0084624E" w:rsidRPr="006C6FE6" w:rsidRDefault="0084624E" w:rsidP="001116A8">
            <w:pPr>
              <w:pStyle w:val="cuatexto"/>
              <w:jc w:val="right"/>
              <w:rPr>
                <w:rFonts w:ascii="Arial" w:hAnsi="Arial" w:cs="Arial"/>
                <w:szCs w:val="20"/>
              </w:rPr>
            </w:pPr>
          </w:p>
        </w:tc>
        <w:tc>
          <w:tcPr>
            <w:tcW w:w="1134" w:type="dxa"/>
            <w:tcBorders>
              <w:top w:val="single" w:sz="4" w:space="0" w:color="auto"/>
              <w:left w:val="nil"/>
              <w:bottom w:val="single" w:sz="4" w:space="0" w:color="auto"/>
              <w:right w:val="nil"/>
            </w:tcBorders>
            <w:shd w:val="clear" w:color="auto" w:fill="auto"/>
            <w:noWrap/>
            <w:vAlign w:val="center"/>
          </w:tcPr>
          <w:p w14:paraId="656CF6F0" w14:textId="3C1DE882" w:rsidR="0084624E" w:rsidRPr="006C6FE6" w:rsidRDefault="004E45EA" w:rsidP="001116A8">
            <w:pPr>
              <w:pStyle w:val="cuatexto"/>
              <w:jc w:val="right"/>
              <w:rPr>
                <w:rFonts w:ascii="Arial" w:hAnsi="Arial" w:cs="Arial"/>
                <w:szCs w:val="20"/>
              </w:rPr>
            </w:pPr>
            <w:r w:rsidRPr="006C6FE6">
              <w:rPr>
                <w:rFonts w:ascii="Arial" w:hAnsi="Arial" w:cs="Arial"/>
                <w:szCs w:val="20"/>
              </w:rPr>
              <w:t>-</w:t>
            </w:r>
            <w:r w:rsidR="00DA60E0" w:rsidRPr="006C6FE6">
              <w:rPr>
                <w:rFonts w:ascii="Arial" w:hAnsi="Arial" w:cs="Arial"/>
                <w:szCs w:val="20"/>
              </w:rPr>
              <w:t>279.225</w:t>
            </w:r>
          </w:p>
        </w:tc>
      </w:tr>
      <w:tr w:rsidR="0084624E" w:rsidRPr="001F1623" w14:paraId="465900BF" w14:textId="77777777" w:rsidTr="001F1623">
        <w:trPr>
          <w:trHeight w:val="198"/>
        </w:trPr>
        <w:tc>
          <w:tcPr>
            <w:tcW w:w="4962" w:type="dxa"/>
            <w:tcBorders>
              <w:top w:val="single" w:sz="4" w:space="0" w:color="auto"/>
              <w:left w:val="nil"/>
              <w:bottom w:val="single" w:sz="4" w:space="0" w:color="auto"/>
              <w:right w:val="nil"/>
            </w:tcBorders>
            <w:shd w:val="clear" w:color="auto" w:fill="auto"/>
            <w:vAlign w:val="center"/>
            <w:hideMark/>
          </w:tcPr>
          <w:p w14:paraId="54F6F639" w14:textId="77777777" w:rsidR="0084624E" w:rsidRPr="001F1623" w:rsidRDefault="0084624E" w:rsidP="001116A8">
            <w:pPr>
              <w:pStyle w:val="cuatexto"/>
              <w:rPr>
                <w:sz w:val="18"/>
                <w:szCs w:val="18"/>
              </w:rPr>
            </w:pPr>
            <w:r w:rsidRPr="001F1623">
              <w:rPr>
                <w:sz w:val="18"/>
                <w:szCs w:val="18"/>
              </w:rPr>
              <w:t>Remanente de tesorería por gastos con financiación afectada</w:t>
            </w:r>
          </w:p>
        </w:tc>
        <w:tc>
          <w:tcPr>
            <w:tcW w:w="992" w:type="dxa"/>
            <w:tcBorders>
              <w:top w:val="single" w:sz="4" w:space="0" w:color="auto"/>
              <w:left w:val="nil"/>
              <w:bottom w:val="single" w:sz="4" w:space="0" w:color="auto"/>
              <w:right w:val="nil"/>
            </w:tcBorders>
            <w:vAlign w:val="center"/>
          </w:tcPr>
          <w:p w14:paraId="6505AE2F" w14:textId="6D60CB97" w:rsidR="0084624E" w:rsidRPr="001F1623" w:rsidRDefault="0084624E" w:rsidP="001116A8">
            <w:pPr>
              <w:pStyle w:val="cuatexto"/>
              <w:jc w:val="right"/>
              <w:rPr>
                <w:sz w:val="18"/>
                <w:szCs w:val="18"/>
              </w:rPr>
            </w:pPr>
            <w:r w:rsidRPr="001F1623">
              <w:rPr>
                <w:sz w:val="18"/>
                <w:szCs w:val="18"/>
              </w:rPr>
              <w:t>0</w:t>
            </w:r>
          </w:p>
        </w:tc>
        <w:tc>
          <w:tcPr>
            <w:tcW w:w="1559" w:type="dxa"/>
            <w:tcBorders>
              <w:top w:val="single" w:sz="4" w:space="0" w:color="auto"/>
              <w:left w:val="nil"/>
              <w:bottom w:val="single" w:sz="4" w:space="0" w:color="auto"/>
              <w:right w:val="nil"/>
            </w:tcBorders>
            <w:shd w:val="clear" w:color="auto" w:fill="auto"/>
            <w:noWrap/>
            <w:vAlign w:val="center"/>
          </w:tcPr>
          <w:p w14:paraId="489FE101" w14:textId="68126B6C" w:rsidR="0084624E" w:rsidRPr="001F1623" w:rsidRDefault="0084624E" w:rsidP="001116A8">
            <w:pPr>
              <w:pStyle w:val="cuatexto"/>
              <w:jc w:val="right"/>
              <w:rPr>
                <w:sz w:val="18"/>
                <w:szCs w:val="18"/>
              </w:rPr>
            </w:pPr>
          </w:p>
        </w:tc>
        <w:tc>
          <w:tcPr>
            <w:tcW w:w="1134" w:type="dxa"/>
            <w:tcBorders>
              <w:top w:val="single" w:sz="4" w:space="0" w:color="auto"/>
              <w:left w:val="nil"/>
              <w:bottom w:val="single" w:sz="4" w:space="0" w:color="auto"/>
              <w:right w:val="nil"/>
            </w:tcBorders>
            <w:shd w:val="clear" w:color="auto" w:fill="auto"/>
            <w:noWrap/>
            <w:vAlign w:val="center"/>
          </w:tcPr>
          <w:p w14:paraId="63CED0E5" w14:textId="4418CF7A" w:rsidR="0084624E" w:rsidRPr="001F1623" w:rsidRDefault="004E45EA" w:rsidP="001116A8">
            <w:pPr>
              <w:pStyle w:val="cuatexto"/>
              <w:jc w:val="right"/>
              <w:rPr>
                <w:sz w:val="18"/>
                <w:szCs w:val="18"/>
              </w:rPr>
            </w:pPr>
            <w:r w:rsidRPr="001F1623">
              <w:rPr>
                <w:sz w:val="18"/>
                <w:szCs w:val="18"/>
              </w:rPr>
              <w:t>0</w:t>
            </w:r>
          </w:p>
        </w:tc>
      </w:tr>
      <w:tr w:rsidR="0084624E" w:rsidRPr="001F1623" w14:paraId="598DF986" w14:textId="77777777" w:rsidTr="001F1623">
        <w:trPr>
          <w:trHeight w:val="198"/>
        </w:trPr>
        <w:tc>
          <w:tcPr>
            <w:tcW w:w="4962" w:type="dxa"/>
            <w:tcBorders>
              <w:top w:val="single" w:sz="4" w:space="0" w:color="auto"/>
              <w:left w:val="nil"/>
              <w:bottom w:val="single" w:sz="4" w:space="0" w:color="auto"/>
              <w:right w:val="nil"/>
            </w:tcBorders>
            <w:shd w:val="clear" w:color="auto" w:fill="auto"/>
            <w:vAlign w:val="center"/>
            <w:hideMark/>
          </w:tcPr>
          <w:p w14:paraId="6215B857" w14:textId="77777777" w:rsidR="0084624E" w:rsidRPr="001F1623" w:rsidRDefault="0084624E" w:rsidP="001116A8">
            <w:pPr>
              <w:pStyle w:val="cuatexto"/>
              <w:rPr>
                <w:rFonts w:cs="Arial"/>
                <w:sz w:val="18"/>
                <w:szCs w:val="18"/>
              </w:rPr>
            </w:pPr>
            <w:r w:rsidRPr="001F1623">
              <w:rPr>
                <w:rFonts w:cs="Arial"/>
                <w:sz w:val="18"/>
                <w:szCs w:val="18"/>
              </w:rPr>
              <w:t>Remanente de tesorería por recursos afectos</w:t>
            </w:r>
          </w:p>
        </w:tc>
        <w:tc>
          <w:tcPr>
            <w:tcW w:w="992" w:type="dxa"/>
            <w:tcBorders>
              <w:top w:val="single" w:sz="4" w:space="0" w:color="auto"/>
              <w:left w:val="nil"/>
              <w:bottom w:val="single" w:sz="4" w:space="0" w:color="auto"/>
              <w:right w:val="nil"/>
            </w:tcBorders>
            <w:vAlign w:val="center"/>
          </w:tcPr>
          <w:p w14:paraId="3DB9ABD0" w14:textId="356F54AB" w:rsidR="0084624E" w:rsidRPr="001F1623" w:rsidRDefault="0084624E" w:rsidP="001116A8">
            <w:pPr>
              <w:pStyle w:val="cuatexto"/>
              <w:jc w:val="right"/>
              <w:rPr>
                <w:rFonts w:cs="Arial"/>
                <w:sz w:val="18"/>
                <w:szCs w:val="18"/>
              </w:rPr>
            </w:pPr>
            <w:r w:rsidRPr="001F1623">
              <w:rPr>
                <w:rFonts w:cs="Arial"/>
                <w:sz w:val="18"/>
                <w:szCs w:val="18"/>
              </w:rPr>
              <w:t>0</w:t>
            </w:r>
          </w:p>
        </w:tc>
        <w:tc>
          <w:tcPr>
            <w:tcW w:w="1559" w:type="dxa"/>
            <w:tcBorders>
              <w:top w:val="single" w:sz="4" w:space="0" w:color="auto"/>
              <w:left w:val="nil"/>
              <w:bottom w:val="single" w:sz="4" w:space="0" w:color="auto"/>
              <w:right w:val="nil"/>
            </w:tcBorders>
            <w:shd w:val="clear" w:color="auto" w:fill="auto"/>
            <w:noWrap/>
            <w:vAlign w:val="center"/>
          </w:tcPr>
          <w:p w14:paraId="3A82DA9F" w14:textId="25AFFD21" w:rsidR="0084624E" w:rsidRPr="001F1623" w:rsidRDefault="0084624E" w:rsidP="001116A8">
            <w:pPr>
              <w:pStyle w:val="cuatexto"/>
              <w:jc w:val="right"/>
              <w:rPr>
                <w:rFonts w:cs="Arial"/>
                <w:sz w:val="18"/>
                <w:szCs w:val="18"/>
              </w:rPr>
            </w:pPr>
          </w:p>
        </w:tc>
        <w:tc>
          <w:tcPr>
            <w:tcW w:w="1134" w:type="dxa"/>
            <w:tcBorders>
              <w:top w:val="single" w:sz="4" w:space="0" w:color="auto"/>
              <w:left w:val="nil"/>
              <w:bottom w:val="single" w:sz="4" w:space="0" w:color="auto"/>
              <w:right w:val="nil"/>
            </w:tcBorders>
            <w:shd w:val="clear" w:color="auto" w:fill="auto"/>
            <w:noWrap/>
            <w:vAlign w:val="center"/>
          </w:tcPr>
          <w:p w14:paraId="34867BA2" w14:textId="118F7922" w:rsidR="0084624E" w:rsidRPr="001F1623" w:rsidRDefault="004E45EA" w:rsidP="001116A8">
            <w:pPr>
              <w:pStyle w:val="cuatexto"/>
              <w:jc w:val="right"/>
              <w:rPr>
                <w:rFonts w:cs="Arial"/>
                <w:sz w:val="18"/>
                <w:szCs w:val="18"/>
              </w:rPr>
            </w:pPr>
            <w:r w:rsidRPr="001F1623">
              <w:rPr>
                <w:rFonts w:cs="Arial"/>
                <w:sz w:val="18"/>
                <w:szCs w:val="18"/>
              </w:rPr>
              <w:t>0</w:t>
            </w:r>
          </w:p>
        </w:tc>
      </w:tr>
      <w:tr w:rsidR="0084624E" w:rsidRPr="001F1623" w14:paraId="36C35991" w14:textId="77777777" w:rsidTr="001F1623">
        <w:trPr>
          <w:trHeight w:val="198"/>
        </w:trPr>
        <w:tc>
          <w:tcPr>
            <w:tcW w:w="4962" w:type="dxa"/>
            <w:tcBorders>
              <w:top w:val="single" w:sz="4" w:space="0" w:color="auto"/>
              <w:left w:val="nil"/>
              <w:bottom w:val="single" w:sz="4" w:space="0" w:color="auto"/>
              <w:right w:val="nil"/>
            </w:tcBorders>
            <w:shd w:val="clear" w:color="auto" w:fill="auto"/>
            <w:vAlign w:val="center"/>
            <w:hideMark/>
          </w:tcPr>
          <w:p w14:paraId="5007C2CB" w14:textId="77777777" w:rsidR="0084624E" w:rsidRPr="001F1623" w:rsidRDefault="0084624E" w:rsidP="001116A8">
            <w:pPr>
              <w:pStyle w:val="cuatexto"/>
              <w:rPr>
                <w:rFonts w:cs="Arial"/>
                <w:sz w:val="18"/>
                <w:szCs w:val="18"/>
              </w:rPr>
            </w:pPr>
            <w:r w:rsidRPr="001F1623">
              <w:rPr>
                <w:rFonts w:cs="Arial"/>
                <w:sz w:val="18"/>
                <w:szCs w:val="18"/>
              </w:rPr>
              <w:t>Remanente de tesorería para gastos generales</w:t>
            </w:r>
          </w:p>
        </w:tc>
        <w:tc>
          <w:tcPr>
            <w:tcW w:w="992" w:type="dxa"/>
            <w:tcBorders>
              <w:top w:val="single" w:sz="4" w:space="0" w:color="auto"/>
              <w:left w:val="nil"/>
              <w:bottom w:val="single" w:sz="4" w:space="0" w:color="auto"/>
              <w:right w:val="nil"/>
            </w:tcBorders>
            <w:vAlign w:val="center"/>
          </w:tcPr>
          <w:p w14:paraId="221D923F" w14:textId="0B1004DB" w:rsidR="0084624E" w:rsidRPr="001F1623" w:rsidRDefault="0084624E" w:rsidP="001116A8">
            <w:pPr>
              <w:pStyle w:val="cuatexto"/>
              <w:jc w:val="right"/>
              <w:rPr>
                <w:rFonts w:cs="Arial"/>
                <w:sz w:val="18"/>
                <w:szCs w:val="18"/>
              </w:rPr>
            </w:pPr>
            <w:r w:rsidRPr="001F1623">
              <w:rPr>
                <w:rFonts w:cs="Arial"/>
                <w:sz w:val="18"/>
                <w:szCs w:val="18"/>
              </w:rPr>
              <w:t>65.557</w:t>
            </w:r>
          </w:p>
        </w:tc>
        <w:tc>
          <w:tcPr>
            <w:tcW w:w="1559" w:type="dxa"/>
            <w:tcBorders>
              <w:top w:val="single" w:sz="4" w:space="0" w:color="auto"/>
              <w:left w:val="nil"/>
              <w:bottom w:val="single" w:sz="4" w:space="0" w:color="auto"/>
              <w:right w:val="nil"/>
            </w:tcBorders>
            <w:shd w:val="clear" w:color="auto" w:fill="auto"/>
            <w:noWrap/>
            <w:vAlign w:val="center"/>
          </w:tcPr>
          <w:p w14:paraId="276C7C54" w14:textId="3BF7EBDC" w:rsidR="0084624E" w:rsidRPr="001F1623" w:rsidRDefault="0084624E" w:rsidP="001116A8">
            <w:pPr>
              <w:pStyle w:val="cuatexto"/>
              <w:jc w:val="right"/>
              <w:rPr>
                <w:rFonts w:cs="Arial"/>
                <w:sz w:val="18"/>
                <w:szCs w:val="18"/>
              </w:rPr>
            </w:pPr>
          </w:p>
        </w:tc>
        <w:tc>
          <w:tcPr>
            <w:tcW w:w="1134" w:type="dxa"/>
            <w:tcBorders>
              <w:top w:val="single" w:sz="4" w:space="0" w:color="auto"/>
              <w:left w:val="nil"/>
              <w:bottom w:val="single" w:sz="4" w:space="0" w:color="auto"/>
              <w:right w:val="nil"/>
            </w:tcBorders>
            <w:shd w:val="clear" w:color="auto" w:fill="auto"/>
            <w:noWrap/>
            <w:vAlign w:val="center"/>
          </w:tcPr>
          <w:p w14:paraId="09887472" w14:textId="1E6F17A8" w:rsidR="0084624E" w:rsidRPr="001F1623" w:rsidRDefault="004E45EA" w:rsidP="001116A8">
            <w:pPr>
              <w:pStyle w:val="cuatexto"/>
              <w:jc w:val="right"/>
              <w:rPr>
                <w:rFonts w:cs="Arial"/>
                <w:sz w:val="18"/>
                <w:szCs w:val="18"/>
              </w:rPr>
            </w:pPr>
            <w:r w:rsidRPr="001F1623">
              <w:rPr>
                <w:rFonts w:cs="Arial"/>
                <w:sz w:val="18"/>
                <w:szCs w:val="18"/>
              </w:rPr>
              <w:t>-</w:t>
            </w:r>
            <w:r w:rsidR="00FE3DD9" w:rsidRPr="001F1623">
              <w:rPr>
                <w:rFonts w:cs="Arial"/>
                <w:sz w:val="18"/>
                <w:szCs w:val="18"/>
              </w:rPr>
              <w:t>279.</w:t>
            </w:r>
            <w:r w:rsidR="00DA60E0" w:rsidRPr="001F1623">
              <w:rPr>
                <w:rFonts w:cs="Arial"/>
                <w:sz w:val="18"/>
                <w:szCs w:val="18"/>
              </w:rPr>
              <w:t>225</w:t>
            </w:r>
          </w:p>
        </w:tc>
      </w:tr>
    </w:tbl>
    <w:p w14:paraId="17AD93B2" w14:textId="77777777" w:rsidR="002B7E8E" w:rsidRDefault="002B7E8E" w:rsidP="002B7E8E">
      <w:pPr>
        <w:tabs>
          <w:tab w:val="center" w:pos="2835"/>
          <w:tab w:val="center" w:pos="3969"/>
          <w:tab w:val="center" w:pos="5103"/>
          <w:tab w:val="center" w:pos="6237"/>
          <w:tab w:val="center" w:pos="7371"/>
        </w:tabs>
        <w:spacing w:after="100"/>
        <w:ind w:firstLine="284"/>
        <w:rPr>
          <w:rFonts w:ascii="Arial" w:hAnsi="Arial" w:cs="Arial"/>
          <w:spacing w:val="6"/>
        </w:rPr>
      </w:pPr>
      <w:bookmarkStart w:id="90" w:name="_Toc22495439"/>
      <w:bookmarkStart w:id="91" w:name="_Toc55460324"/>
    </w:p>
    <w:p w14:paraId="0DE4B5B7" w14:textId="77777777" w:rsidR="002B7E8E" w:rsidRDefault="002B7E8E" w:rsidP="002B7E8E">
      <w:pPr>
        <w:rPr>
          <w:rFonts w:ascii="Arial" w:hAnsi="Arial" w:cs="Arial"/>
          <w:spacing w:val="6"/>
        </w:rPr>
      </w:pPr>
      <w:r>
        <w:rPr>
          <w:rFonts w:ascii="Arial" w:hAnsi="Arial" w:cs="Arial"/>
          <w:spacing w:val="6"/>
        </w:rPr>
        <w:br w:type="page"/>
      </w:r>
    </w:p>
    <w:p w14:paraId="38CC8F30" w14:textId="3CF737C2" w:rsidR="002B7E8E" w:rsidRPr="00CA5DFB" w:rsidRDefault="235FD0DA" w:rsidP="00E41B53">
      <w:pPr>
        <w:tabs>
          <w:tab w:val="center" w:pos="2835"/>
          <w:tab w:val="center" w:pos="3969"/>
          <w:tab w:val="left" w:pos="4536"/>
          <w:tab w:val="center" w:pos="5103"/>
          <w:tab w:val="center" w:pos="6237"/>
          <w:tab w:val="center" w:pos="7371"/>
        </w:tabs>
        <w:spacing w:after="240"/>
        <w:ind w:firstLine="284"/>
        <w:jc w:val="center"/>
        <w:rPr>
          <w:rFonts w:ascii="Arial" w:hAnsi="Arial" w:cs="Arial"/>
          <w:spacing w:val="6"/>
        </w:rPr>
      </w:pPr>
      <w:r w:rsidRPr="00CA5DFB">
        <w:rPr>
          <w:rFonts w:ascii="Arial" w:hAnsi="Arial" w:cs="Arial"/>
          <w:spacing w:val="6"/>
        </w:rPr>
        <w:lastRenderedPageBreak/>
        <w:t>Balance</w:t>
      </w:r>
      <w:bookmarkEnd w:id="90"/>
      <w:r w:rsidRPr="00CA5DFB">
        <w:rPr>
          <w:rFonts w:ascii="Arial" w:hAnsi="Arial" w:cs="Arial"/>
          <w:spacing w:val="6"/>
        </w:rPr>
        <w:t xml:space="preserve"> de situación a 31 de diciembre de 20</w:t>
      </w:r>
      <w:bookmarkEnd w:id="91"/>
      <w:r w:rsidRPr="00CA5DFB">
        <w:rPr>
          <w:rFonts w:ascii="Arial" w:hAnsi="Arial" w:cs="Arial"/>
          <w:spacing w:val="6"/>
        </w:rPr>
        <w:t>2</w:t>
      </w:r>
      <w:r w:rsidR="00AF775E">
        <w:rPr>
          <w:rFonts w:ascii="Arial" w:hAnsi="Arial" w:cs="Arial"/>
          <w:spacing w:val="6"/>
        </w:rPr>
        <w:t>3</w:t>
      </w:r>
    </w:p>
    <w:tbl>
      <w:tblPr>
        <w:tblW w:w="8789" w:type="dxa"/>
        <w:jc w:val="center"/>
        <w:tblLayout w:type="fixed"/>
        <w:tblCellMar>
          <w:left w:w="70" w:type="dxa"/>
          <w:right w:w="70" w:type="dxa"/>
        </w:tblCellMar>
        <w:tblLook w:val="04A0" w:firstRow="1" w:lastRow="0" w:firstColumn="1" w:lastColumn="0" w:noHBand="0" w:noVBand="1"/>
      </w:tblPr>
      <w:tblGrid>
        <w:gridCol w:w="311"/>
        <w:gridCol w:w="1779"/>
        <w:gridCol w:w="317"/>
        <w:gridCol w:w="928"/>
        <w:gridCol w:w="68"/>
        <w:gridCol w:w="1178"/>
        <w:gridCol w:w="252"/>
        <w:gridCol w:w="1303"/>
        <w:gridCol w:w="524"/>
        <w:gridCol w:w="731"/>
        <w:gridCol w:w="261"/>
        <w:gridCol w:w="1137"/>
      </w:tblGrid>
      <w:tr w:rsidR="002B7E8E" w:rsidRPr="003F56D1" w14:paraId="517726FB" w14:textId="77777777" w:rsidTr="00AA2EFA">
        <w:trPr>
          <w:trHeight w:val="255"/>
          <w:jc w:val="center"/>
        </w:trPr>
        <w:tc>
          <w:tcPr>
            <w:tcW w:w="311" w:type="dxa"/>
            <w:tcBorders>
              <w:top w:val="single" w:sz="4" w:space="0" w:color="auto"/>
              <w:left w:val="nil"/>
              <w:bottom w:val="single" w:sz="4" w:space="0" w:color="auto"/>
              <w:right w:val="nil"/>
            </w:tcBorders>
            <w:shd w:val="clear" w:color="auto" w:fill="FABF8F"/>
            <w:vAlign w:val="center"/>
            <w:hideMark/>
          </w:tcPr>
          <w:p w14:paraId="7BFC34AB" w14:textId="77777777" w:rsidR="002B7E8E" w:rsidRPr="003F56D1" w:rsidRDefault="002B7E8E" w:rsidP="003F56D1">
            <w:pPr>
              <w:pStyle w:val="cuadroCabe"/>
            </w:pPr>
            <w:r w:rsidRPr="003F56D1">
              <w:t> </w:t>
            </w:r>
          </w:p>
        </w:tc>
        <w:tc>
          <w:tcPr>
            <w:tcW w:w="2096" w:type="dxa"/>
            <w:gridSpan w:val="2"/>
            <w:tcBorders>
              <w:top w:val="single" w:sz="4" w:space="0" w:color="auto"/>
              <w:left w:val="nil"/>
              <w:bottom w:val="single" w:sz="4" w:space="0" w:color="auto"/>
              <w:right w:val="nil"/>
            </w:tcBorders>
            <w:shd w:val="clear" w:color="auto" w:fill="FABF8F"/>
            <w:vAlign w:val="center"/>
            <w:hideMark/>
          </w:tcPr>
          <w:p w14:paraId="7CF7CAE3" w14:textId="77777777" w:rsidR="002B7E8E" w:rsidRPr="003F56D1" w:rsidRDefault="002B7E8E" w:rsidP="003F56D1">
            <w:pPr>
              <w:pStyle w:val="cuadroCabe"/>
            </w:pPr>
            <w:r w:rsidRPr="003F56D1">
              <w:t>Descripción</w:t>
            </w:r>
          </w:p>
        </w:tc>
        <w:tc>
          <w:tcPr>
            <w:tcW w:w="996" w:type="dxa"/>
            <w:gridSpan w:val="2"/>
            <w:tcBorders>
              <w:top w:val="single" w:sz="4" w:space="0" w:color="auto"/>
              <w:left w:val="nil"/>
              <w:bottom w:val="single" w:sz="4" w:space="0" w:color="auto"/>
              <w:right w:val="nil"/>
            </w:tcBorders>
            <w:shd w:val="clear" w:color="auto" w:fill="FABF8F"/>
            <w:vAlign w:val="center"/>
            <w:hideMark/>
          </w:tcPr>
          <w:p w14:paraId="755068F0" w14:textId="77777777" w:rsidR="00824FB1" w:rsidRPr="003F56D1" w:rsidRDefault="002B7E8E" w:rsidP="003F56D1">
            <w:pPr>
              <w:pStyle w:val="cuadroCabe"/>
              <w:jc w:val="right"/>
            </w:pPr>
            <w:r w:rsidRPr="003F56D1">
              <w:t xml:space="preserve">ejercicio </w:t>
            </w:r>
          </w:p>
          <w:p w14:paraId="55BFB259" w14:textId="32BABDCD" w:rsidR="002B7E8E" w:rsidRPr="003F56D1" w:rsidRDefault="002B7E8E" w:rsidP="003F56D1">
            <w:pPr>
              <w:pStyle w:val="cuadroCabe"/>
              <w:jc w:val="right"/>
            </w:pPr>
            <w:r w:rsidRPr="003F56D1">
              <w:t>202</w:t>
            </w:r>
            <w:r w:rsidR="00AF775E" w:rsidRPr="003F56D1">
              <w:t>2</w:t>
            </w:r>
          </w:p>
        </w:tc>
        <w:tc>
          <w:tcPr>
            <w:tcW w:w="1178" w:type="dxa"/>
            <w:tcBorders>
              <w:top w:val="single" w:sz="4" w:space="0" w:color="auto"/>
              <w:left w:val="nil"/>
              <w:bottom w:val="single" w:sz="4" w:space="0" w:color="auto"/>
              <w:right w:val="single" w:sz="2" w:space="0" w:color="auto"/>
            </w:tcBorders>
            <w:shd w:val="clear" w:color="auto" w:fill="FABF8F"/>
            <w:vAlign w:val="center"/>
            <w:hideMark/>
          </w:tcPr>
          <w:p w14:paraId="550780F2" w14:textId="77777777" w:rsidR="00824FB1" w:rsidRPr="003F56D1" w:rsidRDefault="002B7E8E" w:rsidP="003F56D1">
            <w:pPr>
              <w:pStyle w:val="cuadroCabe"/>
              <w:jc w:val="right"/>
            </w:pPr>
            <w:r w:rsidRPr="003F56D1">
              <w:t xml:space="preserve">ejercicio </w:t>
            </w:r>
          </w:p>
          <w:p w14:paraId="0FF5363C" w14:textId="6979D536" w:rsidR="002B7E8E" w:rsidRPr="003F56D1" w:rsidRDefault="002B7E8E" w:rsidP="003F56D1">
            <w:pPr>
              <w:pStyle w:val="cuadroCabe"/>
              <w:jc w:val="right"/>
            </w:pPr>
            <w:r w:rsidRPr="003F56D1">
              <w:t>202</w:t>
            </w:r>
            <w:r w:rsidR="00AF775E" w:rsidRPr="003F56D1">
              <w:t>3</w:t>
            </w:r>
          </w:p>
        </w:tc>
        <w:tc>
          <w:tcPr>
            <w:tcW w:w="252" w:type="dxa"/>
            <w:tcBorders>
              <w:top w:val="single" w:sz="4" w:space="0" w:color="auto"/>
              <w:left w:val="single" w:sz="2" w:space="0" w:color="auto"/>
              <w:bottom w:val="single" w:sz="4" w:space="0" w:color="auto"/>
            </w:tcBorders>
            <w:shd w:val="clear" w:color="auto" w:fill="FABF8F"/>
            <w:vAlign w:val="center"/>
            <w:hideMark/>
          </w:tcPr>
          <w:p w14:paraId="2CA4ECA7" w14:textId="77777777" w:rsidR="002B7E8E" w:rsidRPr="003F56D1" w:rsidRDefault="002B7E8E" w:rsidP="003F56D1">
            <w:pPr>
              <w:pStyle w:val="cuadroCabe"/>
              <w:jc w:val="right"/>
            </w:pPr>
            <w:r w:rsidRPr="003F56D1">
              <w:t> </w:t>
            </w:r>
          </w:p>
        </w:tc>
        <w:tc>
          <w:tcPr>
            <w:tcW w:w="1827" w:type="dxa"/>
            <w:gridSpan w:val="2"/>
            <w:tcBorders>
              <w:top w:val="single" w:sz="4" w:space="0" w:color="auto"/>
              <w:bottom w:val="single" w:sz="4" w:space="0" w:color="auto"/>
              <w:right w:val="nil"/>
            </w:tcBorders>
            <w:shd w:val="clear" w:color="auto" w:fill="FABF8F"/>
            <w:vAlign w:val="center"/>
            <w:hideMark/>
          </w:tcPr>
          <w:p w14:paraId="6BBD90DA" w14:textId="77777777" w:rsidR="002B7E8E" w:rsidRPr="003F56D1" w:rsidRDefault="002B7E8E" w:rsidP="00C845DD">
            <w:pPr>
              <w:pStyle w:val="cuadroCabe"/>
              <w:jc w:val="left"/>
            </w:pPr>
            <w:r w:rsidRPr="003F56D1">
              <w:t>Descripción</w:t>
            </w:r>
          </w:p>
        </w:tc>
        <w:tc>
          <w:tcPr>
            <w:tcW w:w="992" w:type="dxa"/>
            <w:gridSpan w:val="2"/>
            <w:tcBorders>
              <w:top w:val="single" w:sz="4" w:space="0" w:color="auto"/>
              <w:left w:val="nil"/>
              <w:bottom w:val="single" w:sz="4" w:space="0" w:color="auto"/>
              <w:right w:val="nil"/>
            </w:tcBorders>
            <w:shd w:val="clear" w:color="auto" w:fill="FABF8F"/>
            <w:vAlign w:val="center"/>
            <w:hideMark/>
          </w:tcPr>
          <w:p w14:paraId="7DA7B13B" w14:textId="77777777" w:rsidR="00824FB1" w:rsidRPr="003F56D1" w:rsidRDefault="002B7E8E" w:rsidP="00C845DD">
            <w:pPr>
              <w:pStyle w:val="cuadroCabe"/>
              <w:jc w:val="right"/>
            </w:pPr>
            <w:r w:rsidRPr="003F56D1">
              <w:t xml:space="preserve">ejercicio </w:t>
            </w:r>
          </w:p>
          <w:p w14:paraId="62DDAFF6" w14:textId="18CD44BB" w:rsidR="002B7E8E" w:rsidRPr="003F56D1" w:rsidRDefault="002B7E8E" w:rsidP="00C845DD">
            <w:pPr>
              <w:pStyle w:val="cuadroCabe"/>
              <w:jc w:val="right"/>
            </w:pPr>
            <w:r w:rsidRPr="003F56D1">
              <w:t>202</w:t>
            </w:r>
            <w:r w:rsidR="00AF775E" w:rsidRPr="003F56D1">
              <w:t>2</w:t>
            </w:r>
          </w:p>
        </w:tc>
        <w:tc>
          <w:tcPr>
            <w:tcW w:w="1137" w:type="dxa"/>
            <w:tcBorders>
              <w:top w:val="single" w:sz="4" w:space="0" w:color="auto"/>
              <w:left w:val="nil"/>
              <w:bottom w:val="single" w:sz="4" w:space="0" w:color="auto"/>
              <w:right w:val="nil"/>
            </w:tcBorders>
            <w:shd w:val="clear" w:color="auto" w:fill="FABF8F"/>
            <w:vAlign w:val="center"/>
            <w:hideMark/>
          </w:tcPr>
          <w:p w14:paraId="385CDB93" w14:textId="77777777" w:rsidR="00824FB1" w:rsidRPr="003F56D1" w:rsidRDefault="002B7E8E" w:rsidP="00C845DD">
            <w:pPr>
              <w:pStyle w:val="cuadroCabe"/>
              <w:jc w:val="right"/>
            </w:pPr>
            <w:r w:rsidRPr="003F56D1">
              <w:t xml:space="preserve">ejercicio </w:t>
            </w:r>
          </w:p>
          <w:p w14:paraId="5B19E796" w14:textId="3CD0A078" w:rsidR="002B7E8E" w:rsidRPr="003F56D1" w:rsidRDefault="002B7E8E" w:rsidP="00C845DD">
            <w:pPr>
              <w:pStyle w:val="cuadroCabe"/>
              <w:jc w:val="right"/>
            </w:pPr>
            <w:r w:rsidRPr="003F56D1">
              <w:t>202</w:t>
            </w:r>
            <w:r w:rsidR="00AF775E" w:rsidRPr="003F56D1">
              <w:t>3</w:t>
            </w:r>
          </w:p>
        </w:tc>
      </w:tr>
      <w:tr w:rsidR="002B7E8E" w:rsidRPr="001F1623" w14:paraId="3FCAF88D" w14:textId="77777777" w:rsidTr="00AA2EFA">
        <w:trPr>
          <w:trHeight w:val="315"/>
          <w:jc w:val="center"/>
        </w:trPr>
        <w:tc>
          <w:tcPr>
            <w:tcW w:w="311" w:type="dxa"/>
            <w:tcBorders>
              <w:top w:val="single" w:sz="4" w:space="0" w:color="auto"/>
              <w:left w:val="nil"/>
              <w:bottom w:val="single" w:sz="4" w:space="0" w:color="auto"/>
              <w:right w:val="nil"/>
            </w:tcBorders>
            <w:shd w:val="clear" w:color="auto" w:fill="auto"/>
            <w:vAlign w:val="center"/>
            <w:hideMark/>
          </w:tcPr>
          <w:p w14:paraId="6890AF15" w14:textId="28A35026" w:rsidR="002B7E8E" w:rsidRPr="001F1623" w:rsidRDefault="002B7E8E" w:rsidP="00EF4A6F">
            <w:pPr>
              <w:pStyle w:val="cuatexto"/>
              <w:jc w:val="center"/>
              <w:rPr>
                <w:rFonts w:ascii="Arial" w:hAnsi="Arial" w:cs="Arial"/>
                <w:szCs w:val="20"/>
              </w:rPr>
            </w:pPr>
            <w:r w:rsidRPr="001F1623">
              <w:rPr>
                <w:rFonts w:ascii="Arial" w:hAnsi="Arial" w:cs="Arial"/>
                <w:szCs w:val="20"/>
              </w:rPr>
              <w:t>A</w:t>
            </w:r>
          </w:p>
        </w:tc>
        <w:tc>
          <w:tcPr>
            <w:tcW w:w="2096" w:type="dxa"/>
            <w:gridSpan w:val="2"/>
            <w:tcBorders>
              <w:top w:val="single" w:sz="4" w:space="0" w:color="auto"/>
              <w:left w:val="nil"/>
              <w:bottom w:val="single" w:sz="4" w:space="0" w:color="auto"/>
              <w:right w:val="nil"/>
            </w:tcBorders>
            <w:shd w:val="clear" w:color="auto" w:fill="auto"/>
            <w:vAlign w:val="center"/>
            <w:hideMark/>
          </w:tcPr>
          <w:p w14:paraId="6D153412" w14:textId="77777777" w:rsidR="002B7E8E" w:rsidRPr="001F1623" w:rsidRDefault="002B7E8E" w:rsidP="001916CC">
            <w:pPr>
              <w:pStyle w:val="cuatexto"/>
              <w:jc w:val="left"/>
              <w:rPr>
                <w:rFonts w:ascii="Arial" w:hAnsi="Arial" w:cs="Arial"/>
                <w:szCs w:val="20"/>
              </w:rPr>
            </w:pPr>
            <w:r w:rsidRPr="001F1623">
              <w:rPr>
                <w:rFonts w:ascii="Arial" w:hAnsi="Arial" w:cs="Arial"/>
                <w:szCs w:val="20"/>
              </w:rPr>
              <w:t>Inmovilizado</w:t>
            </w:r>
          </w:p>
        </w:tc>
        <w:tc>
          <w:tcPr>
            <w:tcW w:w="996" w:type="dxa"/>
            <w:gridSpan w:val="2"/>
            <w:tcBorders>
              <w:top w:val="single" w:sz="4" w:space="0" w:color="auto"/>
              <w:left w:val="nil"/>
              <w:bottom w:val="single" w:sz="4" w:space="0" w:color="auto"/>
              <w:right w:val="nil"/>
            </w:tcBorders>
            <w:shd w:val="clear" w:color="auto" w:fill="auto"/>
            <w:noWrap/>
            <w:tcMar>
              <w:left w:w="0" w:type="dxa"/>
              <w:right w:w="0" w:type="dxa"/>
            </w:tcMar>
            <w:vAlign w:val="center"/>
          </w:tcPr>
          <w:p w14:paraId="6E964E03" w14:textId="09A9A2FC" w:rsidR="002B7E8E" w:rsidRPr="001F1623" w:rsidRDefault="00974F6C" w:rsidP="00EF4A6F">
            <w:pPr>
              <w:pStyle w:val="cuatexto"/>
              <w:jc w:val="center"/>
              <w:rPr>
                <w:rFonts w:ascii="Arial" w:hAnsi="Arial" w:cs="Arial"/>
                <w:szCs w:val="20"/>
              </w:rPr>
            </w:pPr>
            <w:r w:rsidRPr="001F1623">
              <w:rPr>
                <w:rFonts w:ascii="Arial" w:hAnsi="Arial" w:cs="Arial"/>
                <w:szCs w:val="20"/>
              </w:rPr>
              <w:t>3.014.824</w:t>
            </w:r>
          </w:p>
        </w:tc>
        <w:tc>
          <w:tcPr>
            <w:tcW w:w="1178" w:type="dxa"/>
            <w:tcBorders>
              <w:top w:val="single" w:sz="4" w:space="0" w:color="auto"/>
              <w:left w:val="nil"/>
              <w:bottom w:val="single" w:sz="4" w:space="0" w:color="auto"/>
              <w:right w:val="single" w:sz="2" w:space="0" w:color="auto"/>
            </w:tcBorders>
            <w:shd w:val="clear" w:color="auto" w:fill="auto"/>
            <w:noWrap/>
            <w:vAlign w:val="center"/>
          </w:tcPr>
          <w:p w14:paraId="119E30F3" w14:textId="050702D6" w:rsidR="002B7E8E" w:rsidRPr="001F1623" w:rsidRDefault="00974F6C" w:rsidP="00EF4A6F">
            <w:pPr>
              <w:pStyle w:val="cuatexto"/>
              <w:jc w:val="center"/>
              <w:rPr>
                <w:rFonts w:ascii="Arial" w:hAnsi="Arial" w:cs="Arial"/>
                <w:szCs w:val="20"/>
              </w:rPr>
            </w:pPr>
            <w:r w:rsidRPr="001F1623">
              <w:rPr>
                <w:rFonts w:ascii="Arial" w:hAnsi="Arial" w:cs="Arial"/>
                <w:szCs w:val="20"/>
              </w:rPr>
              <w:t>3.031.549</w:t>
            </w:r>
          </w:p>
        </w:tc>
        <w:tc>
          <w:tcPr>
            <w:tcW w:w="252" w:type="dxa"/>
            <w:tcBorders>
              <w:top w:val="single" w:sz="4" w:space="0" w:color="auto"/>
              <w:left w:val="single" w:sz="2" w:space="0" w:color="auto"/>
              <w:bottom w:val="single" w:sz="4" w:space="0" w:color="auto"/>
            </w:tcBorders>
            <w:shd w:val="clear" w:color="auto" w:fill="auto"/>
            <w:vAlign w:val="center"/>
            <w:hideMark/>
          </w:tcPr>
          <w:p w14:paraId="5316D17B" w14:textId="77777777" w:rsidR="002B7E8E" w:rsidRPr="001F1623" w:rsidRDefault="002B7E8E" w:rsidP="00EF4A6F">
            <w:pPr>
              <w:pStyle w:val="cuatexto"/>
              <w:jc w:val="center"/>
              <w:rPr>
                <w:rFonts w:ascii="Arial" w:hAnsi="Arial" w:cs="Arial"/>
                <w:szCs w:val="20"/>
              </w:rPr>
            </w:pPr>
            <w:r w:rsidRPr="001F1623">
              <w:rPr>
                <w:rFonts w:ascii="Arial" w:hAnsi="Arial" w:cs="Arial"/>
                <w:szCs w:val="20"/>
              </w:rPr>
              <w:t>A</w:t>
            </w:r>
          </w:p>
        </w:tc>
        <w:tc>
          <w:tcPr>
            <w:tcW w:w="1827" w:type="dxa"/>
            <w:gridSpan w:val="2"/>
            <w:tcBorders>
              <w:top w:val="single" w:sz="4" w:space="0" w:color="auto"/>
              <w:bottom w:val="single" w:sz="4" w:space="0" w:color="auto"/>
              <w:right w:val="nil"/>
            </w:tcBorders>
            <w:shd w:val="clear" w:color="auto" w:fill="auto"/>
            <w:vAlign w:val="center"/>
            <w:hideMark/>
          </w:tcPr>
          <w:p w14:paraId="63792D89" w14:textId="77777777" w:rsidR="002B7E8E" w:rsidRPr="001F1623" w:rsidRDefault="002B7E8E" w:rsidP="001916CC">
            <w:pPr>
              <w:pStyle w:val="cuatexto"/>
              <w:jc w:val="left"/>
              <w:rPr>
                <w:rFonts w:ascii="Arial" w:hAnsi="Arial" w:cs="Arial"/>
                <w:szCs w:val="20"/>
              </w:rPr>
            </w:pPr>
            <w:r w:rsidRPr="001F1623">
              <w:rPr>
                <w:rFonts w:ascii="Arial" w:hAnsi="Arial" w:cs="Arial"/>
                <w:szCs w:val="20"/>
              </w:rPr>
              <w:t>Fondos propios</w:t>
            </w:r>
          </w:p>
        </w:tc>
        <w:tc>
          <w:tcPr>
            <w:tcW w:w="992" w:type="dxa"/>
            <w:gridSpan w:val="2"/>
            <w:tcBorders>
              <w:top w:val="single" w:sz="4" w:space="0" w:color="auto"/>
              <w:left w:val="nil"/>
              <w:bottom w:val="single" w:sz="4" w:space="0" w:color="auto"/>
              <w:right w:val="nil"/>
            </w:tcBorders>
            <w:shd w:val="clear" w:color="auto" w:fill="auto"/>
            <w:noWrap/>
            <w:tcMar>
              <w:left w:w="0" w:type="dxa"/>
              <w:right w:w="0" w:type="dxa"/>
            </w:tcMar>
            <w:vAlign w:val="center"/>
          </w:tcPr>
          <w:p w14:paraId="31340509" w14:textId="0046E792" w:rsidR="002B7E8E" w:rsidRPr="001F1623" w:rsidRDefault="008C7494" w:rsidP="00EF4A6F">
            <w:pPr>
              <w:pStyle w:val="cuatexto"/>
              <w:jc w:val="center"/>
              <w:rPr>
                <w:rFonts w:ascii="Arial" w:hAnsi="Arial" w:cs="Arial"/>
                <w:szCs w:val="20"/>
              </w:rPr>
            </w:pPr>
            <w:r w:rsidRPr="001F1623">
              <w:rPr>
                <w:rFonts w:ascii="Arial" w:hAnsi="Arial" w:cs="Arial"/>
                <w:szCs w:val="20"/>
              </w:rPr>
              <w:t>2.981.970</w:t>
            </w:r>
          </w:p>
        </w:tc>
        <w:tc>
          <w:tcPr>
            <w:tcW w:w="1137" w:type="dxa"/>
            <w:tcBorders>
              <w:top w:val="single" w:sz="4" w:space="0" w:color="auto"/>
              <w:left w:val="nil"/>
              <w:bottom w:val="single" w:sz="4" w:space="0" w:color="auto"/>
              <w:right w:val="nil"/>
            </w:tcBorders>
            <w:shd w:val="clear" w:color="auto" w:fill="auto"/>
            <w:noWrap/>
            <w:vAlign w:val="center"/>
          </w:tcPr>
          <w:p w14:paraId="509C2ACB" w14:textId="49426948" w:rsidR="002B7E8E" w:rsidRPr="001F1623" w:rsidRDefault="008C7494" w:rsidP="00EF4A6F">
            <w:pPr>
              <w:pStyle w:val="cuatexto"/>
              <w:jc w:val="center"/>
              <w:rPr>
                <w:rFonts w:ascii="Arial" w:hAnsi="Arial" w:cs="Arial"/>
                <w:szCs w:val="20"/>
              </w:rPr>
            </w:pPr>
            <w:r w:rsidRPr="001F1623">
              <w:rPr>
                <w:rFonts w:ascii="Arial" w:hAnsi="Arial" w:cs="Arial"/>
                <w:szCs w:val="20"/>
              </w:rPr>
              <w:t>2.977.707</w:t>
            </w:r>
          </w:p>
        </w:tc>
      </w:tr>
      <w:tr w:rsidR="002B7E8E" w:rsidRPr="001F1623" w14:paraId="0421F60A" w14:textId="77777777" w:rsidTr="00AA2EFA">
        <w:trPr>
          <w:trHeight w:val="198"/>
          <w:jc w:val="center"/>
        </w:trPr>
        <w:tc>
          <w:tcPr>
            <w:tcW w:w="311" w:type="dxa"/>
            <w:tcBorders>
              <w:top w:val="single" w:sz="4" w:space="0" w:color="auto"/>
              <w:left w:val="nil"/>
              <w:bottom w:val="single" w:sz="2" w:space="0" w:color="auto"/>
              <w:right w:val="nil"/>
            </w:tcBorders>
            <w:shd w:val="clear" w:color="auto" w:fill="auto"/>
            <w:vAlign w:val="center"/>
            <w:hideMark/>
          </w:tcPr>
          <w:p w14:paraId="56B20A0C" w14:textId="77777777" w:rsidR="002B7E8E" w:rsidRPr="001F1623" w:rsidRDefault="002B7E8E" w:rsidP="003D52CB">
            <w:pPr>
              <w:pStyle w:val="cuatexto"/>
              <w:jc w:val="left"/>
              <w:rPr>
                <w:sz w:val="18"/>
                <w:szCs w:val="18"/>
              </w:rPr>
            </w:pPr>
            <w:r w:rsidRPr="001F1623">
              <w:rPr>
                <w:sz w:val="18"/>
                <w:szCs w:val="18"/>
              </w:rPr>
              <w:t>1</w:t>
            </w:r>
          </w:p>
        </w:tc>
        <w:tc>
          <w:tcPr>
            <w:tcW w:w="2096" w:type="dxa"/>
            <w:gridSpan w:val="2"/>
            <w:tcBorders>
              <w:top w:val="single" w:sz="4" w:space="0" w:color="auto"/>
              <w:left w:val="nil"/>
              <w:bottom w:val="single" w:sz="2" w:space="0" w:color="auto"/>
              <w:right w:val="nil"/>
            </w:tcBorders>
            <w:shd w:val="clear" w:color="auto" w:fill="auto"/>
            <w:vAlign w:val="center"/>
            <w:hideMark/>
          </w:tcPr>
          <w:p w14:paraId="7FD973DB" w14:textId="77777777" w:rsidR="002B7E8E" w:rsidRPr="001F1623" w:rsidRDefault="002B7E8E" w:rsidP="001916CC">
            <w:pPr>
              <w:pStyle w:val="cuatexto"/>
              <w:jc w:val="left"/>
              <w:rPr>
                <w:sz w:val="18"/>
                <w:szCs w:val="18"/>
              </w:rPr>
            </w:pPr>
            <w:r w:rsidRPr="001F1623">
              <w:rPr>
                <w:sz w:val="18"/>
                <w:szCs w:val="18"/>
              </w:rPr>
              <w:t>Inmovilizado material</w:t>
            </w:r>
          </w:p>
        </w:tc>
        <w:tc>
          <w:tcPr>
            <w:tcW w:w="996" w:type="dxa"/>
            <w:gridSpan w:val="2"/>
            <w:tcBorders>
              <w:top w:val="single" w:sz="4" w:space="0" w:color="auto"/>
              <w:left w:val="nil"/>
              <w:bottom w:val="single" w:sz="2" w:space="0" w:color="auto"/>
              <w:right w:val="nil"/>
            </w:tcBorders>
            <w:shd w:val="clear" w:color="auto" w:fill="auto"/>
            <w:noWrap/>
            <w:vAlign w:val="center"/>
          </w:tcPr>
          <w:p w14:paraId="7E728963" w14:textId="42CAE67B" w:rsidR="002B7E8E" w:rsidRPr="001F1623" w:rsidRDefault="00974F6C" w:rsidP="003F56D1">
            <w:pPr>
              <w:pStyle w:val="cuatexto"/>
              <w:jc w:val="right"/>
              <w:rPr>
                <w:sz w:val="18"/>
                <w:szCs w:val="18"/>
              </w:rPr>
            </w:pPr>
            <w:r w:rsidRPr="001F1623">
              <w:rPr>
                <w:sz w:val="18"/>
                <w:szCs w:val="18"/>
              </w:rPr>
              <w:t>0</w:t>
            </w:r>
          </w:p>
        </w:tc>
        <w:tc>
          <w:tcPr>
            <w:tcW w:w="1178" w:type="dxa"/>
            <w:tcBorders>
              <w:top w:val="single" w:sz="4" w:space="0" w:color="auto"/>
              <w:left w:val="nil"/>
              <w:bottom w:val="single" w:sz="2" w:space="0" w:color="auto"/>
              <w:right w:val="single" w:sz="2" w:space="0" w:color="auto"/>
            </w:tcBorders>
            <w:shd w:val="clear" w:color="auto" w:fill="auto"/>
            <w:noWrap/>
            <w:vAlign w:val="center"/>
          </w:tcPr>
          <w:p w14:paraId="0FB92F2C" w14:textId="180C81C4" w:rsidR="002B7E8E" w:rsidRPr="001F1623" w:rsidRDefault="00974F6C" w:rsidP="003F56D1">
            <w:pPr>
              <w:pStyle w:val="cuatexto"/>
              <w:jc w:val="right"/>
              <w:rPr>
                <w:sz w:val="18"/>
                <w:szCs w:val="18"/>
              </w:rPr>
            </w:pPr>
            <w:r w:rsidRPr="001F1623">
              <w:rPr>
                <w:sz w:val="18"/>
                <w:szCs w:val="18"/>
              </w:rPr>
              <w:t>0</w:t>
            </w:r>
          </w:p>
        </w:tc>
        <w:tc>
          <w:tcPr>
            <w:tcW w:w="252" w:type="dxa"/>
            <w:tcBorders>
              <w:top w:val="single" w:sz="4" w:space="0" w:color="auto"/>
              <w:left w:val="single" w:sz="2" w:space="0" w:color="auto"/>
              <w:bottom w:val="single" w:sz="2" w:space="0" w:color="auto"/>
            </w:tcBorders>
            <w:shd w:val="clear" w:color="auto" w:fill="auto"/>
            <w:vAlign w:val="center"/>
            <w:hideMark/>
          </w:tcPr>
          <w:p w14:paraId="249FAAB8" w14:textId="77777777" w:rsidR="002B7E8E" w:rsidRPr="001F1623" w:rsidRDefault="002B7E8E" w:rsidP="003F56D1">
            <w:pPr>
              <w:pStyle w:val="cuatexto"/>
              <w:rPr>
                <w:sz w:val="18"/>
                <w:szCs w:val="18"/>
              </w:rPr>
            </w:pPr>
            <w:r w:rsidRPr="001F1623">
              <w:rPr>
                <w:sz w:val="18"/>
                <w:szCs w:val="18"/>
              </w:rPr>
              <w:t>1</w:t>
            </w:r>
          </w:p>
        </w:tc>
        <w:tc>
          <w:tcPr>
            <w:tcW w:w="1827" w:type="dxa"/>
            <w:gridSpan w:val="2"/>
            <w:tcBorders>
              <w:top w:val="single" w:sz="4" w:space="0" w:color="auto"/>
              <w:bottom w:val="single" w:sz="2" w:space="0" w:color="auto"/>
              <w:right w:val="nil"/>
            </w:tcBorders>
            <w:shd w:val="clear" w:color="auto" w:fill="auto"/>
            <w:vAlign w:val="center"/>
            <w:hideMark/>
          </w:tcPr>
          <w:p w14:paraId="7AED0B66" w14:textId="77777777" w:rsidR="002B7E8E" w:rsidRPr="001F1623" w:rsidRDefault="002B7E8E" w:rsidP="001916CC">
            <w:pPr>
              <w:pStyle w:val="cuatexto"/>
              <w:jc w:val="left"/>
              <w:rPr>
                <w:sz w:val="18"/>
                <w:szCs w:val="18"/>
              </w:rPr>
            </w:pPr>
            <w:r w:rsidRPr="001F1623">
              <w:rPr>
                <w:sz w:val="18"/>
                <w:szCs w:val="18"/>
              </w:rPr>
              <w:t>Patrimonio y reservas</w:t>
            </w:r>
          </w:p>
        </w:tc>
        <w:tc>
          <w:tcPr>
            <w:tcW w:w="992" w:type="dxa"/>
            <w:gridSpan w:val="2"/>
            <w:tcBorders>
              <w:top w:val="single" w:sz="4" w:space="0" w:color="auto"/>
              <w:left w:val="nil"/>
              <w:bottom w:val="single" w:sz="2" w:space="0" w:color="auto"/>
              <w:right w:val="nil"/>
            </w:tcBorders>
            <w:shd w:val="clear" w:color="auto" w:fill="auto"/>
            <w:noWrap/>
            <w:vAlign w:val="center"/>
          </w:tcPr>
          <w:p w14:paraId="6824DD5B" w14:textId="70C38AF9" w:rsidR="002B7E8E" w:rsidRPr="001F1623" w:rsidRDefault="008C7494" w:rsidP="00C845DD">
            <w:pPr>
              <w:pStyle w:val="cuatexto"/>
              <w:jc w:val="right"/>
              <w:rPr>
                <w:sz w:val="18"/>
                <w:szCs w:val="18"/>
              </w:rPr>
            </w:pPr>
            <w:r w:rsidRPr="001F1623">
              <w:rPr>
                <w:sz w:val="18"/>
                <w:szCs w:val="18"/>
              </w:rPr>
              <w:t>2.941.820</w:t>
            </w:r>
          </w:p>
        </w:tc>
        <w:tc>
          <w:tcPr>
            <w:tcW w:w="1137" w:type="dxa"/>
            <w:tcBorders>
              <w:top w:val="single" w:sz="4" w:space="0" w:color="auto"/>
              <w:left w:val="nil"/>
              <w:bottom w:val="single" w:sz="2" w:space="0" w:color="auto"/>
              <w:right w:val="nil"/>
            </w:tcBorders>
            <w:shd w:val="clear" w:color="auto" w:fill="auto"/>
            <w:noWrap/>
            <w:vAlign w:val="center"/>
          </w:tcPr>
          <w:p w14:paraId="69734D0D" w14:textId="6DA597DE" w:rsidR="002B7E8E" w:rsidRPr="001F1623" w:rsidRDefault="00974F6C" w:rsidP="00C845DD">
            <w:pPr>
              <w:pStyle w:val="cuatexto"/>
              <w:jc w:val="right"/>
              <w:rPr>
                <w:sz w:val="18"/>
                <w:szCs w:val="18"/>
              </w:rPr>
            </w:pPr>
            <w:r w:rsidRPr="001F1623">
              <w:rPr>
                <w:sz w:val="18"/>
                <w:szCs w:val="18"/>
              </w:rPr>
              <w:t>2.962.277</w:t>
            </w:r>
          </w:p>
        </w:tc>
      </w:tr>
      <w:tr w:rsidR="002B7E8E" w:rsidRPr="001F1623" w14:paraId="45F9B4AE" w14:textId="77777777" w:rsidTr="00AA2EFA">
        <w:trPr>
          <w:trHeight w:val="198"/>
          <w:jc w:val="center"/>
        </w:trPr>
        <w:tc>
          <w:tcPr>
            <w:tcW w:w="311" w:type="dxa"/>
            <w:tcBorders>
              <w:top w:val="single" w:sz="2" w:space="0" w:color="auto"/>
              <w:left w:val="nil"/>
              <w:bottom w:val="single" w:sz="2" w:space="0" w:color="auto"/>
              <w:right w:val="nil"/>
            </w:tcBorders>
            <w:shd w:val="clear" w:color="auto" w:fill="auto"/>
            <w:vAlign w:val="center"/>
            <w:hideMark/>
          </w:tcPr>
          <w:p w14:paraId="18F999B5" w14:textId="77777777" w:rsidR="002B7E8E" w:rsidRPr="001F1623" w:rsidRDefault="002B7E8E" w:rsidP="003F56D1">
            <w:pPr>
              <w:pStyle w:val="cuatexto"/>
              <w:rPr>
                <w:sz w:val="18"/>
                <w:szCs w:val="18"/>
              </w:rPr>
            </w:pPr>
            <w:r w:rsidRPr="001F1623">
              <w:rPr>
                <w:sz w:val="18"/>
                <w:szCs w:val="18"/>
              </w:rPr>
              <w:t>2</w:t>
            </w:r>
          </w:p>
        </w:tc>
        <w:tc>
          <w:tcPr>
            <w:tcW w:w="2096" w:type="dxa"/>
            <w:gridSpan w:val="2"/>
            <w:tcBorders>
              <w:top w:val="single" w:sz="2" w:space="0" w:color="auto"/>
              <w:left w:val="nil"/>
              <w:bottom w:val="single" w:sz="2" w:space="0" w:color="auto"/>
              <w:right w:val="nil"/>
            </w:tcBorders>
            <w:shd w:val="clear" w:color="auto" w:fill="auto"/>
            <w:vAlign w:val="center"/>
            <w:hideMark/>
          </w:tcPr>
          <w:p w14:paraId="65C2978A" w14:textId="77777777" w:rsidR="002B7E8E" w:rsidRPr="001F1623" w:rsidRDefault="002B7E8E" w:rsidP="001916CC">
            <w:pPr>
              <w:pStyle w:val="cuatexto"/>
              <w:jc w:val="left"/>
              <w:rPr>
                <w:sz w:val="18"/>
                <w:szCs w:val="18"/>
              </w:rPr>
            </w:pPr>
            <w:r w:rsidRPr="001F1623">
              <w:rPr>
                <w:sz w:val="18"/>
                <w:szCs w:val="18"/>
              </w:rPr>
              <w:t>Inmovilizado inmaterial</w:t>
            </w:r>
          </w:p>
        </w:tc>
        <w:tc>
          <w:tcPr>
            <w:tcW w:w="996" w:type="dxa"/>
            <w:gridSpan w:val="2"/>
            <w:tcBorders>
              <w:top w:val="single" w:sz="2" w:space="0" w:color="auto"/>
              <w:left w:val="nil"/>
              <w:bottom w:val="single" w:sz="2" w:space="0" w:color="auto"/>
              <w:right w:val="nil"/>
            </w:tcBorders>
            <w:shd w:val="clear" w:color="auto" w:fill="auto"/>
            <w:noWrap/>
            <w:vAlign w:val="center"/>
          </w:tcPr>
          <w:p w14:paraId="7BCEEC42" w14:textId="16ED93F6" w:rsidR="002B7E8E" w:rsidRPr="001F1623" w:rsidRDefault="00974F6C" w:rsidP="003F56D1">
            <w:pPr>
              <w:pStyle w:val="cuatexto"/>
              <w:jc w:val="right"/>
              <w:rPr>
                <w:sz w:val="18"/>
                <w:szCs w:val="18"/>
              </w:rPr>
            </w:pPr>
            <w:r w:rsidRPr="001F1623">
              <w:rPr>
                <w:sz w:val="18"/>
                <w:szCs w:val="18"/>
              </w:rPr>
              <w:t>0</w:t>
            </w:r>
          </w:p>
        </w:tc>
        <w:tc>
          <w:tcPr>
            <w:tcW w:w="1178" w:type="dxa"/>
            <w:tcBorders>
              <w:top w:val="single" w:sz="2" w:space="0" w:color="auto"/>
              <w:left w:val="nil"/>
              <w:bottom w:val="single" w:sz="2" w:space="0" w:color="auto"/>
              <w:right w:val="single" w:sz="2" w:space="0" w:color="auto"/>
            </w:tcBorders>
            <w:shd w:val="clear" w:color="auto" w:fill="auto"/>
            <w:noWrap/>
            <w:vAlign w:val="center"/>
          </w:tcPr>
          <w:p w14:paraId="1EF755B1" w14:textId="0A90D64A" w:rsidR="002B7E8E" w:rsidRPr="001F1623" w:rsidRDefault="00974F6C" w:rsidP="00F8015C">
            <w:pPr>
              <w:pStyle w:val="cuatexto"/>
              <w:jc w:val="right"/>
              <w:rPr>
                <w:sz w:val="18"/>
                <w:szCs w:val="18"/>
              </w:rPr>
            </w:pPr>
            <w:r w:rsidRPr="001F1623">
              <w:rPr>
                <w:sz w:val="18"/>
                <w:szCs w:val="18"/>
              </w:rPr>
              <w:t>0</w:t>
            </w:r>
          </w:p>
        </w:tc>
        <w:tc>
          <w:tcPr>
            <w:tcW w:w="252" w:type="dxa"/>
            <w:tcBorders>
              <w:top w:val="single" w:sz="2" w:space="0" w:color="auto"/>
              <w:left w:val="single" w:sz="2" w:space="0" w:color="auto"/>
              <w:bottom w:val="single" w:sz="2" w:space="0" w:color="auto"/>
            </w:tcBorders>
            <w:shd w:val="clear" w:color="auto" w:fill="auto"/>
            <w:vAlign w:val="center"/>
            <w:hideMark/>
          </w:tcPr>
          <w:p w14:paraId="7144751B" w14:textId="77777777" w:rsidR="002B7E8E" w:rsidRPr="001F1623" w:rsidRDefault="002B7E8E" w:rsidP="003F56D1">
            <w:pPr>
              <w:pStyle w:val="cuatexto"/>
              <w:rPr>
                <w:sz w:val="18"/>
                <w:szCs w:val="18"/>
              </w:rPr>
            </w:pPr>
            <w:r w:rsidRPr="001F1623">
              <w:rPr>
                <w:sz w:val="18"/>
                <w:szCs w:val="18"/>
              </w:rPr>
              <w:t>2</w:t>
            </w:r>
          </w:p>
        </w:tc>
        <w:tc>
          <w:tcPr>
            <w:tcW w:w="1827" w:type="dxa"/>
            <w:gridSpan w:val="2"/>
            <w:tcBorders>
              <w:top w:val="single" w:sz="2" w:space="0" w:color="auto"/>
              <w:bottom w:val="single" w:sz="2" w:space="0" w:color="auto"/>
              <w:right w:val="nil"/>
            </w:tcBorders>
            <w:shd w:val="clear" w:color="auto" w:fill="auto"/>
            <w:vAlign w:val="center"/>
            <w:hideMark/>
          </w:tcPr>
          <w:p w14:paraId="3C63E3E7" w14:textId="77777777" w:rsidR="002B7E8E" w:rsidRPr="001F1623" w:rsidRDefault="002B7E8E" w:rsidP="001916CC">
            <w:pPr>
              <w:pStyle w:val="cuatexto"/>
              <w:jc w:val="left"/>
              <w:rPr>
                <w:sz w:val="18"/>
                <w:szCs w:val="18"/>
              </w:rPr>
            </w:pPr>
            <w:r w:rsidRPr="001F1623">
              <w:rPr>
                <w:sz w:val="18"/>
                <w:szCs w:val="18"/>
              </w:rPr>
              <w:t>Resultado económico del ejercicio (beneficio)</w:t>
            </w:r>
          </w:p>
        </w:tc>
        <w:tc>
          <w:tcPr>
            <w:tcW w:w="992" w:type="dxa"/>
            <w:gridSpan w:val="2"/>
            <w:tcBorders>
              <w:top w:val="single" w:sz="2" w:space="0" w:color="auto"/>
              <w:left w:val="nil"/>
              <w:bottom w:val="single" w:sz="2" w:space="0" w:color="auto"/>
              <w:right w:val="nil"/>
            </w:tcBorders>
            <w:shd w:val="clear" w:color="auto" w:fill="auto"/>
            <w:noWrap/>
            <w:vAlign w:val="center"/>
          </w:tcPr>
          <w:p w14:paraId="54F2E5DA" w14:textId="26FB8522" w:rsidR="002B7E8E" w:rsidRPr="001F1623" w:rsidRDefault="008C7494" w:rsidP="00C845DD">
            <w:pPr>
              <w:pStyle w:val="cuatexto"/>
              <w:jc w:val="right"/>
              <w:rPr>
                <w:sz w:val="18"/>
                <w:szCs w:val="18"/>
              </w:rPr>
            </w:pPr>
            <w:r w:rsidRPr="001F1623">
              <w:rPr>
                <w:sz w:val="18"/>
                <w:szCs w:val="18"/>
              </w:rPr>
              <w:t>40.150</w:t>
            </w:r>
          </w:p>
        </w:tc>
        <w:tc>
          <w:tcPr>
            <w:tcW w:w="1137" w:type="dxa"/>
            <w:tcBorders>
              <w:top w:val="single" w:sz="2" w:space="0" w:color="auto"/>
              <w:left w:val="nil"/>
              <w:bottom w:val="single" w:sz="2" w:space="0" w:color="auto"/>
              <w:right w:val="nil"/>
            </w:tcBorders>
            <w:shd w:val="clear" w:color="auto" w:fill="auto"/>
            <w:noWrap/>
            <w:vAlign w:val="center"/>
          </w:tcPr>
          <w:p w14:paraId="442435D3" w14:textId="0305A8AB" w:rsidR="002B7E8E" w:rsidRPr="001F1623" w:rsidRDefault="008C7494" w:rsidP="00C845DD">
            <w:pPr>
              <w:pStyle w:val="cuatexto"/>
              <w:jc w:val="right"/>
              <w:rPr>
                <w:sz w:val="18"/>
                <w:szCs w:val="18"/>
              </w:rPr>
            </w:pPr>
            <w:r w:rsidRPr="001F1623">
              <w:rPr>
                <w:sz w:val="18"/>
                <w:szCs w:val="18"/>
              </w:rPr>
              <w:t>15.429</w:t>
            </w:r>
          </w:p>
        </w:tc>
      </w:tr>
      <w:tr w:rsidR="002B7E8E" w:rsidRPr="001F1623" w14:paraId="2E14095C" w14:textId="77777777" w:rsidTr="00AA2EFA">
        <w:trPr>
          <w:trHeight w:val="198"/>
          <w:jc w:val="center"/>
        </w:trPr>
        <w:tc>
          <w:tcPr>
            <w:tcW w:w="311" w:type="dxa"/>
            <w:tcBorders>
              <w:top w:val="single" w:sz="2" w:space="0" w:color="auto"/>
              <w:left w:val="nil"/>
              <w:bottom w:val="single" w:sz="2" w:space="0" w:color="auto"/>
              <w:right w:val="nil"/>
            </w:tcBorders>
            <w:shd w:val="clear" w:color="auto" w:fill="auto"/>
            <w:vAlign w:val="center"/>
            <w:hideMark/>
          </w:tcPr>
          <w:p w14:paraId="5FCD5EC4" w14:textId="77777777" w:rsidR="002B7E8E" w:rsidRPr="001F1623" w:rsidRDefault="002B7E8E" w:rsidP="003F56D1">
            <w:pPr>
              <w:pStyle w:val="cuatexto"/>
              <w:rPr>
                <w:sz w:val="18"/>
                <w:szCs w:val="18"/>
              </w:rPr>
            </w:pPr>
            <w:r w:rsidRPr="001F1623">
              <w:rPr>
                <w:sz w:val="18"/>
                <w:szCs w:val="18"/>
              </w:rPr>
              <w:t>3</w:t>
            </w:r>
          </w:p>
        </w:tc>
        <w:tc>
          <w:tcPr>
            <w:tcW w:w="2096" w:type="dxa"/>
            <w:gridSpan w:val="2"/>
            <w:tcBorders>
              <w:top w:val="single" w:sz="2" w:space="0" w:color="auto"/>
              <w:left w:val="nil"/>
              <w:bottom w:val="single" w:sz="2" w:space="0" w:color="auto"/>
              <w:right w:val="nil"/>
            </w:tcBorders>
            <w:shd w:val="clear" w:color="auto" w:fill="auto"/>
            <w:vAlign w:val="center"/>
            <w:hideMark/>
          </w:tcPr>
          <w:p w14:paraId="6608B2C0" w14:textId="77777777" w:rsidR="002B7E8E" w:rsidRPr="001F1623" w:rsidRDefault="002B7E8E" w:rsidP="001916CC">
            <w:pPr>
              <w:pStyle w:val="cuatexto"/>
              <w:jc w:val="left"/>
              <w:rPr>
                <w:sz w:val="18"/>
                <w:szCs w:val="18"/>
                <w:lang w:val="es-ES"/>
              </w:rPr>
            </w:pPr>
            <w:r w:rsidRPr="001F1623">
              <w:rPr>
                <w:sz w:val="18"/>
                <w:szCs w:val="18"/>
                <w:lang w:val="es-ES"/>
              </w:rPr>
              <w:t>Infraestruct. y bienes destinados a uso gral.</w:t>
            </w:r>
          </w:p>
        </w:tc>
        <w:tc>
          <w:tcPr>
            <w:tcW w:w="996" w:type="dxa"/>
            <w:gridSpan w:val="2"/>
            <w:tcBorders>
              <w:top w:val="single" w:sz="2" w:space="0" w:color="auto"/>
              <w:left w:val="nil"/>
              <w:bottom w:val="single" w:sz="2" w:space="0" w:color="auto"/>
              <w:right w:val="nil"/>
            </w:tcBorders>
            <w:shd w:val="clear" w:color="auto" w:fill="auto"/>
            <w:noWrap/>
            <w:vAlign w:val="center"/>
          </w:tcPr>
          <w:p w14:paraId="54DAA1FA" w14:textId="6A349F10" w:rsidR="002B7E8E" w:rsidRPr="001F1623" w:rsidRDefault="00974F6C" w:rsidP="003F56D1">
            <w:pPr>
              <w:pStyle w:val="cuatexto"/>
              <w:jc w:val="right"/>
              <w:rPr>
                <w:sz w:val="18"/>
                <w:szCs w:val="18"/>
              </w:rPr>
            </w:pPr>
            <w:r w:rsidRPr="001F1623">
              <w:rPr>
                <w:sz w:val="18"/>
                <w:szCs w:val="18"/>
              </w:rPr>
              <w:t>2.901.571</w:t>
            </w:r>
          </w:p>
        </w:tc>
        <w:tc>
          <w:tcPr>
            <w:tcW w:w="1178" w:type="dxa"/>
            <w:tcBorders>
              <w:top w:val="single" w:sz="2" w:space="0" w:color="auto"/>
              <w:left w:val="nil"/>
              <w:bottom w:val="single" w:sz="2" w:space="0" w:color="auto"/>
              <w:right w:val="single" w:sz="2" w:space="0" w:color="auto"/>
            </w:tcBorders>
            <w:shd w:val="clear" w:color="auto" w:fill="auto"/>
            <w:noWrap/>
            <w:vAlign w:val="center"/>
          </w:tcPr>
          <w:p w14:paraId="748977AC" w14:textId="524C2029" w:rsidR="002B7E8E" w:rsidRPr="001F1623" w:rsidRDefault="00974F6C" w:rsidP="003F56D1">
            <w:pPr>
              <w:pStyle w:val="cuatexto"/>
              <w:jc w:val="right"/>
              <w:rPr>
                <w:sz w:val="18"/>
                <w:szCs w:val="18"/>
              </w:rPr>
            </w:pPr>
            <w:r w:rsidRPr="001F1623">
              <w:rPr>
                <w:sz w:val="18"/>
                <w:szCs w:val="18"/>
              </w:rPr>
              <w:t>3.031.549</w:t>
            </w:r>
          </w:p>
        </w:tc>
        <w:tc>
          <w:tcPr>
            <w:tcW w:w="252" w:type="dxa"/>
            <w:tcBorders>
              <w:top w:val="single" w:sz="2" w:space="0" w:color="auto"/>
              <w:left w:val="single" w:sz="2" w:space="0" w:color="auto"/>
              <w:bottom w:val="single" w:sz="2" w:space="0" w:color="auto"/>
            </w:tcBorders>
            <w:shd w:val="clear" w:color="auto" w:fill="auto"/>
            <w:vAlign w:val="center"/>
            <w:hideMark/>
          </w:tcPr>
          <w:p w14:paraId="0B778152" w14:textId="77777777" w:rsidR="002B7E8E" w:rsidRPr="001F1623" w:rsidRDefault="002B7E8E" w:rsidP="003F56D1">
            <w:pPr>
              <w:pStyle w:val="cuatexto"/>
              <w:rPr>
                <w:sz w:val="18"/>
                <w:szCs w:val="18"/>
              </w:rPr>
            </w:pPr>
            <w:r w:rsidRPr="001F1623">
              <w:rPr>
                <w:sz w:val="18"/>
                <w:szCs w:val="18"/>
              </w:rPr>
              <w:t>3</w:t>
            </w:r>
          </w:p>
        </w:tc>
        <w:tc>
          <w:tcPr>
            <w:tcW w:w="1827" w:type="dxa"/>
            <w:gridSpan w:val="2"/>
            <w:tcBorders>
              <w:top w:val="single" w:sz="2" w:space="0" w:color="auto"/>
              <w:bottom w:val="single" w:sz="2" w:space="0" w:color="auto"/>
              <w:right w:val="nil"/>
            </w:tcBorders>
            <w:shd w:val="clear" w:color="auto" w:fill="auto"/>
            <w:vAlign w:val="center"/>
            <w:hideMark/>
          </w:tcPr>
          <w:p w14:paraId="203C4396" w14:textId="77777777" w:rsidR="002B7E8E" w:rsidRPr="001F1623" w:rsidRDefault="002B7E8E" w:rsidP="001916CC">
            <w:pPr>
              <w:pStyle w:val="cuatexto"/>
              <w:jc w:val="left"/>
              <w:rPr>
                <w:sz w:val="18"/>
                <w:szCs w:val="18"/>
              </w:rPr>
            </w:pPr>
            <w:r w:rsidRPr="001F1623">
              <w:rPr>
                <w:sz w:val="18"/>
                <w:szCs w:val="18"/>
              </w:rPr>
              <w:t>Subvenciones de capital</w:t>
            </w:r>
          </w:p>
        </w:tc>
        <w:tc>
          <w:tcPr>
            <w:tcW w:w="992" w:type="dxa"/>
            <w:gridSpan w:val="2"/>
            <w:tcBorders>
              <w:top w:val="single" w:sz="2" w:space="0" w:color="auto"/>
              <w:left w:val="nil"/>
              <w:bottom w:val="single" w:sz="2" w:space="0" w:color="auto"/>
              <w:right w:val="nil"/>
            </w:tcBorders>
            <w:shd w:val="clear" w:color="auto" w:fill="auto"/>
            <w:noWrap/>
            <w:vAlign w:val="center"/>
          </w:tcPr>
          <w:p w14:paraId="47839491" w14:textId="23A4FF5E" w:rsidR="002B7E8E" w:rsidRPr="001F1623" w:rsidRDefault="002B7E8E" w:rsidP="00C845DD">
            <w:pPr>
              <w:pStyle w:val="cuatexto"/>
              <w:jc w:val="right"/>
              <w:rPr>
                <w:sz w:val="18"/>
                <w:szCs w:val="18"/>
              </w:rPr>
            </w:pPr>
          </w:p>
        </w:tc>
        <w:tc>
          <w:tcPr>
            <w:tcW w:w="1137" w:type="dxa"/>
            <w:tcBorders>
              <w:top w:val="single" w:sz="2" w:space="0" w:color="auto"/>
              <w:left w:val="nil"/>
              <w:bottom w:val="single" w:sz="2" w:space="0" w:color="auto"/>
              <w:right w:val="nil"/>
            </w:tcBorders>
            <w:shd w:val="clear" w:color="auto" w:fill="auto"/>
            <w:noWrap/>
            <w:vAlign w:val="center"/>
          </w:tcPr>
          <w:p w14:paraId="7DBA251A" w14:textId="33D5943F" w:rsidR="002B7E8E" w:rsidRPr="001F1623" w:rsidRDefault="002B7E8E" w:rsidP="00C845DD">
            <w:pPr>
              <w:pStyle w:val="cuatexto"/>
              <w:jc w:val="right"/>
              <w:rPr>
                <w:sz w:val="18"/>
                <w:szCs w:val="18"/>
              </w:rPr>
            </w:pPr>
          </w:p>
        </w:tc>
      </w:tr>
      <w:tr w:rsidR="002B7E8E" w:rsidRPr="00131FB4" w14:paraId="73497F1E" w14:textId="77777777" w:rsidTr="00AA2EFA">
        <w:trPr>
          <w:trHeight w:val="198"/>
          <w:jc w:val="center"/>
        </w:trPr>
        <w:tc>
          <w:tcPr>
            <w:tcW w:w="311" w:type="dxa"/>
            <w:tcBorders>
              <w:top w:val="single" w:sz="2" w:space="0" w:color="auto"/>
              <w:left w:val="nil"/>
              <w:bottom w:val="single" w:sz="4" w:space="0" w:color="auto"/>
              <w:right w:val="nil"/>
            </w:tcBorders>
            <w:shd w:val="clear" w:color="auto" w:fill="auto"/>
            <w:vAlign w:val="center"/>
            <w:hideMark/>
          </w:tcPr>
          <w:p w14:paraId="2598DEE6" w14:textId="77777777" w:rsidR="002B7E8E" w:rsidRPr="001F1623" w:rsidRDefault="002B7E8E" w:rsidP="003F56D1">
            <w:pPr>
              <w:pStyle w:val="cuatexto"/>
              <w:rPr>
                <w:sz w:val="18"/>
                <w:szCs w:val="18"/>
              </w:rPr>
            </w:pPr>
            <w:r w:rsidRPr="001F1623">
              <w:rPr>
                <w:sz w:val="18"/>
                <w:szCs w:val="18"/>
              </w:rPr>
              <w:t>4</w:t>
            </w:r>
          </w:p>
        </w:tc>
        <w:tc>
          <w:tcPr>
            <w:tcW w:w="2096" w:type="dxa"/>
            <w:gridSpan w:val="2"/>
            <w:tcBorders>
              <w:top w:val="single" w:sz="2" w:space="0" w:color="auto"/>
              <w:left w:val="nil"/>
              <w:bottom w:val="single" w:sz="4" w:space="0" w:color="auto"/>
              <w:right w:val="nil"/>
            </w:tcBorders>
            <w:shd w:val="clear" w:color="auto" w:fill="auto"/>
            <w:vAlign w:val="center"/>
            <w:hideMark/>
          </w:tcPr>
          <w:p w14:paraId="7BBD6541" w14:textId="77777777" w:rsidR="002B7E8E" w:rsidRPr="001F1623" w:rsidRDefault="002B7E8E" w:rsidP="001916CC">
            <w:pPr>
              <w:pStyle w:val="cuatexto"/>
              <w:jc w:val="left"/>
              <w:rPr>
                <w:sz w:val="18"/>
                <w:szCs w:val="18"/>
              </w:rPr>
            </w:pPr>
            <w:r w:rsidRPr="001F1623">
              <w:rPr>
                <w:sz w:val="18"/>
                <w:szCs w:val="18"/>
              </w:rPr>
              <w:t>Bienes comunales</w:t>
            </w:r>
          </w:p>
        </w:tc>
        <w:tc>
          <w:tcPr>
            <w:tcW w:w="996" w:type="dxa"/>
            <w:gridSpan w:val="2"/>
            <w:tcBorders>
              <w:top w:val="single" w:sz="2" w:space="0" w:color="auto"/>
              <w:left w:val="nil"/>
              <w:bottom w:val="single" w:sz="4" w:space="0" w:color="auto"/>
              <w:right w:val="nil"/>
            </w:tcBorders>
            <w:shd w:val="clear" w:color="auto" w:fill="auto"/>
            <w:noWrap/>
            <w:vAlign w:val="center"/>
          </w:tcPr>
          <w:p w14:paraId="157D6B25" w14:textId="304392A8" w:rsidR="002B7E8E" w:rsidRPr="001F1623" w:rsidRDefault="00974F6C" w:rsidP="003F56D1">
            <w:pPr>
              <w:pStyle w:val="cuatexto"/>
              <w:jc w:val="right"/>
              <w:rPr>
                <w:sz w:val="18"/>
                <w:szCs w:val="18"/>
              </w:rPr>
            </w:pPr>
            <w:r w:rsidRPr="001F1623">
              <w:rPr>
                <w:sz w:val="18"/>
                <w:szCs w:val="18"/>
              </w:rPr>
              <w:t>113.253</w:t>
            </w:r>
          </w:p>
        </w:tc>
        <w:tc>
          <w:tcPr>
            <w:tcW w:w="1178" w:type="dxa"/>
            <w:tcBorders>
              <w:top w:val="single" w:sz="2" w:space="0" w:color="auto"/>
              <w:left w:val="nil"/>
              <w:bottom w:val="single" w:sz="4" w:space="0" w:color="auto"/>
              <w:right w:val="single" w:sz="2" w:space="0" w:color="auto"/>
            </w:tcBorders>
            <w:shd w:val="clear" w:color="auto" w:fill="auto"/>
            <w:noWrap/>
            <w:vAlign w:val="center"/>
          </w:tcPr>
          <w:p w14:paraId="3081C80F" w14:textId="50435665" w:rsidR="002B7E8E" w:rsidRPr="001F1623" w:rsidRDefault="00974F6C" w:rsidP="003F56D1">
            <w:pPr>
              <w:pStyle w:val="cuatexto"/>
              <w:jc w:val="right"/>
              <w:rPr>
                <w:sz w:val="18"/>
                <w:szCs w:val="18"/>
              </w:rPr>
            </w:pPr>
            <w:r w:rsidRPr="001F1623">
              <w:rPr>
                <w:sz w:val="18"/>
                <w:szCs w:val="18"/>
              </w:rPr>
              <w:t>0</w:t>
            </w:r>
          </w:p>
        </w:tc>
        <w:tc>
          <w:tcPr>
            <w:tcW w:w="252" w:type="dxa"/>
            <w:tcBorders>
              <w:top w:val="single" w:sz="2" w:space="0" w:color="auto"/>
              <w:left w:val="single" w:sz="2" w:space="0" w:color="auto"/>
              <w:bottom w:val="single" w:sz="4" w:space="0" w:color="auto"/>
            </w:tcBorders>
            <w:shd w:val="clear" w:color="auto" w:fill="auto"/>
            <w:vAlign w:val="center"/>
            <w:hideMark/>
          </w:tcPr>
          <w:p w14:paraId="61ED4E73" w14:textId="77777777" w:rsidR="002B7E8E" w:rsidRPr="001F1623" w:rsidRDefault="002B7E8E" w:rsidP="003F56D1">
            <w:pPr>
              <w:pStyle w:val="cuatexto"/>
              <w:rPr>
                <w:rFonts w:ascii="Arial" w:hAnsi="Arial" w:cs="Arial"/>
                <w:szCs w:val="20"/>
              </w:rPr>
            </w:pPr>
            <w:r w:rsidRPr="001F1623">
              <w:rPr>
                <w:rFonts w:ascii="Arial" w:hAnsi="Arial" w:cs="Arial"/>
                <w:szCs w:val="20"/>
              </w:rPr>
              <w:t>B</w:t>
            </w:r>
          </w:p>
        </w:tc>
        <w:tc>
          <w:tcPr>
            <w:tcW w:w="1827" w:type="dxa"/>
            <w:gridSpan w:val="2"/>
            <w:tcBorders>
              <w:top w:val="single" w:sz="2" w:space="0" w:color="auto"/>
              <w:bottom w:val="single" w:sz="4" w:space="0" w:color="auto"/>
              <w:right w:val="nil"/>
            </w:tcBorders>
            <w:shd w:val="clear" w:color="auto" w:fill="auto"/>
            <w:vAlign w:val="center"/>
            <w:hideMark/>
          </w:tcPr>
          <w:p w14:paraId="30A4AA4B" w14:textId="77777777" w:rsidR="002B7E8E" w:rsidRPr="001F1623" w:rsidRDefault="002B7E8E" w:rsidP="001916CC">
            <w:pPr>
              <w:pStyle w:val="cuatexto"/>
              <w:jc w:val="left"/>
              <w:rPr>
                <w:rFonts w:ascii="Arial" w:hAnsi="Arial" w:cs="Arial"/>
                <w:szCs w:val="20"/>
              </w:rPr>
            </w:pPr>
            <w:r w:rsidRPr="001F1623">
              <w:rPr>
                <w:rFonts w:ascii="Arial" w:hAnsi="Arial" w:cs="Arial"/>
                <w:szCs w:val="20"/>
              </w:rPr>
              <w:t>Provisiones para riesgos y gastos</w:t>
            </w:r>
          </w:p>
        </w:tc>
        <w:tc>
          <w:tcPr>
            <w:tcW w:w="992" w:type="dxa"/>
            <w:gridSpan w:val="2"/>
            <w:tcBorders>
              <w:top w:val="single" w:sz="2" w:space="0" w:color="auto"/>
              <w:left w:val="nil"/>
              <w:bottom w:val="single" w:sz="4" w:space="0" w:color="auto"/>
              <w:right w:val="nil"/>
            </w:tcBorders>
            <w:shd w:val="clear" w:color="auto" w:fill="auto"/>
            <w:noWrap/>
            <w:vAlign w:val="center"/>
          </w:tcPr>
          <w:p w14:paraId="2C16FBCC" w14:textId="7EAFA353" w:rsidR="002B7E8E" w:rsidRPr="001F1623" w:rsidRDefault="002B7E8E" w:rsidP="00C845DD">
            <w:pPr>
              <w:pStyle w:val="cuatexto"/>
              <w:jc w:val="right"/>
              <w:rPr>
                <w:szCs w:val="20"/>
              </w:rPr>
            </w:pPr>
          </w:p>
        </w:tc>
        <w:tc>
          <w:tcPr>
            <w:tcW w:w="1137" w:type="dxa"/>
            <w:tcBorders>
              <w:top w:val="single" w:sz="2" w:space="0" w:color="auto"/>
              <w:left w:val="nil"/>
              <w:bottom w:val="single" w:sz="4" w:space="0" w:color="auto"/>
              <w:right w:val="nil"/>
            </w:tcBorders>
            <w:shd w:val="clear" w:color="auto" w:fill="auto"/>
            <w:noWrap/>
            <w:vAlign w:val="center"/>
          </w:tcPr>
          <w:p w14:paraId="24F6F9C8" w14:textId="0BE581C2" w:rsidR="002B7E8E" w:rsidRPr="001F1623" w:rsidRDefault="002B7E8E" w:rsidP="00C845DD">
            <w:pPr>
              <w:pStyle w:val="cuatexto"/>
              <w:jc w:val="right"/>
              <w:rPr>
                <w:szCs w:val="20"/>
              </w:rPr>
            </w:pPr>
          </w:p>
        </w:tc>
      </w:tr>
      <w:tr w:rsidR="002B7E8E" w:rsidRPr="00EF4A6F" w14:paraId="6D8C3665" w14:textId="77777777" w:rsidTr="00AA2EFA">
        <w:trPr>
          <w:trHeight w:val="255"/>
          <w:jc w:val="center"/>
        </w:trPr>
        <w:tc>
          <w:tcPr>
            <w:tcW w:w="311" w:type="dxa"/>
            <w:tcBorders>
              <w:top w:val="single" w:sz="4" w:space="0" w:color="auto"/>
              <w:left w:val="nil"/>
              <w:bottom w:val="single" w:sz="4" w:space="0" w:color="auto"/>
              <w:right w:val="nil"/>
            </w:tcBorders>
            <w:shd w:val="clear" w:color="auto" w:fill="auto"/>
            <w:vAlign w:val="center"/>
            <w:hideMark/>
          </w:tcPr>
          <w:p w14:paraId="52568201" w14:textId="00A82BDF" w:rsidR="002B7E8E" w:rsidRPr="001F1623" w:rsidRDefault="002B7E8E" w:rsidP="003D52CB">
            <w:pPr>
              <w:pStyle w:val="cuatexto"/>
              <w:jc w:val="center"/>
              <w:rPr>
                <w:rFonts w:ascii="Arial" w:hAnsi="Arial" w:cs="Arial"/>
                <w:szCs w:val="20"/>
              </w:rPr>
            </w:pPr>
            <w:r w:rsidRPr="001F1623">
              <w:rPr>
                <w:rFonts w:ascii="Arial" w:hAnsi="Arial" w:cs="Arial"/>
                <w:szCs w:val="20"/>
              </w:rPr>
              <w:t>B</w:t>
            </w:r>
          </w:p>
        </w:tc>
        <w:tc>
          <w:tcPr>
            <w:tcW w:w="2096" w:type="dxa"/>
            <w:gridSpan w:val="2"/>
            <w:tcBorders>
              <w:top w:val="single" w:sz="4" w:space="0" w:color="auto"/>
              <w:left w:val="nil"/>
              <w:bottom w:val="single" w:sz="4" w:space="0" w:color="auto"/>
              <w:right w:val="nil"/>
            </w:tcBorders>
            <w:shd w:val="clear" w:color="auto" w:fill="auto"/>
            <w:vAlign w:val="center"/>
            <w:hideMark/>
          </w:tcPr>
          <w:p w14:paraId="75D719B0" w14:textId="77777777" w:rsidR="002B7E8E" w:rsidRPr="001F1623" w:rsidRDefault="002B7E8E" w:rsidP="001916CC">
            <w:pPr>
              <w:pStyle w:val="cuatexto"/>
              <w:jc w:val="left"/>
              <w:rPr>
                <w:rFonts w:ascii="Arial" w:hAnsi="Arial" w:cs="Arial"/>
                <w:szCs w:val="20"/>
                <w:lang w:val="es-ES"/>
              </w:rPr>
            </w:pPr>
            <w:r w:rsidRPr="001F1623">
              <w:rPr>
                <w:rFonts w:ascii="Arial" w:hAnsi="Arial" w:cs="Arial"/>
                <w:szCs w:val="20"/>
                <w:lang w:val="es-ES"/>
              </w:rPr>
              <w:t>Gastos a distribuir en varios ejercicios</w:t>
            </w:r>
          </w:p>
        </w:tc>
        <w:tc>
          <w:tcPr>
            <w:tcW w:w="996" w:type="dxa"/>
            <w:gridSpan w:val="2"/>
            <w:tcBorders>
              <w:top w:val="single" w:sz="4" w:space="0" w:color="auto"/>
              <w:left w:val="nil"/>
              <w:bottom w:val="single" w:sz="4" w:space="0" w:color="auto"/>
              <w:right w:val="nil"/>
            </w:tcBorders>
            <w:shd w:val="clear" w:color="auto" w:fill="auto"/>
            <w:noWrap/>
            <w:vAlign w:val="center"/>
          </w:tcPr>
          <w:p w14:paraId="79E427E6" w14:textId="62618F88" w:rsidR="002B7E8E" w:rsidRPr="001F1623" w:rsidRDefault="00974F6C" w:rsidP="003F56D1">
            <w:pPr>
              <w:pStyle w:val="cuatexto"/>
              <w:jc w:val="right"/>
              <w:rPr>
                <w:rFonts w:ascii="Arial" w:hAnsi="Arial" w:cs="Arial"/>
                <w:szCs w:val="20"/>
              </w:rPr>
            </w:pPr>
            <w:r w:rsidRPr="001F1623">
              <w:rPr>
                <w:rFonts w:ascii="Arial" w:hAnsi="Arial" w:cs="Arial"/>
                <w:szCs w:val="20"/>
              </w:rPr>
              <w:t>0</w:t>
            </w:r>
          </w:p>
        </w:tc>
        <w:tc>
          <w:tcPr>
            <w:tcW w:w="1178" w:type="dxa"/>
            <w:tcBorders>
              <w:top w:val="single" w:sz="4" w:space="0" w:color="auto"/>
              <w:left w:val="nil"/>
              <w:bottom w:val="single" w:sz="4" w:space="0" w:color="auto"/>
              <w:right w:val="single" w:sz="2" w:space="0" w:color="auto"/>
            </w:tcBorders>
            <w:shd w:val="clear" w:color="auto" w:fill="auto"/>
            <w:noWrap/>
            <w:vAlign w:val="center"/>
          </w:tcPr>
          <w:p w14:paraId="3209E21E" w14:textId="6102BB65" w:rsidR="002B7E8E" w:rsidRPr="001F1623" w:rsidRDefault="00974F6C" w:rsidP="003F56D1">
            <w:pPr>
              <w:pStyle w:val="cuatexto"/>
              <w:jc w:val="right"/>
              <w:rPr>
                <w:rFonts w:ascii="Arial" w:hAnsi="Arial" w:cs="Arial"/>
                <w:szCs w:val="20"/>
              </w:rPr>
            </w:pPr>
            <w:r w:rsidRPr="001F1623">
              <w:rPr>
                <w:rFonts w:ascii="Arial" w:hAnsi="Arial" w:cs="Arial"/>
                <w:szCs w:val="20"/>
              </w:rPr>
              <w:t>0</w:t>
            </w:r>
          </w:p>
        </w:tc>
        <w:tc>
          <w:tcPr>
            <w:tcW w:w="252" w:type="dxa"/>
            <w:tcBorders>
              <w:top w:val="single" w:sz="4" w:space="0" w:color="auto"/>
              <w:left w:val="single" w:sz="2" w:space="0" w:color="auto"/>
              <w:bottom w:val="single" w:sz="4" w:space="0" w:color="auto"/>
            </w:tcBorders>
            <w:shd w:val="clear" w:color="auto" w:fill="auto"/>
            <w:vAlign w:val="center"/>
            <w:hideMark/>
          </w:tcPr>
          <w:p w14:paraId="37AAF844" w14:textId="77777777" w:rsidR="002B7E8E" w:rsidRPr="001F1623" w:rsidRDefault="002B7E8E" w:rsidP="003F56D1">
            <w:pPr>
              <w:pStyle w:val="cuatexto"/>
              <w:rPr>
                <w:rFonts w:ascii="Arial" w:hAnsi="Arial" w:cs="Arial"/>
                <w:szCs w:val="20"/>
              </w:rPr>
            </w:pPr>
            <w:r w:rsidRPr="001F1623">
              <w:rPr>
                <w:rFonts w:ascii="Arial" w:hAnsi="Arial" w:cs="Arial"/>
                <w:szCs w:val="20"/>
              </w:rPr>
              <w:t>C</w:t>
            </w:r>
          </w:p>
        </w:tc>
        <w:tc>
          <w:tcPr>
            <w:tcW w:w="1827" w:type="dxa"/>
            <w:gridSpan w:val="2"/>
            <w:tcBorders>
              <w:top w:val="single" w:sz="4" w:space="0" w:color="auto"/>
              <w:bottom w:val="single" w:sz="4" w:space="0" w:color="auto"/>
              <w:right w:val="nil"/>
            </w:tcBorders>
            <w:shd w:val="clear" w:color="auto" w:fill="auto"/>
            <w:vAlign w:val="center"/>
            <w:hideMark/>
          </w:tcPr>
          <w:p w14:paraId="3DC0B5C0" w14:textId="781EF963" w:rsidR="002B7E8E" w:rsidRPr="001F1623" w:rsidRDefault="008C7494" w:rsidP="001916CC">
            <w:pPr>
              <w:pStyle w:val="cuatexto"/>
              <w:jc w:val="left"/>
              <w:rPr>
                <w:rFonts w:ascii="Arial" w:hAnsi="Arial" w:cs="Arial"/>
                <w:szCs w:val="20"/>
              </w:rPr>
            </w:pPr>
            <w:r w:rsidRPr="001F1623">
              <w:rPr>
                <w:rFonts w:ascii="Arial" w:hAnsi="Arial" w:cs="Arial"/>
                <w:szCs w:val="20"/>
              </w:rPr>
              <w:t>Deudas a largo plazo</w:t>
            </w:r>
          </w:p>
        </w:tc>
        <w:tc>
          <w:tcPr>
            <w:tcW w:w="992" w:type="dxa"/>
            <w:gridSpan w:val="2"/>
            <w:tcBorders>
              <w:top w:val="single" w:sz="4" w:space="0" w:color="auto"/>
              <w:left w:val="nil"/>
              <w:bottom w:val="single" w:sz="4" w:space="0" w:color="auto"/>
              <w:right w:val="nil"/>
            </w:tcBorders>
            <w:shd w:val="clear" w:color="auto" w:fill="auto"/>
            <w:noWrap/>
            <w:vAlign w:val="center"/>
          </w:tcPr>
          <w:p w14:paraId="00F28E18" w14:textId="39314C74" w:rsidR="002B7E8E" w:rsidRPr="001F1623" w:rsidRDefault="008C7494" w:rsidP="00C845DD">
            <w:pPr>
              <w:pStyle w:val="cuatexto"/>
              <w:jc w:val="right"/>
              <w:rPr>
                <w:rFonts w:ascii="Arial" w:hAnsi="Arial" w:cs="Arial"/>
                <w:szCs w:val="20"/>
              </w:rPr>
            </w:pPr>
            <w:r w:rsidRPr="001F1623">
              <w:rPr>
                <w:rFonts w:ascii="Arial" w:hAnsi="Arial" w:cs="Arial"/>
                <w:szCs w:val="20"/>
              </w:rPr>
              <w:t>301.779</w:t>
            </w:r>
          </w:p>
        </w:tc>
        <w:tc>
          <w:tcPr>
            <w:tcW w:w="1137" w:type="dxa"/>
            <w:tcBorders>
              <w:top w:val="single" w:sz="4" w:space="0" w:color="auto"/>
              <w:left w:val="nil"/>
              <w:bottom w:val="single" w:sz="4" w:space="0" w:color="auto"/>
              <w:right w:val="nil"/>
            </w:tcBorders>
            <w:shd w:val="clear" w:color="auto" w:fill="auto"/>
            <w:noWrap/>
            <w:vAlign w:val="center"/>
          </w:tcPr>
          <w:p w14:paraId="564D005B" w14:textId="4D73D050" w:rsidR="002B7E8E" w:rsidRPr="001F1623" w:rsidRDefault="008C7494" w:rsidP="00C845DD">
            <w:pPr>
              <w:pStyle w:val="cuatexto"/>
              <w:jc w:val="right"/>
              <w:rPr>
                <w:rFonts w:ascii="Arial" w:hAnsi="Arial" w:cs="Arial"/>
                <w:szCs w:val="20"/>
              </w:rPr>
            </w:pPr>
            <w:r w:rsidRPr="001F1623">
              <w:rPr>
                <w:rFonts w:ascii="Arial" w:hAnsi="Arial" w:cs="Arial"/>
                <w:szCs w:val="20"/>
              </w:rPr>
              <w:t>262.829</w:t>
            </w:r>
          </w:p>
        </w:tc>
      </w:tr>
      <w:tr w:rsidR="002B7E8E" w:rsidRPr="00131FB4" w14:paraId="5130ED2E" w14:textId="77777777" w:rsidTr="00AA2EFA">
        <w:trPr>
          <w:trHeight w:val="315"/>
          <w:jc w:val="center"/>
        </w:trPr>
        <w:tc>
          <w:tcPr>
            <w:tcW w:w="311" w:type="dxa"/>
            <w:tcBorders>
              <w:top w:val="single" w:sz="4" w:space="0" w:color="auto"/>
              <w:left w:val="nil"/>
              <w:bottom w:val="single" w:sz="4" w:space="0" w:color="auto"/>
              <w:right w:val="nil"/>
            </w:tcBorders>
            <w:shd w:val="clear" w:color="auto" w:fill="auto"/>
            <w:vAlign w:val="center"/>
            <w:hideMark/>
          </w:tcPr>
          <w:p w14:paraId="39C5BBBE" w14:textId="16791F1C" w:rsidR="002B7E8E" w:rsidRPr="00A7327C" w:rsidRDefault="002B7E8E" w:rsidP="00EF4A6F">
            <w:pPr>
              <w:pStyle w:val="cuatexto"/>
              <w:jc w:val="center"/>
              <w:rPr>
                <w:rFonts w:ascii="Arial" w:hAnsi="Arial" w:cs="Arial"/>
                <w:szCs w:val="20"/>
              </w:rPr>
            </w:pPr>
            <w:r w:rsidRPr="00A7327C">
              <w:rPr>
                <w:rFonts w:ascii="Arial" w:hAnsi="Arial" w:cs="Arial"/>
                <w:szCs w:val="20"/>
              </w:rPr>
              <w:t>C</w:t>
            </w:r>
          </w:p>
        </w:tc>
        <w:tc>
          <w:tcPr>
            <w:tcW w:w="2096" w:type="dxa"/>
            <w:gridSpan w:val="2"/>
            <w:tcBorders>
              <w:top w:val="single" w:sz="4" w:space="0" w:color="auto"/>
              <w:left w:val="nil"/>
              <w:bottom w:val="single" w:sz="4" w:space="0" w:color="auto"/>
              <w:right w:val="nil"/>
            </w:tcBorders>
            <w:shd w:val="clear" w:color="auto" w:fill="auto"/>
            <w:vAlign w:val="center"/>
            <w:hideMark/>
          </w:tcPr>
          <w:p w14:paraId="1E9AC523" w14:textId="77777777" w:rsidR="002B7E8E" w:rsidRPr="00A7327C" w:rsidRDefault="002B7E8E" w:rsidP="001916CC">
            <w:pPr>
              <w:pStyle w:val="cuatexto"/>
              <w:jc w:val="left"/>
              <w:rPr>
                <w:rFonts w:ascii="Arial" w:hAnsi="Arial" w:cs="Arial"/>
                <w:szCs w:val="20"/>
              </w:rPr>
            </w:pPr>
            <w:r w:rsidRPr="00A7327C">
              <w:rPr>
                <w:rFonts w:ascii="Arial" w:hAnsi="Arial" w:cs="Arial"/>
                <w:szCs w:val="20"/>
              </w:rPr>
              <w:t>Circulante</w:t>
            </w:r>
          </w:p>
        </w:tc>
        <w:tc>
          <w:tcPr>
            <w:tcW w:w="996" w:type="dxa"/>
            <w:gridSpan w:val="2"/>
            <w:tcBorders>
              <w:top w:val="single" w:sz="4" w:space="0" w:color="auto"/>
              <w:left w:val="nil"/>
              <w:bottom w:val="single" w:sz="4" w:space="0" w:color="auto"/>
              <w:right w:val="nil"/>
            </w:tcBorders>
            <w:shd w:val="clear" w:color="auto" w:fill="auto"/>
            <w:noWrap/>
            <w:vAlign w:val="center"/>
          </w:tcPr>
          <w:p w14:paraId="520BEFE9" w14:textId="3A1449A2" w:rsidR="002B7E8E" w:rsidRPr="00A7327C" w:rsidRDefault="00974F6C" w:rsidP="003F56D1">
            <w:pPr>
              <w:pStyle w:val="cuatexto"/>
              <w:jc w:val="right"/>
              <w:rPr>
                <w:rFonts w:ascii="Arial" w:hAnsi="Arial" w:cs="Arial"/>
                <w:szCs w:val="20"/>
              </w:rPr>
            </w:pPr>
            <w:r w:rsidRPr="00A7327C">
              <w:rPr>
                <w:rFonts w:ascii="Arial" w:hAnsi="Arial" w:cs="Arial"/>
                <w:szCs w:val="20"/>
              </w:rPr>
              <w:t>444.278</w:t>
            </w:r>
          </w:p>
        </w:tc>
        <w:tc>
          <w:tcPr>
            <w:tcW w:w="1178" w:type="dxa"/>
            <w:tcBorders>
              <w:top w:val="single" w:sz="4" w:space="0" w:color="auto"/>
              <w:left w:val="nil"/>
              <w:bottom w:val="single" w:sz="4" w:space="0" w:color="auto"/>
              <w:right w:val="single" w:sz="2" w:space="0" w:color="auto"/>
            </w:tcBorders>
            <w:shd w:val="clear" w:color="auto" w:fill="auto"/>
            <w:noWrap/>
            <w:vAlign w:val="center"/>
          </w:tcPr>
          <w:p w14:paraId="1D786274" w14:textId="4DD0EFC8" w:rsidR="002B7E8E" w:rsidRPr="00A7327C" w:rsidRDefault="00974F6C" w:rsidP="003F56D1">
            <w:pPr>
              <w:pStyle w:val="cuatexto"/>
              <w:jc w:val="right"/>
              <w:rPr>
                <w:rFonts w:ascii="Arial" w:hAnsi="Arial" w:cs="Arial"/>
                <w:szCs w:val="20"/>
              </w:rPr>
            </w:pPr>
            <w:r w:rsidRPr="00A7327C">
              <w:rPr>
                <w:rFonts w:ascii="Arial" w:hAnsi="Arial" w:cs="Arial"/>
                <w:szCs w:val="20"/>
              </w:rPr>
              <w:t>495.195</w:t>
            </w:r>
          </w:p>
        </w:tc>
        <w:tc>
          <w:tcPr>
            <w:tcW w:w="252" w:type="dxa"/>
            <w:tcBorders>
              <w:top w:val="single" w:sz="4" w:space="0" w:color="auto"/>
              <w:left w:val="single" w:sz="2" w:space="0" w:color="auto"/>
              <w:bottom w:val="single" w:sz="4" w:space="0" w:color="auto"/>
            </w:tcBorders>
            <w:shd w:val="clear" w:color="auto" w:fill="auto"/>
            <w:vAlign w:val="center"/>
            <w:hideMark/>
          </w:tcPr>
          <w:p w14:paraId="61740529" w14:textId="77777777" w:rsidR="002B7E8E" w:rsidRPr="00A7327C" w:rsidRDefault="002B7E8E" w:rsidP="003F56D1">
            <w:pPr>
              <w:pStyle w:val="cuatexto"/>
              <w:rPr>
                <w:rFonts w:ascii="Arial" w:hAnsi="Arial" w:cs="Arial"/>
                <w:szCs w:val="20"/>
              </w:rPr>
            </w:pPr>
            <w:r w:rsidRPr="00A7327C">
              <w:rPr>
                <w:rFonts w:ascii="Arial" w:hAnsi="Arial" w:cs="Arial"/>
                <w:szCs w:val="20"/>
              </w:rPr>
              <w:t>D</w:t>
            </w:r>
          </w:p>
        </w:tc>
        <w:tc>
          <w:tcPr>
            <w:tcW w:w="1827" w:type="dxa"/>
            <w:gridSpan w:val="2"/>
            <w:tcBorders>
              <w:top w:val="single" w:sz="4" w:space="0" w:color="auto"/>
              <w:bottom w:val="single" w:sz="4" w:space="0" w:color="auto"/>
              <w:right w:val="nil"/>
            </w:tcBorders>
            <w:shd w:val="clear" w:color="auto" w:fill="auto"/>
            <w:vAlign w:val="center"/>
            <w:hideMark/>
          </w:tcPr>
          <w:p w14:paraId="3860FA59" w14:textId="77777777" w:rsidR="002B7E8E" w:rsidRPr="00A7327C" w:rsidRDefault="002B7E8E" w:rsidP="001916CC">
            <w:pPr>
              <w:pStyle w:val="cuatexto"/>
              <w:jc w:val="left"/>
              <w:rPr>
                <w:rFonts w:ascii="Arial" w:hAnsi="Arial" w:cs="Arial"/>
                <w:szCs w:val="20"/>
              </w:rPr>
            </w:pPr>
            <w:r w:rsidRPr="00A7327C">
              <w:rPr>
                <w:rFonts w:ascii="Arial" w:hAnsi="Arial" w:cs="Arial"/>
                <w:szCs w:val="20"/>
              </w:rPr>
              <w:t>Acreedores a corto plazo</w:t>
            </w:r>
          </w:p>
        </w:tc>
        <w:tc>
          <w:tcPr>
            <w:tcW w:w="992" w:type="dxa"/>
            <w:gridSpan w:val="2"/>
            <w:tcBorders>
              <w:top w:val="single" w:sz="4" w:space="0" w:color="auto"/>
              <w:left w:val="nil"/>
              <w:bottom w:val="single" w:sz="4" w:space="0" w:color="auto"/>
              <w:right w:val="nil"/>
            </w:tcBorders>
            <w:shd w:val="clear" w:color="auto" w:fill="auto"/>
            <w:noWrap/>
            <w:vAlign w:val="center"/>
          </w:tcPr>
          <w:p w14:paraId="5AA09C3E" w14:textId="3BBB5F8D" w:rsidR="002B7E8E" w:rsidRPr="00A7327C" w:rsidRDefault="008C7494" w:rsidP="00C845DD">
            <w:pPr>
              <w:pStyle w:val="cuatexto"/>
              <w:jc w:val="right"/>
              <w:rPr>
                <w:rFonts w:ascii="Arial" w:hAnsi="Arial" w:cs="Arial"/>
                <w:szCs w:val="20"/>
              </w:rPr>
            </w:pPr>
            <w:r w:rsidRPr="00A7327C">
              <w:rPr>
                <w:rFonts w:ascii="Arial" w:hAnsi="Arial" w:cs="Arial"/>
                <w:szCs w:val="20"/>
              </w:rPr>
              <w:t>175.354</w:t>
            </w:r>
          </w:p>
        </w:tc>
        <w:tc>
          <w:tcPr>
            <w:tcW w:w="1137" w:type="dxa"/>
            <w:tcBorders>
              <w:top w:val="single" w:sz="4" w:space="0" w:color="auto"/>
              <w:left w:val="nil"/>
              <w:bottom w:val="single" w:sz="4" w:space="0" w:color="auto"/>
              <w:right w:val="nil"/>
            </w:tcBorders>
            <w:shd w:val="clear" w:color="auto" w:fill="auto"/>
            <w:noWrap/>
            <w:vAlign w:val="center"/>
          </w:tcPr>
          <w:p w14:paraId="1D2735D7" w14:textId="34A933C6" w:rsidR="002B7E8E" w:rsidRPr="00A7327C" w:rsidRDefault="008C7494" w:rsidP="00C845DD">
            <w:pPr>
              <w:pStyle w:val="cuatexto"/>
              <w:jc w:val="right"/>
              <w:rPr>
                <w:rFonts w:ascii="Arial" w:hAnsi="Arial" w:cs="Arial"/>
                <w:szCs w:val="20"/>
              </w:rPr>
            </w:pPr>
            <w:r w:rsidRPr="00A7327C">
              <w:rPr>
                <w:rFonts w:ascii="Arial" w:hAnsi="Arial" w:cs="Arial"/>
                <w:szCs w:val="20"/>
              </w:rPr>
              <w:t>286.208</w:t>
            </w:r>
          </w:p>
        </w:tc>
      </w:tr>
      <w:tr w:rsidR="002B7E8E" w:rsidRPr="00A7327C" w14:paraId="74E432EF" w14:textId="77777777" w:rsidTr="00AA2EFA">
        <w:trPr>
          <w:trHeight w:val="198"/>
          <w:jc w:val="center"/>
        </w:trPr>
        <w:tc>
          <w:tcPr>
            <w:tcW w:w="311" w:type="dxa"/>
            <w:tcBorders>
              <w:top w:val="single" w:sz="4" w:space="0" w:color="auto"/>
              <w:left w:val="nil"/>
              <w:bottom w:val="single" w:sz="2" w:space="0" w:color="auto"/>
              <w:right w:val="nil"/>
            </w:tcBorders>
            <w:shd w:val="clear" w:color="auto" w:fill="auto"/>
            <w:vAlign w:val="center"/>
            <w:hideMark/>
          </w:tcPr>
          <w:p w14:paraId="44B0A208" w14:textId="77777777" w:rsidR="002B7E8E" w:rsidRPr="00A7327C" w:rsidRDefault="002B7E8E" w:rsidP="003F56D1">
            <w:pPr>
              <w:pStyle w:val="cuatexto"/>
              <w:rPr>
                <w:sz w:val="18"/>
                <w:szCs w:val="18"/>
              </w:rPr>
            </w:pPr>
            <w:r w:rsidRPr="00A7327C">
              <w:rPr>
                <w:sz w:val="18"/>
                <w:szCs w:val="18"/>
              </w:rPr>
              <w:t>8</w:t>
            </w:r>
          </w:p>
        </w:tc>
        <w:tc>
          <w:tcPr>
            <w:tcW w:w="2096" w:type="dxa"/>
            <w:gridSpan w:val="2"/>
            <w:tcBorders>
              <w:top w:val="single" w:sz="4" w:space="0" w:color="auto"/>
              <w:left w:val="nil"/>
              <w:bottom w:val="single" w:sz="2" w:space="0" w:color="auto"/>
              <w:right w:val="nil"/>
            </w:tcBorders>
            <w:shd w:val="clear" w:color="auto" w:fill="auto"/>
            <w:vAlign w:val="center"/>
            <w:hideMark/>
          </w:tcPr>
          <w:p w14:paraId="35F319C9" w14:textId="77777777" w:rsidR="002B7E8E" w:rsidRPr="00A7327C" w:rsidRDefault="002B7E8E" w:rsidP="001916CC">
            <w:pPr>
              <w:pStyle w:val="cuatexto"/>
              <w:jc w:val="left"/>
              <w:rPr>
                <w:sz w:val="18"/>
                <w:szCs w:val="18"/>
              </w:rPr>
            </w:pPr>
            <w:r w:rsidRPr="00A7327C">
              <w:rPr>
                <w:sz w:val="18"/>
                <w:szCs w:val="18"/>
              </w:rPr>
              <w:t>Deudores</w:t>
            </w:r>
          </w:p>
        </w:tc>
        <w:tc>
          <w:tcPr>
            <w:tcW w:w="996" w:type="dxa"/>
            <w:gridSpan w:val="2"/>
            <w:tcBorders>
              <w:top w:val="single" w:sz="4" w:space="0" w:color="auto"/>
              <w:left w:val="nil"/>
              <w:bottom w:val="single" w:sz="2" w:space="0" w:color="auto"/>
              <w:right w:val="nil"/>
            </w:tcBorders>
            <w:shd w:val="clear" w:color="auto" w:fill="auto"/>
            <w:noWrap/>
            <w:vAlign w:val="center"/>
          </w:tcPr>
          <w:p w14:paraId="685804CC" w14:textId="73A695CD" w:rsidR="002B7E8E" w:rsidRPr="00A7327C" w:rsidRDefault="00974F6C" w:rsidP="003F56D1">
            <w:pPr>
              <w:pStyle w:val="cuatexto"/>
              <w:jc w:val="right"/>
              <w:rPr>
                <w:sz w:val="18"/>
                <w:szCs w:val="18"/>
              </w:rPr>
            </w:pPr>
            <w:r w:rsidRPr="00A7327C">
              <w:rPr>
                <w:sz w:val="18"/>
                <w:szCs w:val="18"/>
              </w:rPr>
              <w:t>657.395</w:t>
            </w:r>
          </w:p>
        </w:tc>
        <w:tc>
          <w:tcPr>
            <w:tcW w:w="1178" w:type="dxa"/>
            <w:tcBorders>
              <w:top w:val="single" w:sz="4" w:space="0" w:color="auto"/>
              <w:left w:val="nil"/>
              <w:bottom w:val="single" w:sz="2" w:space="0" w:color="auto"/>
              <w:right w:val="single" w:sz="2" w:space="0" w:color="auto"/>
            </w:tcBorders>
            <w:shd w:val="clear" w:color="auto" w:fill="auto"/>
            <w:noWrap/>
            <w:vAlign w:val="center"/>
          </w:tcPr>
          <w:p w14:paraId="5241155B" w14:textId="42EE191A" w:rsidR="002B7E8E" w:rsidRPr="00A7327C" w:rsidRDefault="00974F6C" w:rsidP="003F56D1">
            <w:pPr>
              <w:pStyle w:val="cuatexto"/>
              <w:jc w:val="right"/>
              <w:rPr>
                <w:sz w:val="18"/>
                <w:szCs w:val="18"/>
              </w:rPr>
            </w:pPr>
            <w:r w:rsidRPr="00A7327C">
              <w:rPr>
                <w:sz w:val="18"/>
                <w:szCs w:val="18"/>
              </w:rPr>
              <w:t>395.606</w:t>
            </w:r>
          </w:p>
        </w:tc>
        <w:tc>
          <w:tcPr>
            <w:tcW w:w="252" w:type="dxa"/>
            <w:tcBorders>
              <w:top w:val="single" w:sz="4" w:space="0" w:color="auto"/>
              <w:left w:val="single" w:sz="2" w:space="0" w:color="auto"/>
              <w:bottom w:val="single" w:sz="2" w:space="0" w:color="auto"/>
            </w:tcBorders>
            <w:shd w:val="clear" w:color="auto" w:fill="auto"/>
            <w:vAlign w:val="center"/>
          </w:tcPr>
          <w:p w14:paraId="1B87E3DE" w14:textId="11EF54CA" w:rsidR="002B7E8E" w:rsidRPr="00A7327C" w:rsidRDefault="002B7E8E" w:rsidP="003F56D1">
            <w:pPr>
              <w:pStyle w:val="cuatexto"/>
              <w:rPr>
                <w:sz w:val="18"/>
                <w:szCs w:val="18"/>
              </w:rPr>
            </w:pPr>
          </w:p>
        </w:tc>
        <w:tc>
          <w:tcPr>
            <w:tcW w:w="1827" w:type="dxa"/>
            <w:gridSpan w:val="2"/>
            <w:tcBorders>
              <w:top w:val="single" w:sz="4" w:space="0" w:color="auto"/>
              <w:bottom w:val="single" w:sz="2" w:space="0" w:color="auto"/>
              <w:right w:val="nil"/>
            </w:tcBorders>
            <w:shd w:val="clear" w:color="auto" w:fill="auto"/>
            <w:vAlign w:val="center"/>
          </w:tcPr>
          <w:p w14:paraId="5ACC0957" w14:textId="1F9428D6" w:rsidR="002B7E8E" w:rsidRPr="00A7327C" w:rsidRDefault="002B7E8E" w:rsidP="003F56D1">
            <w:pPr>
              <w:pStyle w:val="cuatexto"/>
              <w:rPr>
                <w:sz w:val="18"/>
                <w:szCs w:val="18"/>
              </w:rPr>
            </w:pPr>
          </w:p>
        </w:tc>
        <w:tc>
          <w:tcPr>
            <w:tcW w:w="992" w:type="dxa"/>
            <w:gridSpan w:val="2"/>
            <w:tcBorders>
              <w:top w:val="single" w:sz="4" w:space="0" w:color="auto"/>
              <w:left w:val="nil"/>
              <w:bottom w:val="single" w:sz="2" w:space="0" w:color="auto"/>
              <w:right w:val="nil"/>
            </w:tcBorders>
            <w:shd w:val="clear" w:color="auto" w:fill="auto"/>
            <w:noWrap/>
            <w:vAlign w:val="center"/>
          </w:tcPr>
          <w:p w14:paraId="584806F2" w14:textId="4A55EFC7" w:rsidR="002B7E8E" w:rsidRPr="00A7327C" w:rsidRDefault="002B7E8E" w:rsidP="00C845DD">
            <w:pPr>
              <w:pStyle w:val="cuatexto"/>
              <w:jc w:val="right"/>
              <w:rPr>
                <w:sz w:val="18"/>
                <w:szCs w:val="18"/>
              </w:rPr>
            </w:pPr>
          </w:p>
        </w:tc>
        <w:tc>
          <w:tcPr>
            <w:tcW w:w="1137" w:type="dxa"/>
            <w:tcBorders>
              <w:top w:val="single" w:sz="4" w:space="0" w:color="auto"/>
              <w:left w:val="nil"/>
              <w:bottom w:val="single" w:sz="2" w:space="0" w:color="auto"/>
              <w:right w:val="nil"/>
            </w:tcBorders>
            <w:shd w:val="clear" w:color="auto" w:fill="auto"/>
            <w:noWrap/>
            <w:vAlign w:val="center"/>
          </w:tcPr>
          <w:p w14:paraId="46D16DB7" w14:textId="183BD48D" w:rsidR="002B7E8E" w:rsidRPr="00A7327C" w:rsidRDefault="002B7E8E" w:rsidP="00C845DD">
            <w:pPr>
              <w:pStyle w:val="cuatexto"/>
              <w:jc w:val="right"/>
              <w:rPr>
                <w:sz w:val="18"/>
                <w:szCs w:val="18"/>
              </w:rPr>
            </w:pPr>
          </w:p>
        </w:tc>
      </w:tr>
      <w:tr w:rsidR="002B7E8E" w:rsidRPr="00A7327C" w14:paraId="73C01607" w14:textId="77777777" w:rsidTr="00AA2EFA">
        <w:trPr>
          <w:trHeight w:val="198"/>
          <w:jc w:val="center"/>
        </w:trPr>
        <w:tc>
          <w:tcPr>
            <w:tcW w:w="311" w:type="dxa"/>
            <w:tcBorders>
              <w:top w:val="single" w:sz="2" w:space="0" w:color="auto"/>
              <w:left w:val="nil"/>
              <w:bottom w:val="single" w:sz="4" w:space="0" w:color="auto"/>
              <w:right w:val="nil"/>
            </w:tcBorders>
            <w:shd w:val="clear" w:color="auto" w:fill="auto"/>
            <w:vAlign w:val="center"/>
            <w:hideMark/>
          </w:tcPr>
          <w:p w14:paraId="2B2B7304" w14:textId="77777777" w:rsidR="002B7E8E" w:rsidRPr="00A7327C" w:rsidRDefault="002B7E8E" w:rsidP="003F56D1">
            <w:pPr>
              <w:pStyle w:val="cuatexto"/>
              <w:rPr>
                <w:sz w:val="18"/>
                <w:szCs w:val="18"/>
              </w:rPr>
            </w:pPr>
            <w:r w:rsidRPr="00A7327C">
              <w:rPr>
                <w:sz w:val="18"/>
                <w:szCs w:val="18"/>
              </w:rPr>
              <w:t>9</w:t>
            </w:r>
          </w:p>
        </w:tc>
        <w:tc>
          <w:tcPr>
            <w:tcW w:w="2096" w:type="dxa"/>
            <w:gridSpan w:val="2"/>
            <w:tcBorders>
              <w:top w:val="single" w:sz="2" w:space="0" w:color="auto"/>
              <w:left w:val="nil"/>
              <w:bottom w:val="single" w:sz="4" w:space="0" w:color="auto"/>
              <w:right w:val="nil"/>
            </w:tcBorders>
            <w:shd w:val="clear" w:color="auto" w:fill="auto"/>
            <w:vAlign w:val="center"/>
            <w:hideMark/>
          </w:tcPr>
          <w:p w14:paraId="620DFFCA" w14:textId="77777777" w:rsidR="002B7E8E" w:rsidRPr="00A7327C" w:rsidRDefault="002B7E8E" w:rsidP="001916CC">
            <w:pPr>
              <w:pStyle w:val="cuatexto"/>
              <w:jc w:val="left"/>
              <w:rPr>
                <w:sz w:val="18"/>
                <w:szCs w:val="18"/>
              </w:rPr>
            </w:pPr>
            <w:r w:rsidRPr="00A7327C">
              <w:rPr>
                <w:sz w:val="18"/>
                <w:szCs w:val="18"/>
              </w:rPr>
              <w:t>Cuentas financieras</w:t>
            </w:r>
          </w:p>
        </w:tc>
        <w:tc>
          <w:tcPr>
            <w:tcW w:w="996" w:type="dxa"/>
            <w:gridSpan w:val="2"/>
            <w:tcBorders>
              <w:top w:val="single" w:sz="2" w:space="0" w:color="auto"/>
              <w:left w:val="nil"/>
              <w:bottom w:val="single" w:sz="4" w:space="0" w:color="auto"/>
              <w:right w:val="nil"/>
            </w:tcBorders>
            <w:shd w:val="clear" w:color="auto" w:fill="auto"/>
            <w:noWrap/>
            <w:vAlign w:val="center"/>
          </w:tcPr>
          <w:p w14:paraId="28EC34C8" w14:textId="0C958F94" w:rsidR="002B7E8E" w:rsidRPr="00A7327C" w:rsidRDefault="00974F6C" w:rsidP="003F56D1">
            <w:pPr>
              <w:pStyle w:val="cuatexto"/>
              <w:jc w:val="right"/>
              <w:rPr>
                <w:sz w:val="18"/>
                <w:szCs w:val="18"/>
              </w:rPr>
            </w:pPr>
            <w:r w:rsidRPr="00A7327C">
              <w:rPr>
                <w:sz w:val="18"/>
                <w:szCs w:val="18"/>
              </w:rPr>
              <w:t>86.883</w:t>
            </w:r>
          </w:p>
        </w:tc>
        <w:tc>
          <w:tcPr>
            <w:tcW w:w="1178" w:type="dxa"/>
            <w:tcBorders>
              <w:top w:val="single" w:sz="2" w:space="0" w:color="auto"/>
              <w:left w:val="nil"/>
              <w:bottom w:val="single" w:sz="4" w:space="0" w:color="auto"/>
              <w:right w:val="single" w:sz="2" w:space="0" w:color="auto"/>
            </w:tcBorders>
            <w:shd w:val="clear" w:color="auto" w:fill="auto"/>
            <w:noWrap/>
            <w:vAlign w:val="center"/>
          </w:tcPr>
          <w:p w14:paraId="60BA69E8" w14:textId="6E6CE390" w:rsidR="002B7E8E" w:rsidRPr="00A7327C" w:rsidRDefault="00974F6C" w:rsidP="003F56D1">
            <w:pPr>
              <w:pStyle w:val="cuatexto"/>
              <w:jc w:val="right"/>
              <w:rPr>
                <w:sz w:val="18"/>
                <w:szCs w:val="18"/>
              </w:rPr>
            </w:pPr>
            <w:r w:rsidRPr="00A7327C">
              <w:rPr>
                <w:sz w:val="18"/>
                <w:szCs w:val="18"/>
              </w:rPr>
              <w:t>99.588</w:t>
            </w:r>
          </w:p>
        </w:tc>
        <w:tc>
          <w:tcPr>
            <w:tcW w:w="252" w:type="dxa"/>
            <w:tcBorders>
              <w:top w:val="single" w:sz="2" w:space="0" w:color="auto"/>
              <w:left w:val="single" w:sz="2" w:space="0" w:color="auto"/>
              <w:bottom w:val="single" w:sz="4" w:space="0" w:color="auto"/>
            </w:tcBorders>
            <w:shd w:val="clear" w:color="auto" w:fill="auto"/>
            <w:vAlign w:val="center"/>
            <w:hideMark/>
          </w:tcPr>
          <w:p w14:paraId="1DB36F4A" w14:textId="77777777" w:rsidR="002B7E8E" w:rsidRPr="00A7327C" w:rsidRDefault="002B7E8E" w:rsidP="003F56D1">
            <w:pPr>
              <w:pStyle w:val="cuatexto"/>
              <w:rPr>
                <w:sz w:val="18"/>
                <w:szCs w:val="18"/>
              </w:rPr>
            </w:pPr>
            <w:r w:rsidRPr="00A7327C">
              <w:rPr>
                <w:sz w:val="18"/>
                <w:szCs w:val="18"/>
              </w:rPr>
              <w:t> </w:t>
            </w:r>
          </w:p>
        </w:tc>
        <w:tc>
          <w:tcPr>
            <w:tcW w:w="1827" w:type="dxa"/>
            <w:gridSpan w:val="2"/>
            <w:tcBorders>
              <w:top w:val="single" w:sz="2" w:space="0" w:color="auto"/>
              <w:bottom w:val="single" w:sz="4" w:space="0" w:color="auto"/>
              <w:right w:val="nil"/>
            </w:tcBorders>
            <w:shd w:val="clear" w:color="auto" w:fill="auto"/>
            <w:vAlign w:val="center"/>
            <w:hideMark/>
          </w:tcPr>
          <w:p w14:paraId="28D17827" w14:textId="77777777" w:rsidR="002B7E8E" w:rsidRPr="00A7327C" w:rsidRDefault="002B7E8E" w:rsidP="003F56D1">
            <w:pPr>
              <w:pStyle w:val="cuatexto"/>
              <w:rPr>
                <w:sz w:val="18"/>
                <w:szCs w:val="18"/>
              </w:rPr>
            </w:pPr>
            <w:r w:rsidRPr="00A7327C">
              <w:rPr>
                <w:sz w:val="18"/>
                <w:szCs w:val="18"/>
              </w:rPr>
              <w:t> </w:t>
            </w:r>
          </w:p>
        </w:tc>
        <w:tc>
          <w:tcPr>
            <w:tcW w:w="992" w:type="dxa"/>
            <w:gridSpan w:val="2"/>
            <w:tcBorders>
              <w:top w:val="single" w:sz="2" w:space="0" w:color="auto"/>
              <w:left w:val="nil"/>
              <w:bottom w:val="single" w:sz="4" w:space="0" w:color="auto"/>
              <w:right w:val="nil"/>
            </w:tcBorders>
            <w:shd w:val="clear" w:color="auto" w:fill="auto"/>
            <w:noWrap/>
            <w:vAlign w:val="center"/>
            <w:hideMark/>
          </w:tcPr>
          <w:p w14:paraId="5D86C630" w14:textId="77777777" w:rsidR="002B7E8E" w:rsidRPr="00A7327C" w:rsidRDefault="002B7E8E" w:rsidP="00C845DD">
            <w:pPr>
              <w:pStyle w:val="cuatexto"/>
              <w:jc w:val="right"/>
              <w:rPr>
                <w:sz w:val="18"/>
                <w:szCs w:val="18"/>
              </w:rPr>
            </w:pPr>
            <w:r w:rsidRPr="00A7327C">
              <w:rPr>
                <w:sz w:val="18"/>
                <w:szCs w:val="18"/>
              </w:rPr>
              <w:t> </w:t>
            </w:r>
          </w:p>
        </w:tc>
        <w:tc>
          <w:tcPr>
            <w:tcW w:w="1137" w:type="dxa"/>
            <w:tcBorders>
              <w:top w:val="single" w:sz="2" w:space="0" w:color="auto"/>
              <w:left w:val="nil"/>
              <w:bottom w:val="single" w:sz="4" w:space="0" w:color="auto"/>
              <w:right w:val="nil"/>
            </w:tcBorders>
            <w:shd w:val="clear" w:color="auto" w:fill="auto"/>
            <w:vAlign w:val="center"/>
          </w:tcPr>
          <w:p w14:paraId="66204FF1" w14:textId="77777777" w:rsidR="002B7E8E" w:rsidRPr="00A7327C" w:rsidRDefault="002B7E8E" w:rsidP="00C845DD">
            <w:pPr>
              <w:pStyle w:val="cuatexto"/>
              <w:jc w:val="right"/>
              <w:rPr>
                <w:sz w:val="18"/>
                <w:szCs w:val="18"/>
              </w:rPr>
            </w:pPr>
          </w:p>
        </w:tc>
      </w:tr>
      <w:tr w:rsidR="002B7E8E" w:rsidRPr="003F56D1" w14:paraId="05700AB1" w14:textId="77777777" w:rsidTr="00AA2EFA">
        <w:trPr>
          <w:trHeight w:val="255"/>
          <w:jc w:val="center"/>
        </w:trPr>
        <w:tc>
          <w:tcPr>
            <w:tcW w:w="311" w:type="dxa"/>
            <w:tcBorders>
              <w:top w:val="single" w:sz="4" w:space="0" w:color="auto"/>
              <w:left w:val="nil"/>
              <w:bottom w:val="single" w:sz="4" w:space="0" w:color="auto"/>
              <w:right w:val="nil"/>
            </w:tcBorders>
            <w:shd w:val="clear" w:color="auto" w:fill="FABF8F"/>
            <w:vAlign w:val="center"/>
            <w:hideMark/>
          </w:tcPr>
          <w:p w14:paraId="29D6B04F" w14:textId="77777777" w:rsidR="002B7E8E" w:rsidRPr="003F56D1" w:rsidRDefault="002B7E8E" w:rsidP="003F56D1">
            <w:pPr>
              <w:pStyle w:val="cuadroCabe"/>
            </w:pPr>
            <w:r w:rsidRPr="003F56D1">
              <w:t xml:space="preserve"> </w:t>
            </w:r>
          </w:p>
        </w:tc>
        <w:tc>
          <w:tcPr>
            <w:tcW w:w="1779" w:type="dxa"/>
            <w:tcBorders>
              <w:top w:val="single" w:sz="4" w:space="0" w:color="auto"/>
              <w:left w:val="nil"/>
              <w:bottom w:val="single" w:sz="4" w:space="0" w:color="auto"/>
              <w:right w:val="nil"/>
            </w:tcBorders>
            <w:shd w:val="clear" w:color="auto" w:fill="FABF8F"/>
            <w:vAlign w:val="center"/>
            <w:hideMark/>
          </w:tcPr>
          <w:p w14:paraId="07131B4D" w14:textId="48566CC5" w:rsidR="002B7E8E" w:rsidRPr="003F56D1" w:rsidRDefault="347EDC65" w:rsidP="00EF4A6F">
            <w:pPr>
              <w:pStyle w:val="cuadroCabe"/>
              <w:jc w:val="left"/>
            </w:pPr>
            <w:r w:rsidRPr="003F56D1">
              <w:t>Total,</w:t>
            </w:r>
            <w:r w:rsidR="002B7E8E" w:rsidRPr="003F56D1">
              <w:t xml:space="preserve"> Activo</w:t>
            </w:r>
          </w:p>
        </w:tc>
        <w:tc>
          <w:tcPr>
            <w:tcW w:w="1245" w:type="dxa"/>
            <w:gridSpan w:val="2"/>
            <w:tcBorders>
              <w:top w:val="single" w:sz="4" w:space="0" w:color="auto"/>
              <w:left w:val="nil"/>
              <w:bottom w:val="single" w:sz="4" w:space="0" w:color="auto"/>
              <w:right w:val="nil"/>
            </w:tcBorders>
            <w:shd w:val="clear" w:color="auto" w:fill="FABF8F"/>
            <w:noWrap/>
            <w:vAlign w:val="center"/>
          </w:tcPr>
          <w:p w14:paraId="2C5ED4C3" w14:textId="3C799DDC" w:rsidR="002B7E8E" w:rsidRPr="003F56D1" w:rsidRDefault="00974F6C" w:rsidP="003F56D1">
            <w:pPr>
              <w:pStyle w:val="cuadroCabe"/>
              <w:jc w:val="right"/>
            </w:pPr>
            <w:r w:rsidRPr="003F56D1">
              <w:t>3.459.103</w:t>
            </w:r>
          </w:p>
        </w:tc>
        <w:tc>
          <w:tcPr>
            <w:tcW w:w="1246" w:type="dxa"/>
            <w:gridSpan w:val="2"/>
            <w:tcBorders>
              <w:top w:val="single" w:sz="4" w:space="0" w:color="auto"/>
              <w:left w:val="nil"/>
              <w:bottom w:val="single" w:sz="4" w:space="0" w:color="auto"/>
              <w:right w:val="single" w:sz="2" w:space="0" w:color="auto"/>
            </w:tcBorders>
            <w:shd w:val="clear" w:color="auto" w:fill="FABF8F"/>
            <w:noWrap/>
            <w:vAlign w:val="center"/>
          </w:tcPr>
          <w:p w14:paraId="7EB3B829" w14:textId="40585789" w:rsidR="002B7E8E" w:rsidRPr="003F56D1" w:rsidRDefault="00974F6C" w:rsidP="003F56D1">
            <w:pPr>
              <w:pStyle w:val="cuadroCabe"/>
              <w:jc w:val="right"/>
            </w:pPr>
            <w:r w:rsidRPr="003F56D1">
              <w:t>3.526.744</w:t>
            </w:r>
          </w:p>
        </w:tc>
        <w:tc>
          <w:tcPr>
            <w:tcW w:w="252" w:type="dxa"/>
            <w:tcBorders>
              <w:top w:val="single" w:sz="4" w:space="0" w:color="auto"/>
              <w:left w:val="single" w:sz="2" w:space="0" w:color="auto"/>
              <w:bottom w:val="single" w:sz="4" w:space="0" w:color="auto"/>
            </w:tcBorders>
            <w:shd w:val="clear" w:color="auto" w:fill="FABF8F"/>
            <w:vAlign w:val="center"/>
          </w:tcPr>
          <w:p w14:paraId="0A6959E7" w14:textId="5F162D0F" w:rsidR="002B7E8E" w:rsidRPr="003F56D1" w:rsidRDefault="002B7E8E" w:rsidP="003F56D1">
            <w:pPr>
              <w:pStyle w:val="cuadroCabe"/>
            </w:pPr>
          </w:p>
        </w:tc>
        <w:tc>
          <w:tcPr>
            <w:tcW w:w="1303" w:type="dxa"/>
            <w:tcBorders>
              <w:top w:val="single" w:sz="4" w:space="0" w:color="auto"/>
              <w:bottom w:val="single" w:sz="4" w:space="0" w:color="auto"/>
              <w:right w:val="nil"/>
            </w:tcBorders>
            <w:shd w:val="clear" w:color="auto" w:fill="FABF8F"/>
            <w:vAlign w:val="center"/>
          </w:tcPr>
          <w:p w14:paraId="5629BF8F" w14:textId="07087CCB" w:rsidR="002B7E8E" w:rsidRPr="003F56D1" w:rsidRDefault="001A1A83" w:rsidP="00EF4A6F">
            <w:pPr>
              <w:pStyle w:val="cuadroCabe"/>
              <w:jc w:val="left"/>
            </w:pPr>
            <w:r w:rsidRPr="003F56D1">
              <w:t>Total pasivo</w:t>
            </w:r>
          </w:p>
        </w:tc>
        <w:tc>
          <w:tcPr>
            <w:tcW w:w="1255" w:type="dxa"/>
            <w:gridSpan w:val="2"/>
            <w:tcBorders>
              <w:top w:val="single" w:sz="4" w:space="0" w:color="auto"/>
              <w:left w:val="nil"/>
              <w:bottom w:val="single" w:sz="4" w:space="0" w:color="auto"/>
              <w:right w:val="nil"/>
            </w:tcBorders>
            <w:shd w:val="clear" w:color="auto" w:fill="FABF8F"/>
            <w:noWrap/>
            <w:vAlign w:val="center"/>
          </w:tcPr>
          <w:p w14:paraId="31E73B98" w14:textId="163564DD" w:rsidR="002B7E8E" w:rsidRPr="003F56D1" w:rsidRDefault="008C7494" w:rsidP="003F56D1">
            <w:pPr>
              <w:pStyle w:val="cuadroCabe"/>
              <w:jc w:val="right"/>
            </w:pPr>
            <w:r w:rsidRPr="003F56D1">
              <w:t>3.459.103</w:t>
            </w:r>
          </w:p>
        </w:tc>
        <w:tc>
          <w:tcPr>
            <w:tcW w:w="1398" w:type="dxa"/>
            <w:gridSpan w:val="2"/>
            <w:tcBorders>
              <w:top w:val="single" w:sz="4" w:space="0" w:color="auto"/>
              <w:left w:val="nil"/>
              <w:bottom w:val="single" w:sz="4" w:space="0" w:color="auto"/>
              <w:right w:val="nil"/>
            </w:tcBorders>
            <w:shd w:val="clear" w:color="auto" w:fill="FABF8F"/>
            <w:noWrap/>
            <w:vAlign w:val="center"/>
          </w:tcPr>
          <w:p w14:paraId="6A922862" w14:textId="7E3FBA1E" w:rsidR="002B7E8E" w:rsidRPr="003F56D1" w:rsidRDefault="008C7494" w:rsidP="003F56D1">
            <w:pPr>
              <w:pStyle w:val="cuadroCabe"/>
              <w:jc w:val="right"/>
            </w:pPr>
            <w:r w:rsidRPr="003F56D1">
              <w:t>3.526.744</w:t>
            </w:r>
          </w:p>
        </w:tc>
      </w:tr>
    </w:tbl>
    <w:p w14:paraId="02F2C34E" w14:textId="77777777" w:rsidR="002B7E8E" w:rsidRDefault="002B7E8E" w:rsidP="002B7E8E">
      <w:pPr>
        <w:keepLines/>
        <w:tabs>
          <w:tab w:val="right" w:pos="2835"/>
          <w:tab w:val="right" w:pos="3969"/>
          <w:tab w:val="right" w:pos="5103"/>
          <w:tab w:val="right" w:pos="6237"/>
          <w:tab w:val="right" w:pos="7371"/>
        </w:tabs>
        <w:spacing w:after="240"/>
        <w:rPr>
          <w:rFonts w:ascii="Arial" w:hAnsi="Arial"/>
          <w:spacing w:val="6"/>
          <w:sz w:val="18"/>
        </w:rPr>
      </w:pPr>
    </w:p>
    <w:p w14:paraId="680A4E5D" w14:textId="77777777" w:rsidR="002B7E8E" w:rsidRDefault="002B7E8E" w:rsidP="003D52CB">
      <w:pPr>
        <w:ind w:right="-142"/>
        <w:rPr>
          <w:rFonts w:ascii="Arial" w:hAnsi="Arial"/>
          <w:b/>
          <w:color w:val="000000"/>
          <w:kern w:val="28"/>
          <w:sz w:val="25"/>
          <w:szCs w:val="26"/>
        </w:rPr>
      </w:pPr>
      <w:r>
        <w:br w:type="page"/>
      </w:r>
    </w:p>
    <w:p w14:paraId="6D8A540C" w14:textId="5012489C" w:rsidR="002B7E8E" w:rsidRPr="00F20A1F" w:rsidRDefault="002B7E8E" w:rsidP="002B7E8E">
      <w:pPr>
        <w:pStyle w:val="atitulo1"/>
      </w:pPr>
      <w:bookmarkStart w:id="92" w:name="_Toc147385033"/>
      <w:bookmarkStart w:id="93" w:name="_Toc182397302"/>
      <w:r>
        <w:lastRenderedPageBreak/>
        <w:t xml:space="preserve">Apéndice 2. </w:t>
      </w:r>
      <w:bookmarkEnd w:id="92"/>
      <w:r w:rsidR="001A1A83">
        <w:t xml:space="preserve">La </w:t>
      </w:r>
      <w:r w:rsidR="003C06D0">
        <w:t>Mancomunidad</w:t>
      </w:r>
      <w:r w:rsidR="001A1A83">
        <w:t xml:space="preserve"> de Residuos Sólidos Urbanos Irati</w:t>
      </w:r>
      <w:bookmarkEnd w:id="93"/>
    </w:p>
    <w:p w14:paraId="4C93C762" w14:textId="2ABA35C7" w:rsidR="001A1A83" w:rsidRDefault="001A1A83" w:rsidP="5439CC65">
      <w:pPr>
        <w:pStyle w:val="texto"/>
        <w:tabs>
          <w:tab w:val="clear" w:pos="2835"/>
          <w:tab w:val="clear" w:pos="3969"/>
          <w:tab w:val="clear" w:pos="5103"/>
          <w:tab w:val="clear" w:pos="6237"/>
          <w:tab w:val="clear" w:pos="7371"/>
        </w:tabs>
        <w:rPr>
          <w:lang w:val="es-ES"/>
        </w:rPr>
      </w:pPr>
      <w:r w:rsidRPr="2C569507">
        <w:rPr>
          <w:lang w:val="es-ES"/>
        </w:rPr>
        <w:t xml:space="preserve">La </w:t>
      </w:r>
      <w:r w:rsidR="003C06D0">
        <w:rPr>
          <w:lang w:val="es-ES"/>
        </w:rPr>
        <w:t>Mancomunidad</w:t>
      </w:r>
      <w:r w:rsidR="00316A1E">
        <w:rPr>
          <w:lang w:val="es-ES"/>
        </w:rPr>
        <w:t xml:space="preserve"> de Residuos Sólidos Urbanos Irati</w:t>
      </w:r>
      <w:r w:rsidRPr="2C569507">
        <w:rPr>
          <w:lang w:val="es-ES"/>
        </w:rPr>
        <w:t xml:space="preserve"> es un ente local que integra a los municipios de Aoiz/Agoitz, Arce/Artzi, Ibargoiti, Izagaondoa, Lizoáin</w:t>
      </w:r>
      <w:r w:rsidR="006B7F66" w:rsidRPr="2C569507">
        <w:rPr>
          <w:lang w:val="es-ES"/>
        </w:rPr>
        <w:t>/</w:t>
      </w:r>
      <w:r w:rsidR="00B963AB">
        <w:rPr>
          <w:lang w:val="es-ES"/>
        </w:rPr>
        <w:t xml:space="preserve">Arriasgoiti, </w:t>
      </w:r>
      <w:r w:rsidRPr="2C569507">
        <w:rPr>
          <w:lang w:val="es-ES"/>
        </w:rPr>
        <w:t>Lónguida/Longida, Monreal/Elo, Unciti, Urraul Alto, Urraul Bajo y Urroz Villa.</w:t>
      </w:r>
      <w:r w:rsidR="000E9638" w:rsidRPr="2C569507">
        <w:rPr>
          <w:lang w:val="es-ES"/>
        </w:rPr>
        <w:t xml:space="preserve"> Estos 11 municipios suman un total de 5.926 habitantes</w:t>
      </w:r>
      <w:r w:rsidR="790182D8" w:rsidRPr="2C569507">
        <w:rPr>
          <w:lang w:val="es-ES"/>
        </w:rPr>
        <w:t xml:space="preserve"> a 1 de enero de 2023.</w:t>
      </w:r>
    </w:p>
    <w:p w14:paraId="0D4729A6" w14:textId="1A916B19" w:rsidR="00851225" w:rsidRDefault="00B21916" w:rsidP="00CB7B2F">
      <w:pPr>
        <w:pStyle w:val="texto"/>
        <w:tabs>
          <w:tab w:val="clear" w:pos="2835"/>
          <w:tab w:val="clear" w:pos="3969"/>
          <w:tab w:val="clear" w:pos="5103"/>
          <w:tab w:val="clear" w:pos="6237"/>
          <w:tab w:val="clear" w:pos="7371"/>
        </w:tabs>
        <w:spacing w:after="240"/>
        <w:rPr>
          <w:szCs w:val="26"/>
        </w:rPr>
      </w:pPr>
      <w:r>
        <w:rPr>
          <w:szCs w:val="26"/>
        </w:rPr>
        <w:t xml:space="preserve">En este mapa de </w:t>
      </w:r>
      <w:r w:rsidR="003C06D0">
        <w:rPr>
          <w:szCs w:val="26"/>
        </w:rPr>
        <w:t>Mancomunidad</w:t>
      </w:r>
      <w:r>
        <w:rPr>
          <w:szCs w:val="26"/>
        </w:rPr>
        <w:t xml:space="preserve">es de residuos de Navarra, puede observarse la situación geográfica de la </w:t>
      </w:r>
      <w:r w:rsidR="003C06D0">
        <w:rPr>
          <w:szCs w:val="26"/>
        </w:rPr>
        <w:t>Mancomunidad</w:t>
      </w:r>
      <w:r>
        <w:rPr>
          <w:szCs w:val="26"/>
        </w:rPr>
        <w:t xml:space="preserve"> Irati.</w:t>
      </w:r>
    </w:p>
    <w:p w14:paraId="5BD7378D" w14:textId="72105DDF" w:rsidR="00851225" w:rsidRDefault="00851225" w:rsidP="00E41B53">
      <w:pPr>
        <w:pStyle w:val="texto"/>
        <w:tabs>
          <w:tab w:val="clear" w:pos="2835"/>
          <w:tab w:val="clear" w:pos="3969"/>
          <w:tab w:val="clear" w:pos="5103"/>
          <w:tab w:val="clear" w:pos="6237"/>
          <w:tab w:val="clear" w:pos="7371"/>
        </w:tabs>
        <w:ind w:firstLine="0"/>
        <w:rPr>
          <w:szCs w:val="26"/>
        </w:rPr>
      </w:pPr>
      <w:r>
        <w:rPr>
          <w:noProof/>
          <w:lang w:val="es-ES" w:eastAsia="es-ES"/>
        </w:rPr>
        <w:drawing>
          <wp:inline distT="0" distB="0" distL="0" distR="0" wp14:anchorId="66221B4A" wp14:editId="4324B70F">
            <wp:extent cx="5580061" cy="3532554"/>
            <wp:effectExtent l="0" t="0" r="1905" b="0"/>
            <wp:docPr id="8" name="Imagen 8" descr="Traperos de Emaús – Qué hace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peros de Emaús – Qué hacem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1955" cy="3540083"/>
                    </a:xfrm>
                    <a:prstGeom prst="rect">
                      <a:avLst/>
                    </a:prstGeom>
                    <a:noFill/>
                    <a:ln>
                      <a:noFill/>
                    </a:ln>
                  </pic:spPr>
                </pic:pic>
              </a:graphicData>
            </a:graphic>
          </wp:inline>
        </w:drawing>
      </w:r>
    </w:p>
    <w:p w14:paraId="5C54D4F7" w14:textId="473AC0F6" w:rsidR="001A1A83" w:rsidRDefault="001A1A83" w:rsidP="00CB7B2F">
      <w:pPr>
        <w:pStyle w:val="texto"/>
        <w:tabs>
          <w:tab w:val="clear" w:pos="2835"/>
          <w:tab w:val="clear" w:pos="3969"/>
          <w:tab w:val="clear" w:pos="5103"/>
          <w:tab w:val="clear" w:pos="6237"/>
          <w:tab w:val="clear" w:pos="7371"/>
        </w:tabs>
        <w:spacing w:before="240"/>
      </w:pPr>
      <w:r>
        <w:t xml:space="preserve">Los estatutos de la </w:t>
      </w:r>
      <w:r w:rsidR="003C06D0">
        <w:t>Mancomunidad</w:t>
      </w:r>
      <w:r>
        <w:t xml:space="preserve"> se publicaron en el BON de 8 de febrero de 1993.</w:t>
      </w:r>
      <w:r w:rsidR="00E10B4F">
        <w:t xml:space="preserve"> No se incluye el municipio de Monreal como integrante de la </w:t>
      </w:r>
      <w:r w:rsidR="003C06D0">
        <w:t>Mancomunidad</w:t>
      </w:r>
      <w:r w:rsidR="00E10B4F">
        <w:t>.</w:t>
      </w:r>
      <w:r w:rsidR="00F7703C">
        <w:t xml:space="preserve"> </w:t>
      </w:r>
      <w:r w:rsidR="00B74043">
        <w:t xml:space="preserve"> </w:t>
      </w:r>
    </w:p>
    <w:p w14:paraId="3D7AE3D1" w14:textId="6AAD783C" w:rsidR="001A1A83" w:rsidRPr="00CF2CE0" w:rsidRDefault="001A1A83" w:rsidP="001A1A83">
      <w:pPr>
        <w:pStyle w:val="texto"/>
        <w:tabs>
          <w:tab w:val="clear" w:pos="2835"/>
          <w:tab w:val="clear" w:pos="3969"/>
          <w:tab w:val="clear" w:pos="5103"/>
          <w:tab w:val="clear" w:pos="6237"/>
          <w:tab w:val="clear" w:pos="7371"/>
        </w:tabs>
        <w:rPr>
          <w:color w:val="FF0000"/>
        </w:rPr>
      </w:pPr>
      <w:r>
        <w:t xml:space="preserve">El objeto de la </w:t>
      </w:r>
      <w:r w:rsidR="003C06D0">
        <w:t>Mancomunidad</w:t>
      </w:r>
      <w:r>
        <w:t xml:space="preserve"> es la recogida y el tratamiento de los residuos sólidos urbanos de </w:t>
      </w:r>
      <w:r w:rsidR="00CF2CE0">
        <w:t xml:space="preserve">los municipios que la componen. </w:t>
      </w:r>
    </w:p>
    <w:p w14:paraId="2E82ABD5" w14:textId="6E46A61A" w:rsidR="001A1A83" w:rsidRPr="00A96D89" w:rsidRDefault="001A1A83" w:rsidP="22DE07A6">
      <w:pPr>
        <w:pStyle w:val="texto"/>
        <w:tabs>
          <w:tab w:val="clear" w:pos="2835"/>
          <w:tab w:val="clear" w:pos="3969"/>
          <w:tab w:val="clear" w:pos="5103"/>
          <w:tab w:val="clear" w:pos="6237"/>
          <w:tab w:val="clear" w:pos="7371"/>
        </w:tabs>
        <w:rPr>
          <w:lang w:val="es-ES"/>
        </w:rPr>
      </w:pPr>
      <w:r w:rsidRPr="2C569507">
        <w:rPr>
          <w:lang w:val="es-ES"/>
        </w:rPr>
        <w:t xml:space="preserve">El órgano representativo es la </w:t>
      </w:r>
      <w:r w:rsidR="00F41013">
        <w:rPr>
          <w:lang w:val="es-ES"/>
        </w:rPr>
        <w:t>a</w:t>
      </w:r>
      <w:r w:rsidR="00F41013" w:rsidRPr="2C569507">
        <w:rPr>
          <w:lang w:val="es-ES"/>
        </w:rPr>
        <w:t xml:space="preserve">samblea </w:t>
      </w:r>
      <w:r w:rsidRPr="2C569507">
        <w:rPr>
          <w:lang w:val="es-ES"/>
        </w:rPr>
        <w:t>general. Los órganos de gobierno son la presidenta, el vicepresidente/a y la comisión permanente</w:t>
      </w:r>
      <w:r w:rsidR="16236D7B" w:rsidRPr="2C569507">
        <w:rPr>
          <w:lang w:val="es-ES"/>
        </w:rPr>
        <w:t xml:space="preserve">. La </w:t>
      </w:r>
      <w:r w:rsidR="00F41013">
        <w:rPr>
          <w:lang w:val="es-ES"/>
        </w:rPr>
        <w:t>c</w:t>
      </w:r>
      <w:r w:rsidR="00F41013" w:rsidRPr="2C569507">
        <w:rPr>
          <w:lang w:val="es-ES"/>
        </w:rPr>
        <w:t xml:space="preserve">omisión </w:t>
      </w:r>
      <w:r w:rsidR="00F41013">
        <w:rPr>
          <w:lang w:val="es-ES"/>
        </w:rPr>
        <w:t>p</w:t>
      </w:r>
      <w:r w:rsidR="00F41013" w:rsidRPr="2C569507">
        <w:rPr>
          <w:lang w:val="es-ES"/>
        </w:rPr>
        <w:t xml:space="preserve">ermanente </w:t>
      </w:r>
      <w:r w:rsidR="16236D7B" w:rsidRPr="2C569507">
        <w:rPr>
          <w:lang w:val="es-ES"/>
        </w:rPr>
        <w:t xml:space="preserve">es el órgano de </w:t>
      </w:r>
      <w:r w:rsidR="60E826AE" w:rsidRPr="2C569507">
        <w:rPr>
          <w:lang w:val="es-ES"/>
        </w:rPr>
        <w:t>gobierno</w:t>
      </w:r>
      <w:r w:rsidR="16236D7B" w:rsidRPr="2C569507">
        <w:rPr>
          <w:lang w:val="es-ES"/>
        </w:rPr>
        <w:t xml:space="preserve"> y gestión de la </w:t>
      </w:r>
      <w:r w:rsidR="003C06D0">
        <w:rPr>
          <w:lang w:val="es-ES"/>
        </w:rPr>
        <w:t>Mancomunidad</w:t>
      </w:r>
      <w:r w:rsidR="16236D7B" w:rsidRPr="2C569507">
        <w:rPr>
          <w:lang w:val="es-ES"/>
        </w:rPr>
        <w:t xml:space="preserve"> y está compuesta por la presidenta, el vicepresidente, </w:t>
      </w:r>
      <w:r w:rsidR="705527F2" w:rsidRPr="2C569507">
        <w:rPr>
          <w:lang w:val="es-ES"/>
        </w:rPr>
        <w:t>el secretario-interventor, sin voto, y un representante del municipio donde se ubique el vertedero o planta y dos vocales designados por la asamblea.</w:t>
      </w:r>
    </w:p>
    <w:p w14:paraId="6606DB39" w14:textId="08B20860" w:rsidR="001A1A83" w:rsidRDefault="00B74043" w:rsidP="2C569507">
      <w:pPr>
        <w:pStyle w:val="texto"/>
        <w:tabs>
          <w:tab w:val="clear" w:pos="2835"/>
          <w:tab w:val="clear" w:pos="3969"/>
          <w:tab w:val="clear" w:pos="5103"/>
          <w:tab w:val="clear" w:pos="6237"/>
          <w:tab w:val="clear" w:pos="7371"/>
        </w:tabs>
        <w:rPr>
          <w:lang w:val="es-ES"/>
        </w:rPr>
      </w:pPr>
      <w:r>
        <w:lastRenderedPageBreak/>
        <w:t xml:space="preserve">Los estatutos no recogen </w:t>
      </w:r>
      <w:r w:rsidR="00F41013">
        <w:t xml:space="preserve">disposiciones sobre el </w:t>
      </w:r>
      <w:r>
        <w:t>personal</w:t>
      </w:r>
      <w:r w:rsidR="00F41013">
        <w:t xml:space="preserve"> que</w:t>
      </w:r>
      <w:r>
        <w:t xml:space="preserve"> integra la </w:t>
      </w:r>
      <w:r w:rsidR="003C06D0">
        <w:t>Mancomunidad</w:t>
      </w:r>
      <w:r w:rsidR="002E2ECB">
        <w:t>, salvo el secretario-interventor.</w:t>
      </w:r>
      <w:r w:rsidR="3C817B5B">
        <w:t xml:space="preserve"> </w:t>
      </w:r>
    </w:p>
    <w:p w14:paraId="30151989" w14:textId="33532679" w:rsidR="001A1A83" w:rsidRPr="00A37E8D" w:rsidRDefault="001A1A83" w:rsidP="00CB7B2F">
      <w:pPr>
        <w:pStyle w:val="texto"/>
        <w:tabs>
          <w:tab w:val="clear" w:pos="2835"/>
          <w:tab w:val="clear" w:pos="3969"/>
          <w:tab w:val="clear" w:pos="5103"/>
          <w:tab w:val="clear" w:pos="6237"/>
          <w:tab w:val="clear" w:pos="7371"/>
        </w:tabs>
        <w:spacing w:after="240"/>
      </w:pPr>
      <w:r>
        <w:t xml:space="preserve">Los principales datos económicos y de personal de la </w:t>
      </w:r>
      <w:r w:rsidR="003C06D0">
        <w:t>Mancomunidad</w:t>
      </w:r>
      <w:r>
        <w:t xml:space="preserve"> al cierre del ejercicio 2023, son los siguientes:</w:t>
      </w:r>
      <w:r w:rsidR="0022236F">
        <w:t xml:space="preserve"> </w:t>
      </w:r>
    </w:p>
    <w:tbl>
      <w:tblPr>
        <w:tblW w:w="8789" w:type="dxa"/>
        <w:jc w:val="center"/>
        <w:tblCellMar>
          <w:top w:w="28" w:type="dxa"/>
        </w:tblCellMar>
        <w:tblLook w:val="01E0" w:firstRow="1" w:lastRow="1" w:firstColumn="1" w:lastColumn="1" w:noHBand="0" w:noVBand="0"/>
      </w:tblPr>
      <w:tblGrid>
        <w:gridCol w:w="2694"/>
        <w:gridCol w:w="2031"/>
        <w:gridCol w:w="2032"/>
        <w:gridCol w:w="2032"/>
      </w:tblGrid>
      <w:tr w:rsidR="001A1A83" w:rsidRPr="003F56D1" w14:paraId="3EF5CB60" w14:textId="77777777" w:rsidTr="000C20C0">
        <w:trPr>
          <w:trHeight w:val="255"/>
          <w:jc w:val="center"/>
        </w:trPr>
        <w:tc>
          <w:tcPr>
            <w:tcW w:w="2694" w:type="dxa"/>
            <w:tcBorders>
              <w:top w:val="single" w:sz="4" w:space="0" w:color="auto"/>
              <w:bottom w:val="single" w:sz="4" w:space="0" w:color="auto"/>
            </w:tcBorders>
            <w:shd w:val="clear" w:color="auto" w:fill="F4B083" w:themeFill="accent2" w:themeFillTint="99"/>
            <w:vAlign w:val="center"/>
          </w:tcPr>
          <w:p w14:paraId="348171F7" w14:textId="77777777" w:rsidR="001A1A83" w:rsidRPr="003F56D1" w:rsidRDefault="001A1A83" w:rsidP="003F56D1">
            <w:pPr>
              <w:pStyle w:val="cuadroCabe"/>
            </w:pPr>
            <w:r w:rsidRPr="003F56D1">
              <w:t>Entidad</w:t>
            </w:r>
          </w:p>
        </w:tc>
        <w:tc>
          <w:tcPr>
            <w:tcW w:w="2031" w:type="dxa"/>
            <w:tcBorders>
              <w:top w:val="single" w:sz="4" w:space="0" w:color="auto"/>
              <w:bottom w:val="single" w:sz="4" w:space="0" w:color="auto"/>
            </w:tcBorders>
            <w:shd w:val="clear" w:color="auto" w:fill="F4B083" w:themeFill="accent2" w:themeFillTint="99"/>
            <w:vAlign w:val="center"/>
          </w:tcPr>
          <w:p w14:paraId="64FDD85C" w14:textId="77777777" w:rsidR="001A1A83" w:rsidRPr="003F56D1" w:rsidRDefault="001A1A83" w:rsidP="003F56D1">
            <w:pPr>
              <w:pStyle w:val="cuadroCabe"/>
              <w:jc w:val="right"/>
            </w:pPr>
            <w:r w:rsidRPr="003F56D1">
              <w:t>Derechos</w:t>
            </w:r>
          </w:p>
          <w:p w14:paraId="79623422" w14:textId="77777777" w:rsidR="001A1A83" w:rsidRPr="003F56D1" w:rsidRDefault="001A1A83" w:rsidP="003F56D1">
            <w:pPr>
              <w:pStyle w:val="cuadroCabe"/>
              <w:jc w:val="right"/>
            </w:pPr>
            <w:r w:rsidRPr="003F56D1">
              <w:t>reconocidos</w:t>
            </w:r>
          </w:p>
        </w:tc>
        <w:tc>
          <w:tcPr>
            <w:tcW w:w="2032" w:type="dxa"/>
            <w:tcBorders>
              <w:top w:val="single" w:sz="4" w:space="0" w:color="auto"/>
              <w:bottom w:val="single" w:sz="4" w:space="0" w:color="auto"/>
            </w:tcBorders>
            <w:shd w:val="clear" w:color="auto" w:fill="F4B083" w:themeFill="accent2" w:themeFillTint="99"/>
            <w:vAlign w:val="center"/>
          </w:tcPr>
          <w:p w14:paraId="47770013" w14:textId="77777777" w:rsidR="001A1A83" w:rsidRPr="003F56D1" w:rsidRDefault="001A1A83" w:rsidP="003F56D1">
            <w:pPr>
              <w:pStyle w:val="cuadroCabe"/>
              <w:jc w:val="right"/>
            </w:pPr>
            <w:r w:rsidRPr="003F56D1">
              <w:t xml:space="preserve">Obligaciones </w:t>
            </w:r>
          </w:p>
          <w:p w14:paraId="3B4ABF54" w14:textId="77777777" w:rsidR="001A1A83" w:rsidRPr="003F56D1" w:rsidRDefault="001A1A83" w:rsidP="003F56D1">
            <w:pPr>
              <w:pStyle w:val="cuadroCabe"/>
              <w:jc w:val="right"/>
            </w:pPr>
            <w:r w:rsidRPr="003F56D1">
              <w:t>reconocidas</w:t>
            </w:r>
          </w:p>
        </w:tc>
        <w:tc>
          <w:tcPr>
            <w:tcW w:w="2032" w:type="dxa"/>
            <w:tcBorders>
              <w:top w:val="single" w:sz="4" w:space="0" w:color="auto"/>
              <w:bottom w:val="single" w:sz="4" w:space="0" w:color="auto"/>
            </w:tcBorders>
            <w:shd w:val="clear" w:color="auto" w:fill="F4B083" w:themeFill="accent2" w:themeFillTint="99"/>
            <w:vAlign w:val="center"/>
          </w:tcPr>
          <w:p w14:paraId="3D9ADEF8" w14:textId="53E5486C" w:rsidR="001A1A83" w:rsidRPr="003F56D1" w:rsidRDefault="1F6482AB" w:rsidP="003F56D1">
            <w:pPr>
              <w:pStyle w:val="cuadroCabe"/>
              <w:jc w:val="right"/>
            </w:pPr>
            <w:r w:rsidRPr="003F56D1">
              <w:t>Puestos a</w:t>
            </w:r>
            <w:r w:rsidR="001A1A83" w:rsidRPr="003F56D1">
              <w:t xml:space="preserve"> </w:t>
            </w:r>
          </w:p>
          <w:p w14:paraId="7968A7AF" w14:textId="77777777" w:rsidR="001A1A83" w:rsidRPr="003F56D1" w:rsidRDefault="001A1A83" w:rsidP="003F56D1">
            <w:pPr>
              <w:pStyle w:val="cuadroCabe"/>
              <w:jc w:val="right"/>
            </w:pPr>
            <w:r w:rsidRPr="003F56D1">
              <w:t>31-12-2023</w:t>
            </w:r>
          </w:p>
        </w:tc>
      </w:tr>
      <w:tr w:rsidR="001A1A83" w:rsidRPr="00A37E8D" w14:paraId="3E671FBC" w14:textId="77777777" w:rsidTr="000C20C0">
        <w:trPr>
          <w:trHeight w:val="198"/>
          <w:jc w:val="center"/>
        </w:trPr>
        <w:tc>
          <w:tcPr>
            <w:tcW w:w="2694" w:type="dxa"/>
            <w:tcBorders>
              <w:top w:val="single" w:sz="4" w:space="0" w:color="auto"/>
              <w:bottom w:val="single" w:sz="4" w:space="0" w:color="auto"/>
            </w:tcBorders>
            <w:shd w:val="clear" w:color="auto" w:fill="auto"/>
            <w:vAlign w:val="center"/>
          </w:tcPr>
          <w:p w14:paraId="768803CE" w14:textId="182DA6F9" w:rsidR="001A1A83" w:rsidRPr="00A37E8D" w:rsidRDefault="003C06D0" w:rsidP="003F56D1">
            <w:pPr>
              <w:pStyle w:val="cuatexto"/>
            </w:pPr>
            <w:r>
              <w:t>Mancomunidad</w:t>
            </w:r>
          </w:p>
        </w:tc>
        <w:tc>
          <w:tcPr>
            <w:tcW w:w="2031" w:type="dxa"/>
            <w:tcBorders>
              <w:top w:val="single" w:sz="4" w:space="0" w:color="auto"/>
              <w:bottom w:val="single" w:sz="4" w:space="0" w:color="auto"/>
            </w:tcBorders>
            <w:shd w:val="clear" w:color="auto" w:fill="auto"/>
            <w:vAlign w:val="center"/>
          </w:tcPr>
          <w:p w14:paraId="5B06DF2F" w14:textId="77777777" w:rsidR="001A1A83" w:rsidRPr="00A37E8D" w:rsidRDefault="001A1A83" w:rsidP="003F56D1">
            <w:pPr>
              <w:pStyle w:val="cuatexto"/>
              <w:jc w:val="right"/>
            </w:pPr>
            <w:r>
              <w:t>712.356</w:t>
            </w:r>
          </w:p>
        </w:tc>
        <w:tc>
          <w:tcPr>
            <w:tcW w:w="2032" w:type="dxa"/>
            <w:tcBorders>
              <w:top w:val="single" w:sz="4" w:space="0" w:color="auto"/>
              <w:bottom w:val="single" w:sz="4" w:space="0" w:color="auto"/>
            </w:tcBorders>
            <w:shd w:val="clear" w:color="auto" w:fill="auto"/>
            <w:vAlign w:val="center"/>
          </w:tcPr>
          <w:p w14:paraId="31ACF6E6" w14:textId="77777777" w:rsidR="001A1A83" w:rsidRPr="00A37E8D" w:rsidRDefault="001A1A83" w:rsidP="003F56D1">
            <w:pPr>
              <w:pStyle w:val="cuatexto"/>
              <w:jc w:val="right"/>
            </w:pPr>
            <w:r>
              <w:t>758.345</w:t>
            </w:r>
          </w:p>
        </w:tc>
        <w:tc>
          <w:tcPr>
            <w:tcW w:w="2032" w:type="dxa"/>
            <w:tcBorders>
              <w:top w:val="single" w:sz="4" w:space="0" w:color="auto"/>
              <w:bottom w:val="single" w:sz="4" w:space="0" w:color="auto"/>
            </w:tcBorders>
            <w:shd w:val="clear" w:color="auto" w:fill="auto"/>
            <w:vAlign w:val="center"/>
          </w:tcPr>
          <w:p w14:paraId="5388B3D0" w14:textId="103B2B46" w:rsidR="001A1A83" w:rsidRPr="00A37E8D" w:rsidRDefault="000939B4" w:rsidP="003F56D1">
            <w:pPr>
              <w:pStyle w:val="cuatexto"/>
              <w:jc w:val="right"/>
            </w:pPr>
            <w:r>
              <w:t>8</w:t>
            </w:r>
          </w:p>
        </w:tc>
      </w:tr>
    </w:tbl>
    <w:p w14:paraId="5968C339" w14:textId="74FBEF6C" w:rsidR="00D93B26" w:rsidRPr="00F41013" w:rsidRDefault="002E2ECB" w:rsidP="00CB7B2F">
      <w:pPr>
        <w:pStyle w:val="texto"/>
        <w:tabs>
          <w:tab w:val="clear" w:pos="2835"/>
          <w:tab w:val="clear" w:pos="3969"/>
          <w:tab w:val="clear" w:pos="5103"/>
          <w:tab w:val="clear" w:pos="6237"/>
          <w:tab w:val="clear" w:pos="7371"/>
        </w:tabs>
        <w:spacing w:before="240" w:after="120"/>
      </w:pPr>
      <w:r w:rsidRPr="2C569507">
        <w:rPr>
          <w:lang w:val="es-ES"/>
        </w:rPr>
        <w:t xml:space="preserve">La </w:t>
      </w:r>
      <w:r w:rsidR="003C06D0">
        <w:rPr>
          <w:lang w:val="es-ES"/>
        </w:rPr>
        <w:t>Mancomunidad</w:t>
      </w:r>
      <w:r w:rsidRPr="2C569507">
        <w:rPr>
          <w:lang w:val="es-ES"/>
        </w:rPr>
        <w:t xml:space="preserve"> </w:t>
      </w:r>
      <w:r w:rsidR="005F1783">
        <w:rPr>
          <w:lang w:val="es-ES"/>
        </w:rPr>
        <w:t>tuvo</w:t>
      </w:r>
      <w:r w:rsidR="0095695C" w:rsidRPr="2C569507">
        <w:rPr>
          <w:lang w:val="es-ES"/>
        </w:rPr>
        <w:t xml:space="preserve"> contratado </w:t>
      </w:r>
      <w:r w:rsidR="00FA2ED0" w:rsidRPr="2C569507">
        <w:rPr>
          <w:lang w:val="es-ES"/>
        </w:rPr>
        <w:t>el asesoramiento contable con un profesional externo</w:t>
      </w:r>
      <w:r w:rsidR="00B035EE" w:rsidRPr="2C569507">
        <w:rPr>
          <w:lang w:val="es-ES"/>
        </w:rPr>
        <w:t xml:space="preserve"> </w:t>
      </w:r>
      <w:r w:rsidR="005F1783">
        <w:rPr>
          <w:lang w:val="es-ES"/>
        </w:rPr>
        <w:t xml:space="preserve">hasta junio de 2024 </w:t>
      </w:r>
      <w:r w:rsidR="00B035EE" w:rsidRPr="2C569507">
        <w:rPr>
          <w:lang w:val="es-ES"/>
        </w:rPr>
        <w:t>y</w:t>
      </w:r>
      <w:r w:rsidR="00FA2ED0" w:rsidRPr="2C569507">
        <w:rPr>
          <w:lang w:val="es-ES"/>
        </w:rPr>
        <w:t xml:space="preserve"> la </w:t>
      </w:r>
      <w:r w:rsidR="0095695C" w:rsidRPr="2C569507">
        <w:rPr>
          <w:lang w:val="es-ES"/>
        </w:rPr>
        <w:t>realización de las nóminas</w:t>
      </w:r>
      <w:r w:rsidR="00FA2ED0" w:rsidRPr="2C569507">
        <w:rPr>
          <w:lang w:val="es-ES"/>
        </w:rPr>
        <w:t xml:space="preserve"> con una </w:t>
      </w:r>
      <w:r w:rsidR="00FA2ED0" w:rsidRPr="00F41013">
        <w:rPr>
          <w:lang w:val="es-ES"/>
        </w:rPr>
        <w:t>asesoría laboral</w:t>
      </w:r>
      <w:r w:rsidR="00F41013" w:rsidRPr="005625D7">
        <w:t>.</w:t>
      </w:r>
    </w:p>
    <w:p w14:paraId="29363E3B" w14:textId="2794AD64" w:rsidR="009E1D37" w:rsidRPr="002E2ECB" w:rsidRDefault="009E1D37" w:rsidP="002E2ECB">
      <w:pPr>
        <w:pStyle w:val="texto"/>
        <w:tabs>
          <w:tab w:val="clear" w:pos="2835"/>
          <w:tab w:val="clear" w:pos="3969"/>
          <w:tab w:val="clear" w:pos="5103"/>
          <w:tab w:val="clear" w:pos="6237"/>
          <w:tab w:val="clear" w:pos="7371"/>
        </w:tabs>
        <w:spacing w:after="120"/>
        <w:rPr>
          <w:szCs w:val="26"/>
        </w:rPr>
      </w:pPr>
    </w:p>
    <w:p w14:paraId="0DCCA5E1" w14:textId="1703A9AF" w:rsidR="009E1D37" w:rsidRPr="009E1D37" w:rsidRDefault="009E1D37" w:rsidP="009E1D37">
      <w:pPr>
        <w:pStyle w:val="texto"/>
        <w:tabs>
          <w:tab w:val="clear" w:pos="2835"/>
          <w:tab w:val="clear" w:pos="3969"/>
          <w:tab w:val="clear" w:pos="5103"/>
          <w:tab w:val="clear" w:pos="6237"/>
          <w:tab w:val="clear" w:pos="7371"/>
        </w:tabs>
        <w:spacing w:before="120" w:after="120"/>
        <w:rPr>
          <w:sz w:val="20"/>
          <w:szCs w:val="20"/>
        </w:rPr>
        <w:sectPr w:rsidR="009E1D37" w:rsidRPr="009E1D37" w:rsidSect="003423CA">
          <w:headerReference w:type="even" r:id="rId17"/>
          <w:footerReference w:type="default" r:id="rId18"/>
          <w:pgSz w:w="11907" w:h="16840" w:code="9"/>
          <w:pgMar w:top="2109" w:right="1701" w:bottom="1644" w:left="1418" w:header="369" w:footer="136" w:gutter="0"/>
          <w:pgNumType w:start="3"/>
          <w:cols w:space="720"/>
          <w:docGrid w:linePitch="360"/>
        </w:sectPr>
      </w:pPr>
    </w:p>
    <w:p w14:paraId="6038AAF3" w14:textId="77777777" w:rsidR="002B7E8E" w:rsidRPr="00F20A1F" w:rsidRDefault="002B7E8E" w:rsidP="002B7E8E">
      <w:pPr>
        <w:pStyle w:val="atitulo1"/>
      </w:pPr>
      <w:bookmarkStart w:id="94" w:name="_Toc147385034"/>
      <w:bookmarkStart w:id="95" w:name="_Toc182397303"/>
      <w:r>
        <w:lastRenderedPageBreak/>
        <w:t>Apéndice 3.</w:t>
      </w:r>
      <w:r w:rsidRPr="00F20A1F">
        <w:t xml:space="preserve"> </w:t>
      </w:r>
      <w:r>
        <w:t>Marco regulador</w:t>
      </w:r>
      <w:bookmarkEnd w:id="94"/>
      <w:bookmarkEnd w:id="95"/>
    </w:p>
    <w:p w14:paraId="3701B36F" w14:textId="70333FA0" w:rsidR="002B7E8E" w:rsidRDefault="235FD0DA" w:rsidP="00286BF9">
      <w:pPr>
        <w:pStyle w:val="texto"/>
        <w:tabs>
          <w:tab w:val="clear" w:pos="2835"/>
          <w:tab w:val="clear" w:pos="3969"/>
          <w:tab w:val="clear" w:pos="5103"/>
          <w:tab w:val="clear" w:pos="6237"/>
          <w:tab w:val="clear" w:pos="7371"/>
        </w:tabs>
        <w:spacing w:after="120"/>
      </w:pPr>
      <w:r>
        <w:t>El régimen jurídico aplicable a</w:t>
      </w:r>
      <w:r w:rsidR="001A1A83">
        <w:t xml:space="preserve"> </w:t>
      </w:r>
      <w:r>
        <w:t>l</w:t>
      </w:r>
      <w:r w:rsidR="001A1A83">
        <w:t>a</w:t>
      </w:r>
      <w:r>
        <w:t xml:space="preserve"> </w:t>
      </w:r>
      <w:r w:rsidR="003C06D0">
        <w:t>Mancomunidad</w:t>
      </w:r>
      <w:r w:rsidR="001A1A83">
        <w:t xml:space="preserve"> </w:t>
      </w:r>
      <w:r>
        <w:t>durante el ejercicio 202</w:t>
      </w:r>
      <w:r w:rsidR="001A1A83">
        <w:t>3</w:t>
      </w:r>
      <w:r>
        <w:t xml:space="preserve"> está constituido fundamentalmente por: </w:t>
      </w:r>
    </w:p>
    <w:p w14:paraId="2C6180D6" w14:textId="5E15C941" w:rsidR="167FD5F9" w:rsidRPr="00FA704D" w:rsidRDefault="167FD5F9" w:rsidP="000C20C0">
      <w:pPr>
        <w:pStyle w:val="texto"/>
        <w:tabs>
          <w:tab w:val="clear" w:pos="2835"/>
          <w:tab w:val="clear" w:pos="3969"/>
          <w:tab w:val="clear" w:pos="5103"/>
          <w:tab w:val="clear" w:pos="6237"/>
          <w:tab w:val="clear" w:pos="7371"/>
        </w:tabs>
        <w:spacing w:before="240" w:after="240"/>
        <w:rPr>
          <w:i/>
          <w:iCs/>
        </w:rPr>
      </w:pPr>
      <w:r w:rsidRPr="00FA704D">
        <w:rPr>
          <w:i/>
          <w:iCs/>
        </w:rPr>
        <w:t>Normativa estatal</w:t>
      </w:r>
    </w:p>
    <w:p w14:paraId="1D07F20A" w14:textId="2C797590" w:rsidR="002B7E8E" w:rsidRPr="002E2C6D" w:rsidRDefault="2196C998" w:rsidP="00CB7B2F">
      <w:pPr>
        <w:pStyle w:val="texto"/>
        <w:numPr>
          <w:ilvl w:val="0"/>
          <w:numId w:val="18"/>
        </w:numPr>
        <w:tabs>
          <w:tab w:val="num" w:pos="567"/>
          <w:tab w:val="num" w:pos="2770"/>
        </w:tabs>
        <w:ind w:left="0" w:firstLine="290"/>
        <w:rPr>
          <w:szCs w:val="26"/>
        </w:rPr>
      </w:pPr>
      <w:r>
        <w:t xml:space="preserve">Ley 7/1985, de 2 de abril, reguladora de las Bases de Régimen Local. </w:t>
      </w:r>
    </w:p>
    <w:p w14:paraId="0BBE8AC7" w14:textId="014E6BA0" w:rsidR="002E2C6D" w:rsidRPr="002E2C6D" w:rsidRDefault="002E2C6D" w:rsidP="00CB7B2F">
      <w:pPr>
        <w:pStyle w:val="texto"/>
        <w:numPr>
          <w:ilvl w:val="0"/>
          <w:numId w:val="18"/>
        </w:numPr>
        <w:tabs>
          <w:tab w:val="num" w:pos="567"/>
          <w:tab w:val="num" w:pos="2770"/>
        </w:tabs>
        <w:ind w:left="0" w:firstLine="290"/>
        <w:rPr>
          <w:szCs w:val="26"/>
        </w:rPr>
      </w:pPr>
      <w:r>
        <w:t xml:space="preserve">Ley 38/2003, de 17 de noviembre, General de Subvenciones. </w:t>
      </w:r>
    </w:p>
    <w:p w14:paraId="40BC51C6" w14:textId="77777777" w:rsidR="002E2C6D" w:rsidRPr="00A42B14" w:rsidRDefault="002E2C6D" w:rsidP="00CB7B2F">
      <w:pPr>
        <w:pStyle w:val="texto"/>
        <w:numPr>
          <w:ilvl w:val="0"/>
          <w:numId w:val="18"/>
        </w:numPr>
        <w:tabs>
          <w:tab w:val="num" w:pos="567"/>
          <w:tab w:val="num" w:pos="2770"/>
        </w:tabs>
        <w:ind w:left="0" w:firstLine="290"/>
        <w:rPr>
          <w:szCs w:val="26"/>
        </w:rPr>
      </w:pPr>
      <w:r>
        <w:t>Ley 3/2004, de 29 de diciembre, por la que se establecen medidas de lucha contra la morosidad en las operaciones comerciales.</w:t>
      </w:r>
    </w:p>
    <w:p w14:paraId="6FA4C77E" w14:textId="40BE1BF4" w:rsidR="002E2C6D" w:rsidRPr="00F82A30" w:rsidRDefault="002E2C6D" w:rsidP="00CB7B2F">
      <w:pPr>
        <w:pStyle w:val="texto"/>
        <w:numPr>
          <w:ilvl w:val="0"/>
          <w:numId w:val="18"/>
        </w:numPr>
        <w:tabs>
          <w:tab w:val="num" w:pos="567"/>
          <w:tab w:val="num" w:pos="2770"/>
        </w:tabs>
        <w:ind w:left="0" w:firstLine="290"/>
        <w:rPr>
          <w:szCs w:val="26"/>
        </w:rPr>
      </w:pPr>
      <w:r>
        <w:t xml:space="preserve">Ley Orgánica 2/2012, de 27 de abril, de Estabilidad Presupuestaria y Sostenibilidad Financiera y su normativa de desarrollo. </w:t>
      </w:r>
    </w:p>
    <w:p w14:paraId="58434012" w14:textId="5188BF93" w:rsidR="00F82A30" w:rsidRPr="00F82A30" w:rsidRDefault="00F82A30" w:rsidP="00CB7B2F">
      <w:pPr>
        <w:pStyle w:val="texto"/>
        <w:numPr>
          <w:ilvl w:val="0"/>
          <w:numId w:val="18"/>
        </w:numPr>
        <w:tabs>
          <w:tab w:val="num" w:pos="567"/>
          <w:tab w:val="num" w:pos="2770"/>
        </w:tabs>
        <w:ind w:left="0" w:firstLine="290"/>
        <w:rPr>
          <w:szCs w:val="26"/>
        </w:rPr>
      </w:pPr>
      <w:r>
        <w:t>Ley 39/2015, de 1 de octubre, del Procedimiento Administrativo Común de las Administraciones Públicas.</w:t>
      </w:r>
    </w:p>
    <w:p w14:paraId="062A3ACE" w14:textId="1241E093" w:rsidR="00F82A30" w:rsidRPr="00170712" w:rsidRDefault="00F82A30" w:rsidP="00CB7B2F">
      <w:pPr>
        <w:pStyle w:val="texto"/>
        <w:numPr>
          <w:ilvl w:val="0"/>
          <w:numId w:val="18"/>
        </w:numPr>
        <w:tabs>
          <w:tab w:val="num" w:pos="567"/>
          <w:tab w:val="num" w:pos="2770"/>
        </w:tabs>
        <w:ind w:left="0" w:firstLine="290"/>
        <w:rPr>
          <w:szCs w:val="26"/>
        </w:rPr>
      </w:pPr>
      <w:r>
        <w:t>Ley 40/2015, de 1 de octubre, de Régimen Jurídico del Sector Público.</w:t>
      </w:r>
    </w:p>
    <w:p w14:paraId="010D5303" w14:textId="1255B876" w:rsidR="002E2C6D" w:rsidRPr="007F2B2C" w:rsidRDefault="002E2C6D" w:rsidP="00CB7B2F">
      <w:pPr>
        <w:pStyle w:val="texto"/>
        <w:numPr>
          <w:ilvl w:val="0"/>
          <w:numId w:val="18"/>
        </w:numPr>
        <w:tabs>
          <w:tab w:val="num" w:pos="567"/>
          <w:tab w:val="num" w:pos="2770"/>
        </w:tabs>
        <w:ind w:left="0" w:firstLine="290"/>
        <w:rPr>
          <w:szCs w:val="26"/>
        </w:rPr>
      </w:pPr>
      <w:r>
        <w:t>Ley 20/2021, de 28 de diciembre, de medidas urgentes para la reducción de la temporalidad en el empleo público.</w:t>
      </w:r>
    </w:p>
    <w:p w14:paraId="7D9233F8" w14:textId="6A024250" w:rsidR="007F2B2C" w:rsidRPr="002E2C6D" w:rsidRDefault="007F2B2C" w:rsidP="00CB7B2F">
      <w:pPr>
        <w:pStyle w:val="texto"/>
        <w:numPr>
          <w:ilvl w:val="0"/>
          <w:numId w:val="18"/>
        </w:numPr>
        <w:tabs>
          <w:tab w:val="num" w:pos="567"/>
          <w:tab w:val="num" w:pos="2770"/>
        </w:tabs>
        <w:ind w:left="0" w:firstLine="290"/>
        <w:rPr>
          <w:szCs w:val="26"/>
        </w:rPr>
      </w:pPr>
      <w:r>
        <w:t>Ley 7/2022, de 8 de abril, de residuos y suelos contaminados para una economía circular.</w:t>
      </w:r>
    </w:p>
    <w:p w14:paraId="63CE3EE6" w14:textId="05818EF8" w:rsidR="002E2C6D" w:rsidRPr="00053C65" w:rsidRDefault="002E2C6D" w:rsidP="00CB7B2F">
      <w:pPr>
        <w:pStyle w:val="texto"/>
        <w:numPr>
          <w:ilvl w:val="0"/>
          <w:numId w:val="18"/>
        </w:numPr>
        <w:tabs>
          <w:tab w:val="num" w:pos="567"/>
          <w:tab w:val="num" w:pos="2770"/>
        </w:tabs>
        <w:ind w:left="0" w:firstLine="290"/>
      </w:pPr>
      <w:r>
        <w:t xml:space="preserve">Disposiciones aplicables de la Ley </w:t>
      </w:r>
      <w:r w:rsidR="001A1A83">
        <w:t>31</w:t>
      </w:r>
      <w:r>
        <w:t>/202</w:t>
      </w:r>
      <w:r w:rsidR="001A1A83">
        <w:t>2</w:t>
      </w:r>
      <w:r>
        <w:t>, de 2</w:t>
      </w:r>
      <w:r w:rsidR="001A1A83">
        <w:t>3</w:t>
      </w:r>
      <w:r>
        <w:t xml:space="preserve"> de diciembre, de Presupuestos Generales del Estado para el año 202</w:t>
      </w:r>
      <w:r w:rsidR="001A1A83">
        <w:t>3</w:t>
      </w:r>
      <w:r>
        <w:t>, en materia de gastos del personal al servicio del sector público.</w:t>
      </w:r>
    </w:p>
    <w:p w14:paraId="52FECA99" w14:textId="1AE2C9A1" w:rsidR="064CFF52" w:rsidRDefault="064CFF52" w:rsidP="000C20C0">
      <w:pPr>
        <w:pStyle w:val="texto"/>
        <w:tabs>
          <w:tab w:val="left" w:pos="142"/>
          <w:tab w:val="left" w:pos="426"/>
          <w:tab w:val="num" w:pos="600"/>
          <w:tab w:val="num" w:pos="720"/>
          <w:tab w:val="num" w:pos="1637"/>
          <w:tab w:val="num" w:pos="2770"/>
        </w:tabs>
        <w:spacing w:before="240" w:after="240"/>
        <w:ind w:firstLine="289"/>
        <w:rPr>
          <w:szCs w:val="26"/>
        </w:rPr>
      </w:pPr>
      <w:r w:rsidRPr="00FA704D">
        <w:rPr>
          <w:i/>
          <w:iCs/>
          <w:szCs w:val="26"/>
        </w:rPr>
        <w:t>Normativa foral</w:t>
      </w:r>
      <w:r w:rsidR="00F25A16">
        <w:rPr>
          <w:i/>
          <w:iCs/>
          <w:szCs w:val="26"/>
        </w:rPr>
        <w:t xml:space="preserve"> y de la Entidad Local</w:t>
      </w:r>
    </w:p>
    <w:p w14:paraId="03A792C8" w14:textId="561754DB" w:rsidR="002B7E8E" w:rsidRPr="002E2C6D" w:rsidRDefault="2196C998" w:rsidP="00CB7B2F">
      <w:pPr>
        <w:pStyle w:val="texto"/>
        <w:numPr>
          <w:ilvl w:val="0"/>
          <w:numId w:val="18"/>
        </w:numPr>
        <w:tabs>
          <w:tab w:val="num" w:pos="567"/>
          <w:tab w:val="num" w:pos="2770"/>
        </w:tabs>
        <w:ind w:left="0" w:firstLine="290"/>
        <w:rPr>
          <w:szCs w:val="26"/>
        </w:rPr>
      </w:pPr>
      <w:r>
        <w:t xml:space="preserve">Ley Foral 6/1990, de 2 de julio, de la Administración Local de Navarra. </w:t>
      </w:r>
    </w:p>
    <w:p w14:paraId="3BA71613" w14:textId="77777777" w:rsidR="002E2C6D" w:rsidRPr="00170712" w:rsidRDefault="53D24F30" w:rsidP="00CB7B2F">
      <w:pPr>
        <w:pStyle w:val="texto"/>
        <w:numPr>
          <w:ilvl w:val="0"/>
          <w:numId w:val="18"/>
        </w:numPr>
        <w:tabs>
          <w:tab w:val="num" w:pos="567"/>
          <w:tab w:val="num" w:pos="2770"/>
        </w:tabs>
        <w:ind w:left="0" w:firstLine="290"/>
      </w:pPr>
      <w:r>
        <w:t xml:space="preserve">Decreto Foral Legislativo 251/1993, de 30 de agosto, por el que se aprueba el Texto refundido del Estatuto de Personal al servicio de las Administraciones Públicas de Navarra. </w:t>
      </w:r>
    </w:p>
    <w:p w14:paraId="01A31145" w14:textId="77777777" w:rsidR="002B7E8E" w:rsidRPr="00170712" w:rsidRDefault="2196C998" w:rsidP="00CB7B2F">
      <w:pPr>
        <w:pStyle w:val="texto"/>
        <w:numPr>
          <w:ilvl w:val="0"/>
          <w:numId w:val="18"/>
        </w:numPr>
        <w:tabs>
          <w:tab w:val="num" w:pos="567"/>
          <w:tab w:val="num" w:pos="2770"/>
        </w:tabs>
        <w:ind w:left="0" w:firstLine="290"/>
        <w:rPr>
          <w:szCs w:val="26"/>
        </w:rPr>
      </w:pPr>
      <w:r>
        <w:t xml:space="preserve">Ley Foral 2/1995, de 10 de marzo, de Haciendas Locales de Navarra. </w:t>
      </w:r>
    </w:p>
    <w:p w14:paraId="4BFB6C57" w14:textId="5D7385E8" w:rsidR="001A1A83" w:rsidRPr="007F2B2C" w:rsidRDefault="001A1A83" w:rsidP="00CB7B2F">
      <w:pPr>
        <w:pStyle w:val="texto"/>
        <w:numPr>
          <w:ilvl w:val="0"/>
          <w:numId w:val="18"/>
        </w:numPr>
        <w:tabs>
          <w:tab w:val="num" w:pos="567"/>
          <w:tab w:val="num" w:pos="2770"/>
        </w:tabs>
        <w:ind w:left="0" w:firstLine="290"/>
        <w:rPr>
          <w:szCs w:val="26"/>
        </w:rPr>
      </w:pPr>
      <w:r>
        <w:t>Ley Foral 2/2018, de 13 de abril, de Contratos Públicos.</w:t>
      </w:r>
    </w:p>
    <w:p w14:paraId="33E503BA" w14:textId="624C6236" w:rsidR="007F2B2C" w:rsidRPr="00CF2D8B" w:rsidRDefault="007F2B2C" w:rsidP="00CB7B2F">
      <w:pPr>
        <w:pStyle w:val="texto"/>
        <w:numPr>
          <w:ilvl w:val="0"/>
          <w:numId w:val="18"/>
        </w:numPr>
        <w:tabs>
          <w:tab w:val="num" w:pos="567"/>
          <w:tab w:val="num" w:pos="2770"/>
        </w:tabs>
        <w:ind w:left="0" w:firstLine="290"/>
        <w:rPr>
          <w:szCs w:val="26"/>
        </w:rPr>
      </w:pPr>
      <w:r>
        <w:t>Ley Foral 14/2018, de 18 de junio, de residuos y su fiscalidad</w:t>
      </w:r>
    </w:p>
    <w:p w14:paraId="34AA0A01" w14:textId="77777777" w:rsidR="00CF2D8B" w:rsidRPr="00CF2D8B" w:rsidRDefault="00CF2D8B" w:rsidP="00CB7B2F">
      <w:pPr>
        <w:pStyle w:val="texto"/>
        <w:numPr>
          <w:ilvl w:val="0"/>
          <w:numId w:val="18"/>
        </w:numPr>
        <w:tabs>
          <w:tab w:val="num" w:pos="567"/>
          <w:tab w:val="num" w:pos="2770"/>
        </w:tabs>
        <w:ind w:left="0" w:firstLine="290"/>
      </w:pPr>
      <w:r>
        <w:t>Ley Foral 19/2022, de 1 de julio, de medidas para la realización de los procesos de estabilización derivados de la Ley 20/2021, de 28 de diciembre, de medidas urgentes para la reducción de la temporalidad en el empleo público, en las Administraciones Públicas de Navarra.</w:t>
      </w:r>
    </w:p>
    <w:p w14:paraId="07985DBF" w14:textId="7A8180A6" w:rsidR="001A1A83" w:rsidRPr="001A1A83" w:rsidRDefault="329260E1" w:rsidP="00CB7B2F">
      <w:pPr>
        <w:pStyle w:val="texto"/>
        <w:numPr>
          <w:ilvl w:val="0"/>
          <w:numId w:val="18"/>
        </w:numPr>
        <w:tabs>
          <w:tab w:val="num" w:pos="567"/>
          <w:tab w:val="num" w:pos="2770"/>
        </w:tabs>
        <w:ind w:left="0" w:firstLine="290"/>
        <w:rPr>
          <w:kern w:val="28"/>
        </w:rPr>
      </w:pPr>
      <w:r>
        <w:lastRenderedPageBreak/>
        <w:t>En materia contable-presupuestaria, el régimen jurídico se establece en los Decretos Forales números 270 y 273, todos ellos de 21 de septiembre de 1998, sobre presupuesto y gasto público y contabilidad simplificada para la Administración Local de Navarra, así como en el Decreto Foral 234/2015, de 23 de septiembre, por el que se aprueba la estructura presupuestaria de las entidades locales de Navarra.</w:t>
      </w:r>
    </w:p>
    <w:p w14:paraId="2B02D742" w14:textId="63AB9C57" w:rsidR="001A1A83" w:rsidRPr="001A1A83" w:rsidRDefault="001A1A83" w:rsidP="00CB7B2F">
      <w:pPr>
        <w:pStyle w:val="texto"/>
        <w:numPr>
          <w:ilvl w:val="0"/>
          <w:numId w:val="18"/>
        </w:numPr>
        <w:tabs>
          <w:tab w:val="num" w:pos="567"/>
          <w:tab w:val="num" w:pos="2770"/>
        </w:tabs>
        <w:ind w:left="0" w:firstLine="290"/>
        <w:rPr>
          <w:rFonts w:ascii="Arial" w:hAnsi="Arial"/>
          <w:b/>
          <w:bCs/>
          <w:color w:val="000000"/>
          <w:kern w:val="28"/>
          <w:sz w:val="25"/>
          <w:szCs w:val="25"/>
        </w:rPr>
      </w:pPr>
      <w:r>
        <w:t xml:space="preserve">Estatutos de la </w:t>
      </w:r>
      <w:r w:rsidR="003C06D0">
        <w:t>Mancomunidad</w:t>
      </w:r>
      <w:r w:rsidR="000C20C0">
        <w:t>.</w:t>
      </w:r>
    </w:p>
    <w:p w14:paraId="46BEA9BA" w14:textId="7A418619" w:rsidR="00480E41" w:rsidRPr="005625D7" w:rsidRDefault="13E066F1" w:rsidP="00CB7B2F">
      <w:pPr>
        <w:pStyle w:val="texto"/>
        <w:numPr>
          <w:ilvl w:val="0"/>
          <w:numId w:val="18"/>
        </w:numPr>
        <w:tabs>
          <w:tab w:val="num" w:pos="567"/>
          <w:tab w:val="num" w:pos="2770"/>
        </w:tabs>
        <w:ind w:left="0" w:firstLine="290"/>
        <w:rPr>
          <w:rFonts w:ascii="Arial" w:hAnsi="Arial"/>
          <w:b/>
          <w:bCs/>
          <w:color w:val="000000" w:themeColor="text1"/>
          <w:sz w:val="25"/>
          <w:szCs w:val="25"/>
        </w:rPr>
      </w:pPr>
      <w:r>
        <w:t>Ordenanzas</w:t>
      </w:r>
      <w:r w:rsidR="000C20C0">
        <w:t>.</w:t>
      </w:r>
    </w:p>
    <w:p w14:paraId="64F8F3FB" w14:textId="794772FC" w:rsidR="00544E8B" w:rsidRDefault="00544E8B" w:rsidP="005625D7">
      <w:pPr>
        <w:pStyle w:val="texto"/>
        <w:tabs>
          <w:tab w:val="left" w:pos="142"/>
          <w:tab w:val="left" w:pos="426"/>
          <w:tab w:val="num" w:pos="1637"/>
          <w:tab w:val="num" w:pos="2770"/>
        </w:tabs>
        <w:spacing w:after="0"/>
      </w:pPr>
    </w:p>
    <w:p w14:paraId="7D6362B6" w14:textId="77777777" w:rsidR="00544E8B" w:rsidRDefault="00544E8B">
      <w:pPr>
        <w:spacing w:after="0"/>
        <w:ind w:firstLine="0"/>
        <w:jc w:val="left"/>
        <w:rPr>
          <w:rFonts w:ascii="Arial" w:hAnsi="Arial"/>
          <w:b/>
          <w:color w:val="000000"/>
          <w:kern w:val="28"/>
          <w:sz w:val="25"/>
          <w:szCs w:val="26"/>
        </w:rPr>
      </w:pPr>
      <w:r>
        <w:br w:type="page"/>
      </w:r>
    </w:p>
    <w:p w14:paraId="35714817" w14:textId="79E47A67" w:rsidR="00544E8B" w:rsidRPr="00F20A1F" w:rsidRDefault="00544E8B" w:rsidP="00544E8B">
      <w:pPr>
        <w:pStyle w:val="atitulo1"/>
      </w:pPr>
      <w:bookmarkStart w:id="96" w:name="_Toc182397304"/>
      <w:r>
        <w:lastRenderedPageBreak/>
        <w:t>Apéndice 4.</w:t>
      </w:r>
      <w:r w:rsidRPr="00F20A1F">
        <w:t xml:space="preserve"> </w:t>
      </w:r>
      <w:r>
        <w:t>Información adicional sobre las salvedades del informe</w:t>
      </w:r>
      <w:bookmarkEnd w:id="96"/>
    </w:p>
    <w:p w14:paraId="55E75DDD" w14:textId="5439D94C" w:rsidR="00544E8B" w:rsidRDefault="00780742" w:rsidP="00544E8B">
      <w:pPr>
        <w:pStyle w:val="texto"/>
        <w:tabs>
          <w:tab w:val="clear" w:pos="2835"/>
          <w:tab w:val="clear" w:pos="3969"/>
          <w:tab w:val="clear" w:pos="5103"/>
          <w:tab w:val="clear" w:pos="6237"/>
          <w:tab w:val="clear" w:pos="7371"/>
        </w:tabs>
        <w:spacing w:after="120"/>
      </w:pPr>
      <w:r>
        <w:t xml:space="preserve">En este apéndice incluimos información adicional sobre varias de las salvedades a la opinión financiera de la cuenta general para una mejor comprensión de las mismas. </w:t>
      </w:r>
    </w:p>
    <w:p w14:paraId="17783449" w14:textId="796E3106" w:rsidR="00780742" w:rsidRDefault="0065071D" w:rsidP="00CB7B2F">
      <w:pPr>
        <w:pStyle w:val="texto"/>
        <w:numPr>
          <w:ilvl w:val="0"/>
          <w:numId w:val="18"/>
        </w:numPr>
        <w:tabs>
          <w:tab w:val="num" w:pos="567"/>
          <w:tab w:val="num" w:pos="2770"/>
        </w:tabs>
        <w:ind w:left="0" w:firstLine="290"/>
      </w:pPr>
      <w:r>
        <w:t xml:space="preserve">Las subvenciones corrientes </w:t>
      </w:r>
      <w:r w:rsidR="00780742">
        <w:t>incorrectamente contabilizad</w:t>
      </w:r>
      <w:r>
        <w:t>a</w:t>
      </w:r>
      <w:r w:rsidR="00780742">
        <w:t xml:space="preserve">s </w:t>
      </w:r>
      <w:r>
        <w:t xml:space="preserve">por un total de </w:t>
      </w:r>
      <w:r w:rsidR="00780742">
        <w:t>10.111 euros</w:t>
      </w:r>
      <w:r>
        <w:t xml:space="preserve"> son las siguientes</w:t>
      </w:r>
      <w:r w:rsidR="00780742">
        <w:t>:</w:t>
      </w:r>
    </w:p>
    <w:p w14:paraId="797A96FA" w14:textId="24294E31" w:rsidR="00780742" w:rsidRPr="00A572B9" w:rsidRDefault="00780742" w:rsidP="00780742">
      <w:pPr>
        <w:pStyle w:val="texto"/>
        <w:tabs>
          <w:tab w:val="left" w:pos="142"/>
        </w:tabs>
        <w:rPr>
          <w:szCs w:val="26"/>
        </w:rPr>
      </w:pPr>
      <w:r>
        <w:rPr>
          <w:szCs w:val="26"/>
        </w:rPr>
        <w:t xml:space="preserve">- 3.640 euros del </w:t>
      </w:r>
      <w:r w:rsidRPr="00A572B9">
        <w:rPr>
          <w:szCs w:val="26"/>
        </w:rPr>
        <w:t xml:space="preserve">Gobierno de Navarra para participación ciudadana ya que la </w:t>
      </w:r>
      <w:r w:rsidR="003C06D0">
        <w:rPr>
          <w:szCs w:val="26"/>
        </w:rPr>
        <w:t>Mancomunidad</w:t>
      </w:r>
      <w:r w:rsidRPr="00A572B9">
        <w:rPr>
          <w:szCs w:val="26"/>
        </w:rPr>
        <w:t xml:space="preserve"> desistió y el Gobierno de Navarra la anuló.</w:t>
      </w:r>
    </w:p>
    <w:p w14:paraId="6EFEF971" w14:textId="77777777" w:rsidR="00780742" w:rsidRDefault="00780742" w:rsidP="00780742">
      <w:pPr>
        <w:pStyle w:val="texto"/>
      </w:pPr>
      <w:r>
        <w:t>- 2.967 euros del Fondo de residuos.</w:t>
      </w:r>
    </w:p>
    <w:p w14:paraId="46B4515F" w14:textId="5E1C6B15" w:rsidR="00780742" w:rsidRDefault="00780742" w:rsidP="00780742">
      <w:pPr>
        <w:pStyle w:val="texto"/>
      </w:pPr>
      <w:r>
        <w:t xml:space="preserve">- 3.504 euros del Consorcio de Residuos por tratamiento de otras fracciones devengada en 2024. </w:t>
      </w:r>
    </w:p>
    <w:p w14:paraId="06FD11E7" w14:textId="4131FA96" w:rsidR="0065071D" w:rsidRDefault="0065071D" w:rsidP="00CB7B2F">
      <w:pPr>
        <w:pStyle w:val="texto"/>
        <w:numPr>
          <w:ilvl w:val="0"/>
          <w:numId w:val="18"/>
        </w:numPr>
        <w:tabs>
          <w:tab w:val="num" w:pos="567"/>
          <w:tab w:val="num" w:pos="2770"/>
        </w:tabs>
        <w:ind w:left="0" w:firstLine="290"/>
      </w:pPr>
      <w:r>
        <w:rPr>
          <w:lang w:val="es-ES"/>
        </w:rPr>
        <w:t xml:space="preserve">El saldo de deudores de </w:t>
      </w:r>
      <w:r w:rsidRPr="00CB7B2F">
        <w:t>ejercicios</w:t>
      </w:r>
      <w:r>
        <w:rPr>
          <w:lang w:val="es-ES"/>
        </w:rPr>
        <w:t xml:space="preserve"> cerrados incluye 103.442 euros de ingresos </w:t>
      </w:r>
      <w:r w:rsidRPr="06D4BFB9">
        <w:rPr>
          <w:lang w:val="es-ES"/>
        </w:rPr>
        <w:t>que fueron cobrados o anulados y</w:t>
      </w:r>
      <w:r w:rsidR="009F26EF">
        <w:rPr>
          <w:lang w:val="es-ES"/>
        </w:rPr>
        <w:t>,</w:t>
      </w:r>
      <w:r w:rsidRPr="06D4BFB9">
        <w:rPr>
          <w:lang w:val="es-ES"/>
        </w:rPr>
        <w:t xml:space="preserve"> por tanto</w:t>
      </w:r>
      <w:r w:rsidR="009F26EF">
        <w:rPr>
          <w:lang w:val="es-ES"/>
        </w:rPr>
        <w:t>,</w:t>
      </w:r>
      <w:r w:rsidRPr="06D4BFB9">
        <w:rPr>
          <w:lang w:val="es-ES"/>
        </w:rPr>
        <w:t xml:space="preserve"> no deben figurar como pendientes de cobro. Corresponden a:</w:t>
      </w:r>
    </w:p>
    <w:p w14:paraId="35A488E3" w14:textId="77777777" w:rsidR="0065071D" w:rsidRDefault="0065071D" w:rsidP="0065071D">
      <w:pPr>
        <w:pStyle w:val="texto"/>
        <w:tabs>
          <w:tab w:val="left" w:pos="142"/>
        </w:tabs>
        <w:spacing w:before="120"/>
      </w:pPr>
      <w:r>
        <w:t>-  1.</w:t>
      </w:r>
      <w:r w:rsidRPr="00D707EF">
        <w:t>535 euros de tasa</w:t>
      </w:r>
      <w:r>
        <w:t xml:space="preserve"> de basura de los años 2003 y 2004.</w:t>
      </w:r>
    </w:p>
    <w:p w14:paraId="04243F41" w14:textId="77777777" w:rsidR="0065071D" w:rsidRDefault="0065071D" w:rsidP="0065071D">
      <w:pPr>
        <w:pStyle w:val="texto"/>
        <w:tabs>
          <w:tab w:val="left" w:pos="142"/>
        </w:tabs>
        <w:rPr>
          <w:szCs w:val="26"/>
        </w:rPr>
      </w:pPr>
      <w:r>
        <w:rPr>
          <w:szCs w:val="26"/>
        </w:rPr>
        <w:t>-</w:t>
      </w:r>
      <w:r w:rsidRPr="000D6994">
        <w:rPr>
          <w:szCs w:val="26"/>
        </w:rPr>
        <w:t xml:space="preserve"> 69.198 euros contabilizado </w:t>
      </w:r>
      <w:r>
        <w:rPr>
          <w:szCs w:val="26"/>
        </w:rPr>
        <w:t xml:space="preserve">incorrectamente </w:t>
      </w:r>
      <w:r w:rsidRPr="000D6994">
        <w:rPr>
          <w:szCs w:val="26"/>
        </w:rPr>
        <w:t xml:space="preserve">en el concepto de “otros ingresos” </w:t>
      </w:r>
      <w:r>
        <w:rPr>
          <w:szCs w:val="26"/>
        </w:rPr>
        <w:t xml:space="preserve">que </w:t>
      </w:r>
      <w:r w:rsidRPr="000D6994">
        <w:rPr>
          <w:szCs w:val="26"/>
        </w:rPr>
        <w:t>corresponde a una subvención por el vertedero que ya está cobrada.</w:t>
      </w:r>
    </w:p>
    <w:p w14:paraId="7D9B6026" w14:textId="33600846" w:rsidR="0065071D" w:rsidRDefault="0065071D" w:rsidP="0065071D">
      <w:pPr>
        <w:pStyle w:val="texto"/>
        <w:tabs>
          <w:tab w:val="left" w:pos="142"/>
        </w:tabs>
      </w:pPr>
      <w:r>
        <w:rPr>
          <w:szCs w:val="26"/>
        </w:rPr>
        <w:t xml:space="preserve">- 32.709 euros de </w:t>
      </w:r>
      <w:r>
        <w:t xml:space="preserve">subvención del consorcio que fue cobrada mediante compensación con la tasa consorcial del segundo semestre de 2020. </w:t>
      </w:r>
    </w:p>
    <w:p w14:paraId="062A2A38" w14:textId="73CBB88B" w:rsidR="0065071D" w:rsidRPr="005625D7" w:rsidRDefault="0065071D" w:rsidP="00CB7B2F">
      <w:pPr>
        <w:pStyle w:val="texto"/>
        <w:numPr>
          <w:ilvl w:val="0"/>
          <w:numId w:val="18"/>
        </w:numPr>
        <w:tabs>
          <w:tab w:val="num" w:pos="567"/>
          <w:tab w:val="num" w:pos="2770"/>
        </w:tabs>
        <w:ind w:left="0" w:firstLine="290"/>
        <w:rPr>
          <w:lang w:val="es-ES"/>
        </w:rPr>
      </w:pPr>
      <w:r>
        <w:rPr>
          <w:lang w:val="es-ES"/>
        </w:rPr>
        <w:t xml:space="preserve">Las incorrecciones </w:t>
      </w:r>
      <w:r w:rsidRPr="00CB7B2F">
        <w:t>contables</w:t>
      </w:r>
      <w:r>
        <w:rPr>
          <w:lang w:val="es-ES"/>
        </w:rPr>
        <w:t xml:space="preserve"> detectadas en la cuenta de a</w:t>
      </w:r>
      <w:r w:rsidRPr="005625D7">
        <w:rPr>
          <w:lang w:val="es-ES"/>
        </w:rPr>
        <w:t xml:space="preserve">creedores no presupuestarios </w:t>
      </w:r>
      <w:r>
        <w:rPr>
          <w:lang w:val="es-ES"/>
        </w:rPr>
        <w:t>son las siguientes:</w:t>
      </w:r>
      <w:r w:rsidRPr="005625D7">
        <w:rPr>
          <w:lang w:val="es-ES"/>
        </w:rPr>
        <w:t xml:space="preserve"> </w:t>
      </w:r>
    </w:p>
    <w:p w14:paraId="6464B947" w14:textId="2525ABBF" w:rsidR="00A6074C" w:rsidRDefault="00A6074C" w:rsidP="00A6074C">
      <w:pPr>
        <w:pStyle w:val="texto"/>
        <w:tabs>
          <w:tab w:val="left" w:pos="142"/>
        </w:tabs>
        <w:spacing w:before="120" w:after="120"/>
        <w:rPr>
          <w:szCs w:val="26"/>
        </w:rPr>
      </w:pPr>
      <w:r w:rsidRPr="005625D7">
        <w:t>-</w:t>
      </w:r>
      <w:r w:rsidRPr="00A6074C">
        <w:t xml:space="preserve"> </w:t>
      </w:r>
      <w:r w:rsidRPr="005625D7">
        <w:rPr>
          <w:szCs w:val="26"/>
        </w:rPr>
        <w:t xml:space="preserve">No están contabilizados 181.444 euros de la tasa consorcial del segundo y tercer cuatrimestre de 2023 pendiente de pago al Consorcio de Residuos. </w:t>
      </w:r>
    </w:p>
    <w:p w14:paraId="60B9FB0C" w14:textId="4E496FBD" w:rsidR="00A6074C" w:rsidRPr="005625D7" w:rsidRDefault="00A6074C" w:rsidP="005625D7">
      <w:pPr>
        <w:pStyle w:val="texto"/>
        <w:tabs>
          <w:tab w:val="left" w:pos="142"/>
        </w:tabs>
        <w:spacing w:before="120" w:after="120"/>
        <w:rPr>
          <w:szCs w:val="26"/>
        </w:rPr>
      </w:pPr>
      <w:r>
        <w:rPr>
          <w:szCs w:val="26"/>
        </w:rPr>
        <w:t xml:space="preserve">- No se han </w:t>
      </w:r>
      <w:r w:rsidRPr="00A6074C">
        <w:rPr>
          <w:szCs w:val="26"/>
        </w:rPr>
        <w:t xml:space="preserve">contabilizado </w:t>
      </w:r>
      <w:r w:rsidRPr="005625D7">
        <w:rPr>
          <w:szCs w:val="26"/>
        </w:rPr>
        <w:t>1.795 euros de IRPF pagado a Hacienda</w:t>
      </w:r>
      <w:r w:rsidR="00271968">
        <w:rPr>
          <w:szCs w:val="26"/>
        </w:rPr>
        <w:t>.</w:t>
      </w:r>
      <w:r w:rsidRPr="005625D7">
        <w:rPr>
          <w:szCs w:val="26"/>
        </w:rPr>
        <w:t xml:space="preserve"> </w:t>
      </w:r>
    </w:p>
    <w:p w14:paraId="59E0EE5F" w14:textId="5655699B" w:rsidR="00A6074C" w:rsidRDefault="00A6074C" w:rsidP="00A6074C">
      <w:pPr>
        <w:pStyle w:val="texto"/>
        <w:tabs>
          <w:tab w:val="left" w:pos="142"/>
        </w:tabs>
        <w:rPr>
          <w:szCs w:val="26"/>
        </w:rPr>
      </w:pPr>
      <w:r w:rsidRPr="005625D7">
        <w:rPr>
          <w:szCs w:val="26"/>
        </w:rPr>
        <w:t xml:space="preserve">- Se han incluido </w:t>
      </w:r>
      <w:r>
        <w:rPr>
          <w:szCs w:val="26"/>
        </w:rPr>
        <w:t xml:space="preserve">incorrectamente </w:t>
      </w:r>
      <w:r w:rsidRPr="005625D7">
        <w:rPr>
          <w:szCs w:val="26"/>
        </w:rPr>
        <w:t>2.730 euros de retenciones de Seguridad Social.</w:t>
      </w:r>
      <w:r>
        <w:rPr>
          <w:szCs w:val="26"/>
        </w:rPr>
        <w:t xml:space="preserve"> </w:t>
      </w:r>
    </w:p>
    <w:p w14:paraId="0344F1CE" w14:textId="77777777" w:rsidR="0065071D" w:rsidRDefault="0065071D" w:rsidP="00780742">
      <w:pPr>
        <w:pStyle w:val="texto"/>
      </w:pPr>
    </w:p>
    <w:p w14:paraId="45132429" w14:textId="77777777" w:rsidR="00544E8B" w:rsidRDefault="00544E8B" w:rsidP="005625D7">
      <w:pPr>
        <w:pStyle w:val="texto"/>
        <w:tabs>
          <w:tab w:val="left" w:pos="142"/>
          <w:tab w:val="left" w:pos="426"/>
          <w:tab w:val="num" w:pos="1637"/>
          <w:tab w:val="num" w:pos="2770"/>
        </w:tabs>
        <w:spacing w:after="0"/>
        <w:rPr>
          <w:rFonts w:ascii="Arial" w:hAnsi="Arial"/>
          <w:b/>
          <w:bCs/>
          <w:color w:val="000000" w:themeColor="text1"/>
          <w:sz w:val="25"/>
          <w:szCs w:val="25"/>
        </w:rPr>
      </w:pPr>
    </w:p>
    <w:p w14:paraId="6FCE7A70" w14:textId="77777777" w:rsidR="00A15072" w:rsidRDefault="00A15072" w:rsidP="00DA3936">
      <w:pPr>
        <w:pStyle w:val="texto"/>
        <w:tabs>
          <w:tab w:val="left" w:pos="142"/>
        </w:tabs>
        <w:spacing w:before="120" w:after="120"/>
        <w:rPr>
          <w:color w:val="FF0000"/>
        </w:rPr>
      </w:pPr>
      <w:bookmarkStart w:id="97" w:name="_Toc147385035"/>
    </w:p>
    <w:p w14:paraId="05A509E9" w14:textId="37218E00" w:rsidR="002B7E8E" w:rsidRPr="006B7173" w:rsidRDefault="00480E41" w:rsidP="002B7E8E">
      <w:pPr>
        <w:pStyle w:val="atitulo1"/>
        <w:spacing w:after="120"/>
      </w:pPr>
      <w:r>
        <w:br w:type="page"/>
      </w:r>
      <w:bookmarkStart w:id="98" w:name="_Toc182397305"/>
      <w:r w:rsidR="103BED4B">
        <w:lastRenderedPageBreak/>
        <w:t xml:space="preserve">Apéndice </w:t>
      </w:r>
      <w:r w:rsidR="00544E8B">
        <w:t>5</w:t>
      </w:r>
      <w:r w:rsidR="103BED4B">
        <w:t>. Observaciones y hallazgos adicionales de la fiscalización de regularidad</w:t>
      </w:r>
      <w:bookmarkEnd w:id="97"/>
      <w:bookmarkEnd w:id="98"/>
    </w:p>
    <w:p w14:paraId="793B48BC" w14:textId="553301D5" w:rsidR="002B7E8E" w:rsidRPr="00B21916" w:rsidRDefault="002B7E8E" w:rsidP="06D4BFB9">
      <w:pPr>
        <w:pStyle w:val="texto"/>
        <w:spacing w:after="120"/>
        <w:rPr>
          <w:color w:val="FF0000"/>
          <w:lang w:val="es-ES"/>
        </w:rPr>
      </w:pPr>
      <w:r w:rsidRPr="06D4BFB9">
        <w:rPr>
          <w:lang w:val="es-ES"/>
        </w:rPr>
        <w:t xml:space="preserve">A continuación, se incluyen aquellas observaciones y comentarios junto con determinada información adicional que esta Cámara considera que puede ser de interés </w:t>
      </w:r>
      <w:r w:rsidR="076B23A3" w:rsidRPr="06D4BFB9">
        <w:rPr>
          <w:lang w:val="es-ES"/>
        </w:rPr>
        <w:t>para</w:t>
      </w:r>
      <w:r w:rsidRPr="06D4BFB9">
        <w:rPr>
          <w:lang w:val="es-ES"/>
        </w:rPr>
        <w:t xml:space="preserve"> las personas destinatarias y usuarias del presente informe de fiscalización.</w:t>
      </w:r>
      <w:r w:rsidR="00B21916" w:rsidRPr="06D4BFB9">
        <w:rPr>
          <w:lang w:val="es-ES"/>
        </w:rPr>
        <w:t xml:space="preserve"> </w:t>
      </w:r>
    </w:p>
    <w:p w14:paraId="692761C0" w14:textId="00A0EB7C" w:rsidR="002B7E8E" w:rsidRDefault="002B7E8E" w:rsidP="002B7E8E">
      <w:pPr>
        <w:pStyle w:val="texto"/>
        <w:spacing w:after="120"/>
      </w:pPr>
      <w:r>
        <w:t xml:space="preserve">Incluye, igualmente, </w:t>
      </w:r>
      <w:r w:rsidRPr="00400A1C">
        <w:t>las recomendaciones que esta Cámara considera precisas</w:t>
      </w:r>
      <w:r>
        <w:t xml:space="preserve"> </w:t>
      </w:r>
      <w:r w:rsidRPr="00400A1C">
        <w:t>para una mejora de la gestión económico-administrativa de</w:t>
      </w:r>
      <w:r w:rsidR="001A1A83">
        <w:t xml:space="preserve"> la </w:t>
      </w:r>
      <w:r w:rsidR="003C06D0">
        <w:t>Mancomunidad</w:t>
      </w:r>
      <w:r w:rsidR="00210704">
        <w:t>.</w:t>
      </w:r>
    </w:p>
    <w:p w14:paraId="17C55260" w14:textId="1D5EEFCF" w:rsidR="002B7E8E" w:rsidRDefault="00544E8B" w:rsidP="0029526B">
      <w:pPr>
        <w:pStyle w:val="atitulo3"/>
        <w:spacing w:before="240"/>
      </w:pPr>
      <w:r>
        <w:t>5</w:t>
      </w:r>
      <w:r w:rsidR="00F30AE1">
        <w:t>.1</w:t>
      </w:r>
      <w:r w:rsidR="103BED4B" w:rsidRPr="00E23EB1">
        <w:t xml:space="preserve"> </w:t>
      </w:r>
      <w:r w:rsidR="001A1A83" w:rsidRPr="00E23EB1">
        <w:t>Situación financiera</w:t>
      </w:r>
    </w:p>
    <w:p w14:paraId="51C0E773" w14:textId="3C1984F0" w:rsidR="006B7F66" w:rsidRPr="00880D89" w:rsidRDefault="006B7F66" w:rsidP="006B7F66">
      <w:pPr>
        <w:pStyle w:val="texto"/>
        <w:spacing w:after="180"/>
      </w:pPr>
      <w:r>
        <w:t xml:space="preserve">La asamblea </w:t>
      </w:r>
      <w:r w:rsidR="003E7144">
        <w:t xml:space="preserve">general </w:t>
      </w:r>
      <w:r>
        <w:t xml:space="preserve">de la </w:t>
      </w:r>
      <w:r w:rsidR="003C06D0">
        <w:t>Mancomunidad</w:t>
      </w:r>
      <w:r>
        <w:t xml:space="preserve"> aprobó inicialmente, el 1 de diciembre de 2022, el presupuesto </w:t>
      </w:r>
      <w:r w:rsidRPr="00880D89">
        <w:t>del ejercicio 2023 con unas previsiones de ingresos y gastos de 1.415.516 euros.</w:t>
      </w:r>
      <w:r w:rsidR="000F119D" w:rsidRPr="00880D89">
        <w:t xml:space="preserve"> </w:t>
      </w:r>
    </w:p>
    <w:p w14:paraId="707C0C61" w14:textId="669A81E5" w:rsidR="006B7F66" w:rsidRPr="00180121" w:rsidRDefault="006B7F66" w:rsidP="007871B2">
      <w:pPr>
        <w:pStyle w:val="texto"/>
        <w:tabs>
          <w:tab w:val="clear" w:pos="5103"/>
          <w:tab w:val="clear" w:pos="6237"/>
          <w:tab w:val="clear" w:pos="7371"/>
          <w:tab w:val="left" w:pos="5715"/>
        </w:tabs>
        <w:spacing w:before="120" w:after="240" w:line="276" w:lineRule="auto"/>
        <w:rPr>
          <w:szCs w:val="26"/>
        </w:rPr>
      </w:pPr>
      <w:r w:rsidRPr="00180121">
        <w:rPr>
          <w:szCs w:val="26"/>
        </w:rPr>
        <w:t xml:space="preserve">La liquidación del presupuesto </w:t>
      </w:r>
      <w:r w:rsidR="00311BB3">
        <w:rPr>
          <w:szCs w:val="26"/>
        </w:rPr>
        <w:t>d</w:t>
      </w:r>
      <w:r w:rsidRPr="00180121">
        <w:rPr>
          <w:szCs w:val="26"/>
        </w:rPr>
        <w:t>el ejercici</w:t>
      </w:r>
      <w:r w:rsidR="00901CD5">
        <w:rPr>
          <w:szCs w:val="26"/>
        </w:rPr>
        <w:t>o</w:t>
      </w:r>
      <w:r w:rsidRPr="00180121">
        <w:rPr>
          <w:szCs w:val="26"/>
        </w:rPr>
        <w:t xml:space="preserve"> 2023 y su comparativa con el ejercicio anterior presenta las siguientes cifras:</w:t>
      </w:r>
    </w:p>
    <w:tbl>
      <w:tblPr>
        <w:tblW w:w="5000" w:type="pct"/>
        <w:tblCellMar>
          <w:left w:w="70" w:type="dxa"/>
          <w:right w:w="70" w:type="dxa"/>
        </w:tblCellMar>
        <w:tblLook w:val="04A0" w:firstRow="1" w:lastRow="0" w:firstColumn="1" w:lastColumn="0" w:noHBand="0" w:noVBand="1"/>
      </w:tblPr>
      <w:tblGrid>
        <w:gridCol w:w="4532"/>
        <w:gridCol w:w="1419"/>
        <w:gridCol w:w="1419"/>
        <w:gridCol w:w="1419"/>
      </w:tblGrid>
      <w:tr w:rsidR="006B7F66" w:rsidRPr="00274CAE" w14:paraId="24E0274C" w14:textId="77777777" w:rsidTr="00630509">
        <w:trPr>
          <w:trHeight w:val="255"/>
        </w:trPr>
        <w:tc>
          <w:tcPr>
            <w:tcW w:w="2579" w:type="pct"/>
            <w:tcBorders>
              <w:top w:val="single" w:sz="4" w:space="0" w:color="auto"/>
              <w:left w:val="nil"/>
              <w:bottom w:val="single" w:sz="4" w:space="0" w:color="auto"/>
              <w:right w:val="nil"/>
            </w:tcBorders>
            <w:shd w:val="clear" w:color="auto" w:fill="F4B083" w:themeFill="accent2" w:themeFillTint="99"/>
            <w:vAlign w:val="center"/>
            <w:hideMark/>
          </w:tcPr>
          <w:p w14:paraId="61F3CAC4" w14:textId="77777777" w:rsidR="006B7F66" w:rsidRPr="00274CAE" w:rsidRDefault="006B7F66" w:rsidP="00274CAE">
            <w:pPr>
              <w:pStyle w:val="cuadroCabe"/>
            </w:pPr>
            <w:r w:rsidRPr="00274CAE">
              <w:t>Indicadores</w:t>
            </w:r>
          </w:p>
        </w:tc>
        <w:tc>
          <w:tcPr>
            <w:tcW w:w="807" w:type="pct"/>
            <w:tcBorders>
              <w:top w:val="single" w:sz="4" w:space="0" w:color="auto"/>
              <w:left w:val="nil"/>
              <w:bottom w:val="single" w:sz="4" w:space="0" w:color="auto"/>
              <w:right w:val="nil"/>
            </w:tcBorders>
            <w:shd w:val="clear" w:color="auto" w:fill="F4B083" w:themeFill="accent2" w:themeFillTint="99"/>
            <w:vAlign w:val="center"/>
          </w:tcPr>
          <w:p w14:paraId="60B69FD6" w14:textId="77777777" w:rsidR="006B7F66" w:rsidRPr="00274CAE" w:rsidRDefault="006B7F66" w:rsidP="00274CAE">
            <w:pPr>
              <w:pStyle w:val="cuadroCabe"/>
              <w:jc w:val="right"/>
            </w:pPr>
            <w:r w:rsidRPr="00274CAE">
              <w:t>2022*</w:t>
            </w:r>
          </w:p>
        </w:tc>
        <w:tc>
          <w:tcPr>
            <w:tcW w:w="807" w:type="pct"/>
            <w:tcBorders>
              <w:top w:val="single" w:sz="4" w:space="0" w:color="auto"/>
              <w:left w:val="nil"/>
              <w:bottom w:val="single" w:sz="4" w:space="0" w:color="auto"/>
              <w:right w:val="nil"/>
            </w:tcBorders>
            <w:shd w:val="clear" w:color="auto" w:fill="F4B083" w:themeFill="accent2" w:themeFillTint="99"/>
            <w:vAlign w:val="center"/>
            <w:hideMark/>
          </w:tcPr>
          <w:p w14:paraId="591EBE64" w14:textId="77777777" w:rsidR="006B7F66" w:rsidRPr="00274CAE" w:rsidRDefault="006B7F66" w:rsidP="00274CAE">
            <w:pPr>
              <w:pStyle w:val="cuadroCabe"/>
              <w:jc w:val="right"/>
            </w:pPr>
            <w:r w:rsidRPr="00274CAE">
              <w:t>2023</w:t>
            </w:r>
          </w:p>
        </w:tc>
        <w:tc>
          <w:tcPr>
            <w:tcW w:w="807" w:type="pct"/>
            <w:tcBorders>
              <w:top w:val="single" w:sz="4" w:space="0" w:color="auto"/>
              <w:left w:val="nil"/>
              <w:bottom w:val="single" w:sz="4" w:space="0" w:color="auto"/>
              <w:right w:val="nil"/>
            </w:tcBorders>
            <w:shd w:val="clear" w:color="auto" w:fill="F4B083" w:themeFill="accent2" w:themeFillTint="99"/>
            <w:vAlign w:val="center"/>
          </w:tcPr>
          <w:p w14:paraId="0403E7CC" w14:textId="206F1EEB" w:rsidR="006B7F66" w:rsidRPr="00274CAE" w:rsidRDefault="006B7F66" w:rsidP="00630509">
            <w:pPr>
              <w:pStyle w:val="cuadroCabe"/>
              <w:jc w:val="right"/>
            </w:pPr>
            <w:r w:rsidRPr="00274CAE">
              <w:t>%</w:t>
            </w:r>
            <w:r w:rsidR="00630509">
              <w:t xml:space="preserve"> </w:t>
            </w:r>
            <w:r w:rsidRPr="00274CAE">
              <w:t>Variación</w:t>
            </w:r>
          </w:p>
        </w:tc>
      </w:tr>
      <w:tr w:rsidR="006B7F66" w:rsidRPr="00180121" w14:paraId="2F02AF79" w14:textId="77777777" w:rsidTr="00630509">
        <w:trPr>
          <w:trHeight w:val="198"/>
        </w:trPr>
        <w:tc>
          <w:tcPr>
            <w:tcW w:w="2579" w:type="pct"/>
            <w:tcBorders>
              <w:top w:val="nil"/>
              <w:left w:val="nil"/>
              <w:bottom w:val="single" w:sz="2" w:space="0" w:color="auto"/>
              <w:right w:val="nil"/>
            </w:tcBorders>
            <w:shd w:val="clear" w:color="auto" w:fill="auto"/>
            <w:vAlign w:val="center"/>
            <w:hideMark/>
          </w:tcPr>
          <w:p w14:paraId="46504C33" w14:textId="77777777" w:rsidR="006B7F66" w:rsidRPr="006B7F66" w:rsidRDefault="006B7F66" w:rsidP="00274CAE">
            <w:pPr>
              <w:pStyle w:val="cuatexto"/>
              <w:rPr>
                <w:lang w:val="es-ES"/>
              </w:rPr>
            </w:pPr>
            <w:r w:rsidRPr="06D4BFB9">
              <w:rPr>
                <w:lang w:val="es-ES"/>
              </w:rPr>
              <w:t>Total derechos reconocidos</w:t>
            </w:r>
          </w:p>
        </w:tc>
        <w:tc>
          <w:tcPr>
            <w:tcW w:w="807" w:type="pct"/>
            <w:tcBorders>
              <w:top w:val="nil"/>
              <w:left w:val="nil"/>
              <w:bottom w:val="single" w:sz="2" w:space="0" w:color="auto"/>
              <w:right w:val="nil"/>
            </w:tcBorders>
            <w:shd w:val="clear" w:color="auto" w:fill="auto"/>
            <w:vAlign w:val="center"/>
          </w:tcPr>
          <w:p w14:paraId="11882635" w14:textId="77777777" w:rsidR="006B7F66" w:rsidRPr="006B7F66" w:rsidRDefault="006B7F66" w:rsidP="00274CAE">
            <w:pPr>
              <w:pStyle w:val="cuatexto"/>
              <w:jc w:val="right"/>
            </w:pPr>
            <w:r w:rsidRPr="006B7F66">
              <w:t>779.897</w:t>
            </w:r>
          </w:p>
        </w:tc>
        <w:tc>
          <w:tcPr>
            <w:tcW w:w="807" w:type="pct"/>
            <w:tcBorders>
              <w:top w:val="nil"/>
              <w:left w:val="nil"/>
              <w:bottom w:val="single" w:sz="2" w:space="0" w:color="auto"/>
              <w:right w:val="nil"/>
            </w:tcBorders>
            <w:shd w:val="clear" w:color="auto" w:fill="auto"/>
            <w:vAlign w:val="center"/>
          </w:tcPr>
          <w:p w14:paraId="2F2E8563" w14:textId="77777777" w:rsidR="006B7F66" w:rsidRPr="006B7F66" w:rsidRDefault="006B7F66" w:rsidP="00274CAE">
            <w:pPr>
              <w:pStyle w:val="cuatexto"/>
              <w:jc w:val="right"/>
            </w:pPr>
            <w:r w:rsidRPr="006B7F66">
              <w:t>712.356</w:t>
            </w:r>
          </w:p>
        </w:tc>
        <w:tc>
          <w:tcPr>
            <w:tcW w:w="807" w:type="pct"/>
            <w:tcBorders>
              <w:top w:val="single" w:sz="4" w:space="0" w:color="auto"/>
              <w:left w:val="nil"/>
              <w:bottom w:val="single" w:sz="2" w:space="0" w:color="auto"/>
              <w:right w:val="nil"/>
            </w:tcBorders>
            <w:shd w:val="clear" w:color="auto" w:fill="auto"/>
            <w:vAlign w:val="bottom"/>
          </w:tcPr>
          <w:p w14:paraId="26C00168" w14:textId="77777777" w:rsidR="006B7F66" w:rsidRPr="006B7F66" w:rsidRDefault="006B7F66" w:rsidP="00274CAE">
            <w:pPr>
              <w:pStyle w:val="cuatexto"/>
              <w:jc w:val="right"/>
            </w:pPr>
            <w:r w:rsidRPr="006B7F66">
              <w:t>-9</w:t>
            </w:r>
          </w:p>
        </w:tc>
      </w:tr>
      <w:tr w:rsidR="006B7F66" w:rsidRPr="00180121" w14:paraId="60E67D99" w14:textId="77777777" w:rsidTr="00630509">
        <w:trPr>
          <w:trHeight w:val="198"/>
        </w:trPr>
        <w:tc>
          <w:tcPr>
            <w:tcW w:w="2579" w:type="pct"/>
            <w:tcBorders>
              <w:top w:val="single" w:sz="2" w:space="0" w:color="auto"/>
              <w:left w:val="nil"/>
              <w:bottom w:val="single" w:sz="2" w:space="0" w:color="auto"/>
            </w:tcBorders>
            <w:shd w:val="clear" w:color="auto" w:fill="auto"/>
            <w:vAlign w:val="center"/>
            <w:hideMark/>
          </w:tcPr>
          <w:p w14:paraId="151293BF" w14:textId="77777777" w:rsidR="006B7F66" w:rsidRPr="006B7F66" w:rsidRDefault="006B7F66" w:rsidP="00274CAE">
            <w:pPr>
              <w:pStyle w:val="cuatexto"/>
              <w:rPr>
                <w:lang w:val="es-ES"/>
              </w:rPr>
            </w:pPr>
            <w:r w:rsidRPr="06D4BFB9">
              <w:rPr>
                <w:lang w:val="es-ES"/>
              </w:rPr>
              <w:t>Total obligaciones reconocidas</w:t>
            </w:r>
          </w:p>
        </w:tc>
        <w:tc>
          <w:tcPr>
            <w:tcW w:w="807" w:type="pct"/>
            <w:tcBorders>
              <w:top w:val="single" w:sz="2" w:space="0" w:color="auto"/>
              <w:bottom w:val="single" w:sz="2" w:space="0" w:color="auto"/>
            </w:tcBorders>
            <w:shd w:val="clear" w:color="auto" w:fill="auto"/>
            <w:vAlign w:val="center"/>
          </w:tcPr>
          <w:p w14:paraId="04BAB140" w14:textId="77777777" w:rsidR="006B7F66" w:rsidRPr="006B7F66" w:rsidRDefault="006B7F66" w:rsidP="00274CAE">
            <w:pPr>
              <w:pStyle w:val="cuatexto"/>
              <w:jc w:val="right"/>
            </w:pPr>
            <w:r w:rsidRPr="006B7F66">
              <w:t>745.788</w:t>
            </w:r>
          </w:p>
        </w:tc>
        <w:tc>
          <w:tcPr>
            <w:tcW w:w="807" w:type="pct"/>
            <w:tcBorders>
              <w:top w:val="single" w:sz="2" w:space="0" w:color="auto"/>
              <w:bottom w:val="single" w:sz="2" w:space="0" w:color="auto"/>
            </w:tcBorders>
            <w:shd w:val="clear" w:color="auto" w:fill="auto"/>
            <w:vAlign w:val="center"/>
          </w:tcPr>
          <w:p w14:paraId="092E93D5" w14:textId="77777777" w:rsidR="006B7F66" w:rsidRPr="006B7F66" w:rsidRDefault="006B7F66" w:rsidP="00274CAE">
            <w:pPr>
              <w:pStyle w:val="cuatexto"/>
              <w:jc w:val="right"/>
            </w:pPr>
            <w:r w:rsidRPr="006B7F66">
              <w:t>758.345</w:t>
            </w:r>
          </w:p>
        </w:tc>
        <w:tc>
          <w:tcPr>
            <w:tcW w:w="807" w:type="pct"/>
            <w:tcBorders>
              <w:top w:val="single" w:sz="2" w:space="0" w:color="auto"/>
              <w:bottom w:val="single" w:sz="2" w:space="0" w:color="auto"/>
              <w:right w:val="nil"/>
            </w:tcBorders>
            <w:shd w:val="clear" w:color="auto" w:fill="auto"/>
            <w:vAlign w:val="bottom"/>
          </w:tcPr>
          <w:p w14:paraId="5AEA12F7" w14:textId="77777777" w:rsidR="006B7F66" w:rsidRPr="006B7F66" w:rsidRDefault="006B7F66" w:rsidP="00274CAE">
            <w:pPr>
              <w:pStyle w:val="cuatexto"/>
              <w:jc w:val="right"/>
            </w:pPr>
            <w:r w:rsidRPr="006B7F66">
              <w:t>2</w:t>
            </w:r>
          </w:p>
        </w:tc>
      </w:tr>
      <w:tr w:rsidR="006B7F66" w:rsidRPr="00180121" w14:paraId="6365E5A9" w14:textId="77777777" w:rsidTr="00630509">
        <w:trPr>
          <w:trHeight w:val="198"/>
        </w:trPr>
        <w:tc>
          <w:tcPr>
            <w:tcW w:w="2579" w:type="pct"/>
            <w:tcBorders>
              <w:top w:val="single" w:sz="2" w:space="0" w:color="auto"/>
              <w:left w:val="nil"/>
              <w:bottom w:val="single" w:sz="2" w:space="0" w:color="auto"/>
            </w:tcBorders>
            <w:shd w:val="clear" w:color="auto" w:fill="auto"/>
            <w:vAlign w:val="center"/>
            <w:hideMark/>
          </w:tcPr>
          <w:p w14:paraId="056D37B1" w14:textId="77777777" w:rsidR="006B7F66" w:rsidRPr="006B7F66" w:rsidRDefault="006B7F66" w:rsidP="00274CAE">
            <w:pPr>
              <w:pStyle w:val="cuatexto"/>
            </w:pPr>
            <w:r w:rsidRPr="006B7F66">
              <w:t>Ingresos corrientes (1 a 5)</w:t>
            </w:r>
          </w:p>
        </w:tc>
        <w:tc>
          <w:tcPr>
            <w:tcW w:w="807" w:type="pct"/>
            <w:tcBorders>
              <w:top w:val="single" w:sz="2" w:space="0" w:color="auto"/>
              <w:bottom w:val="single" w:sz="2" w:space="0" w:color="auto"/>
            </w:tcBorders>
            <w:shd w:val="clear" w:color="auto" w:fill="auto"/>
            <w:vAlign w:val="center"/>
          </w:tcPr>
          <w:p w14:paraId="49FE445C" w14:textId="77777777" w:rsidR="006B7F66" w:rsidRPr="006B7F66" w:rsidRDefault="006B7F66" w:rsidP="00274CAE">
            <w:pPr>
              <w:pStyle w:val="cuatexto"/>
              <w:jc w:val="right"/>
            </w:pPr>
            <w:r w:rsidRPr="006B7F66">
              <w:t>739.670</w:t>
            </w:r>
          </w:p>
        </w:tc>
        <w:tc>
          <w:tcPr>
            <w:tcW w:w="807" w:type="pct"/>
            <w:tcBorders>
              <w:top w:val="single" w:sz="2" w:space="0" w:color="auto"/>
              <w:bottom w:val="single" w:sz="2" w:space="0" w:color="auto"/>
            </w:tcBorders>
            <w:shd w:val="clear" w:color="auto" w:fill="auto"/>
            <w:vAlign w:val="center"/>
          </w:tcPr>
          <w:p w14:paraId="3A916D11" w14:textId="77777777" w:rsidR="006B7F66" w:rsidRPr="006B7F66" w:rsidRDefault="006B7F66" w:rsidP="00274CAE">
            <w:pPr>
              <w:pStyle w:val="cuatexto"/>
              <w:jc w:val="right"/>
            </w:pPr>
            <w:r w:rsidRPr="006B7F66">
              <w:t>712.356</w:t>
            </w:r>
          </w:p>
        </w:tc>
        <w:tc>
          <w:tcPr>
            <w:tcW w:w="807" w:type="pct"/>
            <w:tcBorders>
              <w:top w:val="single" w:sz="2" w:space="0" w:color="auto"/>
              <w:bottom w:val="single" w:sz="2" w:space="0" w:color="auto"/>
              <w:right w:val="nil"/>
            </w:tcBorders>
            <w:shd w:val="clear" w:color="auto" w:fill="auto"/>
            <w:vAlign w:val="bottom"/>
          </w:tcPr>
          <w:p w14:paraId="7811F160" w14:textId="77777777" w:rsidR="006B7F66" w:rsidRPr="006B7F66" w:rsidRDefault="006B7F66" w:rsidP="00274CAE">
            <w:pPr>
              <w:pStyle w:val="cuatexto"/>
              <w:jc w:val="right"/>
            </w:pPr>
            <w:r w:rsidRPr="006B7F66">
              <w:t>-4</w:t>
            </w:r>
          </w:p>
        </w:tc>
      </w:tr>
      <w:tr w:rsidR="006B7F66" w:rsidRPr="00180121" w14:paraId="311B9387" w14:textId="77777777" w:rsidTr="00630509">
        <w:trPr>
          <w:trHeight w:val="198"/>
        </w:trPr>
        <w:tc>
          <w:tcPr>
            <w:tcW w:w="2579" w:type="pct"/>
            <w:tcBorders>
              <w:top w:val="single" w:sz="2" w:space="0" w:color="auto"/>
              <w:left w:val="nil"/>
              <w:bottom w:val="single" w:sz="2" w:space="0" w:color="auto"/>
            </w:tcBorders>
            <w:shd w:val="clear" w:color="auto" w:fill="auto"/>
            <w:vAlign w:val="center"/>
            <w:hideMark/>
          </w:tcPr>
          <w:p w14:paraId="572872EA" w14:textId="77777777" w:rsidR="006B7F66" w:rsidRPr="006B7F66" w:rsidRDefault="006B7F66" w:rsidP="00274CAE">
            <w:pPr>
              <w:pStyle w:val="cuatexto"/>
            </w:pPr>
            <w:r w:rsidRPr="006B7F66">
              <w:t>Gastos de funcionamiento (1, 2 y 4)</w:t>
            </w:r>
          </w:p>
        </w:tc>
        <w:tc>
          <w:tcPr>
            <w:tcW w:w="807" w:type="pct"/>
            <w:tcBorders>
              <w:top w:val="single" w:sz="2" w:space="0" w:color="auto"/>
              <w:bottom w:val="single" w:sz="2" w:space="0" w:color="auto"/>
            </w:tcBorders>
            <w:shd w:val="clear" w:color="auto" w:fill="auto"/>
            <w:vAlign w:val="center"/>
          </w:tcPr>
          <w:p w14:paraId="45CD51C6" w14:textId="77777777" w:rsidR="006B7F66" w:rsidRPr="006B7F66" w:rsidRDefault="006B7F66" w:rsidP="00274CAE">
            <w:pPr>
              <w:pStyle w:val="cuatexto"/>
              <w:jc w:val="right"/>
            </w:pPr>
            <w:r w:rsidRPr="006B7F66">
              <w:t>694.980</w:t>
            </w:r>
          </w:p>
        </w:tc>
        <w:tc>
          <w:tcPr>
            <w:tcW w:w="807" w:type="pct"/>
            <w:tcBorders>
              <w:top w:val="single" w:sz="2" w:space="0" w:color="auto"/>
              <w:bottom w:val="single" w:sz="2" w:space="0" w:color="auto"/>
            </w:tcBorders>
            <w:shd w:val="clear" w:color="auto" w:fill="auto"/>
            <w:vAlign w:val="center"/>
          </w:tcPr>
          <w:p w14:paraId="70C6FFCE" w14:textId="77777777" w:rsidR="006B7F66" w:rsidRPr="006B7F66" w:rsidRDefault="006B7F66" w:rsidP="00274CAE">
            <w:pPr>
              <w:pStyle w:val="cuatexto"/>
              <w:jc w:val="right"/>
            </w:pPr>
            <w:r w:rsidRPr="006B7F66">
              <w:t>697.584</w:t>
            </w:r>
          </w:p>
        </w:tc>
        <w:tc>
          <w:tcPr>
            <w:tcW w:w="807" w:type="pct"/>
            <w:tcBorders>
              <w:top w:val="single" w:sz="2" w:space="0" w:color="auto"/>
              <w:bottom w:val="single" w:sz="2" w:space="0" w:color="auto"/>
              <w:right w:val="nil"/>
            </w:tcBorders>
            <w:shd w:val="clear" w:color="auto" w:fill="auto"/>
            <w:vAlign w:val="bottom"/>
          </w:tcPr>
          <w:p w14:paraId="1D506ABD" w14:textId="77777777" w:rsidR="006B7F66" w:rsidRPr="006B7F66" w:rsidRDefault="006B7F66" w:rsidP="00274CAE">
            <w:pPr>
              <w:pStyle w:val="cuatexto"/>
              <w:jc w:val="right"/>
            </w:pPr>
            <w:r w:rsidRPr="006B7F66">
              <w:t>0,4</w:t>
            </w:r>
          </w:p>
        </w:tc>
      </w:tr>
      <w:tr w:rsidR="006B7F66" w:rsidRPr="00180121" w14:paraId="73546B2F" w14:textId="77777777" w:rsidTr="00630509">
        <w:trPr>
          <w:trHeight w:val="198"/>
        </w:trPr>
        <w:tc>
          <w:tcPr>
            <w:tcW w:w="2579" w:type="pct"/>
            <w:tcBorders>
              <w:top w:val="single" w:sz="2" w:space="0" w:color="auto"/>
              <w:left w:val="nil"/>
              <w:bottom w:val="single" w:sz="2" w:space="0" w:color="auto"/>
            </w:tcBorders>
            <w:shd w:val="clear" w:color="auto" w:fill="auto"/>
            <w:vAlign w:val="center"/>
            <w:hideMark/>
          </w:tcPr>
          <w:p w14:paraId="09F764BC" w14:textId="77777777" w:rsidR="006B7F66" w:rsidRPr="006B7F66" w:rsidRDefault="006B7F66" w:rsidP="00274CAE">
            <w:pPr>
              <w:pStyle w:val="cuatexto"/>
            </w:pPr>
            <w:r w:rsidRPr="006B7F66">
              <w:t>Ingresos de capital</w:t>
            </w:r>
          </w:p>
        </w:tc>
        <w:tc>
          <w:tcPr>
            <w:tcW w:w="807" w:type="pct"/>
            <w:tcBorders>
              <w:top w:val="single" w:sz="2" w:space="0" w:color="auto"/>
              <w:bottom w:val="single" w:sz="2" w:space="0" w:color="auto"/>
            </w:tcBorders>
            <w:shd w:val="clear" w:color="auto" w:fill="auto"/>
            <w:vAlign w:val="center"/>
          </w:tcPr>
          <w:p w14:paraId="72E026BB" w14:textId="77777777" w:rsidR="006B7F66" w:rsidRPr="006B7F66" w:rsidRDefault="006B7F66" w:rsidP="00274CAE">
            <w:pPr>
              <w:pStyle w:val="cuatexto"/>
              <w:jc w:val="right"/>
            </w:pPr>
            <w:r w:rsidRPr="006B7F66">
              <w:t>40.227</w:t>
            </w:r>
          </w:p>
        </w:tc>
        <w:tc>
          <w:tcPr>
            <w:tcW w:w="807" w:type="pct"/>
            <w:tcBorders>
              <w:top w:val="single" w:sz="2" w:space="0" w:color="auto"/>
              <w:bottom w:val="single" w:sz="2" w:space="0" w:color="auto"/>
            </w:tcBorders>
            <w:shd w:val="clear" w:color="auto" w:fill="auto"/>
            <w:vAlign w:val="center"/>
          </w:tcPr>
          <w:p w14:paraId="1C3ADB1B" w14:textId="77777777" w:rsidR="006B7F66" w:rsidRPr="006B7F66" w:rsidRDefault="006B7F66" w:rsidP="00274CAE">
            <w:pPr>
              <w:pStyle w:val="cuatexto"/>
              <w:jc w:val="right"/>
            </w:pPr>
            <w:r w:rsidRPr="006B7F66">
              <w:t>0</w:t>
            </w:r>
          </w:p>
        </w:tc>
        <w:tc>
          <w:tcPr>
            <w:tcW w:w="807" w:type="pct"/>
            <w:tcBorders>
              <w:top w:val="single" w:sz="2" w:space="0" w:color="auto"/>
              <w:bottom w:val="single" w:sz="2" w:space="0" w:color="auto"/>
              <w:right w:val="nil"/>
            </w:tcBorders>
            <w:shd w:val="clear" w:color="auto" w:fill="auto"/>
            <w:vAlign w:val="bottom"/>
          </w:tcPr>
          <w:p w14:paraId="18F4685D" w14:textId="77777777" w:rsidR="006B7F66" w:rsidRPr="006B7F66" w:rsidRDefault="006B7F66" w:rsidP="00274CAE">
            <w:pPr>
              <w:pStyle w:val="cuatexto"/>
              <w:jc w:val="right"/>
            </w:pPr>
            <w:r w:rsidRPr="006B7F66">
              <w:t>-100</w:t>
            </w:r>
          </w:p>
        </w:tc>
      </w:tr>
      <w:tr w:rsidR="006B7F66" w:rsidRPr="00180121" w14:paraId="46B88354" w14:textId="77777777" w:rsidTr="0029526B">
        <w:trPr>
          <w:trHeight w:val="198"/>
        </w:trPr>
        <w:tc>
          <w:tcPr>
            <w:tcW w:w="2579" w:type="pct"/>
            <w:tcBorders>
              <w:top w:val="single" w:sz="2" w:space="0" w:color="auto"/>
              <w:left w:val="nil"/>
              <w:bottom w:val="single" w:sz="2" w:space="0" w:color="auto"/>
            </w:tcBorders>
            <w:shd w:val="clear" w:color="auto" w:fill="auto"/>
            <w:vAlign w:val="center"/>
            <w:hideMark/>
          </w:tcPr>
          <w:p w14:paraId="08A0DB25" w14:textId="77777777" w:rsidR="006B7F66" w:rsidRPr="006B7F66" w:rsidRDefault="006B7F66" w:rsidP="00274CAE">
            <w:pPr>
              <w:pStyle w:val="cuatexto"/>
            </w:pPr>
            <w:r w:rsidRPr="006B7F66">
              <w:t>Gastos de capital</w:t>
            </w:r>
          </w:p>
        </w:tc>
        <w:tc>
          <w:tcPr>
            <w:tcW w:w="807" w:type="pct"/>
            <w:tcBorders>
              <w:top w:val="single" w:sz="2" w:space="0" w:color="auto"/>
              <w:bottom w:val="single" w:sz="2" w:space="0" w:color="auto"/>
            </w:tcBorders>
            <w:shd w:val="clear" w:color="auto" w:fill="auto"/>
            <w:vAlign w:val="center"/>
          </w:tcPr>
          <w:p w14:paraId="1E03D1AA" w14:textId="77777777" w:rsidR="006B7F66" w:rsidRPr="006B7F66" w:rsidRDefault="006B7F66" w:rsidP="00274CAE">
            <w:pPr>
              <w:pStyle w:val="cuatexto"/>
              <w:jc w:val="right"/>
            </w:pPr>
            <w:r w:rsidRPr="006B7F66">
              <w:t>6.970</w:t>
            </w:r>
          </w:p>
        </w:tc>
        <w:tc>
          <w:tcPr>
            <w:tcW w:w="807" w:type="pct"/>
            <w:tcBorders>
              <w:top w:val="single" w:sz="2" w:space="0" w:color="auto"/>
              <w:bottom w:val="single" w:sz="2" w:space="0" w:color="auto"/>
            </w:tcBorders>
            <w:shd w:val="clear" w:color="auto" w:fill="auto"/>
            <w:vAlign w:val="center"/>
          </w:tcPr>
          <w:p w14:paraId="138F3B94" w14:textId="77777777" w:rsidR="006B7F66" w:rsidRPr="006B7F66" w:rsidRDefault="006B7F66" w:rsidP="00274CAE">
            <w:pPr>
              <w:pStyle w:val="cuatexto"/>
              <w:jc w:val="right"/>
            </w:pPr>
            <w:r w:rsidRPr="006B7F66">
              <w:t>16.725</w:t>
            </w:r>
          </w:p>
        </w:tc>
        <w:tc>
          <w:tcPr>
            <w:tcW w:w="807" w:type="pct"/>
            <w:tcBorders>
              <w:top w:val="single" w:sz="2" w:space="0" w:color="auto"/>
              <w:bottom w:val="single" w:sz="2" w:space="0" w:color="auto"/>
              <w:right w:val="nil"/>
            </w:tcBorders>
            <w:shd w:val="clear" w:color="auto" w:fill="auto"/>
            <w:vAlign w:val="bottom"/>
          </w:tcPr>
          <w:p w14:paraId="78ED67EA" w14:textId="77777777" w:rsidR="006B7F66" w:rsidRPr="006B7F66" w:rsidRDefault="006B7F66" w:rsidP="00274CAE">
            <w:pPr>
              <w:pStyle w:val="cuatexto"/>
              <w:jc w:val="right"/>
            </w:pPr>
            <w:r w:rsidRPr="006B7F66">
              <w:t>140</w:t>
            </w:r>
          </w:p>
        </w:tc>
      </w:tr>
      <w:tr w:rsidR="006B7F66" w:rsidRPr="00181513" w14:paraId="5F471DD8" w14:textId="77777777" w:rsidTr="0029526B">
        <w:trPr>
          <w:trHeight w:val="198"/>
        </w:trPr>
        <w:tc>
          <w:tcPr>
            <w:tcW w:w="2579" w:type="pct"/>
            <w:tcBorders>
              <w:top w:val="single" w:sz="2" w:space="0" w:color="auto"/>
              <w:left w:val="nil"/>
              <w:bottom w:val="single" w:sz="4" w:space="0" w:color="auto"/>
              <w:right w:val="nil"/>
            </w:tcBorders>
            <w:shd w:val="clear" w:color="auto" w:fill="auto"/>
            <w:vAlign w:val="center"/>
            <w:hideMark/>
          </w:tcPr>
          <w:p w14:paraId="2F930927" w14:textId="77777777" w:rsidR="006B7F66" w:rsidRPr="006B7F66" w:rsidRDefault="006B7F66" w:rsidP="00274CAE">
            <w:pPr>
              <w:pStyle w:val="cuatexto"/>
            </w:pPr>
            <w:r w:rsidRPr="006B7F66">
              <w:t>Saldo no financiero</w:t>
            </w:r>
          </w:p>
        </w:tc>
        <w:tc>
          <w:tcPr>
            <w:tcW w:w="807" w:type="pct"/>
            <w:tcBorders>
              <w:top w:val="single" w:sz="2" w:space="0" w:color="auto"/>
              <w:left w:val="nil"/>
              <w:bottom w:val="single" w:sz="4" w:space="0" w:color="auto"/>
              <w:right w:val="nil"/>
            </w:tcBorders>
            <w:shd w:val="clear" w:color="auto" w:fill="auto"/>
            <w:vAlign w:val="center"/>
          </w:tcPr>
          <w:p w14:paraId="36D2FCA1" w14:textId="77777777" w:rsidR="006B7F66" w:rsidRPr="006B7F66" w:rsidRDefault="006B7F66" w:rsidP="00274CAE">
            <w:pPr>
              <w:pStyle w:val="cuatexto"/>
              <w:jc w:val="right"/>
            </w:pPr>
            <w:r w:rsidRPr="006B7F66">
              <w:t>72.537</w:t>
            </w:r>
          </w:p>
        </w:tc>
        <w:tc>
          <w:tcPr>
            <w:tcW w:w="807" w:type="pct"/>
            <w:tcBorders>
              <w:top w:val="single" w:sz="2" w:space="0" w:color="auto"/>
              <w:left w:val="nil"/>
              <w:bottom w:val="single" w:sz="4" w:space="0" w:color="auto"/>
              <w:right w:val="nil"/>
            </w:tcBorders>
            <w:shd w:val="clear" w:color="auto" w:fill="auto"/>
            <w:vAlign w:val="center"/>
          </w:tcPr>
          <w:p w14:paraId="57326FB3" w14:textId="77777777" w:rsidR="006B7F66" w:rsidRPr="006B7F66" w:rsidRDefault="006B7F66" w:rsidP="00274CAE">
            <w:pPr>
              <w:pStyle w:val="cuatexto"/>
              <w:jc w:val="right"/>
            </w:pPr>
            <w:r w:rsidRPr="006B7F66">
              <w:t>-7.040</w:t>
            </w:r>
          </w:p>
        </w:tc>
        <w:tc>
          <w:tcPr>
            <w:tcW w:w="807" w:type="pct"/>
            <w:tcBorders>
              <w:top w:val="single" w:sz="2" w:space="0" w:color="auto"/>
              <w:left w:val="nil"/>
              <w:bottom w:val="single" w:sz="4" w:space="0" w:color="auto"/>
              <w:right w:val="nil"/>
            </w:tcBorders>
            <w:shd w:val="clear" w:color="auto" w:fill="auto"/>
            <w:vAlign w:val="bottom"/>
          </w:tcPr>
          <w:p w14:paraId="44F3FD3E" w14:textId="77777777" w:rsidR="006B7F66" w:rsidRPr="006B7F66" w:rsidRDefault="006B7F66" w:rsidP="00274CAE">
            <w:pPr>
              <w:pStyle w:val="cuatexto"/>
              <w:jc w:val="right"/>
            </w:pPr>
            <w:r w:rsidRPr="006B7F66">
              <w:t>-110</w:t>
            </w:r>
          </w:p>
        </w:tc>
      </w:tr>
    </w:tbl>
    <w:p w14:paraId="4650DE01" w14:textId="77777777" w:rsidR="006B7F66" w:rsidRDefault="006B7F66" w:rsidP="000F07B3">
      <w:pPr>
        <w:pStyle w:val="texto"/>
        <w:tabs>
          <w:tab w:val="clear" w:pos="2835"/>
          <w:tab w:val="clear" w:pos="3969"/>
          <w:tab w:val="clear" w:pos="5103"/>
          <w:tab w:val="clear" w:pos="6237"/>
          <w:tab w:val="clear" w:pos="7371"/>
          <w:tab w:val="num" w:pos="360"/>
          <w:tab w:val="left" w:pos="480"/>
          <w:tab w:val="num" w:pos="600"/>
          <w:tab w:val="num" w:pos="720"/>
          <w:tab w:val="num" w:pos="1320"/>
          <w:tab w:val="num" w:pos="1637"/>
          <w:tab w:val="num" w:pos="3763"/>
        </w:tabs>
        <w:spacing w:before="120" w:after="120"/>
        <w:ind w:firstLine="0"/>
        <w:rPr>
          <w:sz w:val="20"/>
          <w:szCs w:val="20"/>
        </w:rPr>
      </w:pPr>
      <w:r>
        <w:rPr>
          <w:sz w:val="20"/>
          <w:szCs w:val="20"/>
        </w:rPr>
        <w:t>*</w:t>
      </w:r>
      <w:r w:rsidRPr="00274CAE">
        <w:rPr>
          <w:rFonts w:ascii="Arial Narrow" w:hAnsi="Arial Narrow"/>
          <w:sz w:val="16"/>
          <w:szCs w:val="16"/>
        </w:rPr>
        <w:t>Ejercicio no auditado</w:t>
      </w:r>
    </w:p>
    <w:p w14:paraId="2761B3D7" w14:textId="73573358" w:rsidR="006B7F66" w:rsidRPr="002973D8" w:rsidRDefault="006B7F66" w:rsidP="00CB7B2F">
      <w:pPr>
        <w:pStyle w:val="texto"/>
        <w:numPr>
          <w:ilvl w:val="0"/>
          <w:numId w:val="18"/>
        </w:numPr>
        <w:tabs>
          <w:tab w:val="num" w:pos="567"/>
          <w:tab w:val="num" w:pos="2770"/>
        </w:tabs>
        <w:ind w:left="0" w:firstLine="290"/>
        <w:rPr>
          <w:lang w:val="es-ES"/>
        </w:rPr>
      </w:pPr>
      <w:r w:rsidRPr="2C569507">
        <w:rPr>
          <w:lang w:val="es-ES"/>
        </w:rPr>
        <w:t xml:space="preserve">Los derechos </w:t>
      </w:r>
      <w:r w:rsidRPr="00CB7B2F">
        <w:t>reconocidos</w:t>
      </w:r>
      <w:r w:rsidRPr="2C569507">
        <w:rPr>
          <w:lang w:val="es-ES"/>
        </w:rPr>
        <w:t xml:space="preserve"> en 2023 ascendieron</w:t>
      </w:r>
      <w:r w:rsidR="322C3E8C" w:rsidRPr="2C569507">
        <w:rPr>
          <w:lang w:val="es-ES"/>
        </w:rPr>
        <w:t xml:space="preserve"> a</w:t>
      </w:r>
      <w:r w:rsidRPr="2C569507">
        <w:rPr>
          <w:lang w:val="es-ES"/>
        </w:rPr>
        <w:t xml:space="preserve"> 712.356 euros, un 50 por ciento de las previsiones definitivas. Este bajo grado de ejecución se debe a </w:t>
      </w:r>
      <w:r w:rsidR="00B035EE" w:rsidRPr="2C569507">
        <w:rPr>
          <w:lang w:val="es-ES"/>
        </w:rPr>
        <w:t xml:space="preserve">que </w:t>
      </w:r>
      <w:r w:rsidR="00084811" w:rsidRPr="2C569507">
        <w:rPr>
          <w:lang w:val="es-ES"/>
        </w:rPr>
        <w:t xml:space="preserve">la Administración Foral </w:t>
      </w:r>
      <w:r w:rsidR="00B035EE" w:rsidRPr="2C569507">
        <w:rPr>
          <w:lang w:val="es-ES"/>
        </w:rPr>
        <w:t xml:space="preserve">no </w:t>
      </w:r>
      <w:r w:rsidR="00084811" w:rsidRPr="2C569507">
        <w:rPr>
          <w:lang w:val="es-ES"/>
        </w:rPr>
        <w:t xml:space="preserve">concedió </w:t>
      </w:r>
      <w:r w:rsidRPr="2C569507">
        <w:rPr>
          <w:lang w:val="es-ES"/>
        </w:rPr>
        <w:t xml:space="preserve">la subvención </w:t>
      </w:r>
      <w:r w:rsidR="00E30322" w:rsidRPr="2C569507">
        <w:rPr>
          <w:lang w:val="es-ES"/>
        </w:rPr>
        <w:t>presupuestada</w:t>
      </w:r>
      <w:r w:rsidR="006C2C2B" w:rsidRPr="2C569507">
        <w:rPr>
          <w:lang w:val="es-ES"/>
        </w:rPr>
        <w:t xml:space="preserve"> por 598.696 euros </w:t>
      </w:r>
      <w:r w:rsidRPr="2C569507">
        <w:rPr>
          <w:lang w:val="es-ES"/>
        </w:rPr>
        <w:t xml:space="preserve">para financiar la inversión en el vertedero </w:t>
      </w:r>
      <w:r w:rsidR="007A288E" w:rsidRPr="2C569507">
        <w:rPr>
          <w:lang w:val="es-ES"/>
        </w:rPr>
        <w:t>al no haberse ejecutado dicha obra</w:t>
      </w:r>
      <w:r w:rsidR="5BBD5385" w:rsidRPr="2C569507">
        <w:rPr>
          <w:lang w:val="es-ES"/>
        </w:rPr>
        <w:t>,</w:t>
      </w:r>
      <w:r w:rsidR="00126C11" w:rsidRPr="2C569507">
        <w:rPr>
          <w:lang w:val="es-ES"/>
        </w:rPr>
        <w:t xml:space="preserve"> que </w:t>
      </w:r>
      <w:r w:rsidR="3D261FE4" w:rsidRPr="2C569507">
        <w:rPr>
          <w:lang w:val="es-ES"/>
        </w:rPr>
        <w:t>no</w:t>
      </w:r>
      <w:r w:rsidR="00126C11" w:rsidRPr="2C569507">
        <w:rPr>
          <w:lang w:val="es-ES"/>
        </w:rPr>
        <w:t xml:space="preserve"> ha sido</w:t>
      </w:r>
      <w:r w:rsidR="4351AD0C" w:rsidRPr="2C569507">
        <w:rPr>
          <w:lang w:val="es-ES"/>
        </w:rPr>
        <w:t xml:space="preserve"> </w:t>
      </w:r>
      <w:r w:rsidR="00126C11" w:rsidRPr="2C569507">
        <w:rPr>
          <w:lang w:val="es-ES"/>
        </w:rPr>
        <w:t>licitada</w:t>
      </w:r>
      <w:r w:rsidRPr="2C569507">
        <w:rPr>
          <w:lang w:val="es-ES"/>
        </w:rPr>
        <w:t>.</w:t>
      </w:r>
    </w:p>
    <w:p w14:paraId="6A3D1306" w14:textId="77777777" w:rsidR="006B7F66" w:rsidRPr="00AB23C9" w:rsidRDefault="006B7F66" w:rsidP="006B7F66">
      <w:pPr>
        <w:pStyle w:val="texto"/>
        <w:spacing w:after="180"/>
      </w:pPr>
      <w:r>
        <w:t>El 68 por ciento de los derechos reconocidos corresponde a la tasa de basuras y el 15 por ciento a la venta de envases, entre los ingresos más destacados.</w:t>
      </w:r>
    </w:p>
    <w:p w14:paraId="12C7618F" w14:textId="6756DC89" w:rsidR="00EB681D" w:rsidRDefault="006B7F66" w:rsidP="007871B2">
      <w:pPr>
        <w:pStyle w:val="texto"/>
        <w:spacing w:after="240"/>
      </w:pPr>
      <w:r>
        <w:t xml:space="preserve">Los derechos reconocidos del 2023 fueron un nueve por ciento inferiores a los del ejercicio anterior. </w:t>
      </w:r>
      <w:r w:rsidR="00EB681D">
        <w:t>Destacamos las variaciones de los siguientes ingresos:</w:t>
      </w:r>
    </w:p>
    <w:tbl>
      <w:tblPr>
        <w:tblW w:w="5000" w:type="pct"/>
        <w:tblCellMar>
          <w:left w:w="70" w:type="dxa"/>
          <w:right w:w="70" w:type="dxa"/>
        </w:tblCellMar>
        <w:tblLook w:val="04A0" w:firstRow="1" w:lastRow="0" w:firstColumn="1" w:lastColumn="0" w:noHBand="0" w:noVBand="1"/>
      </w:tblPr>
      <w:tblGrid>
        <w:gridCol w:w="4253"/>
        <w:gridCol w:w="1134"/>
        <w:gridCol w:w="1134"/>
        <w:gridCol w:w="2268"/>
      </w:tblGrid>
      <w:tr w:rsidR="00EB681D" w:rsidRPr="00293228" w14:paraId="6BA687BF" w14:textId="77777777" w:rsidTr="00293228">
        <w:trPr>
          <w:trHeight w:val="255"/>
        </w:trPr>
        <w:tc>
          <w:tcPr>
            <w:tcW w:w="2420" w:type="pct"/>
            <w:tcBorders>
              <w:top w:val="single" w:sz="4" w:space="0" w:color="auto"/>
              <w:left w:val="nil"/>
              <w:bottom w:val="single" w:sz="4" w:space="0" w:color="auto"/>
              <w:right w:val="nil"/>
            </w:tcBorders>
            <w:shd w:val="clear" w:color="auto" w:fill="F4B083" w:themeFill="accent2" w:themeFillTint="99"/>
            <w:vAlign w:val="center"/>
            <w:hideMark/>
          </w:tcPr>
          <w:p w14:paraId="55FDC0AA" w14:textId="076C9215" w:rsidR="00EB681D" w:rsidRPr="00293228" w:rsidRDefault="00EB681D" w:rsidP="00293228">
            <w:pPr>
              <w:pStyle w:val="cuadroCabe"/>
            </w:pPr>
            <w:r w:rsidRPr="00293228">
              <w:t>Ingreso</w:t>
            </w:r>
          </w:p>
        </w:tc>
        <w:tc>
          <w:tcPr>
            <w:tcW w:w="645" w:type="pct"/>
            <w:tcBorders>
              <w:top w:val="single" w:sz="4" w:space="0" w:color="auto"/>
              <w:left w:val="nil"/>
              <w:bottom w:val="single" w:sz="4" w:space="0" w:color="auto"/>
              <w:right w:val="nil"/>
            </w:tcBorders>
            <w:shd w:val="clear" w:color="auto" w:fill="F4B083" w:themeFill="accent2" w:themeFillTint="99"/>
            <w:vAlign w:val="center"/>
          </w:tcPr>
          <w:p w14:paraId="02D52848" w14:textId="61F9A06D" w:rsidR="00EB681D" w:rsidRPr="00293228" w:rsidRDefault="00EB681D" w:rsidP="00293228">
            <w:pPr>
              <w:pStyle w:val="cuadroCabe"/>
              <w:jc w:val="right"/>
            </w:pPr>
            <w:r w:rsidRPr="00293228">
              <w:t>Derecho reconocido 2023</w:t>
            </w:r>
          </w:p>
        </w:tc>
        <w:tc>
          <w:tcPr>
            <w:tcW w:w="645" w:type="pct"/>
            <w:tcBorders>
              <w:top w:val="single" w:sz="4" w:space="0" w:color="auto"/>
              <w:left w:val="nil"/>
              <w:bottom w:val="single" w:sz="4" w:space="0" w:color="auto"/>
              <w:right w:val="nil"/>
            </w:tcBorders>
            <w:shd w:val="clear" w:color="auto" w:fill="F4B083" w:themeFill="accent2" w:themeFillTint="99"/>
            <w:vAlign w:val="center"/>
            <w:hideMark/>
          </w:tcPr>
          <w:p w14:paraId="76A4BAE2" w14:textId="77777777" w:rsidR="0025740A" w:rsidRPr="00293228" w:rsidRDefault="0025740A" w:rsidP="00293228">
            <w:pPr>
              <w:pStyle w:val="cuadroCabe"/>
              <w:jc w:val="right"/>
            </w:pPr>
            <w:r w:rsidRPr="00293228">
              <w:t>%</w:t>
            </w:r>
          </w:p>
          <w:p w14:paraId="4677028F" w14:textId="28A27387" w:rsidR="00EB681D" w:rsidRPr="00293228" w:rsidRDefault="0025740A" w:rsidP="00293228">
            <w:pPr>
              <w:pStyle w:val="cuadroCabe"/>
              <w:jc w:val="right"/>
            </w:pPr>
            <w:r w:rsidRPr="00293228">
              <w:t>Variación</w:t>
            </w:r>
          </w:p>
        </w:tc>
        <w:tc>
          <w:tcPr>
            <w:tcW w:w="1290" w:type="pct"/>
            <w:tcBorders>
              <w:top w:val="single" w:sz="4" w:space="0" w:color="auto"/>
              <w:left w:val="nil"/>
              <w:bottom w:val="single" w:sz="4" w:space="0" w:color="auto"/>
              <w:right w:val="nil"/>
            </w:tcBorders>
            <w:shd w:val="clear" w:color="auto" w:fill="F4B083" w:themeFill="accent2" w:themeFillTint="99"/>
            <w:vAlign w:val="center"/>
          </w:tcPr>
          <w:p w14:paraId="3D07B48E" w14:textId="657EB3E4" w:rsidR="00EB681D" w:rsidRPr="00293228" w:rsidRDefault="0025740A" w:rsidP="00293228">
            <w:pPr>
              <w:pStyle w:val="cuadroCabe"/>
              <w:jc w:val="right"/>
            </w:pPr>
            <w:r w:rsidRPr="00293228">
              <w:t>Causa</w:t>
            </w:r>
          </w:p>
        </w:tc>
      </w:tr>
      <w:tr w:rsidR="00EB681D" w:rsidRPr="00180121" w14:paraId="638C5B1B" w14:textId="77777777" w:rsidTr="00293228">
        <w:trPr>
          <w:trHeight w:val="198"/>
        </w:trPr>
        <w:tc>
          <w:tcPr>
            <w:tcW w:w="2420" w:type="pct"/>
            <w:tcBorders>
              <w:top w:val="nil"/>
              <w:left w:val="nil"/>
              <w:bottom w:val="single" w:sz="2" w:space="0" w:color="auto"/>
              <w:right w:val="nil"/>
            </w:tcBorders>
            <w:shd w:val="clear" w:color="auto" w:fill="auto"/>
            <w:vAlign w:val="center"/>
          </w:tcPr>
          <w:p w14:paraId="6EB29442" w14:textId="2F399446" w:rsidR="00EB681D" w:rsidRPr="006B7F66" w:rsidRDefault="00EB681D" w:rsidP="00293228">
            <w:pPr>
              <w:pStyle w:val="cuatexto"/>
              <w:rPr>
                <w:lang w:val="es-ES"/>
              </w:rPr>
            </w:pPr>
            <w:r>
              <w:rPr>
                <w:lang w:val="es-ES"/>
              </w:rPr>
              <w:t>Transferencia al consorcio para compostaje y poda</w:t>
            </w:r>
          </w:p>
        </w:tc>
        <w:tc>
          <w:tcPr>
            <w:tcW w:w="645" w:type="pct"/>
            <w:tcBorders>
              <w:top w:val="nil"/>
              <w:left w:val="nil"/>
              <w:bottom w:val="single" w:sz="2" w:space="0" w:color="auto"/>
              <w:right w:val="nil"/>
            </w:tcBorders>
            <w:shd w:val="clear" w:color="auto" w:fill="auto"/>
            <w:vAlign w:val="center"/>
          </w:tcPr>
          <w:p w14:paraId="53EE9B24" w14:textId="0EA35F58" w:rsidR="00EB681D" w:rsidRPr="006B7F66" w:rsidRDefault="0025740A" w:rsidP="00293228">
            <w:pPr>
              <w:pStyle w:val="cuatexto"/>
              <w:jc w:val="right"/>
            </w:pPr>
            <w:r>
              <w:t>61.306</w:t>
            </w:r>
          </w:p>
        </w:tc>
        <w:tc>
          <w:tcPr>
            <w:tcW w:w="645" w:type="pct"/>
            <w:tcBorders>
              <w:top w:val="nil"/>
              <w:left w:val="nil"/>
              <w:bottom w:val="single" w:sz="2" w:space="0" w:color="auto"/>
              <w:right w:val="nil"/>
            </w:tcBorders>
            <w:shd w:val="clear" w:color="auto" w:fill="auto"/>
            <w:vAlign w:val="center"/>
          </w:tcPr>
          <w:p w14:paraId="03C294F7" w14:textId="4B4073FB" w:rsidR="00EB681D" w:rsidRPr="006B7F66" w:rsidRDefault="0025740A" w:rsidP="001B6AE4">
            <w:pPr>
              <w:pStyle w:val="cuatexto"/>
              <w:jc w:val="right"/>
            </w:pPr>
            <w:r>
              <w:t>-53</w:t>
            </w:r>
          </w:p>
        </w:tc>
        <w:tc>
          <w:tcPr>
            <w:tcW w:w="1290" w:type="pct"/>
            <w:tcBorders>
              <w:top w:val="single" w:sz="4" w:space="0" w:color="auto"/>
              <w:left w:val="nil"/>
              <w:bottom w:val="single" w:sz="2" w:space="0" w:color="auto"/>
              <w:right w:val="nil"/>
            </w:tcBorders>
            <w:shd w:val="clear" w:color="auto" w:fill="auto"/>
            <w:vAlign w:val="bottom"/>
          </w:tcPr>
          <w:p w14:paraId="5AD975E3" w14:textId="3323C9DB" w:rsidR="00EB681D" w:rsidRPr="006B7F66" w:rsidRDefault="0025740A" w:rsidP="00293228">
            <w:pPr>
              <w:pStyle w:val="cuatexto"/>
              <w:jc w:val="right"/>
            </w:pPr>
            <w:r>
              <w:t>Contabilización en 2022 de ingresos de 2021</w:t>
            </w:r>
          </w:p>
        </w:tc>
      </w:tr>
      <w:tr w:rsidR="00EB681D" w:rsidRPr="00180121" w14:paraId="5AF2D587" w14:textId="77777777" w:rsidTr="00880EFB">
        <w:trPr>
          <w:trHeight w:val="198"/>
        </w:trPr>
        <w:tc>
          <w:tcPr>
            <w:tcW w:w="2420" w:type="pct"/>
            <w:tcBorders>
              <w:top w:val="single" w:sz="2" w:space="0" w:color="auto"/>
              <w:left w:val="nil"/>
              <w:bottom w:val="single" w:sz="2" w:space="0" w:color="auto"/>
              <w:right w:val="nil"/>
            </w:tcBorders>
            <w:shd w:val="clear" w:color="auto" w:fill="auto"/>
            <w:vAlign w:val="center"/>
          </w:tcPr>
          <w:p w14:paraId="1A900C41" w14:textId="1859842B" w:rsidR="00EB681D" w:rsidRPr="006B7F66" w:rsidRDefault="0025740A" w:rsidP="00293228">
            <w:pPr>
              <w:pStyle w:val="cuatexto"/>
              <w:rPr>
                <w:lang w:val="es-ES"/>
              </w:rPr>
            </w:pPr>
            <w:r>
              <w:rPr>
                <w:lang w:val="es-ES"/>
              </w:rPr>
              <w:t>Venta de papel y cartón</w:t>
            </w:r>
          </w:p>
        </w:tc>
        <w:tc>
          <w:tcPr>
            <w:tcW w:w="645" w:type="pct"/>
            <w:tcBorders>
              <w:top w:val="single" w:sz="2" w:space="0" w:color="auto"/>
              <w:left w:val="nil"/>
              <w:bottom w:val="single" w:sz="2" w:space="0" w:color="auto"/>
              <w:right w:val="nil"/>
            </w:tcBorders>
            <w:shd w:val="clear" w:color="auto" w:fill="auto"/>
            <w:vAlign w:val="center"/>
          </w:tcPr>
          <w:p w14:paraId="2332CD3E" w14:textId="6E758149" w:rsidR="00EB681D" w:rsidRPr="006B7F66" w:rsidRDefault="0025740A" w:rsidP="00293228">
            <w:pPr>
              <w:pStyle w:val="cuatexto"/>
              <w:jc w:val="right"/>
            </w:pPr>
            <w:r>
              <w:t>15.465</w:t>
            </w:r>
          </w:p>
        </w:tc>
        <w:tc>
          <w:tcPr>
            <w:tcW w:w="645" w:type="pct"/>
            <w:tcBorders>
              <w:top w:val="single" w:sz="2" w:space="0" w:color="auto"/>
              <w:left w:val="nil"/>
              <w:bottom w:val="single" w:sz="2" w:space="0" w:color="auto"/>
              <w:right w:val="nil"/>
            </w:tcBorders>
            <w:shd w:val="clear" w:color="auto" w:fill="auto"/>
            <w:vAlign w:val="center"/>
          </w:tcPr>
          <w:p w14:paraId="6EF87CC4" w14:textId="1530A65D" w:rsidR="00EB681D" w:rsidRPr="006B7F66" w:rsidRDefault="0025740A" w:rsidP="001B6AE4">
            <w:pPr>
              <w:pStyle w:val="cuatexto"/>
              <w:jc w:val="right"/>
            </w:pPr>
            <w:r>
              <w:t>-56</w:t>
            </w:r>
          </w:p>
        </w:tc>
        <w:tc>
          <w:tcPr>
            <w:tcW w:w="1290" w:type="pct"/>
            <w:tcBorders>
              <w:top w:val="single" w:sz="2" w:space="0" w:color="auto"/>
              <w:left w:val="nil"/>
              <w:bottom w:val="single" w:sz="2" w:space="0" w:color="auto"/>
              <w:right w:val="nil"/>
            </w:tcBorders>
            <w:shd w:val="clear" w:color="auto" w:fill="auto"/>
            <w:vAlign w:val="bottom"/>
          </w:tcPr>
          <w:p w14:paraId="4DD762B7" w14:textId="43D785C9" w:rsidR="00EB681D" w:rsidRPr="006B7F66" w:rsidRDefault="0025740A" w:rsidP="00293228">
            <w:pPr>
              <w:pStyle w:val="cuatexto"/>
              <w:jc w:val="right"/>
            </w:pPr>
            <w:r>
              <w:t xml:space="preserve">Fluctuación precio </w:t>
            </w:r>
          </w:p>
        </w:tc>
      </w:tr>
      <w:tr w:rsidR="00EB681D" w:rsidRPr="00180121" w14:paraId="7D283663" w14:textId="77777777" w:rsidTr="00880EFB">
        <w:trPr>
          <w:trHeight w:val="198"/>
        </w:trPr>
        <w:tc>
          <w:tcPr>
            <w:tcW w:w="2420" w:type="pct"/>
            <w:tcBorders>
              <w:top w:val="single" w:sz="2" w:space="0" w:color="auto"/>
              <w:left w:val="nil"/>
              <w:bottom w:val="single" w:sz="4" w:space="0" w:color="auto"/>
              <w:right w:val="nil"/>
            </w:tcBorders>
            <w:shd w:val="clear" w:color="auto" w:fill="auto"/>
            <w:vAlign w:val="center"/>
          </w:tcPr>
          <w:p w14:paraId="30F68E16" w14:textId="1388EF60" w:rsidR="00EB681D" w:rsidRPr="006B7F66" w:rsidRDefault="0025740A" w:rsidP="00293228">
            <w:pPr>
              <w:pStyle w:val="cuatexto"/>
            </w:pPr>
            <w:r>
              <w:t>Venta de envases</w:t>
            </w:r>
          </w:p>
        </w:tc>
        <w:tc>
          <w:tcPr>
            <w:tcW w:w="645" w:type="pct"/>
            <w:tcBorders>
              <w:top w:val="single" w:sz="2" w:space="0" w:color="auto"/>
              <w:left w:val="nil"/>
              <w:bottom w:val="single" w:sz="4" w:space="0" w:color="auto"/>
              <w:right w:val="nil"/>
            </w:tcBorders>
            <w:shd w:val="clear" w:color="auto" w:fill="auto"/>
            <w:vAlign w:val="center"/>
          </w:tcPr>
          <w:p w14:paraId="7DB5A6FF" w14:textId="22F69945" w:rsidR="00EB681D" w:rsidRPr="006B7F66" w:rsidRDefault="0025740A" w:rsidP="00293228">
            <w:pPr>
              <w:pStyle w:val="cuatexto"/>
              <w:jc w:val="right"/>
            </w:pPr>
            <w:r>
              <w:t>107.954</w:t>
            </w:r>
          </w:p>
        </w:tc>
        <w:tc>
          <w:tcPr>
            <w:tcW w:w="645" w:type="pct"/>
            <w:tcBorders>
              <w:top w:val="single" w:sz="2" w:space="0" w:color="auto"/>
              <w:left w:val="nil"/>
              <w:bottom w:val="single" w:sz="4" w:space="0" w:color="auto"/>
              <w:right w:val="nil"/>
            </w:tcBorders>
            <w:shd w:val="clear" w:color="auto" w:fill="auto"/>
            <w:vAlign w:val="center"/>
          </w:tcPr>
          <w:p w14:paraId="3CD49001" w14:textId="60F1C745" w:rsidR="00EB681D" w:rsidRPr="006B7F66" w:rsidRDefault="0025740A" w:rsidP="001B6AE4">
            <w:pPr>
              <w:pStyle w:val="cuatexto"/>
              <w:jc w:val="right"/>
            </w:pPr>
            <w:r>
              <w:t>79</w:t>
            </w:r>
          </w:p>
        </w:tc>
        <w:tc>
          <w:tcPr>
            <w:tcW w:w="1290" w:type="pct"/>
            <w:tcBorders>
              <w:top w:val="single" w:sz="2" w:space="0" w:color="auto"/>
              <w:left w:val="nil"/>
              <w:bottom w:val="single" w:sz="4" w:space="0" w:color="auto"/>
              <w:right w:val="nil"/>
            </w:tcBorders>
            <w:shd w:val="clear" w:color="auto" w:fill="auto"/>
            <w:vAlign w:val="bottom"/>
          </w:tcPr>
          <w:p w14:paraId="41A54A82" w14:textId="332396F4" w:rsidR="00EB681D" w:rsidRPr="006B7F66" w:rsidRDefault="00EB681D" w:rsidP="00293228">
            <w:pPr>
              <w:pStyle w:val="cuatexto"/>
              <w:jc w:val="right"/>
            </w:pPr>
          </w:p>
        </w:tc>
      </w:tr>
    </w:tbl>
    <w:p w14:paraId="2A0B1F85" w14:textId="38E7D897" w:rsidR="006B7F66" w:rsidRPr="00097392" w:rsidRDefault="006B7F66" w:rsidP="00CB7B2F">
      <w:pPr>
        <w:pStyle w:val="texto"/>
        <w:numPr>
          <w:ilvl w:val="0"/>
          <w:numId w:val="18"/>
        </w:numPr>
        <w:tabs>
          <w:tab w:val="num" w:pos="567"/>
          <w:tab w:val="num" w:pos="2770"/>
        </w:tabs>
        <w:ind w:left="0" w:firstLine="290"/>
      </w:pPr>
      <w:r>
        <w:lastRenderedPageBreak/>
        <w:t>Las obligaciones reconocidas en 2023 ascendieron a 758.345 euros. Presentan un grado de ejecución del 54 por ciento de los créditos definitivos, debido a la no ejecución de la inversión del vertedero</w:t>
      </w:r>
      <w:r w:rsidR="62C19436">
        <w:t>,</w:t>
      </w:r>
      <w:r>
        <w:t xml:space="preserve"> presupuestada en 630.206 euros.</w:t>
      </w:r>
    </w:p>
    <w:p w14:paraId="2CDC941E" w14:textId="3D8AC71A" w:rsidR="006B7F66" w:rsidRDefault="006B7F66" w:rsidP="006B7F66">
      <w:pPr>
        <w:pStyle w:val="texto"/>
        <w:tabs>
          <w:tab w:val="left" w:pos="142"/>
        </w:tabs>
        <w:spacing w:after="100"/>
        <w:rPr>
          <w:color w:val="000000" w:themeColor="text1"/>
        </w:rPr>
      </w:pPr>
      <w:r>
        <w:t>Las obligacion</w:t>
      </w:r>
      <w:r w:rsidRPr="483DF1BC">
        <w:rPr>
          <w:color w:val="000000" w:themeColor="text1"/>
        </w:rPr>
        <w:t xml:space="preserve">es reconocidas en 2023 fueron un dos por ciento superiores a las del ejercicio anterior. </w:t>
      </w:r>
    </w:p>
    <w:p w14:paraId="73A5340B" w14:textId="3D2710E6" w:rsidR="006B7F66" w:rsidRPr="006B7F66" w:rsidRDefault="006B7F66" w:rsidP="007871B2">
      <w:pPr>
        <w:pStyle w:val="texto"/>
        <w:numPr>
          <w:ilvl w:val="0"/>
          <w:numId w:val="18"/>
        </w:numPr>
        <w:tabs>
          <w:tab w:val="num" w:pos="567"/>
          <w:tab w:val="num" w:pos="2770"/>
        </w:tabs>
        <w:spacing w:after="240"/>
        <w:ind w:left="0" w:firstLine="289"/>
      </w:pPr>
      <w:r w:rsidRPr="006B7F66">
        <w:t xml:space="preserve">En el siguiente cuadro se muestra el destino y financiación, en porcentaje, de los gastos de la </w:t>
      </w:r>
      <w:r w:rsidR="003C06D0">
        <w:t>Mancomunidad</w:t>
      </w:r>
      <w:r w:rsidRPr="006B7F66">
        <w:t xml:space="preserve"> </w:t>
      </w:r>
      <w:r w:rsidR="00311BB3">
        <w:t xml:space="preserve">en los </w:t>
      </w:r>
      <w:r w:rsidRPr="006B7F66">
        <w:t>ejercicio</w:t>
      </w:r>
      <w:r w:rsidR="00311BB3">
        <w:t>s 2022 y 2023</w:t>
      </w:r>
      <w:r w:rsidRPr="006B7F66">
        <w:t>:</w:t>
      </w:r>
    </w:p>
    <w:tbl>
      <w:tblPr>
        <w:tblW w:w="8789" w:type="dxa"/>
        <w:jc w:val="center"/>
        <w:tblCellMar>
          <w:left w:w="70" w:type="dxa"/>
          <w:right w:w="70" w:type="dxa"/>
        </w:tblCellMar>
        <w:tblLook w:val="04A0" w:firstRow="1" w:lastRow="0" w:firstColumn="1" w:lastColumn="0" w:noHBand="0" w:noVBand="1"/>
      </w:tblPr>
      <w:tblGrid>
        <w:gridCol w:w="3261"/>
        <w:gridCol w:w="566"/>
        <w:gridCol w:w="709"/>
        <w:gridCol w:w="2991"/>
        <w:gridCol w:w="697"/>
        <w:gridCol w:w="565"/>
      </w:tblGrid>
      <w:tr w:rsidR="006B7F66" w:rsidRPr="008851EB" w14:paraId="631D690D" w14:textId="77777777" w:rsidTr="00592CC7">
        <w:trPr>
          <w:trHeight w:val="255"/>
          <w:jc w:val="center"/>
        </w:trPr>
        <w:tc>
          <w:tcPr>
            <w:tcW w:w="3261" w:type="dxa"/>
            <w:tcBorders>
              <w:top w:val="single" w:sz="4" w:space="0" w:color="auto"/>
              <w:left w:val="nil"/>
              <w:bottom w:val="single" w:sz="4" w:space="0" w:color="auto"/>
              <w:right w:val="nil"/>
            </w:tcBorders>
            <w:shd w:val="clear" w:color="auto" w:fill="FABF8F"/>
            <w:vAlign w:val="center"/>
            <w:hideMark/>
          </w:tcPr>
          <w:p w14:paraId="23CA7752" w14:textId="77777777" w:rsidR="006B7F66" w:rsidRPr="008851EB" w:rsidRDefault="006B7F66" w:rsidP="008851EB">
            <w:pPr>
              <w:pStyle w:val="cuadroCabe"/>
            </w:pPr>
            <w:r w:rsidRPr="008851EB">
              <w:t>Naturaleza del gasto</w:t>
            </w:r>
          </w:p>
        </w:tc>
        <w:tc>
          <w:tcPr>
            <w:tcW w:w="566" w:type="dxa"/>
            <w:tcBorders>
              <w:top w:val="single" w:sz="4" w:space="0" w:color="auto"/>
              <w:left w:val="nil"/>
              <w:bottom w:val="single" w:sz="4" w:space="0" w:color="auto"/>
              <w:right w:val="nil"/>
            </w:tcBorders>
            <w:shd w:val="clear" w:color="auto" w:fill="FABF8F"/>
            <w:vAlign w:val="center"/>
          </w:tcPr>
          <w:p w14:paraId="295038DE" w14:textId="77777777" w:rsidR="006B7F66" w:rsidRPr="008851EB" w:rsidRDefault="006B7F66" w:rsidP="008851EB">
            <w:pPr>
              <w:pStyle w:val="cuadroCabe"/>
              <w:jc w:val="right"/>
            </w:pPr>
            <w:r w:rsidRPr="008851EB">
              <w:t>%</w:t>
            </w:r>
          </w:p>
          <w:p w14:paraId="05A25958" w14:textId="77777777" w:rsidR="006B7F66" w:rsidRPr="008851EB" w:rsidRDefault="006B7F66" w:rsidP="008851EB">
            <w:pPr>
              <w:pStyle w:val="cuadroCabe"/>
              <w:jc w:val="right"/>
            </w:pPr>
            <w:r w:rsidRPr="008851EB">
              <w:t>2022</w:t>
            </w:r>
          </w:p>
        </w:tc>
        <w:tc>
          <w:tcPr>
            <w:tcW w:w="709" w:type="dxa"/>
            <w:tcBorders>
              <w:top w:val="single" w:sz="4" w:space="0" w:color="auto"/>
              <w:left w:val="nil"/>
              <w:bottom w:val="single" w:sz="4" w:space="0" w:color="auto"/>
              <w:right w:val="single" w:sz="2" w:space="0" w:color="auto"/>
            </w:tcBorders>
            <w:shd w:val="clear" w:color="auto" w:fill="FABF8F"/>
            <w:vAlign w:val="center"/>
            <w:hideMark/>
          </w:tcPr>
          <w:p w14:paraId="404A3D64" w14:textId="77777777" w:rsidR="006B7F66" w:rsidRPr="008851EB" w:rsidRDefault="006B7F66" w:rsidP="008851EB">
            <w:pPr>
              <w:pStyle w:val="cuadroCabe"/>
              <w:jc w:val="right"/>
            </w:pPr>
            <w:r w:rsidRPr="008851EB">
              <w:t>%</w:t>
            </w:r>
          </w:p>
          <w:p w14:paraId="7B21F68C" w14:textId="77777777" w:rsidR="006B7F66" w:rsidRPr="008851EB" w:rsidRDefault="006B7F66" w:rsidP="008851EB">
            <w:pPr>
              <w:pStyle w:val="cuadroCabe"/>
              <w:jc w:val="right"/>
            </w:pPr>
            <w:r w:rsidRPr="008851EB">
              <w:t>2023</w:t>
            </w:r>
          </w:p>
        </w:tc>
        <w:tc>
          <w:tcPr>
            <w:tcW w:w="2991" w:type="dxa"/>
            <w:tcBorders>
              <w:top w:val="single" w:sz="4" w:space="0" w:color="auto"/>
              <w:left w:val="single" w:sz="2" w:space="0" w:color="auto"/>
              <w:bottom w:val="single" w:sz="4" w:space="0" w:color="auto"/>
              <w:right w:val="nil"/>
            </w:tcBorders>
            <w:shd w:val="clear" w:color="auto" w:fill="FABF8F"/>
            <w:vAlign w:val="center"/>
            <w:hideMark/>
          </w:tcPr>
          <w:p w14:paraId="60FC552A" w14:textId="77777777" w:rsidR="006B7F66" w:rsidRPr="008851EB" w:rsidRDefault="006B7F66" w:rsidP="003C039D">
            <w:pPr>
              <w:pStyle w:val="cuadroCabe"/>
              <w:jc w:val="left"/>
            </w:pPr>
            <w:r w:rsidRPr="008851EB">
              <w:t>Fuente de financiación</w:t>
            </w:r>
          </w:p>
        </w:tc>
        <w:tc>
          <w:tcPr>
            <w:tcW w:w="697" w:type="dxa"/>
            <w:tcBorders>
              <w:top w:val="single" w:sz="4" w:space="0" w:color="auto"/>
              <w:left w:val="nil"/>
              <w:bottom w:val="single" w:sz="4" w:space="0" w:color="auto"/>
              <w:right w:val="nil"/>
            </w:tcBorders>
            <w:shd w:val="clear" w:color="auto" w:fill="FABF8F"/>
            <w:vAlign w:val="center"/>
          </w:tcPr>
          <w:p w14:paraId="4B5C1349" w14:textId="77777777" w:rsidR="006B7F66" w:rsidRPr="008851EB" w:rsidRDefault="006B7F66" w:rsidP="008851EB">
            <w:pPr>
              <w:pStyle w:val="cuadroCabe"/>
              <w:jc w:val="right"/>
            </w:pPr>
            <w:r w:rsidRPr="008851EB">
              <w:t>%</w:t>
            </w:r>
          </w:p>
          <w:p w14:paraId="265CA7FF" w14:textId="77777777" w:rsidR="006B7F66" w:rsidRPr="008851EB" w:rsidRDefault="006B7F66" w:rsidP="008851EB">
            <w:pPr>
              <w:pStyle w:val="cuadroCabe"/>
              <w:jc w:val="right"/>
            </w:pPr>
            <w:r w:rsidRPr="008851EB">
              <w:t>2022</w:t>
            </w:r>
          </w:p>
        </w:tc>
        <w:tc>
          <w:tcPr>
            <w:tcW w:w="565" w:type="dxa"/>
            <w:tcBorders>
              <w:top w:val="single" w:sz="4" w:space="0" w:color="auto"/>
              <w:left w:val="nil"/>
              <w:bottom w:val="single" w:sz="4" w:space="0" w:color="auto"/>
              <w:right w:val="nil"/>
            </w:tcBorders>
            <w:shd w:val="clear" w:color="auto" w:fill="FABF8F"/>
            <w:vAlign w:val="center"/>
          </w:tcPr>
          <w:p w14:paraId="4BA59842" w14:textId="77777777" w:rsidR="006B7F66" w:rsidRPr="008851EB" w:rsidRDefault="006B7F66" w:rsidP="008851EB">
            <w:pPr>
              <w:pStyle w:val="cuadroCabe"/>
              <w:jc w:val="right"/>
            </w:pPr>
            <w:r w:rsidRPr="008851EB">
              <w:t>%</w:t>
            </w:r>
          </w:p>
          <w:p w14:paraId="2ACF05C7" w14:textId="77777777" w:rsidR="006B7F66" w:rsidRPr="008851EB" w:rsidRDefault="006B7F66" w:rsidP="008851EB">
            <w:pPr>
              <w:pStyle w:val="cuadroCabe"/>
              <w:jc w:val="right"/>
            </w:pPr>
            <w:r w:rsidRPr="008851EB">
              <w:t>2023</w:t>
            </w:r>
          </w:p>
        </w:tc>
      </w:tr>
      <w:tr w:rsidR="006B7F66" w:rsidRPr="0030091F" w14:paraId="48A1BB9B" w14:textId="77777777" w:rsidTr="00592CC7">
        <w:trPr>
          <w:trHeight w:val="198"/>
          <w:jc w:val="center"/>
        </w:trPr>
        <w:tc>
          <w:tcPr>
            <w:tcW w:w="3261" w:type="dxa"/>
            <w:tcBorders>
              <w:top w:val="single" w:sz="4" w:space="0" w:color="auto"/>
              <w:left w:val="nil"/>
              <w:bottom w:val="single" w:sz="2" w:space="0" w:color="auto"/>
            </w:tcBorders>
            <w:shd w:val="clear" w:color="auto" w:fill="auto"/>
            <w:vAlign w:val="center"/>
            <w:hideMark/>
          </w:tcPr>
          <w:p w14:paraId="7A53F5AE" w14:textId="77777777" w:rsidR="006B7F66" w:rsidRPr="0030091F" w:rsidRDefault="006B7F66" w:rsidP="008851EB">
            <w:pPr>
              <w:pStyle w:val="cuatexto"/>
            </w:pPr>
            <w:r w:rsidRPr="0030091F">
              <w:t>Personal</w:t>
            </w:r>
          </w:p>
        </w:tc>
        <w:tc>
          <w:tcPr>
            <w:tcW w:w="566" w:type="dxa"/>
            <w:tcBorders>
              <w:top w:val="single" w:sz="4" w:space="0" w:color="auto"/>
              <w:bottom w:val="single" w:sz="2" w:space="0" w:color="auto"/>
            </w:tcBorders>
            <w:vAlign w:val="center"/>
          </w:tcPr>
          <w:p w14:paraId="02050BE0" w14:textId="648F203D" w:rsidR="006B7F66" w:rsidRPr="0030091F" w:rsidRDefault="00EC0785" w:rsidP="008851EB">
            <w:pPr>
              <w:pStyle w:val="cuatexto"/>
              <w:jc w:val="right"/>
            </w:pPr>
            <w:r>
              <w:t>54</w:t>
            </w:r>
          </w:p>
        </w:tc>
        <w:tc>
          <w:tcPr>
            <w:tcW w:w="709" w:type="dxa"/>
            <w:tcBorders>
              <w:top w:val="single" w:sz="4" w:space="0" w:color="auto"/>
              <w:bottom w:val="single" w:sz="2" w:space="0" w:color="auto"/>
              <w:right w:val="single" w:sz="2" w:space="0" w:color="auto"/>
            </w:tcBorders>
            <w:shd w:val="clear" w:color="auto" w:fill="auto"/>
            <w:vAlign w:val="center"/>
          </w:tcPr>
          <w:p w14:paraId="16A54700" w14:textId="55A93245" w:rsidR="006B7F66" w:rsidRPr="0030091F" w:rsidRDefault="00EC0785" w:rsidP="008851EB">
            <w:pPr>
              <w:pStyle w:val="cuatexto"/>
              <w:jc w:val="right"/>
            </w:pPr>
            <w:r>
              <w:t>53</w:t>
            </w:r>
          </w:p>
        </w:tc>
        <w:tc>
          <w:tcPr>
            <w:tcW w:w="2991" w:type="dxa"/>
            <w:tcBorders>
              <w:top w:val="single" w:sz="4" w:space="0" w:color="auto"/>
              <w:left w:val="single" w:sz="2" w:space="0" w:color="auto"/>
              <w:bottom w:val="single" w:sz="2" w:space="0" w:color="auto"/>
            </w:tcBorders>
            <w:shd w:val="clear" w:color="auto" w:fill="auto"/>
            <w:vAlign w:val="center"/>
            <w:hideMark/>
          </w:tcPr>
          <w:p w14:paraId="5DA18E70" w14:textId="79D85719" w:rsidR="006B7F66" w:rsidRPr="005625D7" w:rsidRDefault="006C2C2B" w:rsidP="003C039D">
            <w:pPr>
              <w:pStyle w:val="cuatexto"/>
              <w:jc w:val="left"/>
            </w:pPr>
            <w:r w:rsidRPr="005625D7">
              <w:t>Tributos (tasa basura)</w:t>
            </w:r>
          </w:p>
        </w:tc>
        <w:tc>
          <w:tcPr>
            <w:tcW w:w="697" w:type="dxa"/>
            <w:tcBorders>
              <w:top w:val="single" w:sz="4" w:space="0" w:color="auto"/>
              <w:bottom w:val="single" w:sz="2" w:space="0" w:color="auto"/>
            </w:tcBorders>
            <w:vAlign w:val="center"/>
          </w:tcPr>
          <w:p w14:paraId="19E23B74" w14:textId="0CC0BAF8" w:rsidR="006B7F66" w:rsidRPr="0030091F" w:rsidRDefault="00E23EB1" w:rsidP="008851EB">
            <w:pPr>
              <w:pStyle w:val="cuatexto"/>
              <w:jc w:val="right"/>
            </w:pPr>
            <w:r>
              <w:t>63</w:t>
            </w:r>
          </w:p>
        </w:tc>
        <w:tc>
          <w:tcPr>
            <w:tcW w:w="565" w:type="dxa"/>
            <w:tcBorders>
              <w:top w:val="single" w:sz="4" w:space="0" w:color="auto"/>
              <w:bottom w:val="single" w:sz="2" w:space="0" w:color="auto"/>
              <w:right w:val="nil"/>
            </w:tcBorders>
            <w:vAlign w:val="center"/>
          </w:tcPr>
          <w:p w14:paraId="170F7FAD" w14:textId="43D26216" w:rsidR="006B7F66" w:rsidRPr="0030091F" w:rsidRDefault="00E23EB1" w:rsidP="008851EB">
            <w:pPr>
              <w:pStyle w:val="cuatexto"/>
              <w:jc w:val="right"/>
            </w:pPr>
            <w:r>
              <w:t>68</w:t>
            </w:r>
          </w:p>
        </w:tc>
      </w:tr>
      <w:tr w:rsidR="006B7F66" w:rsidRPr="0030091F" w14:paraId="08EEEBE0" w14:textId="77777777" w:rsidTr="00592CC7">
        <w:trPr>
          <w:trHeight w:val="198"/>
          <w:jc w:val="center"/>
        </w:trPr>
        <w:tc>
          <w:tcPr>
            <w:tcW w:w="3261" w:type="dxa"/>
            <w:tcBorders>
              <w:top w:val="single" w:sz="2" w:space="0" w:color="auto"/>
              <w:left w:val="nil"/>
              <w:bottom w:val="single" w:sz="2" w:space="0" w:color="auto"/>
            </w:tcBorders>
            <w:shd w:val="clear" w:color="auto" w:fill="auto"/>
            <w:vAlign w:val="center"/>
            <w:hideMark/>
          </w:tcPr>
          <w:p w14:paraId="7FA70624" w14:textId="77777777" w:rsidR="006B7F66" w:rsidRPr="0030091F" w:rsidRDefault="006B7F66" w:rsidP="008851EB">
            <w:pPr>
              <w:pStyle w:val="cuatexto"/>
            </w:pPr>
            <w:r w:rsidRPr="0030091F">
              <w:t>Gastos corrientes en bienes y servicios</w:t>
            </w:r>
          </w:p>
        </w:tc>
        <w:tc>
          <w:tcPr>
            <w:tcW w:w="566" w:type="dxa"/>
            <w:tcBorders>
              <w:top w:val="single" w:sz="2" w:space="0" w:color="auto"/>
              <w:bottom w:val="single" w:sz="2" w:space="0" w:color="auto"/>
            </w:tcBorders>
            <w:vAlign w:val="center"/>
          </w:tcPr>
          <w:p w14:paraId="45A3954E" w14:textId="3BB47B1B" w:rsidR="006B7F66" w:rsidRPr="0030091F" w:rsidRDefault="00EC0785" w:rsidP="008851EB">
            <w:pPr>
              <w:pStyle w:val="cuatexto"/>
              <w:jc w:val="right"/>
            </w:pPr>
            <w:r>
              <w:t>39</w:t>
            </w:r>
          </w:p>
        </w:tc>
        <w:tc>
          <w:tcPr>
            <w:tcW w:w="709" w:type="dxa"/>
            <w:tcBorders>
              <w:top w:val="single" w:sz="2" w:space="0" w:color="auto"/>
              <w:bottom w:val="single" w:sz="2" w:space="0" w:color="auto"/>
              <w:right w:val="single" w:sz="2" w:space="0" w:color="auto"/>
            </w:tcBorders>
            <w:shd w:val="clear" w:color="auto" w:fill="auto"/>
            <w:vAlign w:val="center"/>
          </w:tcPr>
          <w:p w14:paraId="2FA39F7D" w14:textId="159BFA59" w:rsidR="006B7F66" w:rsidRPr="0030091F" w:rsidRDefault="00EC0785" w:rsidP="008851EB">
            <w:pPr>
              <w:pStyle w:val="cuatexto"/>
              <w:jc w:val="right"/>
            </w:pPr>
            <w:r>
              <w:t>39</w:t>
            </w:r>
          </w:p>
        </w:tc>
        <w:tc>
          <w:tcPr>
            <w:tcW w:w="2991" w:type="dxa"/>
            <w:tcBorders>
              <w:top w:val="single" w:sz="2" w:space="0" w:color="auto"/>
              <w:left w:val="single" w:sz="2" w:space="0" w:color="auto"/>
              <w:bottom w:val="single" w:sz="2" w:space="0" w:color="auto"/>
            </w:tcBorders>
            <w:shd w:val="clear" w:color="auto" w:fill="auto"/>
            <w:vAlign w:val="center"/>
            <w:hideMark/>
          </w:tcPr>
          <w:p w14:paraId="332A4332" w14:textId="77777777" w:rsidR="006B7F66" w:rsidRPr="005625D7" w:rsidRDefault="006B7F66" w:rsidP="003C039D">
            <w:pPr>
              <w:pStyle w:val="cuatexto"/>
              <w:jc w:val="left"/>
            </w:pPr>
            <w:r w:rsidRPr="005625D7">
              <w:t>Transferencias</w:t>
            </w:r>
          </w:p>
        </w:tc>
        <w:tc>
          <w:tcPr>
            <w:tcW w:w="697" w:type="dxa"/>
            <w:tcBorders>
              <w:top w:val="single" w:sz="2" w:space="0" w:color="auto"/>
              <w:bottom w:val="single" w:sz="2" w:space="0" w:color="auto"/>
            </w:tcBorders>
            <w:vAlign w:val="center"/>
          </w:tcPr>
          <w:p w14:paraId="7760A542" w14:textId="5C32FB1C" w:rsidR="006B7F66" w:rsidRPr="0030091F" w:rsidRDefault="00093FA6" w:rsidP="008851EB">
            <w:pPr>
              <w:pStyle w:val="cuatexto"/>
              <w:jc w:val="right"/>
            </w:pPr>
            <w:r>
              <w:t>24</w:t>
            </w:r>
          </w:p>
        </w:tc>
        <w:tc>
          <w:tcPr>
            <w:tcW w:w="565" w:type="dxa"/>
            <w:tcBorders>
              <w:top w:val="single" w:sz="2" w:space="0" w:color="auto"/>
              <w:bottom w:val="single" w:sz="2" w:space="0" w:color="auto"/>
              <w:right w:val="nil"/>
            </w:tcBorders>
            <w:vAlign w:val="center"/>
          </w:tcPr>
          <w:p w14:paraId="51B0DBD9" w14:textId="5EB00216" w:rsidR="006B7F66" w:rsidRPr="0030091F" w:rsidRDefault="00093FA6" w:rsidP="008851EB">
            <w:pPr>
              <w:pStyle w:val="cuatexto"/>
              <w:jc w:val="right"/>
            </w:pPr>
            <w:r>
              <w:t>12</w:t>
            </w:r>
          </w:p>
        </w:tc>
      </w:tr>
      <w:tr w:rsidR="00E23EB1" w:rsidRPr="0030091F" w14:paraId="4164D720" w14:textId="77777777" w:rsidTr="00592CC7">
        <w:trPr>
          <w:trHeight w:val="198"/>
          <w:jc w:val="center"/>
        </w:trPr>
        <w:tc>
          <w:tcPr>
            <w:tcW w:w="3261" w:type="dxa"/>
            <w:tcBorders>
              <w:top w:val="single" w:sz="2" w:space="0" w:color="auto"/>
              <w:left w:val="nil"/>
              <w:bottom w:val="single" w:sz="2" w:space="0" w:color="auto"/>
            </w:tcBorders>
            <w:shd w:val="clear" w:color="auto" w:fill="auto"/>
            <w:vAlign w:val="center"/>
          </w:tcPr>
          <w:p w14:paraId="50EDD273" w14:textId="77777777" w:rsidR="00E23EB1" w:rsidRPr="0030091F" w:rsidRDefault="00E23EB1" w:rsidP="008851EB">
            <w:pPr>
              <w:pStyle w:val="cuatexto"/>
            </w:pPr>
            <w:r w:rsidRPr="0030091F">
              <w:t>Inversiones reales</w:t>
            </w:r>
          </w:p>
        </w:tc>
        <w:tc>
          <w:tcPr>
            <w:tcW w:w="566" w:type="dxa"/>
            <w:tcBorders>
              <w:top w:val="single" w:sz="2" w:space="0" w:color="auto"/>
              <w:bottom w:val="single" w:sz="2" w:space="0" w:color="auto"/>
            </w:tcBorders>
            <w:vAlign w:val="center"/>
          </w:tcPr>
          <w:p w14:paraId="4EAF5640" w14:textId="48300969" w:rsidR="00E23EB1" w:rsidRPr="0030091F" w:rsidRDefault="00E23EB1" w:rsidP="008851EB">
            <w:pPr>
              <w:pStyle w:val="cuatexto"/>
              <w:jc w:val="right"/>
            </w:pPr>
            <w:r>
              <w:t>1</w:t>
            </w:r>
          </w:p>
        </w:tc>
        <w:tc>
          <w:tcPr>
            <w:tcW w:w="709" w:type="dxa"/>
            <w:tcBorders>
              <w:top w:val="single" w:sz="2" w:space="0" w:color="auto"/>
              <w:bottom w:val="single" w:sz="2" w:space="0" w:color="auto"/>
              <w:right w:val="single" w:sz="2" w:space="0" w:color="auto"/>
            </w:tcBorders>
            <w:shd w:val="clear" w:color="auto" w:fill="auto"/>
            <w:vAlign w:val="center"/>
          </w:tcPr>
          <w:p w14:paraId="378CB23D" w14:textId="79A73D30" w:rsidR="00E23EB1" w:rsidRPr="0030091F" w:rsidRDefault="00E23EB1" w:rsidP="008851EB">
            <w:pPr>
              <w:pStyle w:val="cuatexto"/>
              <w:jc w:val="right"/>
            </w:pPr>
            <w:r>
              <w:t>2</w:t>
            </w:r>
          </w:p>
        </w:tc>
        <w:tc>
          <w:tcPr>
            <w:tcW w:w="2991" w:type="dxa"/>
            <w:tcBorders>
              <w:top w:val="single" w:sz="2" w:space="0" w:color="auto"/>
              <w:left w:val="single" w:sz="2" w:space="0" w:color="auto"/>
              <w:bottom w:val="single" w:sz="2" w:space="0" w:color="auto"/>
            </w:tcBorders>
            <w:shd w:val="clear" w:color="auto" w:fill="auto"/>
            <w:vAlign w:val="center"/>
          </w:tcPr>
          <w:p w14:paraId="2B9E9199" w14:textId="378153A4" w:rsidR="00E23EB1" w:rsidRPr="005625D7" w:rsidRDefault="00093FA6" w:rsidP="003C039D">
            <w:pPr>
              <w:pStyle w:val="cuatexto"/>
              <w:jc w:val="left"/>
            </w:pPr>
            <w:r w:rsidRPr="005625D7">
              <w:t>Precios públicos</w:t>
            </w:r>
            <w:r w:rsidR="23BE5D79" w:rsidRPr="005625D7">
              <w:t xml:space="preserve"> y otros ingresos</w:t>
            </w:r>
          </w:p>
        </w:tc>
        <w:tc>
          <w:tcPr>
            <w:tcW w:w="697" w:type="dxa"/>
            <w:tcBorders>
              <w:top w:val="single" w:sz="2" w:space="0" w:color="auto"/>
              <w:bottom w:val="single" w:sz="2" w:space="0" w:color="auto"/>
            </w:tcBorders>
            <w:vAlign w:val="center"/>
          </w:tcPr>
          <w:p w14:paraId="7D446056" w14:textId="451EABCA" w:rsidR="00E23EB1" w:rsidRPr="0030091F" w:rsidRDefault="00093FA6" w:rsidP="008851EB">
            <w:pPr>
              <w:pStyle w:val="cuatexto"/>
              <w:jc w:val="right"/>
            </w:pPr>
            <w:r>
              <w:t>13</w:t>
            </w:r>
          </w:p>
        </w:tc>
        <w:tc>
          <w:tcPr>
            <w:tcW w:w="565" w:type="dxa"/>
            <w:tcBorders>
              <w:top w:val="single" w:sz="2" w:space="0" w:color="auto"/>
              <w:bottom w:val="single" w:sz="2" w:space="0" w:color="auto"/>
              <w:right w:val="nil"/>
            </w:tcBorders>
            <w:vAlign w:val="center"/>
          </w:tcPr>
          <w:p w14:paraId="4330C791" w14:textId="325F2E8A" w:rsidR="00E23EB1" w:rsidRPr="0030091F" w:rsidRDefault="00093FA6" w:rsidP="008851EB">
            <w:pPr>
              <w:pStyle w:val="cuatexto"/>
              <w:jc w:val="right"/>
            </w:pPr>
            <w:r>
              <w:t>20</w:t>
            </w:r>
          </w:p>
        </w:tc>
      </w:tr>
      <w:tr w:rsidR="00E23EB1" w:rsidRPr="0030091F" w14:paraId="675497D8" w14:textId="77777777" w:rsidTr="00592CC7">
        <w:trPr>
          <w:trHeight w:val="198"/>
          <w:jc w:val="center"/>
        </w:trPr>
        <w:tc>
          <w:tcPr>
            <w:tcW w:w="3261" w:type="dxa"/>
            <w:tcBorders>
              <w:top w:val="single" w:sz="2" w:space="0" w:color="auto"/>
              <w:left w:val="nil"/>
              <w:bottom w:val="single" w:sz="4" w:space="0" w:color="auto"/>
            </w:tcBorders>
            <w:shd w:val="clear" w:color="auto" w:fill="auto"/>
            <w:vAlign w:val="center"/>
            <w:hideMark/>
          </w:tcPr>
          <w:p w14:paraId="549DAB1C" w14:textId="77777777" w:rsidR="00E23EB1" w:rsidRPr="0030091F" w:rsidRDefault="00E23EB1" w:rsidP="008851EB">
            <w:pPr>
              <w:pStyle w:val="cuatexto"/>
            </w:pPr>
            <w:r w:rsidRPr="0030091F">
              <w:t>Carga financiera</w:t>
            </w:r>
          </w:p>
        </w:tc>
        <w:tc>
          <w:tcPr>
            <w:tcW w:w="566" w:type="dxa"/>
            <w:tcBorders>
              <w:top w:val="single" w:sz="2" w:space="0" w:color="auto"/>
              <w:bottom w:val="single" w:sz="4" w:space="0" w:color="auto"/>
            </w:tcBorders>
            <w:vAlign w:val="center"/>
          </w:tcPr>
          <w:p w14:paraId="3FBA2BC3" w14:textId="53522BB3" w:rsidR="00E23EB1" w:rsidRPr="0030091F" w:rsidRDefault="00E23EB1" w:rsidP="008851EB">
            <w:pPr>
              <w:pStyle w:val="cuatexto"/>
              <w:jc w:val="right"/>
            </w:pPr>
            <w:r>
              <w:t>6</w:t>
            </w:r>
          </w:p>
        </w:tc>
        <w:tc>
          <w:tcPr>
            <w:tcW w:w="709" w:type="dxa"/>
            <w:tcBorders>
              <w:top w:val="single" w:sz="2" w:space="0" w:color="auto"/>
              <w:bottom w:val="single" w:sz="4" w:space="0" w:color="auto"/>
              <w:right w:val="single" w:sz="2" w:space="0" w:color="auto"/>
            </w:tcBorders>
            <w:shd w:val="clear" w:color="auto" w:fill="auto"/>
            <w:vAlign w:val="center"/>
          </w:tcPr>
          <w:p w14:paraId="642DA277" w14:textId="020BF738" w:rsidR="00E23EB1" w:rsidRPr="0030091F" w:rsidRDefault="00E23EB1" w:rsidP="008851EB">
            <w:pPr>
              <w:pStyle w:val="cuatexto"/>
              <w:jc w:val="right"/>
            </w:pPr>
            <w:r>
              <w:t>6</w:t>
            </w:r>
          </w:p>
        </w:tc>
        <w:tc>
          <w:tcPr>
            <w:tcW w:w="2991" w:type="dxa"/>
            <w:tcBorders>
              <w:top w:val="single" w:sz="2" w:space="0" w:color="auto"/>
              <w:left w:val="single" w:sz="2" w:space="0" w:color="auto"/>
              <w:bottom w:val="single" w:sz="4" w:space="0" w:color="auto"/>
            </w:tcBorders>
            <w:shd w:val="clear" w:color="auto" w:fill="auto"/>
            <w:vAlign w:val="center"/>
            <w:hideMark/>
          </w:tcPr>
          <w:p w14:paraId="45BEAC23" w14:textId="4E5B2F20" w:rsidR="00E23EB1" w:rsidRPr="0030091F" w:rsidRDefault="00E23EB1" w:rsidP="003C039D">
            <w:pPr>
              <w:pStyle w:val="cuatexto"/>
              <w:jc w:val="left"/>
            </w:pPr>
          </w:p>
        </w:tc>
        <w:tc>
          <w:tcPr>
            <w:tcW w:w="697" w:type="dxa"/>
            <w:tcBorders>
              <w:top w:val="single" w:sz="2" w:space="0" w:color="auto"/>
              <w:bottom w:val="single" w:sz="4" w:space="0" w:color="auto"/>
            </w:tcBorders>
            <w:vAlign w:val="center"/>
          </w:tcPr>
          <w:p w14:paraId="3EDE8CB0" w14:textId="77777777" w:rsidR="00E23EB1" w:rsidRPr="0030091F" w:rsidRDefault="00E23EB1" w:rsidP="008851EB">
            <w:pPr>
              <w:pStyle w:val="cuatexto"/>
              <w:jc w:val="right"/>
            </w:pPr>
          </w:p>
        </w:tc>
        <w:tc>
          <w:tcPr>
            <w:tcW w:w="565" w:type="dxa"/>
            <w:tcBorders>
              <w:top w:val="single" w:sz="2" w:space="0" w:color="auto"/>
              <w:bottom w:val="single" w:sz="4" w:space="0" w:color="auto"/>
              <w:right w:val="nil"/>
            </w:tcBorders>
            <w:vAlign w:val="center"/>
          </w:tcPr>
          <w:p w14:paraId="7AC80AD5" w14:textId="77777777" w:rsidR="00E23EB1" w:rsidRPr="0030091F" w:rsidRDefault="00E23EB1" w:rsidP="008851EB">
            <w:pPr>
              <w:pStyle w:val="cuatexto"/>
              <w:jc w:val="right"/>
            </w:pPr>
          </w:p>
        </w:tc>
      </w:tr>
      <w:tr w:rsidR="00E23EB1" w:rsidRPr="008851EB" w14:paraId="41C0B74D" w14:textId="77777777" w:rsidTr="00592CC7">
        <w:trPr>
          <w:trHeight w:val="255"/>
          <w:jc w:val="center"/>
        </w:trPr>
        <w:tc>
          <w:tcPr>
            <w:tcW w:w="3261" w:type="dxa"/>
            <w:tcBorders>
              <w:top w:val="single" w:sz="4" w:space="0" w:color="auto"/>
              <w:left w:val="nil"/>
              <w:bottom w:val="single" w:sz="4" w:space="0" w:color="auto"/>
            </w:tcBorders>
            <w:shd w:val="clear" w:color="auto" w:fill="FABF8F"/>
            <w:vAlign w:val="center"/>
          </w:tcPr>
          <w:p w14:paraId="33522D16" w14:textId="77777777" w:rsidR="00E23EB1" w:rsidRPr="008851EB" w:rsidRDefault="00E23EB1" w:rsidP="008851EB">
            <w:pPr>
              <w:pStyle w:val="cuadroCabe"/>
            </w:pPr>
            <w:r w:rsidRPr="008851EB">
              <w:t>Total</w:t>
            </w:r>
          </w:p>
        </w:tc>
        <w:tc>
          <w:tcPr>
            <w:tcW w:w="566" w:type="dxa"/>
            <w:tcBorders>
              <w:top w:val="single" w:sz="4" w:space="0" w:color="auto"/>
              <w:bottom w:val="single" w:sz="4" w:space="0" w:color="auto"/>
            </w:tcBorders>
            <w:shd w:val="clear" w:color="auto" w:fill="FABF8F"/>
            <w:vAlign w:val="center"/>
          </w:tcPr>
          <w:p w14:paraId="729862E1" w14:textId="77777777" w:rsidR="00E23EB1" w:rsidRPr="008851EB" w:rsidRDefault="00E23EB1" w:rsidP="008851EB">
            <w:pPr>
              <w:pStyle w:val="cuadroCabe"/>
              <w:jc w:val="right"/>
            </w:pPr>
            <w:r w:rsidRPr="008851EB">
              <w:t>100</w:t>
            </w:r>
          </w:p>
        </w:tc>
        <w:tc>
          <w:tcPr>
            <w:tcW w:w="709" w:type="dxa"/>
            <w:tcBorders>
              <w:top w:val="single" w:sz="4" w:space="0" w:color="auto"/>
              <w:bottom w:val="single" w:sz="4" w:space="0" w:color="auto"/>
              <w:right w:val="single" w:sz="2" w:space="0" w:color="auto"/>
            </w:tcBorders>
            <w:shd w:val="clear" w:color="auto" w:fill="FABF8F"/>
            <w:vAlign w:val="center"/>
          </w:tcPr>
          <w:p w14:paraId="5B16534A" w14:textId="77777777" w:rsidR="00E23EB1" w:rsidRPr="008851EB" w:rsidRDefault="00E23EB1" w:rsidP="008851EB">
            <w:pPr>
              <w:pStyle w:val="cuadroCabe"/>
              <w:jc w:val="right"/>
            </w:pPr>
            <w:r w:rsidRPr="008851EB">
              <w:t>100</w:t>
            </w:r>
          </w:p>
        </w:tc>
        <w:tc>
          <w:tcPr>
            <w:tcW w:w="2991" w:type="dxa"/>
            <w:tcBorders>
              <w:top w:val="single" w:sz="4" w:space="0" w:color="auto"/>
              <w:left w:val="single" w:sz="2" w:space="0" w:color="auto"/>
              <w:bottom w:val="single" w:sz="4" w:space="0" w:color="auto"/>
            </w:tcBorders>
            <w:shd w:val="clear" w:color="auto" w:fill="FABF8F"/>
            <w:vAlign w:val="center"/>
          </w:tcPr>
          <w:p w14:paraId="028619F9" w14:textId="77777777" w:rsidR="00E23EB1" w:rsidRPr="008851EB" w:rsidRDefault="00E23EB1" w:rsidP="003C039D">
            <w:pPr>
              <w:pStyle w:val="cuadroCabe"/>
              <w:jc w:val="left"/>
            </w:pPr>
          </w:p>
        </w:tc>
        <w:tc>
          <w:tcPr>
            <w:tcW w:w="697" w:type="dxa"/>
            <w:tcBorders>
              <w:top w:val="single" w:sz="4" w:space="0" w:color="auto"/>
              <w:bottom w:val="single" w:sz="4" w:space="0" w:color="auto"/>
            </w:tcBorders>
            <w:shd w:val="clear" w:color="auto" w:fill="FABF8F"/>
            <w:vAlign w:val="center"/>
          </w:tcPr>
          <w:p w14:paraId="6D9F21FF" w14:textId="77777777" w:rsidR="00E23EB1" w:rsidRPr="008851EB" w:rsidRDefault="00E23EB1" w:rsidP="008851EB">
            <w:pPr>
              <w:pStyle w:val="cuadroCabe"/>
              <w:jc w:val="right"/>
            </w:pPr>
            <w:r w:rsidRPr="008851EB">
              <w:t>100</w:t>
            </w:r>
          </w:p>
        </w:tc>
        <w:tc>
          <w:tcPr>
            <w:tcW w:w="565" w:type="dxa"/>
            <w:tcBorders>
              <w:top w:val="single" w:sz="4" w:space="0" w:color="auto"/>
              <w:bottom w:val="single" w:sz="4" w:space="0" w:color="auto"/>
              <w:right w:val="nil"/>
            </w:tcBorders>
            <w:shd w:val="clear" w:color="auto" w:fill="FABF8F"/>
            <w:vAlign w:val="center"/>
          </w:tcPr>
          <w:p w14:paraId="0CE82ADA" w14:textId="77777777" w:rsidR="00E23EB1" w:rsidRPr="008851EB" w:rsidRDefault="00E23EB1" w:rsidP="008851EB">
            <w:pPr>
              <w:pStyle w:val="cuadroCabe"/>
              <w:jc w:val="right"/>
            </w:pPr>
            <w:r w:rsidRPr="008851EB">
              <w:t>100</w:t>
            </w:r>
          </w:p>
        </w:tc>
      </w:tr>
    </w:tbl>
    <w:p w14:paraId="09A32822" w14:textId="77777777" w:rsidR="000939B4" w:rsidRDefault="00093FA6" w:rsidP="007871B2">
      <w:pPr>
        <w:spacing w:before="240" w:after="240"/>
        <w:ind w:firstLine="284"/>
        <w:rPr>
          <w:spacing w:val="6"/>
          <w:sz w:val="26"/>
          <w:szCs w:val="26"/>
          <w:lang w:val="es-ES"/>
        </w:rPr>
      </w:pPr>
      <w:r w:rsidRPr="22DE07A6">
        <w:rPr>
          <w:spacing w:val="6"/>
          <w:sz w:val="26"/>
          <w:szCs w:val="26"/>
          <w:lang w:val="es-ES"/>
        </w:rPr>
        <w:t>Como puede observarse, la estructura económica de los gastos es similar en los ejercicios 2022 y 2023 y su principal fuente de financiación es la tasa de basura</w:t>
      </w:r>
      <w:r w:rsidR="000939B4">
        <w:rPr>
          <w:spacing w:val="6"/>
          <w:sz w:val="26"/>
          <w:szCs w:val="26"/>
          <w:lang w:val="es-ES"/>
        </w:rPr>
        <w:t xml:space="preserve">, que representa el 68 por ciento del total de ingresos. </w:t>
      </w:r>
    </w:p>
    <w:p w14:paraId="71D82021" w14:textId="77777777" w:rsidR="000939B4" w:rsidRDefault="000939B4">
      <w:pPr>
        <w:spacing w:before="160" w:after="240"/>
        <w:ind w:firstLine="284"/>
        <w:rPr>
          <w:spacing w:val="6"/>
          <w:sz w:val="26"/>
          <w:szCs w:val="26"/>
          <w:lang w:val="es-ES"/>
        </w:rPr>
      </w:pPr>
      <w:r>
        <w:rPr>
          <w:spacing w:val="6"/>
          <w:sz w:val="26"/>
          <w:szCs w:val="26"/>
          <w:lang w:val="es-ES"/>
        </w:rPr>
        <w:t>Es destacable la variación del ejercicio 2022 a 2023 del peso porcentual de los distintos conceptos de ingresos, aumentando la representatividad de la tasa de basura y de los precios públicos y disminuyendo el peso de las transferencias en 12 puntos porcentuales del ejercicio 2022 al 2023.</w:t>
      </w:r>
    </w:p>
    <w:p w14:paraId="0261CBAE" w14:textId="77777777" w:rsidR="006B7F66" w:rsidRPr="00180121" w:rsidRDefault="006B7F66" w:rsidP="007871B2">
      <w:pPr>
        <w:pStyle w:val="texto"/>
        <w:tabs>
          <w:tab w:val="clear" w:pos="3969"/>
          <w:tab w:val="clear" w:pos="5103"/>
          <w:tab w:val="clear" w:pos="6237"/>
          <w:tab w:val="clear" w:pos="7371"/>
          <w:tab w:val="left" w:pos="142"/>
          <w:tab w:val="center" w:pos="4536"/>
        </w:tabs>
        <w:spacing w:before="240" w:after="240"/>
        <w:rPr>
          <w:i/>
          <w:iCs/>
          <w:color w:val="000000" w:themeColor="text1"/>
        </w:rPr>
      </w:pPr>
      <w:r w:rsidRPr="3DDE20C3">
        <w:rPr>
          <w:i/>
          <w:iCs/>
          <w:color w:val="000000" w:themeColor="text1"/>
        </w:rPr>
        <w:t>Análisis de la situación financiera</w:t>
      </w:r>
      <w:r>
        <w:tab/>
      </w:r>
    </w:p>
    <w:tbl>
      <w:tblPr>
        <w:tblW w:w="8789" w:type="dxa"/>
        <w:tblCellMar>
          <w:left w:w="70" w:type="dxa"/>
          <w:right w:w="70" w:type="dxa"/>
        </w:tblCellMar>
        <w:tblLook w:val="04A0" w:firstRow="1" w:lastRow="0" w:firstColumn="1" w:lastColumn="0" w:noHBand="0" w:noVBand="1"/>
      </w:tblPr>
      <w:tblGrid>
        <w:gridCol w:w="4962"/>
        <w:gridCol w:w="1323"/>
        <w:gridCol w:w="1323"/>
        <w:gridCol w:w="1181"/>
      </w:tblGrid>
      <w:tr w:rsidR="006B7F66" w:rsidRPr="008851EB" w14:paraId="5DE26B55" w14:textId="77777777" w:rsidTr="001B6AE4">
        <w:trPr>
          <w:trHeight w:val="255"/>
        </w:trPr>
        <w:tc>
          <w:tcPr>
            <w:tcW w:w="4962" w:type="dxa"/>
            <w:tcBorders>
              <w:top w:val="single" w:sz="4" w:space="0" w:color="auto"/>
              <w:left w:val="nil"/>
              <w:bottom w:val="single" w:sz="4" w:space="0" w:color="auto"/>
              <w:right w:val="nil"/>
            </w:tcBorders>
            <w:shd w:val="clear" w:color="auto" w:fill="FABF8F"/>
            <w:vAlign w:val="center"/>
            <w:hideMark/>
          </w:tcPr>
          <w:p w14:paraId="7CCF8A54" w14:textId="77777777" w:rsidR="006B7F66" w:rsidRPr="008851EB" w:rsidRDefault="006B7F66" w:rsidP="008851EB">
            <w:pPr>
              <w:pStyle w:val="cuadroCabe"/>
            </w:pPr>
            <w:r w:rsidRPr="008851EB">
              <w:t>Indicador</w:t>
            </w:r>
          </w:p>
        </w:tc>
        <w:tc>
          <w:tcPr>
            <w:tcW w:w="1323" w:type="dxa"/>
            <w:tcBorders>
              <w:top w:val="single" w:sz="4" w:space="0" w:color="auto"/>
              <w:left w:val="nil"/>
              <w:bottom w:val="single" w:sz="4" w:space="0" w:color="auto"/>
              <w:right w:val="nil"/>
            </w:tcBorders>
            <w:shd w:val="clear" w:color="auto" w:fill="FABF8F"/>
            <w:vAlign w:val="center"/>
          </w:tcPr>
          <w:p w14:paraId="40FABA98" w14:textId="6E4A3FDB" w:rsidR="006B7F66" w:rsidRPr="008851EB" w:rsidRDefault="006B7F66" w:rsidP="008851EB">
            <w:pPr>
              <w:pStyle w:val="cuadroCabe"/>
              <w:jc w:val="right"/>
            </w:pPr>
            <w:r w:rsidRPr="008851EB">
              <w:t>2022</w:t>
            </w:r>
            <w:r w:rsidR="000939B4" w:rsidRPr="00FF660C">
              <w:rPr>
                <w:vertAlign w:val="superscript"/>
              </w:rPr>
              <w:t>(1)</w:t>
            </w:r>
          </w:p>
        </w:tc>
        <w:tc>
          <w:tcPr>
            <w:tcW w:w="1323" w:type="dxa"/>
            <w:tcBorders>
              <w:top w:val="single" w:sz="4" w:space="0" w:color="auto"/>
              <w:left w:val="nil"/>
              <w:bottom w:val="single" w:sz="4" w:space="0" w:color="auto"/>
              <w:right w:val="nil"/>
            </w:tcBorders>
            <w:shd w:val="clear" w:color="auto" w:fill="FABF8F"/>
            <w:vAlign w:val="center"/>
          </w:tcPr>
          <w:p w14:paraId="6DD5305C" w14:textId="77777777" w:rsidR="006B7F66" w:rsidRPr="008851EB" w:rsidRDefault="006B7F66" w:rsidP="008851EB">
            <w:pPr>
              <w:pStyle w:val="cuadroCabe"/>
              <w:jc w:val="right"/>
            </w:pPr>
            <w:r w:rsidRPr="008851EB">
              <w:t>2023</w:t>
            </w:r>
          </w:p>
        </w:tc>
        <w:tc>
          <w:tcPr>
            <w:tcW w:w="1181" w:type="dxa"/>
            <w:tcBorders>
              <w:top w:val="single" w:sz="4" w:space="0" w:color="auto"/>
              <w:left w:val="nil"/>
              <w:bottom w:val="single" w:sz="4" w:space="0" w:color="auto"/>
              <w:right w:val="nil"/>
            </w:tcBorders>
            <w:shd w:val="clear" w:color="auto" w:fill="FABF8F"/>
            <w:vAlign w:val="center"/>
            <w:hideMark/>
          </w:tcPr>
          <w:p w14:paraId="5A35D2BC" w14:textId="783E2322" w:rsidR="006B7F66" w:rsidRPr="008851EB" w:rsidRDefault="006B7F66" w:rsidP="00630509">
            <w:pPr>
              <w:pStyle w:val="cuadroCabe"/>
              <w:jc w:val="right"/>
            </w:pPr>
            <w:r w:rsidRPr="008851EB">
              <w:t>%</w:t>
            </w:r>
            <w:r w:rsidR="00630509">
              <w:t xml:space="preserve"> </w:t>
            </w:r>
            <w:r w:rsidRPr="008851EB">
              <w:t>Variación</w:t>
            </w:r>
          </w:p>
        </w:tc>
      </w:tr>
      <w:tr w:rsidR="006B7F66" w:rsidRPr="0086002D" w14:paraId="7E879850" w14:textId="77777777" w:rsidTr="001B6AE4">
        <w:trPr>
          <w:trHeight w:val="198"/>
        </w:trPr>
        <w:tc>
          <w:tcPr>
            <w:tcW w:w="4962" w:type="dxa"/>
            <w:tcBorders>
              <w:top w:val="single" w:sz="4" w:space="0" w:color="auto"/>
              <w:left w:val="nil"/>
              <w:bottom w:val="single" w:sz="2" w:space="0" w:color="auto"/>
              <w:right w:val="nil"/>
            </w:tcBorders>
            <w:shd w:val="clear" w:color="auto" w:fill="auto"/>
            <w:vAlign w:val="center"/>
            <w:hideMark/>
          </w:tcPr>
          <w:p w14:paraId="523C9171" w14:textId="77777777" w:rsidR="006B7F66" w:rsidRPr="006B7F66" w:rsidRDefault="006B7F66" w:rsidP="008851EB">
            <w:pPr>
              <w:pStyle w:val="cuatexto"/>
            </w:pPr>
            <w:r w:rsidRPr="006B7F66">
              <w:t>Ahorro bruto</w:t>
            </w:r>
          </w:p>
        </w:tc>
        <w:tc>
          <w:tcPr>
            <w:tcW w:w="1323" w:type="dxa"/>
            <w:tcBorders>
              <w:top w:val="single" w:sz="4" w:space="0" w:color="auto"/>
              <w:left w:val="nil"/>
              <w:bottom w:val="single" w:sz="2" w:space="0" w:color="auto"/>
              <w:right w:val="nil"/>
            </w:tcBorders>
            <w:vAlign w:val="center"/>
          </w:tcPr>
          <w:p w14:paraId="78A475A9" w14:textId="77777777" w:rsidR="006B7F66" w:rsidRPr="006B7F66" w:rsidRDefault="006B7F66" w:rsidP="008851EB">
            <w:pPr>
              <w:pStyle w:val="cuatexto"/>
              <w:jc w:val="right"/>
            </w:pPr>
            <w:r w:rsidRPr="006B7F66">
              <w:t>44.690</w:t>
            </w:r>
          </w:p>
        </w:tc>
        <w:tc>
          <w:tcPr>
            <w:tcW w:w="1323" w:type="dxa"/>
            <w:tcBorders>
              <w:top w:val="single" w:sz="4" w:space="0" w:color="auto"/>
              <w:left w:val="nil"/>
              <w:bottom w:val="single" w:sz="2" w:space="0" w:color="auto"/>
              <w:right w:val="nil"/>
            </w:tcBorders>
            <w:shd w:val="clear" w:color="auto" w:fill="auto"/>
            <w:vAlign w:val="center"/>
          </w:tcPr>
          <w:p w14:paraId="5842DDE3" w14:textId="77777777" w:rsidR="006B7F66" w:rsidRPr="006B7F66" w:rsidRDefault="006B7F66" w:rsidP="008851EB">
            <w:pPr>
              <w:pStyle w:val="cuatexto"/>
              <w:jc w:val="right"/>
            </w:pPr>
            <w:r w:rsidRPr="006B7F66">
              <w:t>14.772</w:t>
            </w:r>
          </w:p>
        </w:tc>
        <w:tc>
          <w:tcPr>
            <w:tcW w:w="1181" w:type="dxa"/>
            <w:tcBorders>
              <w:top w:val="single" w:sz="4" w:space="0" w:color="auto"/>
              <w:left w:val="nil"/>
              <w:bottom w:val="single" w:sz="2" w:space="0" w:color="auto"/>
              <w:right w:val="nil"/>
            </w:tcBorders>
            <w:shd w:val="clear" w:color="auto" w:fill="auto"/>
            <w:vAlign w:val="center"/>
          </w:tcPr>
          <w:p w14:paraId="1847334C" w14:textId="77777777" w:rsidR="006B7F66" w:rsidRPr="006B7F66" w:rsidRDefault="006B7F66" w:rsidP="008851EB">
            <w:pPr>
              <w:pStyle w:val="cuatexto"/>
              <w:jc w:val="right"/>
            </w:pPr>
            <w:r w:rsidRPr="006B7F66">
              <w:t>-67</w:t>
            </w:r>
          </w:p>
        </w:tc>
      </w:tr>
      <w:tr w:rsidR="006B7F66" w:rsidRPr="0086002D" w14:paraId="5E7FBEC8" w14:textId="77777777" w:rsidTr="001B6AE4">
        <w:trPr>
          <w:trHeight w:val="198"/>
        </w:trPr>
        <w:tc>
          <w:tcPr>
            <w:tcW w:w="4962" w:type="dxa"/>
            <w:tcBorders>
              <w:top w:val="single" w:sz="2" w:space="0" w:color="auto"/>
              <w:left w:val="nil"/>
              <w:bottom w:val="single" w:sz="2" w:space="0" w:color="auto"/>
              <w:right w:val="nil"/>
            </w:tcBorders>
            <w:shd w:val="clear" w:color="auto" w:fill="auto"/>
            <w:vAlign w:val="center"/>
            <w:hideMark/>
          </w:tcPr>
          <w:p w14:paraId="32EB2DA0" w14:textId="77777777" w:rsidR="006B7F66" w:rsidRPr="006B7F66" w:rsidRDefault="006B7F66" w:rsidP="008851EB">
            <w:pPr>
              <w:pStyle w:val="cuatexto"/>
            </w:pPr>
            <w:r w:rsidRPr="006B7F66">
              <w:t>Carga financiera</w:t>
            </w:r>
          </w:p>
        </w:tc>
        <w:tc>
          <w:tcPr>
            <w:tcW w:w="1323" w:type="dxa"/>
            <w:tcBorders>
              <w:top w:val="single" w:sz="2" w:space="0" w:color="auto"/>
              <w:left w:val="nil"/>
              <w:bottom w:val="single" w:sz="2" w:space="0" w:color="auto"/>
              <w:right w:val="nil"/>
            </w:tcBorders>
            <w:vAlign w:val="center"/>
          </w:tcPr>
          <w:p w14:paraId="034210A5" w14:textId="77777777" w:rsidR="006B7F66" w:rsidRPr="006B7F66" w:rsidRDefault="006B7F66" w:rsidP="008851EB">
            <w:pPr>
              <w:pStyle w:val="cuatexto"/>
              <w:jc w:val="right"/>
            </w:pPr>
            <w:r w:rsidRPr="006B7F66">
              <w:t>43.838</w:t>
            </w:r>
          </w:p>
        </w:tc>
        <w:tc>
          <w:tcPr>
            <w:tcW w:w="1323" w:type="dxa"/>
            <w:tcBorders>
              <w:top w:val="single" w:sz="2" w:space="0" w:color="auto"/>
              <w:left w:val="nil"/>
              <w:bottom w:val="single" w:sz="2" w:space="0" w:color="auto"/>
              <w:right w:val="nil"/>
            </w:tcBorders>
            <w:shd w:val="clear" w:color="auto" w:fill="auto"/>
            <w:vAlign w:val="center"/>
          </w:tcPr>
          <w:p w14:paraId="1885424A" w14:textId="77777777" w:rsidR="006B7F66" w:rsidRPr="006B7F66" w:rsidRDefault="006B7F66" w:rsidP="008851EB">
            <w:pPr>
              <w:pStyle w:val="cuatexto"/>
              <w:jc w:val="right"/>
            </w:pPr>
            <w:r w:rsidRPr="006B7F66">
              <w:t>44.036</w:t>
            </w:r>
          </w:p>
        </w:tc>
        <w:tc>
          <w:tcPr>
            <w:tcW w:w="1181" w:type="dxa"/>
            <w:tcBorders>
              <w:top w:val="single" w:sz="2" w:space="0" w:color="auto"/>
              <w:left w:val="nil"/>
              <w:bottom w:val="single" w:sz="2" w:space="0" w:color="auto"/>
              <w:right w:val="nil"/>
            </w:tcBorders>
            <w:shd w:val="clear" w:color="auto" w:fill="auto"/>
            <w:vAlign w:val="center"/>
          </w:tcPr>
          <w:p w14:paraId="4B4CDB24" w14:textId="77777777" w:rsidR="006B7F66" w:rsidRPr="006B7F66" w:rsidRDefault="006B7F66" w:rsidP="008851EB">
            <w:pPr>
              <w:pStyle w:val="cuatexto"/>
              <w:jc w:val="right"/>
            </w:pPr>
            <w:r w:rsidRPr="006B7F66">
              <w:t>0,45</w:t>
            </w:r>
          </w:p>
        </w:tc>
      </w:tr>
      <w:tr w:rsidR="006B7F66" w:rsidRPr="0086002D" w14:paraId="34EF6077" w14:textId="77777777" w:rsidTr="001B6AE4">
        <w:trPr>
          <w:trHeight w:val="198"/>
        </w:trPr>
        <w:tc>
          <w:tcPr>
            <w:tcW w:w="4962" w:type="dxa"/>
            <w:tcBorders>
              <w:top w:val="single" w:sz="2" w:space="0" w:color="auto"/>
              <w:left w:val="nil"/>
              <w:bottom w:val="single" w:sz="2" w:space="0" w:color="auto"/>
              <w:right w:val="nil"/>
            </w:tcBorders>
            <w:shd w:val="clear" w:color="auto" w:fill="auto"/>
            <w:vAlign w:val="center"/>
            <w:hideMark/>
          </w:tcPr>
          <w:p w14:paraId="65C6DC2A" w14:textId="77777777" w:rsidR="006B7F66" w:rsidRPr="006B7F66" w:rsidRDefault="006B7F66" w:rsidP="008851EB">
            <w:pPr>
              <w:pStyle w:val="cuatexto"/>
            </w:pPr>
            <w:r w:rsidRPr="006B7F66">
              <w:t>Ahorro neto</w:t>
            </w:r>
          </w:p>
        </w:tc>
        <w:tc>
          <w:tcPr>
            <w:tcW w:w="1323" w:type="dxa"/>
            <w:tcBorders>
              <w:top w:val="single" w:sz="2" w:space="0" w:color="auto"/>
              <w:left w:val="nil"/>
              <w:bottom w:val="single" w:sz="2" w:space="0" w:color="auto"/>
              <w:right w:val="nil"/>
            </w:tcBorders>
            <w:vAlign w:val="center"/>
          </w:tcPr>
          <w:p w14:paraId="18F92B79" w14:textId="77777777" w:rsidR="006B7F66" w:rsidRPr="006B7F66" w:rsidRDefault="006B7F66" w:rsidP="008851EB">
            <w:pPr>
              <w:pStyle w:val="cuatexto"/>
              <w:jc w:val="right"/>
            </w:pPr>
            <w:r w:rsidRPr="006B7F66">
              <w:t>852</w:t>
            </w:r>
          </w:p>
        </w:tc>
        <w:tc>
          <w:tcPr>
            <w:tcW w:w="1323" w:type="dxa"/>
            <w:tcBorders>
              <w:top w:val="single" w:sz="2" w:space="0" w:color="auto"/>
              <w:left w:val="nil"/>
              <w:bottom w:val="single" w:sz="2" w:space="0" w:color="auto"/>
              <w:right w:val="nil"/>
            </w:tcBorders>
            <w:shd w:val="clear" w:color="auto" w:fill="auto"/>
            <w:vAlign w:val="center"/>
          </w:tcPr>
          <w:p w14:paraId="2A05903C" w14:textId="77777777" w:rsidR="006B7F66" w:rsidRPr="006B7F66" w:rsidRDefault="006B7F66" w:rsidP="008851EB">
            <w:pPr>
              <w:pStyle w:val="cuatexto"/>
              <w:jc w:val="right"/>
            </w:pPr>
            <w:r w:rsidRPr="006B7F66">
              <w:t>-29.264</w:t>
            </w:r>
          </w:p>
        </w:tc>
        <w:tc>
          <w:tcPr>
            <w:tcW w:w="1181" w:type="dxa"/>
            <w:tcBorders>
              <w:top w:val="single" w:sz="2" w:space="0" w:color="auto"/>
              <w:left w:val="nil"/>
              <w:bottom w:val="single" w:sz="2" w:space="0" w:color="auto"/>
              <w:right w:val="nil"/>
            </w:tcBorders>
            <w:shd w:val="clear" w:color="auto" w:fill="auto"/>
            <w:vAlign w:val="center"/>
          </w:tcPr>
          <w:p w14:paraId="327B0804" w14:textId="77777777" w:rsidR="006B7F66" w:rsidRPr="006B7F66" w:rsidRDefault="006B7F66" w:rsidP="008851EB">
            <w:pPr>
              <w:pStyle w:val="cuatexto"/>
              <w:jc w:val="right"/>
            </w:pPr>
            <w:r w:rsidRPr="006B7F66">
              <w:t>-3.535</w:t>
            </w:r>
          </w:p>
        </w:tc>
      </w:tr>
      <w:tr w:rsidR="006B7F66" w:rsidRPr="0086002D" w14:paraId="418895FC" w14:textId="77777777" w:rsidTr="001B6AE4">
        <w:trPr>
          <w:trHeight w:val="198"/>
        </w:trPr>
        <w:tc>
          <w:tcPr>
            <w:tcW w:w="4962" w:type="dxa"/>
            <w:tcBorders>
              <w:top w:val="single" w:sz="2" w:space="0" w:color="auto"/>
              <w:left w:val="nil"/>
              <w:bottom w:val="single" w:sz="2" w:space="0" w:color="auto"/>
              <w:right w:val="nil"/>
            </w:tcBorders>
            <w:shd w:val="clear" w:color="auto" w:fill="auto"/>
            <w:vAlign w:val="center"/>
            <w:hideMark/>
          </w:tcPr>
          <w:p w14:paraId="5E5474FE" w14:textId="77777777" w:rsidR="006B7F66" w:rsidRPr="006B7F66" w:rsidRDefault="006B7F66" w:rsidP="008851EB">
            <w:pPr>
              <w:pStyle w:val="cuatexto"/>
              <w:rPr>
                <w:lang w:val="es-ES"/>
              </w:rPr>
            </w:pPr>
            <w:r w:rsidRPr="06D4BFB9">
              <w:rPr>
                <w:lang w:val="es-ES"/>
              </w:rPr>
              <w:t>Indice de carga financiera</w:t>
            </w:r>
          </w:p>
        </w:tc>
        <w:tc>
          <w:tcPr>
            <w:tcW w:w="1323" w:type="dxa"/>
            <w:tcBorders>
              <w:top w:val="single" w:sz="2" w:space="0" w:color="auto"/>
              <w:left w:val="nil"/>
              <w:bottom w:val="single" w:sz="2" w:space="0" w:color="auto"/>
              <w:right w:val="nil"/>
            </w:tcBorders>
            <w:vAlign w:val="center"/>
          </w:tcPr>
          <w:p w14:paraId="69192437" w14:textId="77777777" w:rsidR="006B7F66" w:rsidRPr="006B7F66" w:rsidRDefault="006B7F66" w:rsidP="008851EB">
            <w:pPr>
              <w:pStyle w:val="cuatexto"/>
              <w:jc w:val="right"/>
            </w:pPr>
            <w:r w:rsidRPr="006B7F66">
              <w:t>6%</w:t>
            </w:r>
          </w:p>
        </w:tc>
        <w:tc>
          <w:tcPr>
            <w:tcW w:w="1323" w:type="dxa"/>
            <w:tcBorders>
              <w:top w:val="single" w:sz="2" w:space="0" w:color="auto"/>
              <w:left w:val="nil"/>
              <w:bottom w:val="single" w:sz="2" w:space="0" w:color="auto"/>
              <w:right w:val="nil"/>
            </w:tcBorders>
            <w:shd w:val="clear" w:color="auto" w:fill="auto"/>
            <w:vAlign w:val="center"/>
          </w:tcPr>
          <w:p w14:paraId="048F3A0F" w14:textId="77777777" w:rsidR="006B7F66" w:rsidRPr="006B7F66" w:rsidRDefault="006B7F66" w:rsidP="008851EB">
            <w:pPr>
              <w:pStyle w:val="cuatexto"/>
              <w:jc w:val="right"/>
            </w:pPr>
            <w:r w:rsidRPr="006B7F66">
              <w:t>6%</w:t>
            </w:r>
          </w:p>
        </w:tc>
        <w:tc>
          <w:tcPr>
            <w:tcW w:w="1181" w:type="dxa"/>
            <w:tcBorders>
              <w:top w:val="single" w:sz="2" w:space="0" w:color="auto"/>
              <w:left w:val="nil"/>
              <w:bottom w:val="single" w:sz="2" w:space="0" w:color="auto"/>
              <w:right w:val="nil"/>
            </w:tcBorders>
            <w:shd w:val="clear" w:color="auto" w:fill="auto"/>
            <w:vAlign w:val="center"/>
          </w:tcPr>
          <w:p w14:paraId="05B31065" w14:textId="77777777" w:rsidR="006B7F66" w:rsidRPr="006B7F66" w:rsidRDefault="006B7F66" w:rsidP="008851EB">
            <w:pPr>
              <w:pStyle w:val="cuatexto"/>
              <w:jc w:val="right"/>
            </w:pPr>
            <w:r w:rsidRPr="006B7F66">
              <w:t>0</w:t>
            </w:r>
          </w:p>
        </w:tc>
      </w:tr>
      <w:tr w:rsidR="006B7F66" w:rsidRPr="0086002D" w14:paraId="28D6EB06" w14:textId="77777777" w:rsidTr="001B6AE4">
        <w:trPr>
          <w:trHeight w:val="198"/>
        </w:trPr>
        <w:tc>
          <w:tcPr>
            <w:tcW w:w="4962" w:type="dxa"/>
            <w:tcBorders>
              <w:top w:val="single" w:sz="2" w:space="0" w:color="auto"/>
              <w:left w:val="nil"/>
              <w:bottom w:val="single" w:sz="2" w:space="0" w:color="auto"/>
              <w:right w:val="nil"/>
            </w:tcBorders>
            <w:shd w:val="clear" w:color="auto" w:fill="auto"/>
            <w:vAlign w:val="center"/>
            <w:hideMark/>
          </w:tcPr>
          <w:p w14:paraId="2FEEAD3B" w14:textId="77777777" w:rsidR="006B7F66" w:rsidRPr="006B7F66" w:rsidRDefault="006B7F66" w:rsidP="008851EB">
            <w:pPr>
              <w:pStyle w:val="cuatexto"/>
            </w:pPr>
            <w:r w:rsidRPr="006B7F66">
              <w:t>% de ahorro bruto sobre ingresos corrientes</w:t>
            </w:r>
          </w:p>
        </w:tc>
        <w:tc>
          <w:tcPr>
            <w:tcW w:w="1323" w:type="dxa"/>
            <w:tcBorders>
              <w:top w:val="single" w:sz="2" w:space="0" w:color="auto"/>
              <w:left w:val="nil"/>
              <w:bottom w:val="single" w:sz="2" w:space="0" w:color="auto"/>
              <w:right w:val="nil"/>
            </w:tcBorders>
            <w:vAlign w:val="center"/>
          </w:tcPr>
          <w:p w14:paraId="72786B40" w14:textId="77777777" w:rsidR="006B7F66" w:rsidRPr="006B7F66" w:rsidRDefault="006B7F66" w:rsidP="008851EB">
            <w:pPr>
              <w:pStyle w:val="cuatexto"/>
              <w:jc w:val="right"/>
            </w:pPr>
            <w:r w:rsidRPr="006B7F66">
              <w:t>6%</w:t>
            </w:r>
          </w:p>
        </w:tc>
        <w:tc>
          <w:tcPr>
            <w:tcW w:w="1323" w:type="dxa"/>
            <w:tcBorders>
              <w:top w:val="single" w:sz="2" w:space="0" w:color="auto"/>
              <w:left w:val="nil"/>
              <w:bottom w:val="single" w:sz="2" w:space="0" w:color="auto"/>
              <w:right w:val="nil"/>
            </w:tcBorders>
            <w:shd w:val="clear" w:color="auto" w:fill="auto"/>
            <w:vAlign w:val="center"/>
          </w:tcPr>
          <w:p w14:paraId="10B766A5" w14:textId="77777777" w:rsidR="006B7F66" w:rsidRPr="006B7F66" w:rsidRDefault="006B7F66" w:rsidP="008851EB">
            <w:pPr>
              <w:pStyle w:val="cuatexto"/>
              <w:jc w:val="right"/>
            </w:pPr>
            <w:r w:rsidRPr="006B7F66">
              <w:t>2%</w:t>
            </w:r>
          </w:p>
        </w:tc>
        <w:tc>
          <w:tcPr>
            <w:tcW w:w="1181" w:type="dxa"/>
            <w:tcBorders>
              <w:top w:val="single" w:sz="2" w:space="0" w:color="auto"/>
              <w:left w:val="nil"/>
              <w:bottom w:val="single" w:sz="2" w:space="0" w:color="auto"/>
              <w:right w:val="nil"/>
            </w:tcBorders>
            <w:shd w:val="clear" w:color="auto" w:fill="auto"/>
            <w:vAlign w:val="center"/>
          </w:tcPr>
          <w:p w14:paraId="66E98D19" w14:textId="77777777" w:rsidR="006B7F66" w:rsidRPr="006B7F66" w:rsidRDefault="006B7F66" w:rsidP="008851EB">
            <w:pPr>
              <w:pStyle w:val="cuatexto"/>
              <w:jc w:val="right"/>
            </w:pPr>
            <w:r w:rsidRPr="006B7F66">
              <w:t>-67</w:t>
            </w:r>
          </w:p>
        </w:tc>
      </w:tr>
      <w:tr w:rsidR="006B7F66" w:rsidRPr="0086002D" w14:paraId="469F2A26" w14:textId="77777777" w:rsidTr="001B6AE4">
        <w:trPr>
          <w:trHeight w:val="198"/>
        </w:trPr>
        <w:tc>
          <w:tcPr>
            <w:tcW w:w="4962" w:type="dxa"/>
            <w:tcBorders>
              <w:top w:val="single" w:sz="2" w:space="0" w:color="auto"/>
              <w:left w:val="nil"/>
              <w:bottom w:val="single" w:sz="2" w:space="0" w:color="auto"/>
              <w:right w:val="nil"/>
            </w:tcBorders>
            <w:shd w:val="clear" w:color="auto" w:fill="auto"/>
            <w:vAlign w:val="center"/>
            <w:hideMark/>
          </w:tcPr>
          <w:p w14:paraId="58031115" w14:textId="77777777" w:rsidR="006B7F66" w:rsidRPr="006B7F66" w:rsidRDefault="006B7F66" w:rsidP="008851EB">
            <w:pPr>
              <w:pStyle w:val="cuatexto"/>
            </w:pPr>
            <w:r w:rsidRPr="006B7F66">
              <w:t>Deuda viva</w:t>
            </w:r>
          </w:p>
        </w:tc>
        <w:tc>
          <w:tcPr>
            <w:tcW w:w="1323" w:type="dxa"/>
            <w:tcBorders>
              <w:top w:val="single" w:sz="2" w:space="0" w:color="auto"/>
              <w:left w:val="nil"/>
              <w:bottom w:val="single" w:sz="2" w:space="0" w:color="auto"/>
              <w:right w:val="nil"/>
            </w:tcBorders>
            <w:vAlign w:val="center"/>
          </w:tcPr>
          <w:p w14:paraId="08B32C8C" w14:textId="77777777" w:rsidR="006B7F66" w:rsidRPr="006B7F66" w:rsidRDefault="006B7F66" w:rsidP="008851EB">
            <w:pPr>
              <w:pStyle w:val="cuatexto"/>
              <w:jc w:val="right"/>
            </w:pPr>
            <w:r w:rsidRPr="006B7F66">
              <w:t>301.779</w:t>
            </w:r>
          </w:p>
        </w:tc>
        <w:tc>
          <w:tcPr>
            <w:tcW w:w="1323" w:type="dxa"/>
            <w:tcBorders>
              <w:top w:val="single" w:sz="2" w:space="0" w:color="auto"/>
              <w:left w:val="nil"/>
              <w:bottom w:val="single" w:sz="2" w:space="0" w:color="auto"/>
              <w:right w:val="nil"/>
            </w:tcBorders>
            <w:shd w:val="clear" w:color="auto" w:fill="auto"/>
            <w:vAlign w:val="center"/>
          </w:tcPr>
          <w:p w14:paraId="5CC0A923" w14:textId="77777777" w:rsidR="006B7F66" w:rsidRPr="006B7F66" w:rsidRDefault="006B7F66" w:rsidP="008851EB">
            <w:pPr>
              <w:pStyle w:val="cuatexto"/>
              <w:jc w:val="right"/>
            </w:pPr>
            <w:r w:rsidRPr="006B7F66">
              <w:t>262.829</w:t>
            </w:r>
          </w:p>
        </w:tc>
        <w:tc>
          <w:tcPr>
            <w:tcW w:w="1181" w:type="dxa"/>
            <w:tcBorders>
              <w:top w:val="single" w:sz="2" w:space="0" w:color="auto"/>
              <w:left w:val="nil"/>
              <w:bottom w:val="single" w:sz="2" w:space="0" w:color="auto"/>
              <w:right w:val="nil"/>
            </w:tcBorders>
            <w:shd w:val="clear" w:color="auto" w:fill="auto"/>
            <w:vAlign w:val="center"/>
          </w:tcPr>
          <w:p w14:paraId="662578FB" w14:textId="77777777" w:rsidR="006B7F66" w:rsidRPr="006B7F66" w:rsidRDefault="006B7F66" w:rsidP="008851EB">
            <w:pPr>
              <w:pStyle w:val="cuatexto"/>
              <w:jc w:val="right"/>
            </w:pPr>
            <w:r w:rsidRPr="006B7F66">
              <w:t>-13</w:t>
            </w:r>
          </w:p>
        </w:tc>
      </w:tr>
      <w:tr w:rsidR="006B7F66" w:rsidRPr="0086002D" w14:paraId="2A59A16F" w14:textId="77777777" w:rsidTr="001B6AE4">
        <w:trPr>
          <w:trHeight w:val="198"/>
        </w:trPr>
        <w:tc>
          <w:tcPr>
            <w:tcW w:w="4962" w:type="dxa"/>
            <w:tcBorders>
              <w:top w:val="single" w:sz="2" w:space="0" w:color="auto"/>
              <w:left w:val="nil"/>
              <w:bottom w:val="single" w:sz="2" w:space="0" w:color="auto"/>
              <w:right w:val="nil"/>
            </w:tcBorders>
            <w:shd w:val="clear" w:color="auto" w:fill="auto"/>
            <w:vAlign w:val="center"/>
            <w:hideMark/>
          </w:tcPr>
          <w:p w14:paraId="6320BC09" w14:textId="77777777" w:rsidR="006B7F66" w:rsidRPr="006B7F66" w:rsidRDefault="006B7F66" w:rsidP="008851EB">
            <w:pPr>
              <w:pStyle w:val="cuatexto"/>
            </w:pPr>
            <w:r w:rsidRPr="006B7F66">
              <w:t>Nivel de endeudamiento (deuda viva/ingresos corrientes)</w:t>
            </w:r>
          </w:p>
        </w:tc>
        <w:tc>
          <w:tcPr>
            <w:tcW w:w="1323" w:type="dxa"/>
            <w:tcBorders>
              <w:top w:val="single" w:sz="2" w:space="0" w:color="auto"/>
              <w:left w:val="nil"/>
              <w:bottom w:val="single" w:sz="2" w:space="0" w:color="auto"/>
              <w:right w:val="nil"/>
            </w:tcBorders>
            <w:vAlign w:val="center"/>
          </w:tcPr>
          <w:p w14:paraId="79DA8300" w14:textId="77777777" w:rsidR="006B7F66" w:rsidRPr="006B7F66" w:rsidRDefault="006B7F66" w:rsidP="008851EB">
            <w:pPr>
              <w:pStyle w:val="cuatexto"/>
              <w:jc w:val="right"/>
            </w:pPr>
            <w:r w:rsidRPr="006B7F66">
              <w:t>41</w:t>
            </w:r>
          </w:p>
        </w:tc>
        <w:tc>
          <w:tcPr>
            <w:tcW w:w="1323" w:type="dxa"/>
            <w:tcBorders>
              <w:top w:val="single" w:sz="2" w:space="0" w:color="auto"/>
              <w:left w:val="nil"/>
              <w:bottom w:val="single" w:sz="2" w:space="0" w:color="auto"/>
              <w:right w:val="nil"/>
            </w:tcBorders>
            <w:shd w:val="clear" w:color="auto" w:fill="auto"/>
            <w:vAlign w:val="center"/>
          </w:tcPr>
          <w:p w14:paraId="4EE0A01E" w14:textId="77777777" w:rsidR="006B7F66" w:rsidRPr="006B7F66" w:rsidRDefault="006B7F66" w:rsidP="008851EB">
            <w:pPr>
              <w:pStyle w:val="cuatexto"/>
              <w:jc w:val="right"/>
            </w:pPr>
            <w:r w:rsidRPr="006B7F66">
              <w:t>37</w:t>
            </w:r>
          </w:p>
        </w:tc>
        <w:tc>
          <w:tcPr>
            <w:tcW w:w="1181" w:type="dxa"/>
            <w:tcBorders>
              <w:top w:val="single" w:sz="2" w:space="0" w:color="auto"/>
              <w:left w:val="nil"/>
              <w:bottom w:val="single" w:sz="2" w:space="0" w:color="auto"/>
              <w:right w:val="nil"/>
            </w:tcBorders>
            <w:shd w:val="clear" w:color="auto" w:fill="auto"/>
            <w:vAlign w:val="center"/>
          </w:tcPr>
          <w:p w14:paraId="1A6B8853" w14:textId="77777777" w:rsidR="006B7F66" w:rsidRPr="006B7F66" w:rsidRDefault="006B7F66" w:rsidP="008851EB">
            <w:pPr>
              <w:pStyle w:val="cuatexto"/>
              <w:jc w:val="right"/>
            </w:pPr>
            <w:r w:rsidRPr="006B7F66">
              <w:t>-10</w:t>
            </w:r>
          </w:p>
        </w:tc>
      </w:tr>
      <w:tr w:rsidR="006B7F66" w:rsidRPr="0086002D" w14:paraId="697882D4" w14:textId="77777777" w:rsidTr="001B6AE4">
        <w:trPr>
          <w:trHeight w:val="198"/>
        </w:trPr>
        <w:tc>
          <w:tcPr>
            <w:tcW w:w="4962" w:type="dxa"/>
            <w:tcBorders>
              <w:top w:val="single" w:sz="2" w:space="0" w:color="auto"/>
              <w:left w:val="nil"/>
              <w:bottom w:val="single" w:sz="2" w:space="0" w:color="auto"/>
              <w:right w:val="nil"/>
            </w:tcBorders>
            <w:shd w:val="clear" w:color="auto" w:fill="auto"/>
            <w:vAlign w:val="center"/>
          </w:tcPr>
          <w:p w14:paraId="4B92EB87" w14:textId="77777777" w:rsidR="006B7F66" w:rsidRPr="006B7F66" w:rsidRDefault="006B7F66" w:rsidP="008851EB">
            <w:pPr>
              <w:pStyle w:val="cuatexto"/>
            </w:pPr>
            <w:r w:rsidRPr="006B7F66">
              <w:t>Resultado presupuestario ajustado</w:t>
            </w:r>
          </w:p>
        </w:tc>
        <w:tc>
          <w:tcPr>
            <w:tcW w:w="1323" w:type="dxa"/>
            <w:tcBorders>
              <w:top w:val="single" w:sz="2" w:space="0" w:color="auto"/>
              <w:left w:val="nil"/>
              <w:bottom w:val="single" w:sz="2" w:space="0" w:color="auto"/>
              <w:right w:val="nil"/>
            </w:tcBorders>
            <w:vAlign w:val="center"/>
          </w:tcPr>
          <w:p w14:paraId="5E626977" w14:textId="77777777" w:rsidR="006B7F66" w:rsidRPr="006B7F66" w:rsidRDefault="006B7F66" w:rsidP="008851EB">
            <w:pPr>
              <w:pStyle w:val="cuatexto"/>
              <w:jc w:val="right"/>
            </w:pPr>
            <w:r w:rsidRPr="006B7F66">
              <w:t>34.109</w:t>
            </w:r>
          </w:p>
        </w:tc>
        <w:tc>
          <w:tcPr>
            <w:tcW w:w="1323" w:type="dxa"/>
            <w:tcBorders>
              <w:top w:val="single" w:sz="2" w:space="0" w:color="auto"/>
              <w:left w:val="nil"/>
              <w:bottom w:val="single" w:sz="2" w:space="0" w:color="auto"/>
              <w:right w:val="nil"/>
            </w:tcBorders>
            <w:shd w:val="clear" w:color="auto" w:fill="auto"/>
            <w:vAlign w:val="center"/>
          </w:tcPr>
          <w:p w14:paraId="0074E8C1" w14:textId="0CE50A3F" w:rsidR="006B7F66" w:rsidRPr="006B7F66" w:rsidRDefault="006B7F66" w:rsidP="008851EB">
            <w:pPr>
              <w:pStyle w:val="cuatexto"/>
              <w:jc w:val="right"/>
            </w:pPr>
            <w:r w:rsidRPr="22DE07A6">
              <w:t>-</w:t>
            </w:r>
            <w:r w:rsidR="00DA60E0" w:rsidRPr="22DE07A6">
              <w:t>45.989</w:t>
            </w:r>
            <w:r w:rsidR="00DA60E0" w:rsidRPr="22DE07A6">
              <w:rPr>
                <w:sz w:val="16"/>
                <w:szCs w:val="16"/>
              </w:rPr>
              <w:t>(</w:t>
            </w:r>
            <w:r w:rsidR="3824489F" w:rsidRPr="22DE07A6">
              <w:rPr>
                <w:sz w:val="16"/>
                <w:szCs w:val="16"/>
              </w:rPr>
              <w:t>2</w:t>
            </w:r>
            <w:r w:rsidR="00DA60E0" w:rsidRPr="22DE07A6">
              <w:rPr>
                <w:sz w:val="16"/>
                <w:szCs w:val="16"/>
              </w:rPr>
              <w:t>)</w:t>
            </w:r>
          </w:p>
        </w:tc>
        <w:tc>
          <w:tcPr>
            <w:tcW w:w="1181" w:type="dxa"/>
            <w:tcBorders>
              <w:top w:val="single" w:sz="2" w:space="0" w:color="auto"/>
              <w:left w:val="nil"/>
              <w:bottom w:val="single" w:sz="2" w:space="0" w:color="auto"/>
              <w:right w:val="nil"/>
            </w:tcBorders>
            <w:shd w:val="clear" w:color="auto" w:fill="auto"/>
            <w:vAlign w:val="center"/>
          </w:tcPr>
          <w:p w14:paraId="2011E485" w14:textId="2C224656" w:rsidR="006B7F66" w:rsidRPr="006B7F66" w:rsidRDefault="006B7F66" w:rsidP="008851EB">
            <w:pPr>
              <w:pStyle w:val="cuatexto"/>
              <w:jc w:val="right"/>
            </w:pPr>
            <w:r w:rsidRPr="006B7F66">
              <w:t>-</w:t>
            </w:r>
            <w:r w:rsidR="00DA60E0">
              <w:t>235</w:t>
            </w:r>
          </w:p>
        </w:tc>
      </w:tr>
      <w:tr w:rsidR="00084811" w:rsidRPr="00084811" w14:paraId="00A88AB4" w14:textId="77777777" w:rsidTr="001B6AE4">
        <w:trPr>
          <w:trHeight w:val="198"/>
        </w:trPr>
        <w:tc>
          <w:tcPr>
            <w:tcW w:w="4962" w:type="dxa"/>
            <w:tcBorders>
              <w:top w:val="single" w:sz="2" w:space="0" w:color="auto"/>
              <w:left w:val="nil"/>
              <w:bottom w:val="single" w:sz="2" w:space="0" w:color="auto"/>
              <w:right w:val="nil"/>
            </w:tcBorders>
            <w:shd w:val="clear" w:color="auto" w:fill="auto"/>
            <w:vAlign w:val="center"/>
            <w:hideMark/>
          </w:tcPr>
          <w:p w14:paraId="4F3FF36B" w14:textId="6B86D2B1" w:rsidR="006B7F66" w:rsidRPr="00084811" w:rsidRDefault="006B7F66" w:rsidP="008851EB">
            <w:pPr>
              <w:pStyle w:val="cuatexto"/>
            </w:pPr>
            <w:r w:rsidRPr="00084811">
              <w:t>Remanente tesorería para gastos generales</w:t>
            </w:r>
            <w:r w:rsidR="00776B8A" w:rsidRPr="00084811">
              <w:t xml:space="preserve"> </w:t>
            </w:r>
          </w:p>
        </w:tc>
        <w:tc>
          <w:tcPr>
            <w:tcW w:w="1323" w:type="dxa"/>
            <w:tcBorders>
              <w:top w:val="single" w:sz="2" w:space="0" w:color="auto"/>
              <w:left w:val="nil"/>
              <w:bottom w:val="single" w:sz="2" w:space="0" w:color="auto"/>
              <w:right w:val="nil"/>
            </w:tcBorders>
            <w:vAlign w:val="center"/>
          </w:tcPr>
          <w:p w14:paraId="636A1D58" w14:textId="77777777" w:rsidR="006B7F66" w:rsidRPr="00084811" w:rsidRDefault="006B7F66" w:rsidP="008851EB">
            <w:pPr>
              <w:pStyle w:val="cuatexto"/>
              <w:jc w:val="right"/>
            </w:pPr>
            <w:r w:rsidRPr="00084811">
              <w:t>44.134</w:t>
            </w:r>
          </w:p>
        </w:tc>
        <w:tc>
          <w:tcPr>
            <w:tcW w:w="1323" w:type="dxa"/>
            <w:tcBorders>
              <w:top w:val="single" w:sz="2" w:space="0" w:color="auto"/>
              <w:left w:val="nil"/>
              <w:bottom w:val="single" w:sz="2" w:space="0" w:color="auto"/>
              <w:right w:val="nil"/>
            </w:tcBorders>
            <w:shd w:val="clear" w:color="auto" w:fill="auto"/>
            <w:vAlign w:val="center"/>
          </w:tcPr>
          <w:p w14:paraId="78F4B220" w14:textId="4B9E6F10" w:rsidR="006B7F66" w:rsidRPr="00DA60E0" w:rsidRDefault="00DA60E0" w:rsidP="008851EB">
            <w:pPr>
              <w:pStyle w:val="cuatexto"/>
              <w:jc w:val="right"/>
            </w:pPr>
            <w:r w:rsidRPr="22DE07A6">
              <w:t>-279.225</w:t>
            </w:r>
            <w:r w:rsidRPr="22DE07A6">
              <w:rPr>
                <w:sz w:val="16"/>
                <w:szCs w:val="16"/>
              </w:rPr>
              <w:t>(</w:t>
            </w:r>
            <w:r w:rsidR="7E268AF2" w:rsidRPr="22DE07A6">
              <w:rPr>
                <w:sz w:val="16"/>
                <w:szCs w:val="16"/>
              </w:rPr>
              <w:t>2</w:t>
            </w:r>
            <w:r w:rsidRPr="22DE07A6">
              <w:rPr>
                <w:sz w:val="16"/>
                <w:szCs w:val="16"/>
              </w:rPr>
              <w:t>)</w:t>
            </w:r>
          </w:p>
        </w:tc>
        <w:tc>
          <w:tcPr>
            <w:tcW w:w="1181" w:type="dxa"/>
            <w:tcBorders>
              <w:top w:val="single" w:sz="2" w:space="0" w:color="auto"/>
              <w:left w:val="nil"/>
              <w:bottom w:val="single" w:sz="2" w:space="0" w:color="auto"/>
              <w:right w:val="nil"/>
            </w:tcBorders>
            <w:shd w:val="clear" w:color="auto" w:fill="auto"/>
            <w:vAlign w:val="center"/>
          </w:tcPr>
          <w:p w14:paraId="5E626AD0" w14:textId="28DEC5F5" w:rsidR="006B7F66" w:rsidRPr="00DA60E0" w:rsidRDefault="00DA60E0" w:rsidP="008851EB">
            <w:pPr>
              <w:pStyle w:val="cuatexto"/>
              <w:jc w:val="right"/>
            </w:pPr>
            <w:r w:rsidRPr="00DA60E0">
              <w:t>-733</w:t>
            </w:r>
          </w:p>
        </w:tc>
      </w:tr>
      <w:tr w:rsidR="006B7F66" w:rsidRPr="0086002D" w14:paraId="457BBC84" w14:textId="77777777" w:rsidTr="001B6AE4">
        <w:trPr>
          <w:trHeight w:val="198"/>
        </w:trPr>
        <w:tc>
          <w:tcPr>
            <w:tcW w:w="4962" w:type="dxa"/>
            <w:tcBorders>
              <w:top w:val="single" w:sz="2" w:space="0" w:color="auto"/>
              <w:left w:val="nil"/>
              <w:bottom w:val="single" w:sz="2" w:space="0" w:color="auto"/>
              <w:right w:val="nil"/>
            </w:tcBorders>
            <w:shd w:val="clear" w:color="auto" w:fill="auto"/>
            <w:vAlign w:val="center"/>
            <w:hideMark/>
          </w:tcPr>
          <w:p w14:paraId="5CDDC666" w14:textId="77777777" w:rsidR="006B7F66" w:rsidRPr="006B7F66" w:rsidRDefault="006B7F66" w:rsidP="008851EB">
            <w:pPr>
              <w:pStyle w:val="cuatexto"/>
            </w:pPr>
            <w:r w:rsidRPr="006B7F66">
              <w:t>Autonomía fiscal (tributos/derechos reconocidos netos)</w:t>
            </w:r>
          </w:p>
        </w:tc>
        <w:tc>
          <w:tcPr>
            <w:tcW w:w="1323" w:type="dxa"/>
            <w:tcBorders>
              <w:top w:val="single" w:sz="2" w:space="0" w:color="auto"/>
              <w:left w:val="nil"/>
              <w:bottom w:val="single" w:sz="2" w:space="0" w:color="auto"/>
              <w:right w:val="nil"/>
            </w:tcBorders>
            <w:vAlign w:val="center"/>
          </w:tcPr>
          <w:p w14:paraId="43111AEF" w14:textId="77777777" w:rsidR="006B7F66" w:rsidRPr="006B7F66" w:rsidRDefault="006B7F66" w:rsidP="008851EB">
            <w:pPr>
              <w:pStyle w:val="cuatexto"/>
              <w:jc w:val="right"/>
            </w:pPr>
            <w:r w:rsidRPr="006B7F66">
              <w:t>63%</w:t>
            </w:r>
          </w:p>
        </w:tc>
        <w:tc>
          <w:tcPr>
            <w:tcW w:w="1323" w:type="dxa"/>
            <w:tcBorders>
              <w:top w:val="single" w:sz="2" w:space="0" w:color="auto"/>
              <w:left w:val="nil"/>
              <w:bottom w:val="single" w:sz="2" w:space="0" w:color="auto"/>
              <w:right w:val="nil"/>
            </w:tcBorders>
            <w:shd w:val="clear" w:color="auto" w:fill="auto"/>
            <w:vAlign w:val="center"/>
          </w:tcPr>
          <w:p w14:paraId="02432D00" w14:textId="77777777" w:rsidR="006B7F66" w:rsidRPr="006B7F66" w:rsidRDefault="006B7F66" w:rsidP="008851EB">
            <w:pPr>
              <w:pStyle w:val="cuatexto"/>
              <w:jc w:val="right"/>
            </w:pPr>
            <w:r w:rsidRPr="006B7F66">
              <w:t>68%</w:t>
            </w:r>
          </w:p>
        </w:tc>
        <w:tc>
          <w:tcPr>
            <w:tcW w:w="1181" w:type="dxa"/>
            <w:tcBorders>
              <w:top w:val="single" w:sz="2" w:space="0" w:color="auto"/>
              <w:left w:val="nil"/>
              <w:bottom w:val="single" w:sz="2" w:space="0" w:color="auto"/>
              <w:right w:val="nil"/>
            </w:tcBorders>
            <w:shd w:val="clear" w:color="auto" w:fill="auto"/>
            <w:vAlign w:val="center"/>
          </w:tcPr>
          <w:p w14:paraId="66221B3C" w14:textId="77777777" w:rsidR="006B7F66" w:rsidRPr="006B7F66" w:rsidRDefault="006B7F66" w:rsidP="008851EB">
            <w:pPr>
              <w:pStyle w:val="cuatexto"/>
              <w:jc w:val="right"/>
            </w:pPr>
            <w:r w:rsidRPr="006B7F66">
              <w:t>8</w:t>
            </w:r>
          </w:p>
        </w:tc>
      </w:tr>
      <w:tr w:rsidR="006B7F66" w:rsidRPr="0086002D" w14:paraId="2C8864BE" w14:textId="77777777" w:rsidTr="001B6AE4">
        <w:trPr>
          <w:trHeight w:val="198"/>
        </w:trPr>
        <w:tc>
          <w:tcPr>
            <w:tcW w:w="4962" w:type="dxa"/>
            <w:tcBorders>
              <w:top w:val="single" w:sz="2" w:space="0" w:color="auto"/>
              <w:left w:val="nil"/>
              <w:bottom w:val="single" w:sz="4" w:space="0" w:color="auto"/>
              <w:right w:val="nil"/>
            </w:tcBorders>
            <w:shd w:val="clear" w:color="auto" w:fill="auto"/>
            <w:vAlign w:val="center"/>
            <w:hideMark/>
          </w:tcPr>
          <w:p w14:paraId="36FBFE21" w14:textId="77777777" w:rsidR="006B7F66" w:rsidRPr="006B7F66" w:rsidRDefault="006B7F66" w:rsidP="008851EB">
            <w:pPr>
              <w:pStyle w:val="cuatexto"/>
              <w:rPr>
                <w:lang w:val="es-ES"/>
              </w:rPr>
            </w:pPr>
            <w:r w:rsidRPr="06D4BFB9">
              <w:rPr>
                <w:lang w:val="es-ES"/>
              </w:rPr>
              <w:t>Índice deudores dudoso cobro (saldo DDC/deudores pendientes cobro)*100</w:t>
            </w:r>
          </w:p>
        </w:tc>
        <w:tc>
          <w:tcPr>
            <w:tcW w:w="1323" w:type="dxa"/>
            <w:tcBorders>
              <w:top w:val="single" w:sz="2" w:space="0" w:color="auto"/>
              <w:left w:val="nil"/>
              <w:bottom w:val="single" w:sz="4" w:space="0" w:color="auto"/>
              <w:right w:val="nil"/>
            </w:tcBorders>
            <w:vAlign w:val="center"/>
          </w:tcPr>
          <w:p w14:paraId="7C50FA39" w14:textId="77777777" w:rsidR="006B7F66" w:rsidRPr="006B7F66" w:rsidRDefault="006B7F66" w:rsidP="008851EB">
            <w:pPr>
              <w:pStyle w:val="cuatexto"/>
              <w:jc w:val="right"/>
            </w:pPr>
            <w:r w:rsidRPr="006B7F66">
              <w:t>69%</w:t>
            </w:r>
          </w:p>
        </w:tc>
        <w:tc>
          <w:tcPr>
            <w:tcW w:w="1323" w:type="dxa"/>
            <w:tcBorders>
              <w:top w:val="single" w:sz="2" w:space="0" w:color="auto"/>
              <w:left w:val="nil"/>
              <w:bottom w:val="single" w:sz="4" w:space="0" w:color="auto"/>
              <w:right w:val="nil"/>
            </w:tcBorders>
            <w:shd w:val="clear" w:color="auto" w:fill="auto"/>
            <w:vAlign w:val="center"/>
          </w:tcPr>
          <w:p w14:paraId="499C4C6D" w14:textId="77777777" w:rsidR="006B7F66" w:rsidRPr="006B7F66" w:rsidRDefault="006B7F66" w:rsidP="008851EB">
            <w:pPr>
              <w:pStyle w:val="cuatexto"/>
              <w:jc w:val="right"/>
            </w:pPr>
            <w:r w:rsidRPr="006B7F66">
              <w:t>58%</w:t>
            </w:r>
          </w:p>
        </w:tc>
        <w:tc>
          <w:tcPr>
            <w:tcW w:w="1181" w:type="dxa"/>
            <w:tcBorders>
              <w:top w:val="single" w:sz="2" w:space="0" w:color="auto"/>
              <w:left w:val="nil"/>
              <w:bottom w:val="single" w:sz="4" w:space="0" w:color="auto"/>
              <w:right w:val="nil"/>
            </w:tcBorders>
            <w:shd w:val="clear" w:color="auto" w:fill="auto"/>
            <w:vAlign w:val="center"/>
          </w:tcPr>
          <w:p w14:paraId="0C2CC4D9" w14:textId="77777777" w:rsidR="006B7F66" w:rsidRPr="006B7F66" w:rsidRDefault="006B7F66" w:rsidP="008851EB">
            <w:pPr>
              <w:pStyle w:val="cuatexto"/>
              <w:jc w:val="right"/>
            </w:pPr>
            <w:r w:rsidRPr="006B7F66">
              <w:t>-16</w:t>
            </w:r>
          </w:p>
        </w:tc>
      </w:tr>
    </w:tbl>
    <w:p w14:paraId="2360FE1E" w14:textId="4589D741" w:rsidR="00776B8A" w:rsidRDefault="419F599A" w:rsidP="003C039D">
      <w:pPr>
        <w:pStyle w:val="texto"/>
        <w:tabs>
          <w:tab w:val="clear" w:pos="2835"/>
          <w:tab w:val="clear" w:pos="3969"/>
          <w:tab w:val="clear" w:pos="5103"/>
          <w:tab w:val="clear" w:pos="6237"/>
          <w:tab w:val="clear" w:pos="7371"/>
          <w:tab w:val="left" w:pos="480"/>
          <w:tab w:val="num" w:pos="720"/>
          <w:tab w:val="num" w:pos="1320"/>
          <w:tab w:val="num" w:pos="1637"/>
          <w:tab w:val="num" w:pos="3763"/>
        </w:tabs>
        <w:spacing w:before="60" w:after="0"/>
        <w:ind w:firstLine="0"/>
        <w:rPr>
          <w:sz w:val="18"/>
          <w:szCs w:val="18"/>
        </w:rPr>
      </w:pPr>
      <w:r w:rsidRPr="22DE07A6">
        <w:rPr>
          <w:sz w:val="18"/>
          <w:szCs w:val="18"/>
        </w:rPr>
        <w:t>(1)</w:t>
      </w:r>
      <w:r w:rsidR="00776B8A" w:rsidRPr="22DE07A6">
        <w:rPr>
          <w:sz w:val="18"/>
          <w:szCs w:val="18"/>
        </w:rPr>
        <w:t xml:space="preserve"> Ejercicio no auditado</w:t>
      </w:r>
      <w:r w:rsidR="00880EFB">
        <w:rPr>
          <w:sz w:val="18"/>
          <w:szCs w:val="18"/>
        </w:rPr>
        <w:t>.</w:t>
      </w:r>
    </w:p>
    <w:p w14:paraId="142D643D" w14:textId="7012D98B" w:rsidR="00DA60E0" w:rsidRPr="00776B8A" w:rsidRDefault="00DA60E0" w:rsidP="003C039D">
      <w:pPr>
        <w:pStyle w:val="texto"/>
        <w:tabs>
          <w:tab w:val="clear" w:pos="2835"/>
          <w:tab w:val="clear" w:pos="3969"/>
          <w:tab w:val="clear" w:pos="5103"/>
          <w:tab w:val="clear" w:pos="6237"/>
          <w:tab w:val="clear" w:pos="7371"/>
          <w:tab w:val="left" w:pos="480"/>
          <w:tab w:val="num" w:pos="720"/>
          <w:tab w:val="num" w:pos="1320"/>
          <w:tab w:val="num" w:pos="1637"/>
          <w:tab w:val="num" w:pos="3763"/>
        </w:tabs>
        <w:spacing w:before="40" w:after="120"/>
        <w:ind w:firstLine="0"/>
        <w:rPr>
          <w:sz w:val="18"/>
          <w:szCs w:val="18"/>
        </w:rPr>
      </w:pPr>
      <w:r w:rsidRPr="22DE07A6">
        <w:rPr>
          <w:sz w:val="18"/>
          <w:szCs w:val="18"/>
        </w:rPr>
        <w:t>(</w:t>
      </w:r>
      <w:r w:rsidR="780B2423" w:rsidRPr="22DE07A6">
        <w:rPr>
          <w:sz w:val="18"/>
          <w:szCs w:val="18"/>
        </w:rPr>
        <w:t>2</w:t>
      </w:r>
      <w:r w:rsidRPr="22DE07A6">
        <w:rPr>
          <w:sz w:val="18"/>
          <w:szCs w:val="18"/>
        </w:rPr>
        <w:t>) Importes corregidos</w:t>
      </w:r>
      <w:r w:rsidR="00880EFB">
        <w:rPr>
          <w:sz w:val="18"/>
          <w:szCs w:val="18"/>
        </w:rPr>
        <w:t>.</w:t>
      </w:r>
    </w:p>
    <w:p w14:paraId="078D9170" w14:textId="2AC003DD" w:rsidR="006B7F66" w:rsidRPr="00447014" w:rsidRDefault="006B7F66" w:rsidP="00CB7B2F">
      <w:pPr>
        <w:pStyle w:val="texto"/>
        <w:numPr>
          <w:ilvl w:val="0"/>
          <w:numId w:val="18"/>
        </w:numPr>
        <w:tabs>
          <w:tab w:val="num" w:pos="567"/>
          <w:tab w:val="num" w:pos="2770"/>
        </w:tabs>
        <w:ind w:left="0" w:firstLine="290"/>
      </w:pPr>
      <w:r>
        <w:t>El ahorro bruto generado en 2023 ascendió a 14.772 euros, un 67 por ciento menos que en 2022</w:t>
      </w:r>
      <w:r w:rsidR="006C2C2B">
        <w:t xml:space="preserve"> deb</w:t>
      </w:r>
      <w:r>
        <w:t>ido al descenso de los ingresos corrientes en un cuatro por ciento</w:t>
      </w:r>
      <w:r w:rsidR="006C2C2B">
        <w:t xml:space="preserve">, frente a unos </w:t>
      </w:r>
      <w:r>
        <w:t xml:space="preserve">gastos de funcionamiento </w:t>
      </w:r>
      <w:r w:rsidR="00BA1036">
        <w:t>(</w:t>
      </w:r>
      <w:r w:rsidR="009767CC">
        <w:t xml:space="preserve">gastos de personal, gastos corrientes en bienes y servicios y transferencias corrientes) </w:t>
      </w:r>
      <w:r w:rsidR="00F7703C">
        <w:t xml:space="preserve">similares </w:t>
      </w:r>
      <w:r>
        <w:t>a los devengados en el ejercicio anterior.</w:t>
      </w:r>
    </w:p>
    <w:p w14:paraId="5D1122F1" w14:textId="77777777" w:rsidR="006B7F66" w:rsidRPr="00447014" w:rsidRDefault="006B7F66" w:rsidP="006B7F66">
      <w:pPr>
        <w:pStyle w:val="texto"/>
      </w:pPr>
      <w:r>
        <w:lastRenderedPageBreak/>
        <w:t>El ahorro bruto no ha sido suficiente para atender la carga financiera, lo cual ha originado un ahorro neto negativo de 29.264 euros</w:t>
      </w:r>
    </w:p>
    <w:p w14:paraId="75766CA9" w14:textId="77777777" w:rsidR="006B7F66" w:rsidRPr="00A4635C" w:rsidRDefault="006B7F66" w:rsidP="00CB7B2F">
      <w:pPr>
        <w:pStyle w:val="texto"/>
        <w:numPr>
          <w:ilvl w:val="0"/>
          <w:numId w:val="18"/>
        </w:numPr>
        <w:tabs>
          <w:tab w:val="num" w:pos="567"/>
          <w:tab w:val="num" w:pos="2770"/>
        </w:tabs>
        <w:ind w:left="0" w:firstLine="290"/>
      </w:pPr>
      <w:r>
        <w:t>La deuda viva a 31 de diciembre de 2023 asciende a 262.829 euros y supone el 37 por ciento de los ingresos corrientes.</w:t>
      </w:r>
    </w:p>
    <w:p w14:paraId="1D67B938" w14:textId="1426DFBE" w:rsidR="00776B8A" w:rsidRPr="00DA60E0" w:rsidRDefault="006B7F66" w:rsidP="00CB7B2F">
      <w:pPr>
        <w:pStyle w:val="texto"/>
        <w:numPr>
          <w:ilvl w:val="0"/>
          <w:numId w:val="18"/>
        </w:numPr>
        <w:tabs>
          <w:tab w:val="num" w:pos="567"/>
          <w:tab w:val="num" w:pos="2770"/>
        </w:tabs>
        <w:ind w:left="0" w:firstLine="290"/>
      </w:pPr>
      <w:r w:rsidRPr="00776B8A">
        <w:t xml:space="preserve">El remanente de tesorería para gastos generales </w:t>
      </w:r>
      <w:r w:rsidR="00776B8A" w:rsidRPr="00776B8A">
        <w:t>corregido</w:t>
      </w:r>
      <w:r w:rsidR="00776B8A">
        <w:t xml:space="preserve"> es negativo en </w:t>
      </w:r>
      <w:r w:rsidR="00DA60E0" w:rsidRPr="00DA60E0">
        <w:t>279.225</w:t>
      </w:r>
      <w:r w:rsidR="00776B8A" w:rsidRPr="00DA60E0">
        <w:t xml:space="preserve"> euros.</w:t>
      </w:r>
      <w:r w:rsidR="00FA2ED0" w:rsidRPr="00DA60E0">
        <w:t xml:space="preserve"> </w:t>
      </w:r>
    </w:p>
    <w:p w14:paraId="2D568C12" w14:textId="4AC2F58D" w:rsidR="00E67C44" w:rsidRPr="005625D7" w:rsidRDefault="00DA60E0" w:rsidP="00CB7B2F">
      <w:pPr>
        <w:pStyle w:val="texto"/>
        <w:numPr>
          <w:ilvl w:val="0"/>
          <w:numId w:val="18"/>
        </w:numPr>
        <w:tabs>
          <w:tab w:val="num" w:pos="567"/>
          <w:tab w:val="num" w:pos="2770"/>
        </w:tabs>
        <w:ind w:left="0" w:firstLine="290"/>
      </w:pPr>
      <w:r>
        <w:t>Los gastos de funcionamiento del ejercicio 2023 son de cuantía similar a</w:t>
      </w:r>
      <w:r w:rsidR="00E67C44">
        <w:t xml:space="preserve"> los de 2022 y un cinco por ciento inferiores a los de 2021, especialmente los gastos de personal</w:t>
      </w:r>
      <w:r w:rsidR="009754C3">
        <w:t>. Estos últimos</w:t>
      </w:r>
      <w:r w:rsidR="00E67C44">
        <w:t xml:space="preserve"> representan el 54 por ciento del total de gastos y han disminuido un diez por ciento de </w:t>
      </w:r>
      <w:r w:rsidR="00E67C44" w:rsidRPr="00DA5DE6">
        <w:t>2021</w:t>
      </w:r>
      <w:r w:rsidR="00E67C44">
        <w:t xml:space="preserve"> a 2023.</w:t>
      </w:r>
    </w:p>
    <w:p w14:paraId="7CCEABBC" w14:textId="3BD94188" w:rsidR="006B7F66" w:rsidRDefault="048A3BDC" w:rsidP="006B7F66">
      <w:pPr>
        <w:pStyle w:val="texto"/>
        <w:tabs>
          <w:tab w:val="clear" w:pos="3969"/>
          <w:tab w:val="clear" w:pos="5103"/>
          <w:tab w:val="clear" w:pos="6237"/>
          <w:tab w:val="clear" w:pos="7371"/>
          <w:tab w:val="left" w:pos="142"/>
          <w:tab w:val="center" w:pos="4536"/>
        </w:tabs>
        <w:spacing w:after="120"/>
      </w:pPr>
      <w:r>
        <w:t>En definitiva, la situación financiera es delicada y ha empeorado respecto al ejercicio 2022.</w:t>
      </w:r>
    </w:p>
    <w:p w14:paraId="638BD8BD" w14:textId="48447A1A" w:rsidR="006B7F66" w:rsidRDefault="51AAB7BD" w:rsidP="006B7F66">
      <w:pPr>
        <w:pStyle w:val="texto"/>
        <w:tabs>
          <w:tab w:val="clear" w:pos="3969"/>
          <w:tab w:val="clear" w:pos="5103"/>
          <w:tab w:val="clear" w:pos="6237"/>
          <w:tab w:val="clear" w:pos="7371"/>
          <w:tab w:val="left" w:pos="142"/>
          <w:tab w:val="center" w:pos="4536"/>
        </w:tabs>
        <w:spacing w:after="120"/>
      </w:pPr>
      <w:r>
        <w:t>L</w:t>
      </w:r>
      <w:r w:rsidR="006B7F66">
        <w:t xml:space="preserve">a </w:t>
      </w:r>
      <w:r w:rsidR="003C06D0">
        <w:t>Mancomunidad</w:t>
      </w:r>
      <w:r w:rsidR="006B7F66">
        <w:t xml:space="preserve"> tiene una deuda cuya carga financiera no ha podido ser atendida con recursos corrientes, lo cual condiciona la ejecución de inversiones. Además, presenta tensiones de tesorería</w:t>
      </w:r>
      <w:r w:rsidR="00776B8A">
        <w:t xml:space="preserve"> y no tiene recursos para financiar modificaciones presupuestarias en el ejercicio siguiente debido a que el remanente de tesorería para gastos generales es negativo.</w:t>
      </w:r>
      <w:r w:rsidR="000B3513">
        <w:t xml:space="preserve"> </w:t>
      </w:r>
    </w:p>
    <w:p w14:paraId="0706BC1B" w14:textId="77777777" w:rsidR="006B7F66" w:rsidRPr="00A4635C" w:rsidRDefault="006B7F66" w:rsidP="003F629F">
      <w:pPr>
        <w:pStyle w:val="atitulo3"/>
        <w:spacing w:before="240"/>
      </w:pPr>
      <w:r w:rsidRPr="00A4635C">
        <w:t>Estabilidad presupuestaria y sostenibilidad financiera</w:t>
      </w:r>
    </w:p>
    <w:p w14:paraId="286B0B70" w14:textId="3D5D1AB4" w:rsidR="006B7F66" w:rsidRPr="00A4635C" w:rsidRDefault="006B7F66" w:rsidP="2BF44EB8">
      <w:pPr>
        <w:pStyle w:val="texto"/>
        <w:tabs>
          <w:tab w:val="left" w:pos="142"/>
        </w:tabs>
        <w:spacing w:after="100"/>
        <w:rPr>
          <w:color w:val="000000" w:themeColor="text1"/>
        </w:rPr>
      </w:pPr>
      <w:r w:rsidRPr="2BF44EB8">
        <w:rPr>
          <w:color w:val="000000" w:themeColor="text1"/>
        </w:rPr>
        <w:t xml:space="preserve">A efectos de la aplicación de la Ley Orgánica 2/2012, de 27 de abril, de Estabilidad Presupuestaria y Sostenibilidad Financiera, la </w:t>
      </w:r>
      <w:r w:rsidR="003C06D0">
        <w:rPr>
          <w:color w:val="000000" w:themeColor="text1"/>
        </w:rPr>
        <w:t>Mancomunidad</w:t>
      </w:r>
      <w:r w:rsidRPr="2BF44EB8">
        <w:rPr>
          <w:color w:val="000000" w:themeColor="text1"/>
        </w:rPr>
        <w:t xml:space="preserve"> constituye una </w:t>
      </w:r>
      <w:r w:rsidR="5C313DCE" w:rsidRPr="2BF44EB8">
        <w:rPr>
          <w:color w:val="000000" w:themeColor="text1"/>
        </w:rPr>
        <w:t>a</w:t>
      </w:r>
      <w:r w:rsidRPr="2BF44EB8">
        <w:rPr>
          <w:color w:val="000000" w:themeColor="text1"/>
        </w:rPr>
        <w:t xml:space="preserve">dministración pública local. </w:t>
      </w:r>
    </w:p>
    <w:p w14:paraId="2DA280EF" w14:textId="426F63CE" w:rsidR="006B7F66" w:rsidRPr="0028797F" w:rsidRDefault="006B7F66" w:rsidP="006B7F66">
      <w:pPr>
        <w:pStyle w:val="texto"/>
        <w:tabs>
          <w:tab w:val="left" w:pos="142"/>
        </w:tabs>
        <w:spacing w:after="100"/>
      </w:pPr>
      <w:r>
        <w:t xml:space="preserve">Con motivo de la crisis causada por la pandemia, la Comisión Europea aplicó en 2020 la cláusula general de salvaguarda del Pacto de Estabilidad y Crecimiento y </w:t>
      </w:r>
      <w:r w:rsidR="5E582FF6">
        <w:t>prorrogó su aplicación</w:t>
      </w:r>
      <w:r>
        <w:t xml:space="preserve"> para los ejercicios 2021, 2022 y 2023.</w:t>
      </w:r>
    </w:p>
    <w:p w14:paraId="4E3921F9" w14:textId="599090A1" w:rsidR="006B7F66" w:rsidRDefault="006B7F66" w:rsidP="006B7F66">
      <w:pPr>
        <w:pStyle w:val="texto"/>
        <w:tabs>
          <w:tab w:val="left" w:pos="142"/>
        </w:tabs>
        <w:spacing w:after="100"/>
      </w:pPr>
      <w:r>
        <w:t xml:space="preserve">El 22 de septiembre de 2022, el pleno del Congreso apreció que, concurrían las circunstancias extraordinarias previstas en el artículo 135.4 de la Constitución Española y 11.3 de la Ley Orgánica de Estabilidad Presupuestaria y Sostenibilidad Financiera, </w:t>
      </w:r>
      <w:r w:rsidR="00C96C73">
        <w:t>En consecuencia</w:t>
      </w:r>
      <w:r>
        <w:t>, queda</w:t>
      </w:r>
      <w:r w:rsidR="1A5AF88B">
        <w:t>ro</w:t>
      </w:r>
      <w:r>
        <w:t>n suspendidas las reglas fiscales en el año 2023</w:t>
      </w:r>
      <w:r w:rsidR="006503E9">
        <w:t>,</w:t>
      </w:r>
      <w:r>
        <w:t xml:space="preserve"> dejando sin efecto los objetivos de estabilidad presupuestaria, regla de gasto y sostenibilidad financiera. </w:t>
      </w:r>
    </w:p>
    <w:p w14:paraId="00D91C70" w14:textId="64746817" w:rsidR="006B7F66" w:rsidRDefault="006B7F66" w:rsidP="006B7F66">
      <w:pPr>
        <w:pStyle w:val="texto"/>
        <w:tabs>
          <w:tab w:val="left" w:pos="142"/>
        </w:tabs>
        <w:spacing w:after="100"/>
      </w:pPr>
      <w:r>
        <w:t>Se mant</w:t>
      </w:r>
      <w:r w:rsidR="375BB76C">
        <w:t>uvo</w:t>
      </w:r>
      <w:r>
        <w:t xml:space="preserve"> el régimen de autorización de operaciones de endeudamiento y las obligaciones de cumplimiento de la sostenibilidad de la deuda comercial.</w:t>
      </w:r>
    </w:p>
    <w:p w14:paraId="5DBE9224" w14:textId="4D0664A2" w:rsidR="002B7E8E" w:rsidRDefault="00BA1036" w:rsidP="00BA1036">
      <w:pPr>
        <w:pStyle w:val="texto"/>
        <w:tabs>
          <w:tab w:val="left" w:pos="142"/>
        </w:tabs>
        <w:spacing w:after="100"/>
      </w:pPr>
      <w:r>
        <w:t xml:space="preserve">En cuanto </w:t>
      </w:r>
      <w:r w:rsidR="2196C998">
        <w:t>a la sostenibilidad de la deuda comercial</w:t>
      </w:r>
      <w:r>
        <w:t xml:space="preserve">, el interventor no ha informado </w:t>
      </w:r>
      <w:r w:rsidR="54138EBC">
        <w:t xml:space="preserve">de </w:t>
      </w:r>
      <w:r>
        <w:t xml:space="preserve">si </w:t>
      </w:r>
      <w:r w:rsidR="2196C998">
        <w:t>el periodo medio de pago a proveedores ha superado el plazo máximo de 30 días previsto en la normativa sobre morosidad</w:t>
      </w:r>
      <w:r>
        <w:t>.</w:t>
      </w:r>
    </w:p>
    <w:p w14:paraId="27DAD7DA" w14:textId="2E40FDCF" w:rsidR="00084811" w:rsidRPr="002B7B3D" w:rsidRDefault="00084811" w:rsidP="5439CC65">
      <w:pPr>
        <w:pStyle w:val="texto"/>
        <w:tabs>
          <w:tab w:val="left" w:pos="142"/>
        </w:tabs>
        <w:spacing w:after="100"/>
        <w:rPr>
          <w:lang w:val="es-ES"/>
        </w:rPr>
      </w:pPr>
      <w:r w:rsidRPr="2C569507">
        <w:rPr>
          <w:lang w:val="es-ES"/>
        </w:rPr>
        <w:t xml:space="preserve">Hemos </w:t>
      </w:r>
      <w:r w:rsidR="000733CF" w:rsidRPr="2C569507">
        <w:rPr>
          <w:lang w:val="es-ES"/>
        </w:rPr>
        <w:t>constatado</w:t>
      </w:r>
      <w:r w:rsidR="000733CF">
        <w:rPr>
          <w:lang w:val="es-ES"/>
        </w:rPr>
        <w:t xml:space="preserve"> en la muestra analizada </w:t>
      </w:r>
      <w:r w:rsidRPr="2C569507">
        <w:rPr>
          <w:lang w:val="es-ES"/>
        </w:rPr>
        <w:t>que el plazo de 30 días ha sido significativamente superado, en general, en el pago de los gastos revisado</w:t>
      </w:r>
      <w:r w:rsidR="000733CF">
        <w:rPr>
          <w:lang w:val="es-ES"/>
        </w:rPr>
        <w:t>s</w:t>
      </w:r>
      <w:r w:rsidRPr="2C569507">
        <w:rPr>
          <w:lang w:val="es-ES"/>
        </w:rPr>
        <w:t xml:space="preserve">. </w:t>
      </w:r>
    </w:p>
    <w:p w14:paraId="4BC60BDB" w14:textId="4F5CD5E1" w:rsidR="002B7E8E" w:rsidRPr="00073785" w:rsidRDefault="00544E8B" w:rsidP="00B26959">
      <w:pPr>
        <w:pStyle w:val="atitulo3"/>
        <w:spacing w:before="240"/>
        <w:rPr>
          <w:rFonts w:cs="Arial"/>
        </w:rPr>
      </w:pPr>
      <w:r>
        <w:rPr>
          <w:rFonts w:cs="Arial"/>
        </w:rPr>
        <w:lastRenderedPageBreak/>
        <w:t>5</w:t>
      </w:r>
      <w:r w:rsidR="000A296C">
        <w:rPr>
          <w:rFonts w:cs="Arial"/>
        </w:rPr>
        <w:t>.2</w:t>
      </w:r>
      <w:r w:rsidR="4CA2C2D6" w:rsidRPr="3598C7A0">
        <w:rPr>
          <w:rFonts w:cs="Arial"/>
        </w:rPr>
        <w:t xml:space="preserve"> Gastos de personal</w:t>
      </w:r>
    </w:p>
    <w:p w14:paraId="1909B3F4" w14:textId="2F92B7FB" w:rsidR="00197DCE" w:rsidRPr="00160FAD" w:rsidRDefault="00197DCE" w:rsidP="00197DCE">
      <w:pPr>
        <w:pStyle w:val="texto"/>
      </w:pPr>
      <w:r w:rsidRPr="00307878">
        <w:t xml:space="preserve">Los gastos de personal de la </w:t>
      </w:r>
      <w:r w:rsidR="003C06D0">
        <w:t>Mancomunidad</w:t>
      </w:r>
      <w:r w:rsidRPr="00307878">
        <w:t xml:space="preserve"> del ejercicio 2023 ascendieron a 401.284 euros, un uno por ciento menos que en 2022.</w:t>
      </w:r>
      <w:r>
        <w:t xml:space="preserve"> Su grado de ejecución fue del 95 por ciento de los créditos definitivos.</w:t>
      </w:r>
    </w:p>
    <w:p w14:paraId="244963C5" w14:textId="77777777" w:rsidR="00197DCE" w:rsidRPr="00160FAD" w:rsidRDefault="00197DCE" w:rsidP="007871B2">
      <w:pPr>
        <w:pStyle w:val="texto"/>
        <w:spacing w:after="240"/>
      </w:pPr>
      <w:r w:rsidRPr="00160FAD">
        <w:t xml:space="preserve">Corresponden a los siguientes conceptos: </w:t>
      </w:r>
    </w:p>
    <w:tbl>
      <w:tblPr>
        <w:tblW w:w="8789" w:type="dxa"/>
        <w:tblCellMar>
          <w:left w:w="70" w:type="dxa"/>
          <w:right w:w="70" w:type="dxa"/>
        </w:tblCellMar>
        <w:tblLook w:val="04A0" w:firstRow="1" w:lastRow="0" w:firstColumn="1" w:lastColumn="0" w:noHBand="0" w:noVBand="1"/>
      </w:tblPr>
      <w:tblGrid>
        <w:gridCol w:w="5245"/>
        <w:gridCol w:w="1041"/>
        <w:gridCol w:w="1511"/>
        <w:gridCol w:w="992"/>
      </w:tblGrid>
      <w:tr w:rsidR="00197DCE" w:rsidRPr="00181513" w14:paraId="00308400" w14:textId="77777777" w:rsidTr="00880EFB">
        <w:trPr>
          <w:trHeight w:val="255"/>
        </w:trPr>
        <w:tc>
          <w:tcPr>
            <w:tcW w:w="5245" w:type="dxa"/>
            <w:tcBorders>
              <w:top w:val="single" w:sz="4" w:space="0" w:color="auto"/>
              <w:left w:val="nil"/>
              <w:bottom w:val="single" w:sz="4" w:space="0" w:color="auto"/>
              <w:right w:val="nil"/>
            </w:tcBorders>
            <w:shd w:val="clear" w:color="auto" w:fill="F4B083" w:themeFill="accent2" w:themeFillTint="99"/>
            <w:noWrap/>
            <w:vAlign w:val="center"/>
            <w:hideMark/>
          </w:tcPr>
          <w:p w14:paraId="2E854506" w14:textId="77777777" w:rsidR="00197DCE" w:rsidRPr="00181513" w:rsidRDefault="00197DCE" w:rsidP="00D76EC1">
            <w:pPr>
              <w:pStyle w:val="cuadroCabe"/>
              <w:rPr>
                <w:highlight w:val="yellow"/>
              </w:rPr>
            </w:pPr>
            <w:r w:rsidRPr="00160FAD">
              <w:t>Concepto económico</w:t>
            </w:r>
          </w:p>
        </w:tc>
        <w:tc>
          <w:tcPr>
            <w:tcW w:w="1041" w:type="dxa"/>
            <w:tcBorders>
              <w:top w:val="single" w:sz="4" w:space="0" w:color="auto"/>
              <w:left w:val="nil"/>
              <w:bottom w:val="single" w:sz="4" w:space="0" w:color="auto"/>
              <w:right w:val="nil"/>
            </w:tcBorders>
            <w:shd w:val="clear" w:color="auto" w:fill="F4B083" w:themeFill="accent2" w:themeFillTint="99"/>
            <w:noWrap/>
            <w:vAlign w:val="center"/>
            <w:hideMark/>
          </w:tcPr>
          <w:p w14:paraId="49B5C375" w14:textId="77777777" w:rsidR="00197DCE" w:rsidRPr="00197DCE" w:rsidRDefault="00197DCE" w:rsidP="00D76EC1">
            <w:pPr>
              <w:pStyle w:val="cuadroCabe"/>
              <w:jc w:val="right"/>
              <w:rPr>
                <w:lang w:val="es-ES" w:eastAsia="es-ES"/>
              </w:rPr>
            </w:pPr>
            <w:r w:rsidRPr="00197DCE">
              <w:rPr>
                <w:lang w:val="es-ES" w:eastAsia="es-ES"/>
              </w:rPr>
              <w:t>ORN 2022</w:t>
            </w:r>
          </w:p>
        </w:tc>
        <w:tc>
          <w:tcPr>
            <w:tcW w:w="1511" w:type="dxa"/>
            <w:tcBorders>
              <w:top w:val="single" w:sz="4" w:space="0" w:color="auto"/>
              <w:left w:val="nil"/>
              <w:bottom w:val="single" w:sz="4" w:space="0" w:color="auto"/>
              <w:right w:val="nil"/>
            </w:tcBorders>
            <w:shd w:val="clear" w:color="auto" w:fill="F4B083" w:themeFill="accent2" w:themeFillTint="99"/>
            <w:vAlign w:val="center"/>
          </w:tcPr>
          <w:p w14:paraId="5D1835E5" w14:textId="77777777" w:rsidR="00197DCE" w:rsidRPr="00197DCE" w:rsidRDefault="00197DCE" w:rsidP="00D76EC1">
            <w:pPr>
              <w:pStyle w:val="cuadroCabe"/>
              <w:jc w:val="right"/>
              <w:rPr>
                <w:lang w:val="es-ES" w:eastAsia="es-ES"/>
              </w:rPr>
            </w:pPr>
            <w:r w:rsidRPr="00197DCE">
              <w:rPr>
                <w:lang w:val="es-ES" w:eastAsia="es-ES"/>
              </w:rPr>
              <w:t>ORN 2023</w:t>
            </w:r>
          </w:p>
        </w:tc>
        <w:tc>
          <w:tcPr>
            <w:tcW w:w="992" w:type="dxa"/>
            <w:tcBorders>
              <w:top w:val="single" w:sz="4" w:space="0" w:color="auto"/>
              <w:left w:val="nil"/>
              <w:bottom w:val="single" w:sz="4" w:space="0" w:color="auto"/>
              <w:right w:val="nil"/>
            </w:tcBorders>
            <w:shd w:val="clear" w:color="auto" w:fill="F4B083" w:themeFill="accent2" w:themeFillTint="99"/>
            <w:noWrap/>
            <w:vAlign w:val="center"/>
            <w:hideMark/>
          </w:tcPr>
          <w:p w14:paraId="04D87C98" w14:textId="77777777" w:rsidR="00197DCE" w:rsidRPr="00197DCE" w:rsidRDefault="00197DCE" w:rsidP="00D76EC1">
            <w:pPr>
              <w:pStyle w:val="cuadroCabe"/>
              <w:jc w:val="right"/>
              <w:rPr>
                <w:lang w:val="es-ES" w:eastAsia="es-ES"/>
              </w:rPr>
            </w:pPr>
            <w:r w:rsidRPr="00197DCE">
              <w:rPr>
                <w:lang w:val="es-ES" w:eastAsia="es-ES"/>
              </w:rPr>
              <w:t>% Var.</w:t>
            </w:r>
          </w:p>
        </w:tc>
      </w:tr>
      <w:tr w:rsidR="00197DCE" w:rsidRPr="00181513" w14:paraId="729D622B" w14:textId="77777777" w:rsidTr="00880EFB">
        <w:trPr>
          <w:trHeight w:val="198"/>
        </w:trPr>
        <w:tc>
          <w:tcPr>
            <w:tcW w:w="5245" w:type="dxa"/>
            <w:tcBorders>
              <w:top w:val="single" w:sz="4" w:space="0" w:color="auto"/>
              <w:left w:val="nil"/>
              <w:bottom w:val="single" w:sz="2" w:space="0" w:color="auto"/>
              <w:right w:val="nil"/>
            </w:tcBorders>
            <w:shd w:val="clear" w:color="auto" w:fill="auto"/>
            <w:noWrap/>
            <w:vAlign w:val="center"/>
          </w:tcPr>
          <w:p w14:paraId="6044B0FD" w14:textId="77777777" w:rsidR="00197DCE" w:rsidRPr="00197DCE" w:rsidRDefault="00197DCE" w:rsidP="00D76EC1">
            <w:pPr>
              <w:pStyle w:val="cuatexto"/>
              <w:rPr>
                <w:lang w:val="es-ES" w:eastAsia="es-ES"/>
              </w:rPr>
            </w:pPr>
            <w:r w:rsidRPr="00197DCE">
              <w:rPr>
                <w:lang w:val="es-ES" w:eastAsia="es-ES"/>
              </w:rPr>
              <w:t>Retribuciones secretario</w:t>
            </w:r>
          </w:p>
        </w:tc>
        <w:tc>
          <w:tcPr>
            <w:tcW w:w="1041" w:type="dxa"/>
            <w:tcBorders>
              <w:top w:val="single" w:sz="4" w:space="0" w:color="auto"/>
              <w:left w:val="nil"/>
              <w:bottom w:val="single" w:sz="2" w:space="0" w:color="auto"/>
              <w:right w:val="nil"/>
            </w:tcBorders>
            <w:shd w:val="clear" w:color="auto" w:fill="auto"/>
            <w:noWrap/>
            <w:vAlign w:val="center"/>
          </w:tcPr>
          <w:p w14:paraId="4646D492" w14:textId="77777777" w:rsidR="00197DCE" w:rsidRPr="00197DCE" w:rsidRDefault="00197DCE" w:rsidP="00D76EC1">
            <w:pPr>
              <w:pStyle w:val="cuatexto"/>
              <w:jc w:val="right"/>
              <w:rPr>
                <w:lang w:val="es-ES" w:eastAsia="es-ES"/>
              </w:rPr>
            </w:pPr>
            <w:r w:rsidRPr="00197DCE">
              <w:rPr>
                <w:lang w:val="es-ES" w:eastAsia="es-ES"/>
              </w:rPr>
              <w:t>5.725</w:t>
            </w:r>
          </w:p>
        </w:tc>
        <w:tc>
          <w:tcPr>
            <w:tcW w:w="1511" w:type="dxa"/>
            <w:tcBorders>
              <w:top w:val="single" w:sz="4" w:space="0" w:color="auto"/>
              <w:left w:val="nil"/>
              <w:bottom w:val="single" w:sz="2" w:space="0" w:color="auto"/>
              <w:right w:val="nil"/>
            </w:tcBorders>
            <w:vAlign w:val="center"/>
          </w:tcPr>
          <w:p w14:paraId="2655B42A" w14:textId="77777777" w:rsidR="00197DCE" w:rsidRPr="00197DCE" w:rsidRDefault="00197DCE" w:rsidP="00D76EC1">
            <w:pPr>
              <w:pStyle w:val="cuatexto"/>
              <w:jc w:val="right"/>
              <w:rPr>
                <w:lang w:val="es-ES" w:eastAsia="es-ES"/>
              </w:rPr>
            </w:pPr>
            <w:r w:rsidRPr="00197DCE">
              <w:rPr>
                <w:lang w:val="es-ES" w:eastAsia="es-ES"/>
              </w:rPr>
              <w:t>6.120</w:t>
            </w:r>
          </w:p>
        </w:tc>
        <w:tc>
          <w:tcPr>
            <w:tcW w:w="992" w:type="dxa"/>
            <w:tcBorders>
              <w:top w:val="single" w:sz="4" w:space="0" w:color="auto"/>
              <w:left w:val="nil"/>
              <w:bottom w:val="single" w:sz="2" w:space="0" w:color="auto"/>
              <w:right w:val="nil"/>
            </w:tcBorders>
            <w:shd w:val="clear" w:color="auto" w:fill="auto"/>
            <w:noWrap/>
            <w:vAlign w:val="center"/>
          </w:tcPr>
          <w:p w14:paraId="40ED81E7" w14:textId="77777777" w:rsidR="00197DCE" w:rsidRPr="00197DCE" w:rsidRDefault="00197DCE" w:rsidP="00D76EC1">
            <w:pPr>
              <w:pStyle w:val="cuatexto"/>
              <w:jc w:val="right"/>
              <w:rPr>
                <w:lang w:val="es-ES" w:eastAsia="es-ES"/>
              </w:rPr>
            </w:pPr>
            <w:r w:rsidRPr="00197DCE">
              <w:rPr>
                <w:lang w:val="es-ES" w:eastAsia="es-ES"/>
              </w:rPr>
              <w:t>7</w:t>
            </w:r>
          </w:p>
        </w:tc>
      </w:tr>
      <w:tr w:rsidR="00197DCE" w:rsidRPr="00181513" w14:paraId="03EAFD11" w14:textId="77777777" w:rsidTr="00880EFB">
        <w:trPr>
          <w:trHeight w:val="198"/>
        </w:trPr>
        <w:tc>
          <w:tcPr>
            <w:tcW w:w="5245" w:type="dxa"/>
            <w:tcBorders>
              <w:top w:val="single" w:sz="2" w:space="0" w:color="auto"/>
              <w:left w:val="nil"/>
              <w:bottom w:val="single" w:sz="2" w:space="0" w:color="auto"/>
              <w:right w:val="nil"/>
            </w:tcBorders>
            <w:shd w:val="clear" w:color="auto" w:fill="auto"/>
            <w:noWrap/>
            <w:vAlign w:val="center"/>
          </w:tcPr>
          <w:p w14:paraId="1ACBF100" w14:textId="77777777" w:rsidR="00197DCE" w:rsidRPr="00197DCE" w:rsidRDefault="00197DCE" w:rsidP="00D76EC1">
            <w:pPr>
              <w:pStyle w:val="cuatexto"/>
              <w:rPr>
                <w:lang w:val="es-ES" w:eastAsia="es-ES"/>
              </w:rPr>
            </w:pPr>
            <w:r w:rsidRPr="00197DCE">
              <w:rPr>
                <w:lang w:val="es-ES" w:eastAsia="es-ES"/>
              </w:rPr>
              <w:t>Retribuciones administrativa</w:t>
            </w:r>
          </w:p>
        </w:tc>
        <w:tc>
          <w:tcPr>
            <w:tcW w:w="1041" w:type="dxa"/>
            <w:tcBorders>
              <w:top w:val="single" w:sz="2" w:space="0" w:color="auto"/>
              <w:left w:val="nil"/>
              <w:bottom w:val="single" w:sz="2" w:space="0" w:color="auto"/>
              <w:right w:val="nil"/>
            </w:tcBorders>
            <w:shd w:val="clear" w:color="auto" w:fill="auto"/>
            <w:noWrap/>
            <w:vAlign w:val="center"/>
          </w:tcPr>
          <w:p w14:paraId="1CE95DB3" w14:textId="77777777" w:rsidR="00197DCE" w:rsidRPr="00197DCE" w:rsidRDefault="00197DCE" w:rsidP="00D76EC1">
            <w:pPr>
              <w:pStyle w:val="cuatexto"/>
              <w:jc w:val="right"/>
              <w:rPr>
                <w:lang w:val="es-ES" w:eastAsia="es-ES"/>
              </w:rPr>
            </w:pPr>
            <w:r w:rsidRPr="00197DCE">
              <w:rPr>
                <w:lang w:val="es-ES" w:eastAsia="es-ES"/>
              </w:rPr>
              <w:t>23.000</w:t>
            </w:r>
          </w:p>
        </w:tc>
        <w:tc>
          <w:tcPr>
            <w:tcW w:w="1511" w:type="dxa"/>
            <w:tcBorders>
              <w:top w:val="single" w:sz="2" w:space="0" w:color="auto"/>
              <w:left w:val="nil"/>
              <w:bottom w:val="single" w:sz="2" w:space="0" w:color="auto"/>
              <w:right w:val="nil"/>
            </w:tcBorders>
            <w:vAlign w:val="center"/>
          </w:tcPr>
          <w:p w14:paraId="3FBC678E" w14:textId="77777777" w:rsidR="00197DCE" w:rsidRPr="00197DCE" w:rsidRDefault="00197DCE" w:rsidP="00D76EC1">
            <w:pPr>
              <w:pStyle w:val="cuatexto"/>
              <w:jc w:val="right"/>
              <w:rPr>
                <w:lang w:val="es-ES" w:eastAsia="es-ES"/>
              </w:rPr>
            </w:pPr>
            <w:r w:rsidRPr="00197DCE">
              <w:rPr>
                <w:lang w:val="es-ES" w:eastAsia="es-ES"/>
              </w:rPr>
              <w:t>24.839</w:t>
            </w:r>
          </w:p>
        </w:tc>
        <w:tc>
          <w:tcPr>
            <w:tcW w:w="992" w:type="dxa"/>
            <w:tcBorders>
              <w:top w:val="single" w:sz="2" w:space="0" w:color="auto"/>
              <w:left w:val="nil"/>
              <w:bottom w:val="single" w:sz="2" w:space="0" w:color="auto"/>
              <w:right w:val="nil"/>
            </w:tcBorders>
            <w:shd w:val="clear" w:color="auto" w:fill="auto"/>
            <w:noWrap/>
            <w:vAlign w:val="center"/>
          </w:tcPr>
          <w:p w14:paraId="39DD9006" w14:textId="77777777" w:rsidR="00197DCE" w:rsidRPr="00197DCE" w:rsidRDefault="00197DCE" w:rsidP="00D76EC1">
            <w:pPr>
              <w:pStyle w:val="cuatexto"/>
              <w:jc w:val="right"/>
              <w:rPr>
                <w:lang w:val="es-ES" w:eastAsia="es-ES"/>
              </w:rPr>
            </w:pPr>
            <w:r w:rsidRPr="00197DCE">
              <w:rPr>
                <w:lang w:val="es-ES" w:eastAsia="es-ES"/>
              </w:rPr>
              <w:t>8</w:t>
            </w:r>
          </w:p>
        </w:tc>
      </w:tr>
      <w:tr w:rsidR="00197DCE" w:rsidRPr="00181513" w14:paraId="3913564E" w14:textId="77777777" w:rsidTr="00880EFB">
        <w:trPr>
          <w:trHeight w:val="198"/>
        </w:trPr>
        <w:tc>
          <w:tcPr>
            <w:tcW w:w="5245" w:type="dxa"/>
            <w:tcBorders>
              <w:top w:val="single" w:sz="2" w:space="0" w:color="auto"/>
              <w:left w:val="nil"/>
              <w:bottom w:val="single" w:sz="2" w:space="0" w:color="auto"/>
              <w:right w:val="nil"/>
            </w:tcBorders>
            <w:shd w:val="clear" w:color="auto" w:fill="auto"/>
            <w:noWrap/>
            <w:vAlign w:val="center"/>
          </w:tcPr>
          <w:p w14:paraId="68FB2235" w14:textId="77777777" w:rsidR="00197DCE" w:rsidRPr="00197DCE" w:rsidRDefault="00197DCE" w:rsidP="00D76EC1">
            <w:pPr>
              <w:pStyle w:val="cuatexto"/>
              <w:rPr>
                <w:lang w:val="es-ES" w:eastAsia="es-ES"/>
              </w:rPr>
            </w:pPr>
            <w:r w:rsidRPr="00197DCE">
              <w:rPr>
                <w:lang w:val="es-ES" w:eastAsia="es-ES"/>
              </w:rPr>
              <w:t>Retribuciones personal de recogida</w:t>
            </w:r>
          </w:p>
        </w:tc>
        <w:tc>
          <w:tcPr>
            <w:tcW w:w="1041" w:type="dxa"/>
            <w:tcBorders>
              <w:top w:val="single" w:sz="2" w:space="0" w:color="auto"/>
              <w:left w:val="nil"/>
              <w:bottom w:val="single" w:sz="2" w:space="0" w:color="auto"/>
              <w:right w:val="nil"/>
            </w:tcBorders>
            <w:shd w:val="clear" w:color="auto" w:fill="auto"/>
            <w:noWrap/>
            <w:vAlign w:val="center"/>
          </w:tcPr>
          <w:p w14:paraId="055C2B77" w14:textId="4231F152" w:rsidR="00197DCE" w:rsidRPr="00197DCE" w:rsidRDefault="00197DCE" w:rsidP="007B2F9F">
            <w:pPr>
              <w:pStyle w:val="cuatexto"/>
              <w:jc w:val="right"/>
              <w:rPr>
                <w:lang w:val="es-ES" w:eastAsia="es-ES"/>
              </w:rPr>
            </w:pPr>
            <w:r w:rsidRPr="00197DCE">
              <w:rPr>
                <w:lang w:val="es-ES" w:eastAsia="es-ES"/>
              </w:rPr>
              <w:t>148.78</w:t>
            </w:r>
            <w:r w:rsidR="007B2F9F">
              <w:rPr>
                <w:lang w:val="es-ES" w:eastAsia="es-ES"/>
              </w:rPr>
              <w:t>8</w:t>
            </w:r>
          </w:p>
        </w:tc>
        <w:tc>
          <w:tcPr>
            <w:tcW w:w="1511" w:type="dxa"/>
            <w:tcBorders>
              <w:top w:val="single" w:sz="2" w:space="0" w:color="auto"/>
              <w:left w:val="nil"/>
              <w:bottom w:val="single" w:sz="2" w:space="0" w:color="auto"/>
              <w:right w:val="nil"/>
            </w:tcBorders>
            <w:vAlign w:val="center"/>
          </w:tcPr>
          <w:p w14:paraId="3BFC3066" w14:textId="77777777" w:rsidR="00197DCE" w:rsidRPr="00197DCE" w:rsidRDefault="00197DCE" w:rsidP="00D76EC1">
            <w:pPr>
              <w:pStyle w:val="cuatexto"/>
              <w:jc w:val="right"/>
              <w:rPr>
                <w:lang w:val="es-ES" w:eastAsia="es-ES"/>
              </w:rPr>
            </w:pPr>
            <w:r w:rsidRPr="00197DCE">
              <w:rPr>
                <w:lang w:val="es-ES" w:eastAsia="es-ES"/>
              </w:rPr>
              <w:t>154.862</w:t>
            </w:r>
          </w:p>
        </w:tc>
        <w:tc>
          <w:tcPr>
            <w:tcW w:w="992" w:type="dxa"/>
            <w:tcBorders>
              <w:top w:val="single" w:sz="2" w:space="0" w:color="auto"/>
              <w:left w:val="nil"/>
              <w:bottom w:val="single" w:sz="2" w:space="0" w:color="auto"/>
              <w:right w:val="nil"/>
            </w:tcBorders>
            <w:shd w:val="clear" w:color="auto" w:fill="auto"/>
            <w:noWrap/>
            <w:vAlign w:val="center"/>
          </w:tcPr>
          <w:p w14:paraId="54D98D6C" w14:textId="77777777" w:rsidR="00197DCE" w:rsidRPr="00197DCE" w:rsidRDefault="00197DCE" w:rsidP="00D76EC1">
            <w:pPr>
              <w:pStyle w:val="cuatexto"/>
              <w:jc w:val="right"/>
              <w:rPr>
                <w:lang w:val="es-ES" w:eastAsia="es-ES"/>
              </w:rPr>
            </w:pPr>
            <w:r w:rsidRPr="00197DCE">
              <w:rPr>
                <w:lang w:val="es-ES" w:eastAsia="es-ES"/>
              </w:rPr>
              <w:t>4</w:t>
            </w:r>
          </w:p>
        </w:tc>
      </w:tr>
      <w:tr w:rsidR="00197DCE" w:rsidRPr="00181513" w14:paraId="707AA555" w14:textId="77777777" w:rsidTr="00880EFB">
        <w:trPr>
          <w:trHeight w:val="198"/>
        </w:trPr>
        <w:tc>
          <w:tcPr>
            <w:tcW w:w="5245" w:type="dxa"/>
            <w:tcBorders>
              <w:top w:val="single" w:sz="2" w:space="0" w:color="auto"/>
              <w:left w:val="nil"/>
              <w:bottom w:val="single" w:sz="2" w:space="0" w:color="auto"/>
              <w:right w:val="nil"/>
            </w:tcBorders>
            <w:shd w:val="clear" w:color="auto" w:fill="auto"/>
            <w:noWrap/>
            <w:vAlign w:val="center"/>
          </w:tcPr>
          <w:p w14:paraId="35E2C1A8" w14:textId="77777777" w:rsidR="00197DCE" w:rsidRPr="00197DCE" w:rsidRDefault="00197DCE" w:rsidP="00D76EC1">
            <w:pPr>
              <w:pStyle w:val="cuatexto"/>
              <w:rPr>
                <w:lang w:val="es-ES" w:eastAsia="es-ES"/>
              </w:rPr>
            </w:pPr>
            <w:r w:rsidRPr="00197DCE">
              <w:rPr>
                <w:lang w:val="es-ES" w:eastAsia="es-ES"/>
              </w:rPr>
              <w:t>Retribuciones  personal de compostaje</w:t>
            </w:r>
          </w:p>
        </w:tc>
        <w:tc>
          <w:tcPr>
            <w:tcW w:w="1041" w:type="dxa"/>
            <w:tcBorders>
              <w:top w:val="single" w:sz="2" w:space="0" w:color="auto"/>
              <w:left w:val="nil"/>
              <w:bottom w:val="single" w:sz="2" w:space="0" w:color="auto"/>
              <w:right w:val="nil"/>
            </w:tcBorders>
            <w:shd w:val="clear" w:color="auto" w:fill="auto"/>
            <w:noWrap/>
            <w:vAlign w:val="center"/>
          </w:tcPr>
          <w:p w14:paraId="572C2345" w14:textId="77777777" w:rsidR="00197DCE" w:rsidRPr="00197DCE" w:rsidRDefault="00197DCE" w:rsidP="00D76EC1">
            <w:pPr>
              <w:pStyle w:val="cuatexto"/>
              <w:jc w:val="right"/>
              <w:rPr>
                <w:lang w:val="es-ES" w:eastAsia="es-ES"/>
              </w:rPr>
            </w:pPr>
            <w:r w:rsidRPr="00197DCE">
              <w:rPr>
                <w:lang w:val="es-ES" w:eastAsia="es-ES"/>
              </w:rPr>
              <w:t>63.465</w:t>
            </w:r>
          </w:p>
        </w:tc>
        <w:tc>
          <w:tcPr>
            <w:tcW w:w="1511" w:type="dxa"/>
            <w:tcBorders>
              <w:top w:val="single" w:sz="2" w:space="0" w:color="auto"/>
              <w:left w:val="nil"/>
              <w:bottom w:val="single" w:sz="2" w:space="0" w:color="auto"/>
              <w:right w:val="nil"/>
            </w:tcBorders>
            <w:vAlign w:val="center"/>
          </w:tcPr>
          <w:p w14:paraId="5351F4B8" w14:textId="77777777" w:rsidR="00197DCE" w:rsidRPr="00197DCE" w:rsidRDefault="00197DCE" w:rsidP="00D76EC1">
            <w:pPr>
              <w:pStyle w:val="cuatexto"/>
              <w:jc w:val="right"/>
              <w:rPr>
                <w:lang w:val="es-ES" w:eastAsia="es-ES"/>
              </w:rPr>
            </w:pPr>
            <w:r w:rsidRPr="00197DCE">
              <w:rPr>
                <w:lang w:val="es-ES" w:eastAsia="es-ES"/>
              </w:rPr>
              <w:t>63.288</w:t>
            </w:r>
          </w:p>
        </w:tc>
        <w:tc>
          <w:tcPr>
            <w:tcW w:w="992" w:type="dxa"/>
            <w:tcBorders>
              <w:top w:val="single" w:sz="2" w:space="0" w:color="auto"/>
              <w:left w:val="nil"/>
              <w:bottom w:val="single" w:sz="2" w:space="0" w:color="auto"/>
              <w:right w:val="nil"/>
            </w:tcBorders>
            <w:shd w:val="clear" w:color="auto" w:fill="auto"/>
            <w:noWrap/>
            <w:vAlign w:val="center"/>
          </w:tcPr>
          <w:p w14:paraId="0A260AD8" w14:textId="77777777" w:rsidR="00197DCE" w:rsidRPr="00197DCE" w:rsidRDefault="00197DCE" w:rsidP="00D76EC1">
            <w:pPr>
              <w:pStyle w:val="cuatexto"/>
              <w:jc w:val="right"/>
              <w:rPr>
                <w:lang w:val="es-ES" w:eastAsia="es-ES"/>
              </w:rPr>
            </w:pPr>
            <w:r w:rsidRPr="00197DCE">
              <w:rPr>
                <w:lang w:val="es-ES" w:eastAsia="es-ES"/>
              </w:rPr>
              <w:t>0</w:t>
            </w:r>
          </w:p>
        </w:tc>
      </w:tr>
      <w:tr w:rsidR="00197DCE" w:rsidRPr="00181513" w14:paraId="38FD9D7E" w14:textId="77777777" w:rsidTr="00880EFB">
        <w:trPr>
          <w:trHeight w:val="198"/>
        </w:trPr>
        <w:tc>
          <w:tcPr>
            <w:tcW w:w="5245" w:type="dxa"/>
            <w:tcBorders>
              <w:top w:val="single" w:sz="2" w:space="0" w:color="auto"/>
              <w:left w:val="nil"/>
              <w:bottom w:val="single" w:sz="2" w:space="0" w:color="auto"/>
              <w:right w:val="nil"/>
            </w:tcBorders>
            <w:shd w:val="clear" w:color="auto" w:fill="auto"/>
            <w:noWrap/>
            <w:vAlign w:val="center"/>
          </w:tcPr>
          <w:p w14:paraId="2C2595CE" w14:textId="77777777" w:rsidR="00197DCE" w:rsidRPr="00197DCE" w:rsidRDefault="00197DCE" w:rsidP="00D76EC1">
            <w:pPr>
              <w:pStyle w:val="cuatexto"/>
              <w:rPr>
                <w:lang w:val="es-ES" w:eastAsia="es-ES"/>
              </w:rPr>
            </w:pPr>
            <w:r w:rsidRPr="00197DCE">
              <w:rPr>
                <w:lang w:val="es-ES" w:eastAsia="es-ES"/>
              </w:rPr>
              <w:t>Retribuciones personal contratado</w:t>
            </w:r>
          </w:p>
        </w:tc>
        <w:tc>
          <w:tcPr>
            <w:tcW w:w="1041" w:type="dxa"/>
            <w:tcBorders>
              <w:top w:val="single" w:sz="2" w:space="0" w:color="auto"/>
              <w:left w:val="nil"/>
              <w:bottom w:val="single" w:sz="2" w:space="0" w:color="auto"/>
              <w:right w:val="nil"/>
            </w:tcBorders>
            <w:shd w:val="clear" w:color="auto" w:fill="auto"/>
            <w:noWrap/>
            <w:vAlign w:val="center"/>
          </w:tcPr>
          <w:p w14:paraId="38F0D747" w14:textId="77777777" w:rsidR="00197DCE" w:rsidRPr="00197DCE" w:rsidRDefault="00197DCE" w:rsidP="00D76EC1">
            <w:pPr>
              <w:pStyle w:val="cuatexto"/>
              <w:jc w:val="right"/>
              <w:rPr>
                <w:lang w:val="es-ES" w:eastAsia="es-ES"/>
              </w:rPr>
            </w:pPr>
            <w:r w:rsidRPr="00197DCE">
              <w:rPr>
                <w:lang w:val="es-ES" w:eastAsia="es-ES"/>
              </w:rPr>
              <w:t>49.073</w:t>
            </w:r>
          </w:p>
        </w:tc>
        <w:tc>
          <w:tcPr>
            <w:tcW w:w="1511" w:type="dxa"/>
            <w:tcBorders>
              <w:top w:val="single" w:sz="2" w:space="0" w:color="auto"/>
              <w:left w:val="nil"/>
              <w:bottom w:val="single" w:sz="2" w:space="0" w:color="auto"/>
              <w:right w:val="nil"/>
            </w:tcBorders>
            <w:vAlign w:val="center"/>
          </w:tcPr>
          <w:p w14:paraId="0A7F97A9" w14:textId="77777777" w:rsidR="00197DCE" w:rsidRPr="00197DCE" w:rsidRDefault="00197DCE" w:rsidP="00D76EC1">
            <w:pPr>
              <w:pStyle w:val="cuatexto"/>
              <w:jc w:val="right"/>
              <w:rPr>
                <w:lang w:val="es-ES" w:eastAsia="es-ES"/>
              </w:rPr>
            </w:pPr>
            <w:r w:rsidRPr="00197DCE">
              <w:rPr>
                <w:lang w:val="es-ES" w:eastAsia="es-ES"/>
              </w:rPr>
              <w:t>49.068</w:t>
            </w:r>
          </w:p>
        </w:tc>
        <w:tc>
          <w:tcPr>
            <w:tcW w:w="992" w:type="dxa"/>
            <w:tcBorders>
              <w:top w:val="single" w:sz="2" w:space="0" w:color="auto"/>
              <w:left w:val="nil"/>
              <w:bottom w:val="single" w:sz="2" w:space="0" w:color="auto"/>
              <w:right w:val="nil"/>
            </w:tcBorders>
            <w:shd w:val="clear" w:color="auto" w:fill="auto"/>
            <w:noWrap/>
            <w:vAlign w:val="center"/>
          </w:tcPr>
          <w:p w14:paraId="5BE9F234" w14:textId="77777777" w:rsidR="00197DCE" w:rsidRPr="00197DCE" w:rsidRDefault="00197DCE" w:rsidP="00D76EC1">
            <w:pPr>
              <w:pStyle w:val="cuatexto"/>
              <w:jc w:val="right"/>
              <w:rPr>
                <w:lang w:val="es-ES" w:eastAsia="es-ES"/>
              </w:rPr>
            </w:pPr>
            <w:r w:rsidRPr="00197DCE">
              <w:rPr>
                <w:lang w:val="es-ES" w:eastAsia="es-ES"/>
              </w:rPr>
              <w:t>0</w:t>
            </w:r>
          </w:p>
        </w:tc>
      </w:tr>
      <w:tr w:rsidR="00197DCE" w:rsidRPr="00181513" w14:paraId="6642BCA0" w14:textId="77777777" w:rsidTr="00880EFB">
        <w:trPr>
          <w:trHeight w:val="198"/>
        </w:trPr>
        <w:tc>
          <w:tcPr>
            <w:tcW w:w="5245" w:type="dxa"/>
            <w:tcBorders>
              <w:top w:val="single" w:sz="2" w:space="0" w:color="auto"/>
              <w:left w:val="nil"/>
              <w:bottom w:val="single" w:sz="2" w:space="0" w:color="auto"/>
              <w:right w:val="nil"/>
            </w:tcBorders>
            <w:shd w:val="clear" w:color="auto" w:fill="auto"/>
            <w:noWrap/>
            <w:vAlign w:val="center"/>
          </w:tcPr>
          <w:p w14:paraId="748FB420" w14:textId="45700781" w:rsidR="00197DCE" w:rsidRPr="00197DCE" w:rsidRDefault="00197DCE" w:rsidP="00D76EC1">
            <w:pPr>
              <w:pStyle w:val="cuatexto"/>
              <w:rPr>
                <w:lang w:val="es-ES" w:eastAsia="es-ES"/>
              </w:rPr>
            </w:pPr>
            <w:r w:rsidRPr="2BF44EB8">
              <w:rPr>
                <w:lang w:val="es-ES" w:eastAsia="es-ES"/>
              </w:rPr>
              <w:t xml:space="preserve">Seguridad </w:t>
            </w:r>
            <w:r w:rsidR="330C17F9" w:rsidRPr="2BF44EB8">
              <w:rPr>
                <w:lang w:val="es-ES" w:eastAsia="es-ES"/>
              </w:rPr>
              <w:t>S</w:t>
            </w:r>
            <w:r w:rsidRPr="2BF44EB8">
              <w:rPr>
                <w:lang w:val="es-ES" w:eastAsia="es-ES"/>
              </w:rPr>
              <w:t>ocial</w:t>
            </w:r>
          </w:p>
        </w:tc>
        <w:tc>
          <w:tcPr>
            <w:tcW w:w="1041" w:type="dxa"/>
            <w:tcBorders>
              <w:top w:val="single" w:sz="2" w:space="0" w:color="auto"/>
              <w:left w:val="nil"/>
              <w:bottom w:val="single" w:sz="2" w:space="0" w:color="auto"/>
              <w:right w:val="nil"/>
            </w:tcBorders>
            <w:shd w:val="clear" w:color="auto" w:fill="auto"/>
            <w:noWrap/>
            <w:vAlign w:val="center"/>
          </w:tcPr>
          <w:p w14:paraId="47FE2929" w14:textId="77777777" w:rsidR="00197DCE" w:rsidRPr="00197DCE" w:rsidRDefault="00197DCE" w:rsidP="00D76EC1">
            <w:pPr>
              <w:pStyle w:val="cuatexto"/>
              <w:jc w:val="right"/>
              <w:rPr>
                <w:lang w:val="es-ES" w:eastAsia="es-ES"/>
              </w:rPr>
            </w:pPr>
            <w:r w:rsidRPr="00197DCE">
              <w:rPr>
                <w:lang w:val="es-ES" w:eastAsia="es-ES"/>
              </w:rPr>
              <w:t>112.978</w:t>
            </w:r>
          </w:p>
        </w:tc>
        <w:tc>
          <w:tcPr>
            <w:tcW w:w="1511" w:type="dxa"/>
            <w:tcBorders>
              <w:top w:val="single" w:sz="2" w:space="0" w:color="auto"/>
              <w:left w:val="nil"/>
              <w:bottom w:val="single" w:sz="2" w:space="0" w:color="auto"/>
              <w:right w:val="nil"/>
            </w:tcBorders>
            <w:vAlign w:val="center"/>
          </w:tcPr>
          <w:p w14:paraId="7C7DD558" w14:textId="77777777" w:rsidR="00197DCE" w:rsidRPr="00197DCE" w:rsidRDefault="00197DCE" w:rsidP="00D76EC1">
            <w:pPr>
              <w:pStyle w:val="cuatexto"/>
              <w:jc w:val="right"/>
              <w:rPr>
                <w:lang w:val="es-ES" w:eastAsia="es-ES"/>
              </w:rPr>
            </w:pPr>
            <w:r w:rsidRPr="00197DCE">
              <w:rPr>
                <w:lang w:val="es-ES" w:eastAsia="es-ES"/>
              </w:rPr>
              <w:t>103.107</w:t>
            </w:r>
          </w:p>
        </w:tc>
        <w:tc>
          <w:tcPr>
            <w:tcW w:w="992" w:type="dxa"/>
            <w:tcBorders>
              <w:top w:val="single" w:sz="2" w:space="0" w:color="auto"/>
              <w:left w:val="nil"/>
              <w:bottom w:val="single" w:sz="2" w:space="0" w:color="auto"/>
              <w:right w:val="nil"/>
            </w:tcBorders>
            <w:shd w:val="clear" w:color="auto" w:fill="auto"/>
            <w:noWrap/>
            <w:vAlign w:val="center"/>
          </w:tcPr>
          <w:p w14:paraId="026E8DCE" w14:textId="77777777" w:rsidR="00197DCE" w:rsidRPr="00197DCE" w:rsidRDefault="00197DCE" w:rsidP="00D76EC1">
            <w:pPr>
              <w:pStyle w:val="cuatexto"/>
              <w:jc w:val="right"/>
              <w:rPr>
                <w:lang w:val="es-ES" w:eastAsia="es-ES"/>
              </w:rPr>
            </w:pPr>
            <w:r w:rsidRPr="00197DCE">
              <w:rPr>
                <w:lang w:val="es-ES" w:eastAsia="es-ES"/>
              </w:rPr>
              <w:t>-9</w:t>
            </w:r>
          </w:p>
        </w:tc>
      </w:tr>
      <w:tr w:rsidR="00197DCE" w:rsidRPr="00181513" w14:paraId="1D19E2A8" w14:textId="77777777" w:rsidTr="00880EFB">
        <w:trPr>
          <w:trHeight w:val="198"/>
        </w:trPr>
        <w:tc>
          <w:tcPr>
            <w:tcW w:w="5245" w:type="dxa"/>
            <w:tcBorders>
              <w:top w:val="single" w:sz="2" w:space="0" w:color="auto"/>
              <w:left w:val="nil"/>
              <w:bottom w:val="single" w:sz="4" w:space="0" w:color="auto"/>
              <w:right w:val="nil"/>
            </w:tcBorders>
            <w:shd w:val="clear" w:color="auto" w:fill="auto"/>
            <w:noWrap/>
            <w:vAlign w:val="center"/>
          </w:tcPr>
          <w:p w14:paraId="294B2716" w14:textId="77777777" w:rsidR="00197DCE" w:rsidRPr="00197DCE" w:rsidRDefault="00197DCE" w:rsidP="00D76EC1">
            <w:pPr>
              <w:pStyle w:val="cuatexto"/>
              <w:rPr>
                <w:lang w:val="es-ES" w:eastAsia="es-ES"/>
              </w:rPr>
            </w:pPr>
            <w:r w:rsidRPr="00197DCE">
              <w:rPr>
                <w:lang w:val="es-ES" w:eastAsia="es-ES"/>
              </w:rPr>
              <w:t>Cursos del personal</w:t>
            </w:r>
          </w:p>
        </w:tc>
        <w:tc>
          <w:tcPr>
            <w:tcW w:w="1041" w:type="dxa"/>
            <w:tcBorders>
              <w:top w:val="single" w:sz="2" w:space="0" w:color="auto"/>
              <w:left w:val="nil"/>
              <w:bottom w:val="single" w:sz="4" w:space="0" w:color="auto"/>
              <w:right w:val="nil"/>
            </w:tcBorders>
            <w:shd w:val="clear" w:color="auto" w:fill="auto"/>
            <w:noWrap/>
            <w:vAlign w:val="center"/>
          </w:tcPr>
          <w:p w14:paraId="4327431F" w14:textId="77777777" w:rsidR="00197DCE" w:rsidRPr="00197DCE" w:rsidRDefault="00197DCE" w:rsidP="00D76EC1">
            <w:pPr>
              <w:pStyle w:val="cuatexto"/>
              <w:jc w:val="right"/>
              <w:rPr>
                <w:lang w:val="es-ES" w:eastAsia="es-ES"/>
              </w:rPr>
            </w:pPr>
            <w:r w:rsidRPr="00197DCE">
              <w:rPr>
                <w:lang w:val="es-ES" w:eastAsia="es-ES"/>
              </w:rPr>
              <w:t>352</w:t>
            </w:r>
          </w:p>
        </w:tc>
        <w:tc>
          <w:tcPr>
            <w:tcW w:w="1511" w:type="dxa"/>
            <w:tcBorders>
              <w:top w:val="single" w:sz="2" w:space="0" w:color="auto"/>
              <w:left w:val="nil"/>
              <w:bottom w:val="single" w:sz="4" w:space="0" w:color="auto"/>
              <w:right w:val="nil"/>
            </w:tcBorders>
            <w:vAlign w:val="center"/>
          </w:tcPr>
          <w:p w14:paraId="5446C4B7" w14:textId="77777777" w:rsidR="00197DCE" w:rsidRPr="00197DCE" w:rsidRDefault="00197DCE" w:rsidP="00D76EC1">
            <w:pPr>
              <w:pStyle w:val="cuatexto"/>
              <w:jc w:val="right"/>
              <w:rPr>
                <w:lang w:val="es-ES" w:eastAsia="es-ES"/>
              </w:rPr>
            </w:pPr>
            <w:r w:rsidRPr="00197DCE">
              <w:rPr>
                <w:lang w:val="es-ES" w:eastAsia="es-ES"/>
              </w:rPr>
              <w:t>0</w:t>
            </w:r>
          </w:p>
        </w:tc>
        <w:tc>
          <w:tcPr>
            <w:tcW w:w="992" w:type="dxa"/>
            <w:tcBorders>
              <w:top w:val="single" w:sz="2" w:space="0" w:color="auto"/>
              <w:left w:val="nil"/>
              <w:bottom w:val="single" w:sz="4" w:space="0" w:color="auto"/>
              <w:right w:val="nil"/>
            </w:tcBorders>
            <w:shd w:val="clear" w:color="auto" w:fill="auto"/>
            <w:noWrap/>
            <w:vAlign w:val="center"/>
          </w:tcPr>
          <w:p w14:paraId="39F5931F" w14:textId="77777777" w:rsidR="00197DCE" w:rsidRPr="00197DCE" w:rsidRDefault="00197DCE" w:rsidP="00D76EC1">
            <w:pPr>
              <w:pStyle w:val="cuatexto"/>
              <w:jc w:val="right"/>
              <w:rPr>
                <w:lang w:val="es-ES" w:eastAsia="es-ES"/>
              </w:rPr>
            </w:pPr>
          </w:p>
        </w:tc>
      </w:tr>
      <w:tr w:rsidR="00197DCE" w:rsidRPr="00197DCE" w14:paraId="509D0D74" w14:textId="77777777" w:rsidTr="00880EFB">
        <w:trPr>
          <w:trHeight w:val="255"/>
        </w:trPr>
        <w:tc>
          <w:tcPr>
            <w:tcW w:w="5245" w:type="dxa"/>
            <w:tcBorders>
              <w:top w:val="single" w:sz="4" w:space="0" w:color="auto"/>
              <w:left w:val="nil"/>
              <w:bottom w:val="single" w:sz="4" w:space="0" w:color="auto"/>
              <w:right w:val="nil"/>
            </w:tcBorders>
            <w:shd w:val="clear" w:color="auto" w:fill="F4B083" w:themeFill="accent2" w:themeFillTint="99"/>
            <w:noWrap/>
            <w:vAlign w:val="center"/>
          </w:tcPr>
          <w:p w14:paraId="05190B12" w14:textId="77777777" w:rsidR="00197DCE" w:rsidRPr="00197DCE" w:rsidRDefault="00197DCE" w:rsidP="00D76EC1">
            <w:pPr>
              <w:pStyle w:val="cuadroCabe"/>
              <w:rPr>
                <w:lang w:val="es-ES" w:eastAsia="es-ES"/>
              </w:rPr>
            </w:pPr>
            <w:r w:rsidRPr="00197DCE">
              <w:rPr>
                <w:lang w:val="es-ES" w:eastAsia="es-ES"/>
              </w:rPr>
              <w:t>Total</w:t>
            </w:r>
          </w:p>
        </w:tc>
        <w:tc>
          <w:tcPr>
            <w:tcW w:w="1041" w:type="dxa"/>
            <w:tcBorders>
              <w:top w:val="single" w:sz="4" w:space="0" w:color="auto"/>
              <w:left w:val="nil"/>
              <w:bottom w:val="single" w:sz="4" w:space="0" w:color="auto"/>
              <w:right w:val="nil"/>
            </w:tcBorders>
            <w:shd w:val="clear" w:color="auto" w:fill="F4B083" w:themeFill="accent2" w:themeFillTint="99"/>
            <w:noWrap/>
            <w:vAlign w:val="center"/>
          </w:tcPr>
          <w:p w14:paraId="2CCA6252" w14:textId="77777777" w:rsidR="00197DCE" w:rsidRPr="00197DCE" w:rsidRDefault="00197DCE" w:rsidP="00D76EC1">
            <w:pPr>
              <w:pStyle w:val="cuadroCabe"/>
              <w:jc w:val="right"/>
              <w:rPr>
                <w:lang w:val="es-ES" w:eastAsia="es-ES"/>
              </w:rPr>
            </w:pPr>
            <w:r w:rsidRPr="00197DCE">
              <w:rPr>
                <w:lang w:val="es-ES" w:eastAsia="es-ES"/>
              </w:rPr>
              <w:fldChar w:fldCharType="begin"/>
            </w:r>
            <w:r w:rsidRPr="00197DCE">
              <w:rPr>
                <w:lang w:val="es-ES" w:eastAsia="es-ES"/>
              </w:rPr>
              <w:instrText xml:space="preserve"> =SUM(ABOVE) </w:instrText>
            </w:r>
            <w:r w:rsidRPr="00197DCE">
              <w:rPr>
                <w:lang w:val="es-ES" w:eastAsia="es-ES"/>
              </w:rPr>
              <w:fldChar w:fldCharType="separate"/>
            </w:r>
            <w:r w:rsidRPr="00197DCE">
              <w:rPr>
                <w:lang w:val="es-ES" w:eastAsia="es-ES"/>
              </w:rPr>
              <w:t>403.382</w:t>
            </w:r>
            <w:r w:rsidRPr="00197DCE">
              <w:rPr>
                <w:lang w:val="es-ES" w:eastAsia="es-ES"/>
              </w:rPr>
              <w:fldChar w:fldCharType="end"/>
            </w:r>
          </w:p>
        </w:tc>
        <w:tc>
          <w:tcPr>
            <w:tcW w:w="1511" w:type="dxa"/>
            <w:tcBorders>
              <w:top w:val="single" w:sz="4" w:space="0" w:color="auto"/>
              <w:left w:val="nil"/>
              <w:bottom w:val="single" w:sz="4" w:space="0" w:color="auto"/>
              <w:right w:val="nil"/>
            </w:tcBorders>
            <w:shd w:val="clear" w:color="auto" w:fill="F4B083" w:themeFill="accent2" w:themeFillTint="99"/>
            <w:vAlign w:val="center"/>
          </w:tcPr>
          <w:p w14:paraId="6B2AA0C7" w14:textId="77777777" w:rsidR="00197DCE" w:rsidRPr="00197DCE" w:rsidRDefault="00197DCE" w:rsidP="00D76EC1">
            <w:pPr>
              <w:pStyle w:val="cuadroCabe"/>
              <w:jc w:val="right"/>
              <w:rPr>
                <w:lang w:val="es-ES" w:eastAsia="es-ES"/>
              </w:rPr>
            </w:pPr>
            <w:r w:rsidRPr="00197DCE">
              <w:rPr>
                <w:lang w:val="es-ES" w:eastAsia="es-ES"/>
              </w:rPr>
              <w:fldChar w:fldCharType="begin"/>
            </w:r>
            <w:r w:rsidRPr="00197DCE">
              <w:rPr>
                <w:lang w:val="es-ES" w:eastAsia="es-ES"/>
              </w:rPr>
              <w:instrText xml:space="preserve"> =SUM(ABOVE) </w:instrText>
            </w:r>
            <w:r w:rsidRPr="00197DCE">
              <w:rPr>
                <w:lang w:val="es-ES" w:eastAsia="es-ES"/>
              </w:rPr>
              <w:fldChar w:fldCharType="separate"/>
            </w:r>
            <w:r w:rsidRPr="00197DCE">
              <w:rPr>
                <w:lang w:val="es-ES" w:eastAsia="es-ES"/>
              </w:rPr>
              <w:t>401.284</w:t>
            </w:r>
            <w:r w:rsidRPr="00197DCE">
              <w:rPr>
                <w:lang w:val="es-ES" w:eastAsia="es-ES"/>
              </w:rPr>
              <w:fldChar w:fldCharType="end"/>
            </w:r>
          </w:p>
        </w:tc>
        <w:tc>
          <w:tcPr>
            <w:tcW w:w="992" w:type="dxa"/>
            <w:tcBorders>
              <w:top w:val="single" w:sz="4" w:space="0" w:color="auto"/>
              <w:left w:val="nil"/>
              <w:bottom w:val="single" w:sz="4" w:space="0" w:color="auto"/>
              <w:right w:val="nil"/>
            </w:tcBorders>
            <w:shd w:val="clear" w:color="auto" w:fill="F4B083" w:themeFill="accent2" w:themeFillTint="99"/>
            <w:noWrap/>
            <w:vAlign w:val="center"/>
          </w:tcPr>
          <w:p w14:paraId="5D66ECF3" w14:textId="77777777" w:rsidR="00197DCE" w:rsidRPr="00197DCE" w:rsidRDefault="00197DCE" w:rsidP="00D76EC1">
            <w:pPr>
              <w:pStyle w:val="cuadroCabe"/>
              <w:jc w:val="right"/>
              <w:rPr>
                <w:lang w:val="es-ES" w:eastAsia="es-ES"/>
              </w:rPr>
            </w:pPr>
            <w:r w:rsidRPr="00197DCE">
              <w:rPr>
                <w:lang w:val="es-ES" w:eastAsia="es-ES"/>
              </w:rPr>
              <w:t>-1</w:t>
            </w:r>
          </w:p>
        </w:tc>
      </w:tr>
    </w:tbl>
    <w:p w14:paraId="3419F98D" w14:textId="47D3A56A" w:rsidR="00197DCE" w:rsidRPr="003F629F" w:rsidRDefault="00197DCE" w:rsidP="003F629F">
      <w:pPr>
        <w:pStyle w:val="atitulo3"/>
        <w:spacing w:before="240"/>
      </w:pPr>
      <w:r w:rsidRPr="003F629F">
        <w:t>Plantilla orgánica y oferta pública de empleo</w:t>
      </w:r>
      <w:r w:rsidR="002D36D8" w:rsidRPr="003F629F">
        <w:t xml:space="preserve"> (OPE)</w:t>
      </w:r>
    </w:p>
    <w:p w14:paraId="63876AF7" w14:textId="2D374EEA" w:rsidR="00197DCE" w:rsidRPr="00D02191" w:rsidRDefault="00197DCE" w:rsidP="00630509">
      <w:pPr>
        <w:tabs>
          <w:tab w:val="center" w:pos="2835"/>
          <w:tab w:val="center" w:pos="3969"/>
          <w:tab w:val="center" w:pos="5103"/>
          <w:tab w:val="center" w:pos="6237"/>
          <w:tab w:val="center" w:pos="7371"/>
        </w:tabs>
        <w:spacing w:after="240"/>
        <w:ind w:firstLine="284"/>
        <w:rPr>
          <w:spacing w:val="6"/>
          <w:sz w:val="26"/>
          <w:szCs w:val="26"/>
        </w:rPr>
      </w:pPr>
      <w:r w:rsidRPr="6CEECFF5">
        <w:rPr>
          <w:spacing w:val="6"/>
          <w:sz w:val="26"/>
          <w:szCs w:val="26"/>
        </w:rPr>
        <w:t xml:space="preserve">La </w:t>
      </w:r>
      <w:r w:rsidR="6774A3F2" w:rsidRPr="6CEECFF5">
        <w:rPr>
          <w:spacing w:val="6"/>
          <w:sz w:val="26"/>
          <w:szCs w:val="26"/>
        </w:rPr>
        <w:t>a</w:t>
      </w:r>
      <w:r w:rsidRPr="6CEECFF5">
        <w:rPr>
          <w:spacing w:val="6"/>
          <w:sz w:val="26"/>
          <w:szCs w:val="26"/>
        </w:rPr>
        <w:t xml:space="preserve">samblea </w:t>
      </w:r>
      <w:r w:rsidR="10738353" w:rsidRPr="6CEECFF5">
        <w:rPr>
          <w:spacing w:val="6"/>
          <w:sz w:val="26"/>
          <w:szCs w:val="26"/>
        </w:rPr>
        <w:t>g</w:t>
      </w:r>
      <w:r w:rsidRPr="6CEECFF5">
        <w:rPr>
          <w:spacing w:val="6"/>
          <w:sz w:val="26"/>
          <w:szCs w:val="26"/>
        </w:rPr>
        <w:t xml:space="preserve">eneral de la </w:t>
      </w:r>
      <w:r w:rsidR="003C06D0">
        <w:rPr>
          <w:spacing w:val="6"/>
          <w:sz w:val="26"/>
          <w:szCs w:val="26"/>
        </w:rPr>
        <w:t>Mancomunidad</w:t>
      </w:r>
      <w:r w:rsidRPr="6CEECFF5">
        <w:rPr>
          <w:spacing w:val="6"/>
          <w:sz w:val="26"/>
          <w:szCs w:val="26"/>
        </w:rPr>
        <w:t xml:space="preserve"> aprobó </w:t>
      </w:r>
      <w:r w:rsidR="00084811">
        <w:rPr>
          <w:spacing w:val="6"/>
          <w:sz w:val="26"/>
          <w:szCs w:val="26"/>
        </w:rPr>
        <w:t xml:space="preserve">inicialmente </w:t>
      </w:r>
      <w:r w:rsidRPr="6CEECFF5">
        <w:rPr>
          <w:spacing w:val="6"/>
          <w:sz w:val="26"/>
          <w:szCs w:val="26"/>
        </w:rPr>
        <w:t>el 1 de diciembre de 2022 la plantilla orgánica correspondiente al ejercicio 2023</w:t>
      </w:r>
      <w:r w:rsidR="006661B0">
        <w:rPr>
          <w:spacing w:val="6"/>
          <w:sz w:val="26"/>
          <w:szCs w:val="26"/>
        </w:rPr>
        <w:t xml:space="preserve">. La aprobación definitiva de la plantilla </w:t>
      </w:r>
      <w:r w:rsidR="00597508">
        <w:rPr>
          <w:spacing w:val="6"/>
          <w:sz w:val="26"/>
          <w:szCs w:val="26"/>
        </w:rPr>
        <w:t>se publicó el 17 de junio de 2024 en el BON</w:t>
      </w:r>
      <w:r w:rsidR="00084811">
        <w:rPr>
          <w:spacing w:val="6"/>
          <w:sz w:val="26"/>
          <w:szCs w:val="26"/>
        </w:rPr>
        <w:t>, por indicación de esta Cámara</w:t>
      </w:r>
      <w:r w:rsidR="00597508">
        <w:rPr>
          <w:spacing w:val="6"/>
          <w:sz w:val="26"/>
          <w:szCs w:val="26"/>
        </w:rPr>
        <w:t>. Comprende</w:t>
      </w:r>
      <w:r w:rsidRPr="6CEECFF5">
        <w:rPr>
          <w:spacing w:val="6"/>
          <w:sz w:val="26"/>
          <w:szCs w:val="26"/>
        </w:rPr>
        <w:t xml:space="preserve"> los siguientes puestos de trabajo:</w:t>
      </w:r>
    </w:p>
    <w:tbl>
      <w:tblPr>
        <w:tblW w:w="8789" w:type="dxa"/>
        <w:tblCellMar>
          <w:left w:w="70" w:type="dxa"/>
          <w:right w:w="70" w:type="dxa"/>
        </w:tblCellMar>
        <w:tblLook w:val="04A0" w:firstRow="1" w:lastRow="0" w:firstColumn="1" w:lastColumn="0" w:noHBand="0" w:noVBand="1"/>
      </w:tblPr>
      <w:tblGrid>
        <w:gridCol w:w="4820"/>
        <w:gridCol w:w="1417"/>
        <w:gridCol w:w="2552"/>
      </w:tblGrid>
      <w:tr w:rsidR="00197DCE" w:rsidRPr="00592CC7" w14:paraId="274406AC" w14:textId="77777777" w:rsidTr="003F634D">
        <w:trPr>
          <w:trHeight w:val="255"/>
        </w:trPr>
        <w:tc>
          <w:tcPr>
            <w:tcW w:w="4820" w:type="dxa"/>
            <w:tcBorders>
              <w:top w:val="single" w:sz="4" w:space="0" w:color="auto"/>
              <w:left w:val="nil"/>
              <w:bottom w:val="single" w:sz="4" w:space="0" w:color="auto"/>
              <w:right w:val="nil"/>
            </w:tcBorders>
            <w:shd w:val="clear" w:color="auto" w:fill="F4B084"/>
            <w:noWrap/>
            <w:vAlign w:val="center"/>
            <w:hideMark/>
          </w:tcPr>
          <w:p w14:paraId="5D1F7047" w14:textId="77777777" w:rsidR="00197DCE" w:rsidRPr="00592CC7" w:rsidRDefault="00197DCE" w:rsidP="00592CC7">
            <w:pPr>
              <w:pStyle w:val="cuadroCabe"/>
            </w:pPr>
            <w:r w:rsidRPr="00592CC7">
              <w:t>Puesto</w:t>
            </w:r>
          </w:p>
        </w:tc>
        <w:tc>
          <w:tcPr>
            <w:tcW w:w="1417" w:type="dxa"/>
            <w:tcBorders>
              <w:top w:val="single" w:sz="4" w:space="0" w:color="auto"/>
              <w:left w:val="nil"/>
              <w:bottom w:val="single" w:sz="4" w:space="0" w:color="auto"/>
              <w:right w:val="nil"/>
            </w:tcBorders>
            <w:shd w:val="clear" w:color="auto" w:fill="F4B084"/>
            <w:vAlign w:val="center"/>
          </w:tcPr>
          <w:p w14:paraId="1A2338E0" w14:textId="77777777" w:rsidR="00197DCE" w:rsidRPr="00592CC7" w:rsidRDefault="00197DCE" w:rsidP="003F634D">
            <w:pPr>
              <w:pStyle w:val="cuadroCabe"/>
              <w:jc w:val="right"/>
            </w:pPr>
            <w:r w:rsidRPr="00592CC7">
              <w:t>Nº plazas</w:t>
            </w:r>
          </w:p>
        </w:tc>
        <w:tc>
          <w:tcPr>
            <w:tcW w:w="2552" w:type="dxa"/>
            <w:tcBorders>
              <w:top w:val="single" w:sz="4" w:space="0" w:color="auto"/>
              <w:left w:val="nil"/>
              <w:bottom w:val="single" w:sz="4" w:space="0" w:color="auto"/>
              <w:right w:val="nil"/>
            </w:tcBorders>
            <w:shd w:val="clear" w:color="auto" w:fill="F4B084"/>
            <w:noWrap/>
            <w:vAlign w:val="center"/>
          </w:tcPr>
          <w:p w14:paraId="54499E20" w14:textId="77777777" w:rsidR="00197DCE" w:rsidRPr="00592CC7" w:rsidRDefault="00197DCE" w:rsidP="003F634D">
            <w:pPr>
              <w:pStyle w:val="cuadroCabe"/>
              <w:jc w:val="right"/>
            </w:pPr>
            <w:r w:rsidRPr="00592CC7">
              <w:t>Situación</w:t>
            </w:r>
          </w:p>
        </w:tc>
      </w:tr>
      <w:tr w:rsidR="00197DCE" w:rsidRPr="00181513" w14:paraId="39AB941B" w14:textId="77777777" w:rsidTr="00BC509C">
        <w:trPr>
          <w:trHeight w:val="198"/>
        </w:trPr>
        <w:tc>
          <w:tcPr>
            <w:tcW w:w="4820" w:type="dxa"/>
            <w:tcBorders>
              <w:top w:val="single" w:sz="4" w:space="0" w:color="auto"/>
              <w:left w:val="nil"/>
              <w:bottom w:val="single" w:sz="2" w:space="0" w:color="auto"/>
              <w:right w:val="nil"/>
            </w:tcBorders>
            <w:shd w:val="clear" w:color="auto" w:fill="auto"/>
            <w:noWrap/>
            <w:vAlign w:val="center"/>
            <w:hideMark/>
          </w:tcPr>
          <w:p w14:paraId="77C0AE2D" w14:textId="77777777" w:rsidR="00197DCE" w:rsidRPr="00197DCE" w:rsidRDefault="00197DCE" w:rsidP="00D76EC1">
            <w:pPr>
              <w:pStyle w:val="cuatexto"/>
              <w:rPr>
                <w:lang w:val="es-ES" w:eastAsia="es-ES"/>
              </w:rPr>
            </w:pPr>
            <w:r w:rsidRPr="00197DCE">
              <w:rPr>
                <w:lang w:val="es-ES" w:eastAsia="es-ES"/>
              </w:rPr>
              <w:t>Secretario</w:t>
            </w:r>
          </w:p>
        </w:tc>
        <w:tc>
          <w:tcPr>
            <w:tcW w:w="1417" w:type="dxa"/>
            <w:tcBorders>
              <w:top w:val="single" w:sz="4" w:space="0" w:color="auto"/>
              <w:left w:val="nil"/>
              <w:bottom w:val="single" w:sz="2" w:space="0" w:color="auto"/>
              <w:right w:val="nil"/>
            </w:tcBorders>
            <w:vAlign w:val="center"/>
          </w:tcPr>
          <w:p w14:paraId="35E6EF4E" w14:textId="77777777" w:rsidR="00197DCE" w:rsidRPr="00197DCE" w:rsidRDefault="00197DCE" w:rsidP="00D76EC1">
            <w:pPr>
              <w:pStyle w:val="cuatexto"/>
              <w:jc w:val="right"/>
              <w:rPr>
                <w:lang w:val="es-ES" w:eastAsia="es-ES"/>
              </w:rPr>
            </w:pPr>
            <w:r w:rsidRPr="00197DCE">
              <w:rPr>
                <w:lang w:val="es-ES" w:eastAsia="es-ES"/>
              </w:rPr>
              <w:t>1</w:t>
            </w:r>
          </w:p>
        </w:tc>
        <w:tc>
          <w:tcPr>
            <w:tcW w:w="2552" w:type="dxa"/>
            <w:tcBorders>
              <w:top w:val="single" w:sz="4" w:space="0" w:color="auto"/>
              <w:left w:val="nil"/>
              <w:bottom w:val="single" w:sz="2" w:space="0" w:color="auto"/>
              <w:right w:val="nil"/>
            </w:tcBorders>
            <w:shd w:val="clear" w:color="auto" w:fill="auto"/>
            <w:noWrap/>
            <w:vAlign w:val="center"/>
          </w:tcPr>
          <w:p w14:paraId="77776005" w14:textId="77777777" w:rsidR="00197DCE" w:rsidRPr="00197DCE" w:rsidRDefault="00197DCE" w:rsidP="00D76EC1">
            <w:pPr>
              <w:pStyle w:val="cuatexto"/>
              <w:jc w:val="right"/>
              <w:rPr>
                <w:lang w:val="es-ES" w:eastAsia="es-ES"/>
              </w:rPr>
            </w:pPr>
            <w:r w:rsidRPr="00197DCE">
              <w:rPr>
                <w:lang w:val="es-ES" w:eastAsia="es-ES"/>
              </w:rPr>
              <w:t>Comisión servicios</w:t>
            </w:r>
          </w:p>
        </w:tc>
      </w:tr>
      <w:tr w:rsidR="00197DCE" w:rsidRPr="00181513" w14:paraId="200E321D" w14:textId="77777777" w:rsidTr="00BC509C">
        <w:trPr>
          <w:trHeight w:val="198"/>
        </w:trPr>
        <w:tc>
          <w:tcPr>
            <w:tcW w:w="4820" w:type="dxa"/>
            <w:tcBorders>
              <w:top w:val="single" w:sz="2" w:space="0" w:color="auto"/>
              <w:left w:val="nil"/>
              <w:bottom w:val="single" w:sz="2" w:space="0" w:color="auto"/>
              <w:right w:val="nil"/>
            </w:tcBorders>
            <w:shd w:val="clear" w:color="auto" w:fill="auto"/>
            <w:noWrap/>
            <w:vAlign w:val="center"/>
          </w:tcPr>
          <w:p w14:paraId="065DA60E" w14:textId="77777777" w:rsidR="00197DCE" w:rsidRPr="00197DCE" w:rsidRDefault="00197DCE" w:rsidP="00D76EC1">
            <w:pPr>
              <w:pStyle w:val="cuatexto"/>
              <w:rPr>
                <w:lang w:val="es-ES" w:eastAsia="es-ES"/>
              </w:rPr>
            </w:pPr>
            <w:r w:rsidRPr="00197DCE">
              <w:rPr>
                <w:lang w:val="es-ES" w:eastAsia="es-ES"/>
              </w:rPr>
              <w:t>Oficial administrativo</w:t>
            </w:r>
          </w:p>
        </w:tc>
        <w:tc>
          <w:tcPr>
            <w:tcW w:w="1417" w:type="dxa"/>
            <w:tcBorders>
              <w:top w:val="single" w:sz="2" w:space="0" w:color="auto"/>
              <w:left w:val="nil"/>
              <w:bottom w:val="single" w:sz="2" w:space="0" w:color="auto"/>
              <w:right w:val="nil"/>
            </w:tcBorders>
            <w:vAlign w:val="center"/>
          </w:tcPr>
          <w:p w14:paraId="51B81D2F" w14:textId="77777777" w:rsidR="00197DCE" w:rsidRPr="00197DCE" w:rsidRDefault="00197DCE" w:rsidP="00D76EC1">
            <w:pPr>
              <w:pStyle w:val="cuatexto"/>
              <w:jc w:val="right"/>
              <w:rPr>
                <w:lang w:val="es-ES" w:eastAsia="es-ES"/>
              </w:rPr>
            </w:pPr>
            <w:r w:rsidRPr="00197DCE">
              <w:rPr>
                <w:lang w:val="es-ES" w:eastAsia="es-ES"/>
              </w:rPr>
              <w:t>1</w:t>
            </w:r>
          </w:p>
        </w:tc>
        <w:tc>
          <w:tcPr>
            <w:tcW w:w="2552" w:type="dxa"/>
            <w:tcBorders>
              <w:top w:val="single" w:sz="2" w:space="0" w:color="auto"/>
              <w:left w:val="nil"/>
              <w:bottom w:val="single" w:sz="2" w:space="0" w:color="auto"/>
              <w:right w:val="nil"/>
            </w:tcBorders>
            <w:shd w:val="clear" w:color="auto" w:fill="auto"/>
            <w:noWrap/>
            <w:vAlign w:val="center"/>
          </w:tcPr>
          <w:p w14:paraId="1F447376" w14:textId="77777777" w:rsidR="00197DCE" w:rsidRPr="00197DCE" w:rsidRDefault="00197DCE" w:rsidP="00D76EC1">
            <w:pPr>
              <w:pStyle w:val="cuatexto"/>
              <w:jc w:val="right"/>
              <w:rPr>
                <w:lang w:val="es-ES" w:eastAsia="es-ES"/>
              </w:rPr>
            </w:pPr>
            <w:r w:rsidRPr="00197DCE">
              <w:rPr>
                <w:lang w:val="es-ES" w:eastAsia="es-ES"/>
              </w:rPr>
              <w:t>Activo</w:t>
            </w:r>
          </w:p>
        </w:tc>
      </w:tr>
      <w:tr w:rsidR="00197DCE" w:rsidRPr="00181513" w14:paraId="1D08E5CB" w14:textId="77777777" w:rsidTr="00BC509C">
        <w:trPr>
          <w:trHeight w:val="198"/>
        </w:trPr>
        <w:tc>
          <w:tcPr>
            <w:tcW w:w="4820" w:type="dxa"/>
            <w:tcBorders>
              <w:top w:val="single" w:sz="2" w:space="0" w:color="auto"/>
              <w:left w:val="nil"/>
              <w:bottom w:val="single" w:sz="2" w:space="0" w:color="auto"/>
              <w:right w:val="nil"/>
            </w:tcBorders>
            <w:shd w:val="clear" w:color="auto" w:fill="auto"/>
            <w:noWrap/>
            <w:vAlign w:val="center"/>
            <w:hideMark/>
          </w:tcPr>
          <w:p w14:paraId="5BA53782" w14:textId="77777777" w:rsidR="00197DCE" w:rsidRPr="00197DCE" w:rsidRDefault="00197DCE" w:rsidP="00D76EC1">
            <w:pPr>
              <w:pStyle w:val="cuatexto"/>
              <w:rPr>
                <w:lang w:val="es-ES" w:eastAsia="es-ES"/>
              </w:rPr>
            </w:pPr>
            <w:r w:rsidRPr="00197DCE">
              <w:rPr>
                <w:lang w:val="es-ES" w:eastAsia="es-ES"/>
              </w:rPr>
              <w:t>Técnico compostaje</w:t>
            </w:r>
          </w:p>
        </w:tc>
        <w:tc>
          <w:tcPr>
            <w:tcW w:w="1417" w:type="dxa"/>
            <w:tcBorders>
              <w:top w:val="single" w:sz="2" w:space="0" w:color="auto"/>
              <w:left w:val="nil"/>
              <w:bottom w:val="single" w:sz="2" w:space="0" w:color="auto"/>
              <w:right w:val="nil"/>
            </w:tcBorders>
            <w:vAlign w:val="center"/>
          </w:tcPr>
          <w:p w14:paraId="6C4F602C" w14:textId="77777777" w:rsidR="00197DCE" w:rsidRPr="00197DCE" w:rsidRDefault="00197DCE" w:rsidP="00D76EC1">
            <w:pPr>
              <w:pStyle w:val="cuatexto"/>
              <w:jc w:val="right"/>
              <w:rPr>
                <w:lang w:val="es-ES" w:eastAsia="es-ES"/>
              </w:rPr>
            </w:pPr>
            <w:r w:rsidRPr="00197DCE">
              <w:rPr>
                <w:lang w:val="es-ES" w:eastAsia="es-ES"/>
              </w:rPr>
              <w:t>1</w:t>
            </w:r>
          </w:p>
        </w:tc>
        <w:tc>
          <w:tcPr>
            <w:tcW w:w="2552" w:type="dxa"/>
            <w:tcBorders>
              <w:top w:val="single" w:sz="2" w:space="0" w:color="auto"/>
              <w:left w:val="nil"/>
              <w:bottom w:val="single" w:sz="2" w:space="0" w:color="auto"/>
              <w:right w:val="nil"/>
            </w:tcBorders>
            <w:shd w:val="clear" w:color="auto" w:fill="auto"/>
            <w:noWrap/>
            <w:vAlign w:val="center"/>
          </w:tcPr>
          <w:p w14:paraId="3C29720B" w14:textId="77777777" w:rsidR="00197DCE" w:rsidRPr="00197DCE" w:rsidRDefault="00197DCE" w:rsidP="00D76EC1">
            <w:pPr>
              <w:pStyle w:val="cuatexto"/>
              <w:jc w:val="right"/>
              <w:rPr>
                <w:lang w:val="es-ES" w:eastAsia="es-ES"/>
              </w:rPr>
            </w:pPr>
            <w:r w:rsidRPr="00197DCE">
              <w:rPr>
                <w:lang w:val="es-ES" w:eastAsia="es-ES"/>
              </w:rPr>
              <w:t>Vacante</w:t>
            </w:r>
          </w:p>
        </w:tc>
      </w:tr>
      <w:tr w:rsidR="00197DCE" w:rsidRPr="00181513" w14:paraId="3A85C25B" w14:textId="77777777" w:rsidTr="00BC509C">
        <w:trPr>
          <w:trHeight w:val="198"/>
        </w:trPr>
        <w:tc>
          <w:tcPr>
            <w:tcW w:w="4820" w:type="dxa"/>
            <w:tcBorders>
              <w:top w:val="single" w:sz="2" w:space="0" w:color="auto"/>
              <w:left w:val="nil"/>
              <w:bottom w:val="single" w:sz="2" w:space="0" w:color="auto"/>
              <w:right w:val="nil"/>
            </w:tcBorders>
            <w:shd w:val="clear" w:color="auto" w:fill="auto"/>
            <w:noWrap/>
            <w:vAlign w:val="center"/>
            <w:hideMark/>
          </w:tcPr>
          <w:p w14:paraId="79644F65" w14:textId="77777777" w:rsidR="00197DCE" w:rsidRPr="00197DCE" w:rsidRDefault="00197DCE" w:rsidP="00D76EC1">
            <w:pPr>
              <w:pStyle w:val="cuatexto"/>
              <w:rPr>
                <w:lang w:val="es-ES" w:eastAsia="es-ES"/>
              </w:rPr>
            </w:pPr>
            <w:r w:rsidRPr="00197DCE">
              <w:rPr>
                <w:lang w:val="es-ES" w:eastAsia="es-ES"/>
              </w:rPr>
              <w:t>Conductor</w:t>
            </w:r>
          </w:p>
        </w:tc>
        <w:tc>
          <w:tcPr>
            <w:tcW w:w="1417" w:type="dxa"/>
            <w:tcBorders>
              <w:top w:val="single" w:sz="2" w:space="0" w:color="auto"/>
              <w:left w:val="nil"/>
              <w:bottom w:val="single" w:sz="2" w:space="0" w:color="auto"/>
              <w:right w:val="nil"/>
            </w:tcBorders>
            <w:vAlign w:val="center"/>
          </w:tcPr>
          <w:p w14:paraId="1846CDCE" w14:textId="77777777" w:rsidR="00197DCE" w:rsidRPr="00197DCE" w:rsidRDefault="00197DCE" w:rsidP="00D76EC1">
            <w:pPr>
              <w:pStyle w:val="cuatexto"/>
              <w:jc w:val="right"/>
              <w:rPr>
                <w:lang w:val="es-ES" w:eastAsia="es-ES"/>
              </w:rPr>
            </w:pPr>
            <w:r w:rsidRPr="00197DCE">
              <w:rPr>
                <w:lang w:val="es-ES" w:eastAsia="es-ES"/>
              </w:rPr>
              <w:t>4</w:t>
            </w:r>
          </w:p>
        </w:tc>
        <w:tc>
          <w:tcPr>
            <w:tcW w:w="2552" w:type="dxa"/>
            <w:tcBorders>
              <w:top w:val="single" w:sz="2" w:space="0" w:color="auto"/>
              <w:left w:val="nil"/>
              <w:bottom w:val="single" w:sz="2" w:space="0" w:color="auto"/>
              <w:right w:val="nil"/>
            </w:tcBorders>
            <w:shd w:val="clear" w:color="auto" w:fill="auto"/>
            <w:noWrap/>
            <w:vAlign w:val="center"/>
          </w:tcPr>
          <w:p w14:paraId="6F5211E7" w14:textId="77777777" w:rsidR="00197DCE" w:rsidRPr="00197DCE" w:rsidRDefault="00197DCE" w:rsidP="00D76EC1">
            <w:pPr>
              <w:pStyle w:val="cuatexto"/>
              <w:jc w:val="right"/>
              <w:rPr>
                <w:lang w:val="es-ES" w:eastAsia="es-ES"/>
              </w:rPr>
            </w:pPr>
            <w:r w:rsidRPr="00197DCE">
              <w:rPr>
                <w:lang w:val="es-ES" w:eastAsia="es-ES"/>
              </w:rPr>
              <w:t>Vacantes</w:t>
            </w:r>
          </w:p>
        </w:tc>
      </w:tr>
      <w:tr w:rsidR="00197DCE" w:rsidRPr="00181513" w14:paraId="16BECE3E" w14:textId="77777777" w:rsidTr="009D1B43">
        <w:trPr>
          <w:trHeight w:val="198"/>
        </w:trPr>
        <w:tc>
          <w:tcPr>
            <w:tcW w:w="4820" w:type="dxa"/>
            <w:tcBorders>
              <w:top w:val="single" w:sz="2" w:space="0" w:color="auto"/>
              <w:left w:val="nil"/>
              <w:bottom w:val="single" w:sz="4" w:space="0" w:color="auto"/>
              <w:right w:val="nil"/>
            </w:tcBorders>
            <w:shd w:val="clear" w:color="auto" w:fill="auto"/>
            <w:noWrap/>
            <w:vAlign w:val="center"/>
          </w:tcPr>
          <w:p w14:paraId="387DE537" w14:textId="77777777" w:rsidR="00197DCE" w:rsidRPr="00197DCE" w:rsidRDefault="00197DCE" w:rsidP="00D76EC1">
            <w:pPr>
              <w:pStyle w:val="cuatexto"/>
              <w:rPr>
                <w:lang w:val="es-ES" w:eastAsia="es-ES"/>
              </w:rPr>
            </w:pPr>
            <w:r w:rsidRPr="00197DCE">
              <w:rPr>
                <w:lang w:val="es-ES" w:eastAsia="es-ES"/>
              </w:rPr>
              <w:t>Empleado servicios múltiples</w:t>
            </w:r>
          </w:p>
        </w:tc>
        <w:tc>
          <w:tcPr>
            <w:tcW w:w="1417" w:type="dxa"/>
            <w:tcBorders>
              <w:top w:val="single" w:sz="2" w:space="0" w:color="auto"/>
              <w:left w:val="nil"/>
              <w:bottom w:val="single" w:sz="4" w:space="0" w:color="auto"/>
              <w:right w:val="nil"/>
            </w:tcBorders>
            <w:vAlign w:val="center"/>
          </w:tcPr>
          <w:p w14:paraId="50CF45BF" w14:textId="77777777" w:rsidR="00197DCE" w:rsidRPr="00197DCE" w:rsidRDefault="00197DCE" w:rsidP="00D76EC1">
            <w:pPr>
              <w:pStyle w:val="cuatexto"/>
              <w:jc w:val="right"/>
              <w:rPr>
                <w:lang w:val="es-ES" w:eastAsia="es-ES"/>
              </w:rPr>
            </w:pPr>
            <w:r w:rsidRPr="00197DCE">
              <w:rPr>
                <w:lang w:val="es-ES" w:eastAsia="es-ES"/>
              </w:rPr>
              <w:t>1</w:t>
            </w:r>
          </w:p>
        </w:tc>
        <w:tc>
          <w:tcPr>
            <w:tcW w:w="2552" w:type="dxa"/>
            <w:tcBorders>
              <w:top w:val="single" w:sz="2" w:space="0" w:color="auto"/>
              <w:left w:val="nil"/>
              <w:bottom w:val="single" w:sz="4" w:space="0" w:color="auto"/>
              <w:right w:val="nil"/>
            </w:tcBorders>
            <w:shd w:val="clear" w:color="auto" w:fill="auto"/>
            <w:noWrap/>
            <w:vAlign w:val="center"/>
          </w:tcPr>
          <w:p w14:paraId="3AB39744" w14:textId="77777777" w:rsidR="00197DCE" w:rsidRPr="00197DCE" w:rsidRDefault="00197DCE" w:rsidP="00D76EC1">
            <w:pPr>
              <w:pStyle w:val="cuatexto"/>
              <w:jc w:val="right"/>
              <w:rPr>
                <w:lang w:val="es-ES" w:eastAsia="es-ES"/>
              </w:rPr>
            </w:pPr>
            <w:r w:rsidRPr="00197DCE">
              <w:rPr>
                <w:lang w:val="es-ES" w:eastAsia="es-ES"/>
              </w:rPr>
              <w:t>Vacante</w:t>
            </w:r>
          </w:p>
        </w:tc>
      </w:tr>
      <w:tr w:rsidR="00197DCE" w:rsidRPr="00181513" w14:paraId="7202FE6B" w14:textId="77777777" w:rsidTr="009D1B43">
        <w:trPr>
          <w:trHeight w:val="255"/>
        </w:trPr>
        <w:tc>
          <w:tcPr>
            <w:tcW w:w="4820" w:type="dxa"/>
            <w:tcBorders>
              <w:top w:val="single" w:sz="4" w:space="0" w:color="auto"/>
              <w:left w:val="nil"/>
              <w:bottom w:val="single" w:sz="4" w:space="0" w:color="auto"/>
              <w:right w:val="nil"/>
            </w:tcBorders>
            <w:shd w:val="clear" w:color="auto" w:fill="F4B084"/>
            <w:noWrap/>
            <w:vAlign w:val="center"/>
            <w:hideMark/>
          </w:tcPr>
          <w:p w14:paraId="30FADF64" w14:textId="77777777" w:rsidR="00197DCE" w:rsidRPr="000A296C" w:rsidRDefault="00197DCE" w:rsidP="00D76EC1">
            <w:pPr>
              <w:pStyle w:val="cuadroCabe"/>
              <w:rPr>
                <w:lang w:val="es-ES" w:eastAsia="es-ES"/>
              </w:rPr>
            </w:pPr>
            <w:r w:rsidRPr="22DE07A6">
              <w:rPr>
                <w:lang w:val="es-ES" w:eastAsia="es-ES"/>
              </w:rPr>
              <w:t xml:space="preserve">Total </w:t>
            </w:r>
          </w:p>
        </w:tc>
        <w:tc>
          <w:tcPr>
            <w:tcW w:w="1417" w:type="dxa"/>
            <w:tcBorders>
              <w:top w:val="single" w:sz="4" w:space="0" w:color="auto"/>
              <w:left w:val="nil"/>
              <w:bottom w:val="single" w:sz="4" w:space="0" w:color="auto"/>
              <w:right w:val="nil"/>
            </w:tcBorders>
            <w:shd w:val="clear" w:color="auto" w:fill="F4B084"/>
            <w:vAlign w:val="center"/>
          </w:tcPr>
          <w:p w14:paraId="2358C204" w14:textId="77777777" w:rsidR="00197DCE" w:rsidRPr="000A296C" w:rsidRDefault="00197DCE" w:rsidP="00D76EC1">
            <w:pPr>
              <w:pStyle w:val="cuadroCabe"/>
              <w:jc w:val="right"/>
              <w:rPr>
                <w:lang w:val="es-ES" w:eastAsia="es-ES"/>
              </w:rPr>
            </w:pPr>
            <w:r w:rsidRPr="000A296C">
              <w:rPr>
                <w:lang w:val="es-ES" w:eastAsia="es-ES"/>
              </w:rPr>
              <w:t>8</w:t>
            </w:r>
          </w:p>
        </w:tc>
        <w:tc>
          <w:tcPr>
            <w:tcW w:w="2552" w:type="dxa"/>
            <w:tcBorders>
              <w:top w:val="single" w:sz="4" w:space="0" w:color="auto"/>
              <w:left w:val="nil"/>
              <w:bottom w:val="single" w:sz="4" w:space="0" w:color="auto"/>
              <w:right w:val="nil"/>
            </w:tcBorders>
            <w:shd w:val="clear" w:color="auto" w:fill="F4B084"/>
            <w:noWrap/>
            <w:vAlign w:val="center"/>
          </w:tcPr>
          <w:p w14:paraId="1F17E042" w14:textId="77777777" w:rsidR="00197DCE" w:rsidRPr="000A296C" w:rsidRDefault="00197DCE" w:rsidP="00D76EC1">
            <w:pPr>
              <w:pStyle w:val="cuadroCabe"/>
              <w:jc w:val="right"/>
              <w:rPr>
                <w:lang w:val="es-ES" w:eastAsia="es-ES"/>
              </w:rPr>
            </w:pPr>
          </w:p>
        </w:tc>
      </w:tr>
    </w:tbl>
    <w:p w14:paraId="07CA0B16" w14:textId="14E6EFE0" w:rsidR="00190062" w:rsidRPr="004B58E1" w:rsidRDefault="00197DCE" w:rsidP="007871B2">
      <w:pPr>
        <w:tabs>
          <w:tab w:val="center" w:pos="2835"/>
          <w:tab w:val="center" w:pos="3969"/>
          <w:tab w:val="center" w:pos="5103"/>
          <w:tab w:val="center" w:pos="6237"/>
          <w:tab w:val="center" w:pos="7371"/>
        </w:tabs>
        <w:spacing w:before="240" w:after="120"/>
        <w:ind w:firstLine="284"/>
        <w:rPr>
          <w:spacing w:val="6"/>
          <w:sz w:val="26"/>
          <w:szCs w:val="26"/>
        </w:rPr>
      </w:pPr>
      <w:r w:rsidRPr="55324B69">
        <w:rPr>
          <w:spacing w:val="6"/>
          <w:sz w:val="26"/>
          <w:szCs w:val="26"/>
        </w:rPr>
        <w:t>Todos los puestos de trabajo, salvo el del secretario</w:t>
      </w:r>
      <w:r w:rsidR="000564EF">
        <w:rPr>
          <w:spacing w:val="6"/>
          <w:sz w:val="26"/>
          <w:szCs w:val="26"/>
        </w:rPr>
        <w:t>-intervento</w:t>
      </w:r>
      <w:r w:rsidR="00190062">
        <w:rPr>
          <w:spacing w:val="6"/>
          <w:sz w:val="26"/>
          <w:szCs w:val="26"/>
        </w:rPr>
        <w:t>r</w:t>
      </w:r>
      <w:r w:rsidRPr="55324B69">
        <w:rPr>
          <w:spacing w:val="6"/>
          <w:sz w:val="26"/>
          <w:szCs w:val="26"/>
        </w:rPr>
        <w:t xml:space="preserve"> que </w:t>
      </w:r>
      <w:r w:rsidR="002D36D8">
        <w:rPr>
          <w:spacing w:val="6"/>
          <w:sz w:val="26"/>
          <w:szCs w:val="26"/>
        </w:rPr>
        <w:t>lo ejerce</w:t>
      </w:r>
      <w:r w:rsidRPr="55324B69">
        <w:rPr>
          <w:spacing w:val="6"/>
          <w:sz w:val="26"/>
          <w:szCs w:val="26"/>
        </w:rPr>
        <w:t xml:space="preserve"> el secretario del Ayuntamiento de Aoiz, </w:t>
      </w:r>
      <w:r w:rsidR="00F612B8">
        <w:rPr>
          <w:spacing w:val="6"/>
          <w:sz w:val="26"/>
          <w:szCs w:val="26"/>
        </w:rPr>
        <w:t>presentan</w:t>
      </w:r>
      <w:r w:rsidRPr="55324B69">
        <w:rPr>
          <w:spacing w:val="6"/>
          <w:sz w:val="26"/>
          <w:szCs w:val="26"/>
        </w:rPr>
        <w:t xml:space="preserve"> </w:t>
      </w:r>
      <w:r w:rsidRPr="004B58E1">
        <w:rPr>
          <w:spacing w:val="6"/>
          <w:sz w:val="26"/>
          <w:szCs w:val="26"/>
        </w:rPr>
        <w:t>régimen</w:t>
      </w:r>
      <w:r w:rsidR="00597508" w:rsidRPr="004B58E1">
        <w:rPr>
          <w:spacing w:val="6"/>
          <w:sz w:val="26"/>
          <w:szCs w:val="26"/>
        </w:rPr>
        <w:t xml:space="preserve"> jurídico laboral y se les aplica el convenio </w:t>
      </w:r>
      <w:r w:rsidR="000564EF" w:rsidRPr="004B58E1">
        <w:rPr>
          <w:spacing w:val="6"/>
          <w:sz w:val="26"/>
          <w:szCs w:val="26"/>
        </w:rPr>
        <w:t xml:space="preserve">laboral de los trabajadores del servicio de residuos de la </w:t>
      </w:r>
      <w:r w:rsidR="003C06D0">
        <w:rPr>
          <w:spacing w:val="6"/>
          <w:sz w:val="26"/>
          <w:szCs w:val="26"/>
        </w:rPr>
        <w:t>Mancomunidad</w:t>
      </w:r>
      <w:r w:rsidR="31D926E2" w:rsidRPr="004B58E1">
        <w:rPr>
          <w:spacing w:val="6"/>
          <w:sz w:val="26"/>
          <w:szCs w:val="26"/>
        </w:rPr>
        <w:t>,</w:t>
      </w:r>
      <w:r w:rsidR="000564EF" w:rsidRPr="004B58E1">
        <w:rPr>
          <w:spacing w:val="6"/>
          <w:sz w:val="26"/>
          <w:szCs w:val="26"/>
        </w:rPr>
        <w:t xml:space="preserve"> </w:t>
      </w:r>
      <w:r w:rsidR="00597508" w:rsidRPr="004B58E1">
        <w:rPr>
          <w:spacing w:val="6"/>
          <w:sz w:val="26"/>
          <w:szCs w:val="26"/>
        </w:rPr>
        <w:t>aproba</w:t>
      </w:r>
      <w:r w:rsidR="00F7703C" w:rsidRPr="004B58E1">
        <w:rPr>
          <w:spacing w:val="6"/>
          <w:sz w:val="26"/>
          <w:szCs w:val="26"/>
        </w:rPr>
        <w:t>do para el periodo 2019-202</w:t>
      </w:r>
      <w:r w:rsidR="00CF2D8B">
        <w:rPr>
          <w:spacing w:val="6"/>
          <w:sz w:val="26"/>
          <w:szCs w:val="26"/>
        </w:rPr>
        <w:t>1</w:t>
      </w:r>
      <w:r w:rsidR="00F7703C" w:rsidRPr="004B58E1">
        <w:rPr>
          <w:spacing w:val="6"/>
          <w:sz w:val="26"/>
          <w:szCs w:val="26"/>
        </w:rPr>
        <w:t xml:space="preserve">, </w:t>
      </w:r>
      <w:r w:rsidR="00C96C73">
        <w:rPr>
          <w:spacing w:val="6"/>
          <w:sz w:val="26"/>
          <w:szCs w:val="26"/>
        </w:rPr>
        <w:t>Este remite, a su vez,</w:t>
      </w:r>
      <w:r w:rsidR="00C96C73" w:rsidRPr="004B58E1">
        <w:rPr>
          <w:spacing w:val="6"/>
          <w:sz w:val="26"/>
          <w:szCs w:val="26"/>
        </w:rPr>
        <w:t xml:space="preserve"> </w:t>
      </w:r>
      <w:r w:rsidR="00F7703C" w:rsidRPr="004B58E1">
        <w:rPr>
          <w:spacing w:val="6"/>
          <w:sz w:val="26"/>
          <w:szCs w:val="26"/>
        </w:rPr>
        <w:t>al</w:t>
      </w:r>
      <w:r w:rsidR="00FC75FD" w:rsidRPr="004B58E1">
        <w:rPr>
          <w:spacing w:val="6"/>
          <w:sz w:val="26"/>
          <w:szCs w:val="26"/>
        </w:rPr>
        <w:t xml:space="preserve"> convenio colectivo del personal laboral de la Administraci</w:t>
      </w:r>
      <w:r w:rsidR="004B58E1" w:rsidRPr="004B58E1">
        <w:rPr>
          <w:spacing w:val="6"/>
          <w:sz w:val="26"/>
          <w:szCs w:val="26"/>
        </w:rPr>
        <w:t>ó</w:t>
      </w:r>
      <w:r w:rsidR="00FC75FD" w:rsidRPr="004B58E1">
        <w:rPr>
          <w:spacing w:val="6"/>
          <w:sz w:val="26"/>
          <w:szCs w:val="26"/>
        </w:rPr>
        <w:t xml:space="preserve">n Foral de Navarra </w:t>
      </w:r>
      <w:r w:rsidR="004B58E1" w:rsidRPr="004B58E1">
        <w:rPr>
          <w:spacing w:val="6"/>
          <w:sz w:val="26"/>
          <w:szCs w:val="26"/>
        </w:rPr>
        <w:t xml:space="preserve">para todo lo no dispuesto en el convenio laboral de la </w:t>
      </w:r>
      <w:r w:rsidR="003C06D0">
        <w:rPr>
          <w:spacing w:val="6"/>
          <w:sz w:val="26"/>
          <w:szCs w:val="26"/>
        </w:rPr>
        <w:t>Mancomunidad</w:t>
      </w:r>
      <w:r w:rsidR="004B58E1" w:rsidRPr="004B58E1">
        <w:rPr>
          <w:spacing w:val="6"/>
          <w:sz w:val="26"/>
          <w:szCs w:val="26"/>
        </w:rPr>
        <w:t>.</w:t>
      </w:r>
    </w:p>
    <w:p w14:paraId="12AE304B" w14:textId="4157A397" w:rsidR="00D346D0" w:rsidRDefault="00E315AE" w:rsidP="000E070D">
      <w:pPr>
        <w:tabs>
          <w:tab w:val="center" w:pos="2835"/>
          <w:tab w:val="center" w:pos="3969"/>
          <w:tab w:val="center" w:pos="5103"/>
          <w:tab w:val="center" w:pos="6237"/>
          <w:tab w:val="center" w:pos="7371"/>
        </w:tabs>
        <w:ind w:firstLine="284"/>
        <w:rPr>
          <w:spacing w:val="6"/>
          <w:sz w:val="26"/>
          <w:szCs w:val="26"/>
        </w:rPr>
      </w:pPr>
      <w:r>
        <w:rPr>
          <w:spacing w:val="6"/>
          <w:sz w:val="26"/>
          <w:szCs w:val="26"/>
        </w:rPr>
        <w:t>A 31 de diciembre de 2023, d</w:t>
      </w:r>
      <w:r w:rsidR="00D346D0">
        <w:rPr>
          <w:spacing w:val="6"/>
          <w:sz w:val="26"/>
          <w:szCs w:val="26"/>
        </w:rPr>
        <w:t>e los ocho puestos de trabajo, seis se encontraban vacantes</w:t>
      </w:r>
      <w:r>
        <w:rPr>
          <w:spacing w:val="6"/>
          <w:sz w:val="26"/>
          <w:szCs w:val="26"/>
        </w:rPr>
        <w:t>.</w:t>
      </w:r>
      <w:r w:rsidR="00D346D0">
        <w:rPr>
          <w:color w:val="FF0000"/>
          <w:spacing w:val="6"/>
          <w:sz w:val="26"/>
          <w:szCs w:val="26"/>
        </w:rPr>
        <w:t xml:space="preserve"> </w:t>
      </w:r>
    </w:p>
    <w:p w14:paraId="3F1BD2EF" w14:textId="6D5A6596" w:rsidR="00CF2D8B" w:rsidRDefault="00197DCE" w:rsidP="06D4BFB9">
      <w:pPr>
        <w:tabs>
          <w:tab w:val="center" w:pos="2835"/>
          <w:tab w:val="center" w:pos="3969"/>
          <w:tab w:val="center" w:pos="5103"/>
          <w:tab w:val="center" w:pos="6237"/>
          <w:tab w:val="center" w:pos="7371"/>
        </w:tabs>
        <w:spacing w:before="120" w:after="120"/>
        <w:ind w:firstLine="284"/>
        <w:rPr>
          <w:spacing w:val="6"/>
          <w:sz w:val="26"/>
          <w:szCs w:val="26"/>
          <w:lang w:val="es-ES"/>
        </w:rPr>
      </w:pPr>
      <w:r w:rsidRPr="06D4BFB9">
        <w:rPr>
          <w:spacing w:val="6"/>
          <w:sz w:val="26"/>
          <w:szCs w:val="26"/>
          <w:lang w:val="es-ES"/>
        </w:rPr>
        <w:t xml:space="preserve">La presidenta de la </w:t>
      </w:r>
      <w:r w:rsidR="003C06D0">
        <w:rPr>
          <w:spacing w:val="6"/>
          <w:sz w:val="26"/>
          <w:szCs w:val="26"/>
          <w:lang w:val="es-ES"/>
        </w:rPr>
        <w:t>Mancomunidad</w:t>
      </w:r>
      <w:r w:rsidRPr="06D4BFB9">
        <w:rPr>
          <w:spacing w:val="6"/>
          <w:sz w:val="26"/>
          <w:szCs w:val="26"/>
          <w:lang w:val="es-ES"/>
        </w:rPr>
        <w:t xml:space="preserve"> aprobó el 12 de mayo de 2022 una </w:t>
      </w:r>
      <w:r w:rsidR="7F14EA42" w:rsidRPr="06D4BFB9">
        <w:rPr>
          <w:spacing w:val="6"/>
          <w:sz w:val="26"/>
          <w:szCs w:val="26"/>
          <w:lang w:val="es-ES"/>
        </w:rPr>
        <w:t>oferta pública de empleo (</w:t>
      </w:r>
      <w:r w:rsidRPr="06D4BFB9">
        <w:rPr>
          <w:spacing w:val="6"/>
          <w:sz w:val="26"/>
          <w:szCs w:val="26"/>
          <w:lang w:val="es-ES"/>
        </w:rPr>
        <w:t>OPE</w:t>
      </w:r>
      <w:r w:rsidR="2D31F828" w:rsidRPr="2C569507">
        <w:rPr>
          <w:sz w:val="26"/>
          <w:szCs w:val="26"/>
          <w:lang w:val="es-ES"/>
        </w:rPr>
        <w:t>)</w:t>
      </w:r>
      <w:r w:rsidR="4CE0D7A0" w:rsidRPr="06D4BFB9">
        <w:rPr>
          <w:spacing w:val="6"/>
          <w:sz w:val="26"/>
          <w:szCs w:val="26"/>
          <w:lang w:val="es-ES"/>
        </w:rPr>
        <w:t xml:space="preserve"> </w:t>
      </w:r>
      <w:r w:rsidRPr="06D4BFB9">
        <w:rPr>
          <w:spacing w:val="6"/>
          <w:sz w:val="26"/>
          <w:szCs w:val="26"/>
          <w:lang w:val="es-ES"/>
        </w:rPr>
        <w:t>de cuatro plazas de conductor, una de técnico de compostaje y una de empleado de servicios múltiples, al amparo de la Ley 20/2021, de 28 de diciembre de medidas urgentes para la reducción de la temporalidad en el empleo público.</w:t>
      </w:r>
      <w:r w:rsidR="00CF2D8B" w:rsidRPr="06D4BFB9">
        <w:rPr>
          <w:spacing w:val="6"/>
          <w:sz w:val="26"/>
          <w:szCs w:val="26"/>
          <w:lang w:val="es-ES"/>
        </w:rPr>
        <w:t xml:space="preserve"> La </w:t>
      </w:r>
      <w:r w:rsidR="003E7144">
        <w:rPr>
          <w:spacing w:val="6"/>
          <w:sz w:val="26"/>
          <w:szCs w:val="26"/>
          <w:lang w:val="es-ES"/>
        </w:rPr>
        <w:t>a</w:t>
      </w:r>
      <w:r w:rsidR="003E7144" w:rsidRPr="06D4BFB9">
        <w:rPr>
          <w:spacing w:val="6"/>
          <w:sz w:val="26"/>
          <w:szCs w:val="26"/>
          <w:lang w:val="es-ES"/>
        </w:rPr>
        <w:t xml:space="preserve">samblea </w:t>
      </w:r>
      <w:r w:rsidR="003E7144">
        <w:rPr>
          <w:spacing w:val="6"/>
          <w:sz w:val="26"/>
          <w:szCs w:val="26"/>
          <w:lang w:val="es-ES"/>
        </w:rPr>
        <w:t xml:space="preserve">general </w:t>
      </w:r>
      <w:r w:rsidR="00CF2D8B" w:rsidRPr="06D4BFB9">
        <w:rPr>
          <w:spacing w:val="6"/>
          <w:sz w:val="26"/>
          <w:szCs w:val="26"/>
          <w:lang w:val="es-ES"/>
        </w:rPr>
        <w:t xml:space="preserve">de la </w:t>
      </w:r>
      <w:r w:rsidR="003C06D0">
        <w:rPr>
          <w:spacing w:val="6"/>
          <w:sz w:val="26"/>
          <w:szCs w:val="26"/>
          <w:lang w:val="es-ES"/>
        </w:rPr>
        <w:t>Mancomunidad</w:t>
      </w:r>
      <w:r w:rsidR="00CF2D8B" w:rsidRPr="06D4BFB9">
        <w:rPr>
          <w:spacing w:val="6"/>
          <w:sz w:val="26"/>
          <w:szCs w:val="26"/>
          <w:lang w:val="es-ES"/>
        </w:rPr>
        <w:t xml:space="preserve"> acordó el 1 de diciembre de 2022 adherirse de forma parcial a la regulación contenida en el Título </w:t>
      </w:r>
      <w:r w:rsidR="00CF2D8B" w:rsidRPr="06D4BFB9">
        <w:rPr>
          <w:spacing w:val="6"/>
          <w:sz w:val="26"/>
          <w:szCs w:val="26"/>
          <w:lang w:val="es-ES"/>
        </w:rPr>
        <w:lastRenderedPageBreak/>
        <w:t>II de la Ley Foral 19/2022, de 1 de julio, de medidas para la realización de los procesos de estabilización derivados de la citada Ley 20/2021.</w:t>
      </w:r>
    </w:p>
    <w:p w14:paraId="7DF9F2DB" w14:textId="4CDFC1D4" w:rsidR="00197DCE" w:rsidRDefault="00197DCE" w:rsidP="00197DCE">
      <w:pPr>
        <w:tabs>
          <w:tab w:val="center" w:pos="2835"/>
          <w:tab w:val="center" w:pos="3969"/>
          <w:tab w:val="center" w:pos="5103"/>
          <w:tab w:val="center" w:pos="6237"/>
          <w:tab w:val="center" w:pos="7371"/>
        </w:tabs>
        <w:spacing w:before="120" w:after="120"/>
        <w:ind w:firstLine="284"/>
        <w:rPr>
          <w:spacing w:val="6"/>
          <w:sz w:val="26"/>
          <w:szCs w:val="26"/>
        </w:rPr>
      </w:pPr>
      <w:r w:rsidRPr="55324B69">
        <w:rPr>
          <w:spacing w:val="6"/>
          <w:sz w:val="26"/>
          <w:szCs w:val="26"/>
        </w:rPr>
        <w:t xml:space="preserve">La OPE se publicó </w:t>
      </w:r>
      <w:r w:rsidR="0074385D">
        <w:rPr>
          <w:spacing w:val="6"/>
          <w:sz w:val="26"/>
          <w:szCs w:val="26"/>
        </w:rPr>
        <w:t xml:space="preserve">en el BON </w:t>
      </w:r>
      <w:r w:rsidRPr="55324B69">
        <w:rPr>
          <w:spacing w:val="6"/>
          <w:sz w:val="26"/>
          <w:szCs w:val="26"/>
        </w:rPr>
        <w:t>el 24 de mayo de 2022</w:t>
      </w:r>
      <w:r w:rsidR="0074385D">
        <w:rPr>
          <w:spacing w:val="6"/>
          <w:sz w:val="26"/>
          <w:szCs w:val="26"/>
        </w:rPr>
        <w:t>.</w:t>
      </w:r>
    </w:p>
    <w:p w14:paraId="18249AFE" w14:textId="2D7D8B2D" w:rsidR="004A0721" w:rsidRDefault="00197DCE" w:rsidP="00197DCE">
      <w:pPr>
        <w:tabs>
          <w:tab w:val="center" w:pos="2835"/>
          <w:tab w:val="center" w:pos="3969"/>
          <w:tab w:val="center" w:pos="5103"/>
          <w:tab w:val="center" w:pos="6237"/>
          <w:tab w:val="center" w:pos="7371"/>
        </w:tabs>
        <w:spacing w:before="120" w:after="120"/>
        <w:ind w:firstLine="284"/>
        <w:rPr>
          <w:spacing w:val="6"/>
          <w:sz w:val="26"/>
          <w:szCs w:val="26"/>
        </w:rPr>
      </w:pPr>
      <w:r w:rsidRPr="6CEECFF5">
        <w:rPr>
          <w:spacing w:val="6"/>
          <w:sz w:val="26"/>
          <w:szCs w:val="26"/>
        </w:rPr>
        <w:t xml:space="preserve">El 2 de diciembre de 2022, la presidenta de la </w:t>
      </w:r>
      <w:r w:rsidR="003C06D0">
        <w:rPr>
          <w:spacing w:val="6"/>
          <w:sz w:val="26"/>
          <w:szCs w:val="26"/>
        </w:rPr>
        <w:t>Mancomunidad</w:t>
      </w:r>
      <w:r w:rsidRPr="6CEECFF5">
        <w:rPr>
          <w:spacing w:val="6"/>
          <w:sz w:val="26"/>
          <w:szCs w:val="26"/>
        </w:rPr>
        <w:t xml:space="preserve"> aprobó la convocatoria para la provisión, mediante concurso de méritos, de las seis plazas ofertadas</w:t>
      </w:r>
      <w:r w:rsidR="0074385D">
        <w:rPr>
          <w:spacing w:val="6"/>
          <w:sz w:val="26"/>
          <w:szCs w:val="26"/>
        </w:rPr>
        <w:t xml:space="preserve">, </w:t>
      </w:r>
      <w:r w:rsidR="00D866AF">
        <w:rPr>
          <w:spacing w:val="6"/>
          <w:sz w:val="26"/>
          <w:szCs w:val="26"/>
        </w:rPr>
        <w:t xml:space="preserve">convocatoria </w:t>
      </w:r>
      <w:r w:rsidR="0074385D">
        <w:rPr>
          <w:spacing w:val="6"/>
          <w:sz w:val="26"/>
          <w:szCs w:val="26"/>
        </w:rPr>
        <w:t>que se publicó en el BON el 19 de diciembre de 2022</w:t>
      </w:r>
      <w:r w:rsidRPr="6CEECFF5">
        <w:rPr>
          <w:spacing w:val="6"/>
          <w:sz w:val="26"/>
          <w:szCs w:val="26"/>
        </w:rPr>
        <w:t>.</w:t>
      </w:r>
      <w:r w:rsidR="000A296C">
        <w:rPr>
          <w:spacing w:val="6"/>
          <w:sz w:val="26"/>
          <w:szCs w:val="26"/>
        </w:rPr>
        <w:t xml:space="preserve"> </w:t>
      </w:r>
    </w:p>
    <w:p w14:paraId="295D48A9" w14:textId="111A3A3D" w:rsidR="000B16BE" w:rsidRDefault="00A54386" w:rsidP="004A0721">
      <w:pPr>
        <w:tabs>
          <w:tab w:val="center" w:pos="2835"/>
          <w:tab w:val="center" w:pos="3969"/>
          <w:tab w:val="center" w:pos="5103"/>
          <w:tab w:val="center" w:pos="6237"/>
          <w:tab w:val="center" w:pos="7371"/>
        </w:tabs>
        <w:spacing w:before="120" w:after="120"/>
        <w:ind w:firstLine="284"/>
        <w:rPr>
          <w:spacing w:val="6"/>
          <w:sz w:val="26"/>
          <w:szCs w:val="26"/>
        </w:rPr>
      </w:pPr>
      <w:r>
        <w:rPr>
          <w:spacing w:val="6"/>
          <w:sz w:val="26"/>
          <w:szCs w:val="26"/>
        </w:rPr>
        <w:t>En la Ley 20/2021, de 28 de diciembre, el</w:t>
      </w:r>
      <w:r w:rsidR="004A0721">
        <w:rPr>
          <w:spacing w:val="6"/>
          <w:sz w:val="26"/>
          <w:szCs w:val="26"/>
        </w:rPr>
        <w:t xml:space="preserve"> concurso de méritos se establece como proceso excepcional para aquellas plazas ocupadas con carácter temporal de forma ininterrumpida con anterioridad a 1 de enero de 2016.</w:t>
      </w:r>
    </w:p>
    <w:p w14:paraId="78BBADED" w14:textId="43B693A4" w:rsidR="004A0721" w:rsidRPr="00880D89" w:rsidRDefault="000B16BE" w:rsidP="004A0721">
      <w:pPr>
        <w:tabs>
          <w:tab w:val="center" w:pos="2835"/>
          <w:tab w:val="center" w:pos="3969"/>
          <w:tab w:val="center" w:pos="5103"/>
          <w:tab w:val="center" w:pos="6237"/>
          <w:tab w:val="center" w:pos="7371"/>
        </w:tabs>
        <w:spacing w:before="120" w:after="120"/>
        <w:ind w:firstLine="284"/>
        <w:rPr>
          <w:spacing w:val="6"/>
          <w:sz w:val="26"/>
          <w:szCs w:val="26"/>
        </w:rPr>
      </w:pPr>
      <w:r w:rsidRPr="00880D89">
        <w:rPr>
          <w:spacing w:val="6"/>
          <w:sz w:val="26"/>
          <w:szCs w:val="26"/>
        </w:rPr>
        <w:t>Las plazas convocadas cumplen</w:t>
      </w:r>
      <w:r w:rsidR="00880D89" w:rsidRPr="00880D89">
        <w:rPr>
          <w:spacing w:val="6"/>
          <w:sz w:val="26"/>
          <w:szCs w:val="26"/>
        </w:rPr>
        <w:t xml:space="preserve"> </w:t>
      </w:r>
      <w:r w:rsidRPr="00880D89">
        <w:rPr>
          <w:spacing w:val="6"/>
          <w:sz w:val="26"/>
          <w:szCs w:val="26"/>
        </w:rPr>
        <w:t>dicho requisito de antigüedad.</w:t>
      </w:r>
    </w:p>
    <w:p w14:paraId="157C56E4" w14:textId="72F9A061" w:rsidR="00880D89" w:rsidRDefault="004A0721" w:rsidP="2C569507">
      <w:pPr>
        <w:tabs>
          <w:tab w:val="center" w:pos="2835"/>
          <w:tab w:val="center" w:pos="3969"/>
          <w:tab w:val="center" w:pos="5103"/>
          <w:tab w:val="center" w:pos="6237"/>
          <w:tab w:val="center" w:pos="7371"/>
        </w:tabs>
        <w:spacing w:before="120" w:after="120"/>
        <w:ind w:firstLine="284"/>
        <w:rPr>
          <w:spacing w:val="6"/>
          <w:sz w:val="26"/>
          <w:szCs w:val="26"/>
          <w:lang w:val="es-ES"/>
        </w:rPr>
      </w:pPr>
      <w:r w:rsidRPr="2C569507">
        <w:rPr>
          <w:spacing w:val="6"/>
          <w:sz w:val="26"/>
          <w:szCs w:val="26"/>
          <w:lang w:val="es-ES"/>
        </w:rPr>
        <w:t xml:space="preserve">El </w:t>
      </w:r>
      <w:r w:rsidR="008C1D6D" w:rsidRPr="2C569507">
        <w:rPr>
          <w:spacing w:val="6"/>
          <w:sz w:val="26"/>
          <w:szCs w:val="26"/>
          <w:lang w:val="es-ES"/>
        </w:rPr>
        <w:t xml:space="preserve">27 de mayo de 2024 </w:t>
      </w:r>
      <w:r w:rsidRPr="2C569507">
        <w:rPr>
          <w:spacing w:val="6"/>
          <w:sz w:val="26"/>
          <w:szCs w:val="26"/>
          <w:lang w:val="es-ES"/>
        </w:rPr>
        <w:t xml:space="preserve">se publicó en la página web de la </w:t>
      </w:r>
      <w:r w:rsidR="003C06D0">
        <w:rPr>
          <w:spacing w:val="6"/>
          <w:sz w:val="26"/>
          <w:szCs w:val="26"/>
          <w:lang w:val="es-ES"/>
        </w:rPr>
        <w:t>Mancomunidad</w:t>
      </w:r>
      <w:r w:rsidRPr="2C569507">
        <w:rPr>
          <w:spacing w:val="6"/>
          <w:sz w:val="26"/>
          <w:szCs w:val="26"/>
          <w:lang w:val="es-ES"/>
        </w:rPr>
        <w:t xml:space="preserve"> la </w:t>
      </w:r>
      <w:r w:rsidR="008C1D6D" w:rsidRPr="2C569507">
        <w:rPr>
          <w:spacing w:val="6"/>
          <w:sz w:val="26"/>
          <w:szCs w:val="26"/>
          <w:lang w:val="es-ES"/>
        </w:rPr>
        <w:t>propuesta de nombramiento</w:t>
      </w:r>
      <w:r w:rsidR="006B0499" w:rsidRPr="2C569507">
        <w:rPr>
          <w:spacing w:val="6"/>
          <w:sz w:val="26"/>
          <w:szCs w:val="26"/>
          <w:lang w:val="es-ES"/>
        </w:rPr>
        <w:t xml:space="preserve"> </w:t>
      </w:r>
      <w:r w:rsidR="00880D89" w:rsidRPr="2C569507">
        <w:rPr>
          <w:spacing w:val="6"/>
          <w:sz w:val="26"/>
          <w:szCs w:val="26"/>
          <w:lang w:val="es-ES"/>
        </w:rPr>
        <w:t>y el 30 de agosto en el BON</w:t>
      </w:r>
      <w:r w:rsidR="00DA5DE6">
        <w:rPr>
          <w:spacing w:val="6"/>
          <w:sz w:val="26"/>
          <w:szCs w:val="26"/>
          <w:lang w:val="es-ES"/>
        </w:rPr>
        <w:t>.</w:t>
      </w:r>
    </w:p>
    <w:p w14:paraId="15A4C394" w14:textId="2F45D573" w:rsidR="00DA5DE6" w:rsidRDefault="00DA5DE6" w:rsidP="2C569507">
      <w:pPr>
        <w:tabs>
          <w:tab w:val="center" w:pos="2835"/>
          <w:tab w:val="center" w:pos="3969"/>
          <w:tab w:val="center" w:pos="5103"/>
          <w:tab w:val="center" w:pos="6237"/>
          <w:tab w:val="center" w:pos="7371"/>
        </w:tabs>
        <w:spacing w:before="120" w:after="120"/>
        <w:ind w:firstLine="284"/>
        <w:rPr>
          <w:spacing w:val="6"/>
          <w:sz w:val="26"/>
          <w:szCs w:val="26"/>
          <w:lang w:val="es-ES"/>
        </w:rPr>
      </w:pPr>
      <w:r>
        <w:rPr>
          <w:spacing w:val="6"/>
          <w:sz w:val="26"/>
          <w:szCs w:val="26"/>
          <w:lang w:val="es-ES"/>
        </w:rPr>
        <w:t>Tras el proceso de estabilización, todas las plazas vacantes están cubiertas por personal fijo y no existen puestos cubiertos de forma temporal.</w:t>
      </w:r>
    </w:p>
    <w:p w14:paraId="582D9CE4" w14:textId="2E4537AF" w:rsidR="002B7E8E" w:rsidRPr="00DA5DE6" w:rsidRDefault="002B7E8E" w:rsidP="005625D7">
      <w:pPr>
        <w:tabs>
          <w:tab w:val="center" w:pos="2835"/>
          <w:tab w:val="center" w:pos="3969"/>
          <w:tab w:val="center" w:pos="5103"/>
          <w:tab w:val="center" w:pos="6237"/>
          <w:tab w:val="center" w:pos="7371"/>
        </w:tabs>
        <w:spacing w:before="120" w:after="120"/>
        <w:ind w:firstLine="284"/>
        <w:rPr>
          <w:szCs w:val="26"/>
        </w:rPr>
      </w:pPr>
      <w:r w:rsidRPr="00DA5DE6">
        <w:rPr>
          <w:spacing w:val="6"/>
          <w:sz w:val="26"/>
          <w:szCs w:val="26"/>
        </w:rPr>
        <w:t>Las conclusiones obtenidas de la fiscalización de los gastos de personal son las siguientes:</w:t>
      </w:r>
    </w:p>
    <w:p w14:paraId="7792B252" w14:textId="177994C2" w:rsidR="00516BCC" w:rsidRPr="00D44BA0" w:rsidRDefault="00516BCC" w:rsidP="00CB7B2F">
      <w:pPr>
        <w:pStyle w:val="texto"/>
        <w:numPr>
          <w:ilvl w:val="0"/>
          <w:numId w:val="18"/>
        </w:numPr>
        <w:tabs>
          <w:tab w:val="num" w:pos="567"/>
          <w:tab w:val="num" w:pos="2770"/>
        </w:tabs>
        <w:ind w:left="0" w:firstLine="290"/>
      </w:pPr>
      <w:r w:rsidRPr="00D44BA0">
        <w:t xml:space="preserve">En 2022, el puesto de empleado de servicios múltiples estaba encuadrado en el nivel E y en 2023 se </w:t>
      </w:r>
      <w:r w:rsidR="00D866AF" w:rsidRPr="00D44BA0">
        <w:t xml:space="preserve">incluye en la plantilla orgánica </w:t>
      </w:r>
      <w:r w:rsidRPr="00D44BA0">
        <w:t xml:space="preserve">en el nivel D. Esta modificación </w:t>
      </w:r>
      <w:r w:rsidR="006A79C7" w:rsidRPr="00D44BA0">
        <w:t xml:space="preserve">se </w:t>
      </w:r>
      <w:r w:rsidRPr="00D44BA0">
        <w:t>justifica en lo establecido en el Decreto Ley Foral 1/2018, de 24 de octubre, por el que se aprueban medidas en materia de personal al servicio de la ACFN y sus OOAA, aplicable única y exclusivamente al citado personal y no a las entidades locales.</w:t>
      </w:r>
    </w:p>
    <w:p w14:paraId="51CFFB7C" w14:textId="77777777" w:rsidR="00516BCC" w:rsidRPr="007A6C78" w:rsidRDefault="00516BCC" w:rsidP="00516BCC">
      <w:pPr>
        <w:pStyle w:val="texto"/>
        <w:tabs>
          <w:tab w:val="left" w:pos="142"/>
          <w:tab w:val="num" w:pos="600"/>
          <w:tab w:val="num" w:pos="720"/>
          <w:tab w:val="num" w:pos="1637"/>
        </w:tabs>
        <w:rPr>
          <w:szCs w:val="26"/>
        </w:rPr>
      </w:pPr>
      <w:r w:rsidRPr="007A6C78">
        <w:rPr>
          <w:szCs w:val="26"/>
        </w:rPr>
        <w:t>En el ámbito local, la promoción de nivel está sometida al cumplimiento de lo establecido en el Decreto Foral Legislativo 251/1993, de 30 de agosto, que exige, entre otros requisitos, superar las correspondientes pruebas selectivas.</w:t>
      </w:r>
    </w:p>
    <w:p w14:paraId="72BBD74F" w14:textId="0F49827D" w:rsidR="00D63261" w:rsidRPr="00207DDE" w:rsidRDefault="00E45B94" w:rsidP="00CB7B2F">
      <w:pPr>
        <w:pStyle w:val="texto"/>
        <w:numPr>
          <w:ilvl w:val="0"/>
          <w:numId w:val="18"/>
        </w:numPr>
        <w:tabs>
          <w:tab w:val="num" w:pos="567"/>
          <w:tab w:val="num" w:pos="2770"/>
        </w:tabs>
        <w:ind w:left="0" w:firstLine="290"/>
      </w:pPr>
      <w:r>
        <w:t xml:space="preserve">El </w:t>
      </w:r>
      <w:r w:rsidRPr="000733CF">
        <w:t>complemento de nivel</w:t>
      </w:r>
      <w:r>
        <w:t xml:space="preserve"> </w:t>
      </w:r>
      <w:r w:rsidR="007D7BCB">
        <w:t>asignado en la plantilla a</w:t>
      </w:r>
      <w:r>
        <w:t xml:space="preserve"> los puestos de</w:t>
      </w:r>
      <w:r w:rsidR="00A624B7">
        <w:t xml:space="preserve"> </w:t>
      </w:r>
      <w:r>
        <w:t xml:space="preserve">técnico de compostaje, conductor y servicios múltiples supera el </w:t>
      </w:r>
      <w:r w:rsidR="00CF2CE0">
        <w:t>12</w:t>
      </w:r>
      <w:r w:rsidR="00207DDE">
        <w:t xml:space="preserve"> por ciento del sueldo del nivel establecido en el convenio para </w:t>
      </w:r>
      <w:r w:rsidR="00D44BA0">
        <w:t xml:space="preserve">el nivel </w:t>
      </w:r>
      <w:r w:rsidR="00654D95">
        <w:t>D</w:t>
      </w:r>
      <w:r w:rsidR="00207DDE">
        <w:t xml:space="preserve"> y </w:t>
      </w:r>
      <w:r w:rsidR="00D44BA0">
        <w:t>el 15 por ciento para el puesto de nivel E</w:t>
      </w:r>
      <w:r w:rsidR="00207DDE">
        <w:t>.</w:t>
      </w:r>
    </w:p>
    <w:p w14:paraId="41D49FEC" w14:textId="2A3D4A2F" w:rsidR="00B2265D" w:rsidRDefault="00B2265D" w:rsidP="00630509">
      <w:pPr>
        <w:pStyle w:val="texto"/>
        <w:numPr>
          <w:ilvl w:val="0"/>
          <w:numId w:val="18"/>
        </w:numPr>
        <w:tabs>
          <w:tab w:val="num" w:pos="567"/>
          <w:tab w:val="num" w:pos="2770"/>
        </w:tabs>
        <w:ind w:left="0" w:firstLine="289"/>
      </w:pPr>
      <w:r>
        <w:t xml:space="preserve">La retribución </w:t>
      </w:r>
      <w:r w:rsidR="00516BCC">
        <w:t xml:space="preserve">abonada </w:t>
      </w:r>
      <w:r w:rsidR="00D63261">
        <w:t xml:space="preserve">al secretario-interventor </w:t>
      </w:r>
      <w:r w:rsidR="00516BCC">
        <w:t xml:space="preserve">y las horas extras </w:t>
      </w:r>
      <w:r w:rsidR="004A0721">
        <w:t>abonadas a la oficial administrativ</w:t>
      </w:r>
      <w:r w:rsidR="00087964">
        <w:t>a</w:t>
      </w:r>
      <w:r w:rsidR="004A0721">
        <w:t xml:space="preserve"> </w:t>
      </w:r>
      <w:r>
        <w:t>no cotiza</w:t>
      </w:r>
      <w:r w:rsidR="00D63261">
        <w:t>n</w:t>
      </w:r>
      <w:r>
        <w:t xml:space="preserve"> a la Seguridad Social.</w:t>
      </w:r>
      <w:r w:rsidR="00581551">
        <w:t xml:space="preserve"> El secretario-interventor de la </w:t>
      </w:r>
      <w:r w:rsidR="003C06D0">
        <w:t>Mancomunidad</w:t>
      </w:r>
      <w:r w:rsidR="00581551">
        <w:t xml:space="preserve"> no está dado de alta en la Seguridad Social</w:t>
      </w:r>
      <w:r w:rsidR="00D63578">
        <w:t xml:space="preserve"> para el puesto que desempeña en la </w:t>
      </w:r>
      <w:r w:rsidR="003C06D0">
        <w:t>Mancomunidad</w:t>
      </w:r>
      <w:r w:rsidR="00581551">
        <w:t>.</w:t>
      </w:r>
    </w:p>
    <w:p w14:paraId="19CFEE82" w14:textId="2F341C08" w:rsidR="005311FA" w:rsidRPr="000564EF" w:rsidRDefault="005311FA" w:rsidP="00CB7B2F">
      <w:pPr>
        <w:pStyle w:val="texto"/>
        <w:numPr>
          <w:ilvl w:val="0"/>
          <w:numId w:val="18"/>
        </w:numPr>
        <w:tabs>
          <w:tab w:val="num" w:pos="567"/>
          <w:tab w:val="num" w:pos="2770"/>
        </w:tabs>
        <w:ind w:left="0" w:firstLine="290"/>
      </w:pPr>
      <w:r>
        <w:t xml:space="preserve">No consta una relación de personal que </w:t>
      </w:r>
      <w:r w:rsidR="315DAF43">
        <w:t>contenga</w:t>
      </w:r>
      <w:r>
        <w:t xml:space="preserve"> los puestos de trabajo de la plantilla.</w:t>
      </w:r>
    </w:p>
    <w:p w14:paraId="6A9AAECC" w14:textId="01179DD2" w:rsidR="004A0721" w:rsidRPr="00DA5DE6" w:rsidRDefault="004A0721" w:rsidP="00CB7B2F">
      <w:pPr>
        <w:pStyle w:val="texto"/>
        <w:numPr>
          <w:ilvl w:val="0"/>
          <w:numId w:val="18"/>
        </w:numPr>
        <w:tabs>
          <w:tab w:val="num" w:pos="567"/>
          <w:tab w:val="num" w:pos="2770"/>
        </w:tabs>
        <w:ind w:left="0" w:firstLine="290"/>
        <w:rPr>
          <w:lang w:val="es-ES"/>
        </w:rPr>
      </w:pPr>
      <w:r w:rsidRPr="00DA5DE6">
        <w:rPr>
          <w:lang w:val="es-ES"/>
        </w:rPr>
        <w:t xml:space="preserve">No se indica en la </w:t>
      </w:r>
      <w:r w:rsidRPr="00CB7B2F">
        <w:t>plantilla</w:t>
      </w:r>
      <w:r w:rsidRPr="00DA5DE6">
        <w:rPr>
          <w:lang w:val="es-ES"/>
        </w:rPr>
        <w:t xml:space="preserve"> orgánica que las funciones de secretario-interventor las realiza el secretario del </w:t>
      </w:r>
      <w:r w:rsidR="7369AA11" w:rsidRPr="00DA5DE6">
        <w:rPr>
          <w:lang w:val="es-ES"/>
        </w:rPr>
        <w:t>A</w:t>
      </w:r>
      <w:r w:rsidRPr="00DA5DE6">
        <w:rPr>
          <w:lang w:val="es-ES"/>
        </w:rPr>
        <w:t>yuntamiento de Aoiz. El puesto de secretario-</w:t>
      </w:r>
      <w:r w:rsidRPr="00DA5DE6">
        <w:rPr>
          <w:lang w:val="es-ES"/>
        </w:rPr>
        <w:lastRenderedPageBreak/>
        <w:t xml:space="preserve">de la </w:t>
      </w:r>
      <w:r w:rsidR="003C06D0">
        <w:rPr>
          <w:lang w:val="es-ES"/>
        </w:rPr>
        <w:t>Mancomunidad</w:t>
      </w:r>
      <w:r w:rsidRPr="00DA5DE6">
        <w:rPr>
          <w:lang w:val="es-ES"/>
        </w:rPr>
        <w:t xml:space="preserve"> figura erróneamente en la situación de comisión de servicios.</w:t>
      </w:r>
    </w:p>
    <w:p w14:paraId="7EB06932" w14:textId="507105B8" w:rsidR="00D63578" w:rsidRDefault="00D63578" w:rsidP="00CB7B2F">
      <w:pPr>
        <w:pStyle w:val="texto"/>
        <w:numPr>
          <w:ilvl w:val="0"/>
          <w:numId w:val="18"/>
        </w:numPr>
        <w:tabs>
          <w:tab w:val="num" w:pos="567"/>
          <w:tab w:val="num" w:pos="2770"/>
        </w:tabs>
        <w:ind w:left="0" w:firstLine="290"/>
        <w:rPr>
          <w:lang w:val="es-ES"/>
        </w:rPr>
      </w:pPr>
      <w:r w:rsidRPr="22DE07A6">
        <w:rPr>
          <w:lang w:val="es-ES"/>
        </w:rPr>
        <w:t xml:space="preserve">Se han pagado y </w:t>
      </w:r>
      <w:r w:rsidRPr="00CB7B2F">
        <w:t>contabilizado</w:t>
      </w:r>
      <w:r w:rsidRPr="22DE07A6">
        <w:rPr>
          <w:lang w:val="es-ES"/>
        </w:rPr>
        <w:t xml:space="preserve"> las nóminas del mes de noviembre de 2023 sin aplicar el descuento correspondiente a la jornada de huelga que realizaron los empleados. </w:t>
      </w:r>
      <w:r w:rsidR="00654D95" w:rsidRPr="22DE07A6">
        <w:rPr>
          <w:lang w:val="es-ES"/>
        </w:rPr>
        <w:t>Los trabajadores han reintegrado lo cobrado en exceso</w:t>
      </w:r>
      <w:r w:rsidR="7BD30A52" w:rsidRPr="22DE07A6">
        <w:rPr>
          <w:lang w:val="es-ES"/>
        </w:rPr>
        <w:t>, a requerimiento de esta Cámara</w:t>
      </w:r>
      <w:r w:rsidR="00654D95" w:rsidRPr="22DE07A6">
        <w:rPr>
          <w:lang w:val="es-ES"/>
        </w:rPr>
        <w:t>.</w:t>
      </w:r>
    </w:p>
    <w:p w14:paraId="3C95B994" w14:textId="343DDBE1" w:rsidR="002B7E8E" w:rsidRPr="00270517" w:rsidRDefault="78F69BE8" w:rsidP="52BD0CBD">
      <w:pPr>
        <w:pStyle w:val="texto"/>
        <w:tabs>
          <w:tab w:val="left" w:pos="426"/>
        </w:tabs>
        <w:spacing w:before="100" w:after="100"/>
        <w:rPr>
          <w:i/>
          <w:iCs/>
        </w:rPr>
      </w:pPr>
      <w:r w:rsidRPr="52BD0CBD">
        <w:rPr>
          <w:i/>
          <w:iCs/>
        </w:rPr>
        <w:t xml:space="preserve">Teniendo en cuenta las conclusiones de nuestro trabajo </w:t>
      </w:r>
      <w:r w:rsidR="3DA7D79E" w:rsidRPr="52BD0CBD">
        <w:rPr>
          <w:i/>
          <w:iCs/>
        </w:rPr>
        <w:t>r</w:t>
      </w:r>
      <w:r w:rsidR="4C9105D6" w:rsidRPr="52BD0CBD">
        <w:rPr>
          <w:i/>
          <w:iCs/>
        </w:rPr>
        <w:t>ecomendamos</w:t>
      </w:r>
      <w:r w:rsidR="62C4A35C" w:rsidRPr="52BD0CBD">
        <w:rPr>
          <w:i/>
          <w:iCs/>
        </w:rPr>
        <w:t xml:space="preserve">: </w:t>
      </w:r>
    </w:p>
    <w:p w14:paraId="213B2955" w14:textId="4B5B9A7B" w:rsidR="005311FA" w:rsidRDefault="005311FA" w:rsidP="00CB7B2F">
      <w:pPr>
        <w:pStyle w:val="texto"/>
        <w:numPr>
          <w:ilvl w:val="0"/>
          <w:numId w:val="18"/>
        </w:numPr>
        <w:tabs>
          <w:tab w:val="num" w:pos="567"/>
          <w:tab w:val="num" w:pos="2770"/>
        </w:tabs>
        <w:ind w:left="0" w:firstLine="290"/>
        <w:rPr>
          <w:i/>
          <w:iCs/>
        </w:rPr>
      </w:pPr>
      <w:r w:rsidRPr="00CB7B2F">
        <w:rPr>
          <w:i/>
          <w:lang w:val="es-ES"/>
        </w:rPr>
        <w:t>Cumplir</w:t>
      </w:r>
      <w:r>
        <w:rPr>
          <w:i/>
          <w:iCs/>
        </w:rPr>
        <w:t xml:space="preserve"> los requisitos establecidos en </w:t>
      </w:r>
      <w:r w:rsidRPr="005311FA">
        <w:rPr>
          <w:i/>
          <w:iCs/>
        </w:rPr>
        <w:t>Decreto Foral Legislativo 251/1993, de 30 de agosto, para la promoción de nivel.</w:t>
      </w:r>
    </w:p>
    <w:p w14:paraId="10556141" w14:textId="11791B7A" w:rsidR="00F612B8" w:rsidRDefault="00F612B8" w:rsidP="00CB7B2F">
      <w:pPr>
        <w:pStyle w:val="texto"/>
        <w:numPr>
          <w:ilvl w:val="0"/>
          <w:numId w:val="18"/>
        </w:numPr>
        <w:tabs>
          <w:tab w:val="num" w:pos="567"/>
          <w:tab w:val="num" w:pos="2770"/>
        </w:tabs>
        <w:ind w:left="0" w:firstLine="290"/>
        <w:rPr>
          <w:i/>
          <w:iCs/>
        </w:rPr>
      </w:pPr>
      <w:r w:rsidRPr="00294534">
        <w:rPr>
          <w:i/>
          <w:lang w:val="es-ES"/>
        </w:rPr>
        <w:t>Adecuar</w:t>
      </w:r>
      <w:r>
        <w:rPr>
          <w:i/>
          <w:iCs/>
        </w:rPr>
        <w:t xml:space="preserve"> los complementos retributivos de los trabajadores a lo establecido en la normativa.</w:t>
      </w:r>
    </w:p>
    <w:p w14:paraId="7AC319A1" w14:textId="1ADEA166" w:rsidR="005311FA" w:rsidRDefault="005311FA" w:rsidP="00CB7B2F">
      <w:pPr>
        <w:pStyle w:val="texto"/>
        <w:numPr>
          <w:ilvl w:val="0"/>
          <w:numId w:val="18"/>
        </w:numPr>
        <w:tabs>
          <w:tab w:val="num" w:pos="567"/>
          <w:tab w:val="num" w:pos="2770"/>
        </w:tabs>
        <w:ind w:left="0" w:firstLine="290"/>
        <w:rPr>
          <w:i/>
          <w:iCs/>
          <w:lang w:val="es-ES"/>
        </w:rPr>
      </w:pPr>
      <w:r w:rsidRPr="00294534">
        <w:rPr>
          <w:i/>
          <w:lang w:val="es-ES"/>
        </w:rPr>
        <w:t>Cotizar</w:t>
      </w:r>
      <w:r w:rsidRPr="06D4BFB9">
        <w:rPr>
          <w:i/>
          <w:iCs/>
          <w:lang w:val="es-ES"/>
        </w:rPr>
        <w:t xml:space="preserve"> a la Seguridad Social por la retribución del secretario-interventor así como </w:t>
      </w:r>
      <w:r w:rsidR="00207DDE" w:rsidRPr="06D4BFB9">
        <w:rPr>
          <w:i/>
          <w:iCs/>
          <w:lang w:val="es-ES"/>
        </w:rPr>
        <w:t xml:space="preserve">por </w:t>
      </w:r>
      <w:r w:rsidRPr="06D4BFB9">
        <w:rPr>
          <w:i/>
          <w:iCs/>
          <w:lang w:val="es-ES"/>
        </w:rPr>
        <w:t xml:space="preserve">las horas extras abonadas </w:t>
      </w:r>
      <w:r w:rsidR="00581551" w:rsidRPr="06D4BFB9">
        <w:rPr>
          <w:i/>
          <w:iCs/>
          <w:lang w:val="es-ES"/>
        </w:rPr>
        <w:t>al personal</w:t>
      </w:r>
      <w:r w:rsidRPr="06D4BFB9">
        <w:rPr>
          <w:i/>
          <w:iCs/>
          <w:lang w:val="es-ES"/>
        </w:rPr>
        <w:t>.</w:t>
      </w:r>
    </w:p>
    <w:p w14:paraId="7BC6EAC3" w14:textId="716C788D" w:rsidR="005311FA" w:rsidRPr="005311FA" w:rsidRDefault="005311FA" w:rsidP="00CB7B2F">
      <w:pPr>
        <w:pStyle w:val="texto"/>
        <w:numPr>
          <w:ilvl w:val="0"/>
          <w:numId w:val="18"/>
        </w:numPr>
        <w:tabs>
          <w:tab w:val="num" w:pos="567"/>
          <w:tab w:val="num" w:pos="2770"/>
        </w:tabs>
        <w:ind w:left="0" w:firstLine="290"/>
        <w:rPr>
          <w:i/>
          <w:iCs/>
        </w:rPr>
      </w:pPr>
      <w:r w:rsidRPr="00294534">
        <w:rPr>
          <w:i/>
          <w:lang w:val="es-ES"/>
        </w:rPr>
        <w:t>Adjuntar</w:t>
      </w:r>
      <w:r w:rsidRPr="005311FA">
        <w:rPr>
          <w:i/>
          <w:iCs/>
        </w:rPr>
        <w:t xml:space="preserve"> a la plantilla la relación de personal que ocupa los puestos de trabajo.</w:t>
      </w:r>
    </w:p>
    <w:p w14:paraId="1526337A" w14:textId="730B9767" w:rsidR="00E20C58" w:rsidRDefault="005311FA" w:rsidP="00CB7B2F">
      <w:pPr>
        <w:pStyle w:val="texto"/>
        <w:numPr>
          <w:ilvl w:val="0"/>
          <w:numId w:val="18"/>
        </w:numPr>
        <w:tabs>
          <w:tab w:val="num" w:pos="567"/>
          <w:tab w:val="num" w:pos="2770"/>
        </w:tabs>
        <w:ind w:left="0" w:firstLine="290"/>
        <w:rPr>
          <w:i/>
          <w:iCs/>
        </w:rPr>
      </w:pPr>
      <w:r w:rsidRPr="00294534">
        <w:rPr>
          <w:i/>
          <w:lang w:val="es-ES"/>
        </w:rPr>
        <w:t>Reflejar</w:t>
      </w:r>
      <w:r>
        <w:rPr>
          <w:i/>
          <w:iCs/>
        </w:rPr>
        <w:t xml:space="preserve"> correctamente en la plantilla orgánica la situación del secretario</w:t>
      </w:r>
      <w:r w:rsidR="00581551">
        <w:rPr>
          <w:i/>
          <w:iCs/>
        </w:rPr>
        <w:t xml:space="preserve">-interventor de la </w:t>
      </w:r>
      <w:r w:rsidR="003C06D0">
        <w:rPr>
          <w:i/>
          <w:iCs/>
        </w:rPr>
        <w:t>Mancomunidad</w:t>
      </w:r>
      <w:r w:rsidR="00E20C58">
        <w:rPr>
          <w:i/>
          <w:iCs/>
        </w:rPr>
        <w:t>.</w:t>
      </w:r>
    </w:p>
    <w:p w14:paraId="745FC5BF" w14:textId="3CD7D210" w:rsidR="003F629F" w:rsidRDefault="00E20C58" w:rsidP="00CB7B2F">
      <w:pPr>
        <w:pStyle w:val="texto"/>
        <w:numPr>
          <w:ilvl w:val="0"/>
          <w:numId w:val="18"/>
        </w:numPr>
        <w:tabs>
          <w:tab w:val="num" w:pos="567"/>
          <w:tab w:val="num" w:pos="2770"/>
        </w:tabs>
        <w:ind w:left="0" w:firstLine="290"/>
        <w:rPr>
          <w:i/>
          <w:iCs/>
        </w:rPr>
      </w:pPr>
      <w:r w:rsidRPr="00294534">
        <w:rPr>
          <w:i/>
          <w:lang w:val="es-ES"/>
        </w:rPr>
        <w:t>Revisar</w:t>
      </w:r>
      <w:r w:rsidRPr="25A69295">
        <w:rPr>
          <w:i/>
          <w:iCs/>
        </w:rPr>
        <w:t xml:space="preserve"> las nóminas del personal antes de su pago.</w:t>
      </w:r>
    </w:p>
    <w:p w14:paraId="7212C582" w14:textId="7F2D2B36" w:rsidR="002B7E8E" w:rsidRPr="00630509" w:rsidRDefault="003F629F" w:rsidP="00A60971">
      <w:pPr>
        <w:pStyle w:val="atitulo3"/>
        <w:spacing w:before="240"/>
        <w:rPr>
          <w:spacing w:val="6"/>
          <w:sz w:val="26"/>
          <w:szCs w:val="24"/>
        </w:rPr>
      </w:pPr>
      <w:r w:rsidRPr="00630509">
        <w:br w:type="page"/>
      </w:r>
      <w:r w:rsidR="00544E8B" w:rsidRPr="00630509">
        <w:lastRenderedPageBreak/>
        <w:t>5</w:t>
      </w:r>
      <w:r w:rsidR="000A296C" w:rsidRPr="00630509">
        <w:t>.3</w:t>
      </w:r>
      <w:r w:rsidR="103BED4B" w:rsidRPr="00630509">
        <w:t xml:space="preserve"> </w:t>
      </w:r>
      <w:r w:rsidR="103BED4B" w:rsidRPr="00630509">
        <w:rPr>
          <w:rFonts w:cs="Arial"/>
        </w:rPr>
        <w:t>Gastos</w:t>
      </w:r>
      <w:r w:rsidR="103BED4B" w:rsidRPr="00630509">
        <w:t xml:space="preserve"> corrientes en bienes y servicios</w:t>
      </w:r>
    </w:p>
    <w:p w14:paraId="5A231DBA" w14:textId="77777777" w:rsidR="000A296C" w:rsidRPr="00F32ADF" w:rsidRDefault="000A296C" w:rsidP="000A296C">
      <w:pPr>
        <w:pStyle w:val="texto"/>
      </w:pPr>
      <w:r w:rsidRPr="2BC17ABC">
        <w:t xml:space="preserve">Los gastos corrientes en bienes y servicios ascendieron a 294.247 euros y su nivel de ejecución ha sido del 99 por ciento de los créditos definitivos. Han aumentado en un dos por ciento respecto a los reconocidos en 2022. </w:t>
      </w:r>
    </w:p>
    <w:p w14:paraId="10385B83" w14:textId="3828B304" w:rsidR="000A296C" w:rsidRPr="00F32ADF" w:rsidRDefault="004333EE" w:rsidP="007871B2">
      <w:pPr>
        <w:pStyle w:val="texto"/>
        <w:spacing w:after="240"/>
      </w:pPr>
      <w:r>
        <w:t>Hemos revisado el 90 por ciento del total de gastos corrientes y servicios</w:t>
      </w:r>
      <w:r w:rsidRPr="2BC17ABC">
        <w:t xml:space="preserve"> </w:t>
      </w:r>
      <w:r>
        <w:t xml:space="preserve">correspondientes a los siguientes </w:t>
      </w:r>
      <w:r w:rsidR="000A296C" w:rsidRPr="2BC17ABC">
        <w:t>conceptos económicos:</w:t>
      </w:r>
    </w:p>
    <w:tbl>
      <w:tblPr>
        <w:tblW w:w="8789" w:type="dxa"/>
        <w:tblCellMar>
          <w:left w:w="70" w:type="dxa"/>
          <w:right w:w="70" w:type="dxa"/>
        </w:tblCellMar>
        <w:tblLook w:val="04A0" w:firstRow="1" w:lastRow="0" w:firstColumn="1" w:lastColumn="0" w:noHBand="0" w:noVBand="1"/>
      </w:tblPr>
      <w:tblGrid>
        <w:gridCol w:w="3660"/>
        <w:gridCol w:w="1709"/>
        <w:gridCol w:w="1710"/>
        <w:gridCol w:w="1710"/>
      </w:tblGrid>
      <w:tr w:rsidR="000A296C" w:rsidRPr="000A296C" w14:paraId="3C6630DF" w14:textId="77777777" w:rsidTr="00C26353">
        <w:trPr>
          <w:trHeight w:val="255"/>
        </w:trPr>
        <w:tc>
          <w:tcPr>
            <w:tcW w:w="3660" w:type="dxa"/>
            <w:tcBorders>
              <w:top w:val="single" w:sz="4" w:space="0" w:color="auto"/>
              <w:left w:val="nil"/>
              <w:bottom w:val="single" w:sz="4" w:space="0" w:color="auto"/>
              <w:right w:val="nil"/>
            </w:tcBorders>
            <w:shd w:val="clear" w:color="auto" w:fill="F4B083" w:themeFill="accent2" w:themeFillTint="99"/>
            <w:vAlign w:val="center"/>
            <w:hideMark/>
          </w:tcPr>
          <w:p w14:paraId="5D1B7C7E" w14:textId="77777777" w:rsidR="000A296C" w:rsidRPr="000A296C" w:rsidRDefault="000A296C" w:rsidP="00C26353">
            <w:pPr>
              <w:pStyle w:val="cuadroCabe"/>
              <w:rPr>
                <w:lang w:val="es-ES" w:eastAsia="es-ES"/>
              </w:rPr>
            </w:pPr>
            <w:r w:rsidRPr="000A296C">
              <w:rPr>
                <w:lang w:val="es-ES" w:eastAsia="es-ES"/>
              </w:rPr>
              <w:t>Concepto</w:t>
            </w:r>
          </w:p>
        </w:tc>
        <w:tc>
          <w:tcPr>
            <w:tcW w:w="1709" w:type="dxa"/>
            <w:tcBorders>
              <w:top w:val="single" w:sz="4" w:space="0" w:color="auto"/>
              <w:left w:val="nil"/>
              <w:bottom w:val="single" w:sz="4" w:space="0" w:color="auto"/>
              <w:right w:val="nil"/>
            </w:tcBorders>
            <w:shd w:val="clear" w:color="auto" w:fill="F4B083" w:themeFill="accent2" w:themeFillTint="99"/>
            <w:noWrap/>
            <w:vAlign w:val="center"/>
            <w:hideMark/>
          </w:tcPr>
          <w:p w14:paraId="0283C7B1" w14:textId="77777777" w:rsidR="000A296C" w:rsidRPr="000A296C" w:rsidRDefault="000A296C" w:rsidP="00C26353">
            <w:pPr>
              <w:pStyle w:val="cuadroCabe"/>
              <w:jc w:val="right"/>
              <w:rPr>
                <w:lang w:val="es-ES" w:eastAsia="es-ES"/>
              </w:rPr>
            </w:pPr>
            <w:r w:rsidRPr="000A296C">
              <w:rPr>
                <w:lang w:val="es-ES" w:eastAsia="es-ES"/>
              </w:rPr>
              <w:t>ORN 2022</w:t>
            </w:r>
          </w:p>
        </w:tc>
        <w:tc>
          <w:tcPr>
            <w:tcW w:w="1710" w:type="dxa"/>
            <w:tcBorders>
              <w:top w:val="single" w:sz="4" w:space="0" w:color="auto"/>
              <w:left w:val="nil"/>
              <w:bottom w:val="single" w:sz="4" w:space="0" w:color="auto"/>
              <w:right w:val="nil"/>
            </w:tcBorders>
            <w:shd w:val="clear" w:color="auto" w:fill="F4B083" w:themeFill="accent2" w:themeFillTint="99"/>
            <w:noWrap/>
            <w:vAlign w:val="center"/>
            <w:hideMark/>
          </w:tcPr>
          <w:p w14:paraId="14908395" w14:textId="77777777" w:rsidR="000A296C" w:rsidRPr="000A296C" w:rsidRDefault="000A296C" w:rsidP="00C26353">
            <w:pPr>
              <w:pStyle w:val="cuadroCabe"/>
              <w:jc w:val="right"/>
              <w:rPr>
                <w:lang w:val="es-ES" w:eastAsia="es-ES"/>
              </w:rPr>
            </w:pPr>
            <w:r w:rsidRPr="000A296C">
              <w:rPr>
                <w:lang w:val="es-ES" w:eastAsia="es-ES"/>
              </w:rPr>
              <w:t>ORN 2023</w:t>
            </w:r>
          </w:p>
        </w:tc>
        <w:tc>
          <w:tcPr>
            <w:tcW w:w="1710" w:type="dxa"/>
            <w:tcBorders>
              <w:top w:val="single" w:sz="4" w:space="0" w:color="auto"/>
              <w:left w:val="nil"/>
              <w:bottom w:val="single" w:sz="4" w:space="0" w:color="auto"/>
              <w:right w:val="nil"/>
            </w:tcBorders>
            <w:shd w:val="clear" w:color="auto" w:fill="F4B083" w:themeFill="accent2" w:themeFillTint="99"/>
            <w:vAlign w:val="center"/>
          </w:tcPr>
          <w:p w14:paraId="07149A0A" w14:textId="77777777" w:rsidR="000A296C" w:rsidRPr="000A296C" w:rsidRDefault="000A296C" w:rsidP="00C26353">
            <w:pPr>
              <w:pStyle w:val="cuadroCabe"/>
              <w:jc w:val="right"/>
              <w:rPr>
                <w:lang w:val="es-ES" w:eastAsia="es-ES"/>
              </w:rPr>
            </w:pPr>
            <w:r w:rsidRPr="000A296C">
              <w:rPr>
                <w:lang w:val="es-ES" w:eastAsia="es-ES"/>
              </w:rPr>
              <w:t>% variación 2023/2022</w:t>
            </w:r>
          </w:p>
        </w:tc>
      </w:tr>
      <w:tr w:rsidR="000A296C" w:rsidRPr="00181513" w14:paraId="06EBE83E" w14:textId="77777777" w:rsidTr="00C26353">
        <w:trPr>
          <w:trHeight w:val="198"/>
        </w:trPr>
        <w:tc>
          <w:tcPr>
            <w:tcW w:w="3660" w:type="dxa"/>
            <w:tcBorders>
              <w:top w:val="single" w:sz="4" w:space="0" w:color="auto"/>
              <w:left w:val="nil"/>
              <w:bottom w:val="single" w:sz="2" w:space="0" w:color="auto"/>
              <w:right w:val="nil"/>
            </w:tcBorders>
            <w:shd w:val="clear" w:color="auto" w:fill="auto"/>
            <w:vAlign w:val="center"/>
          </w:tcPr>
          <w:p w14:paraId="376DC08A" w14:textId="77777777" w:rsidR="000A296C" w:rsidRPr="000A296C" w:rsidRDefault="000A296C" w:rsidP="00C26353">
            <w:pPr>
              <w:pStyle w:val="cuatexto"/>
              <w:rPr>
                <w:lang w:val="es-ES" w:eastAsia="es-ES"/>
              </w:rPr>
            </w:pPr>
            <w:r w:rsidRPr="000A296C">
              <w:rPr>
                <w:lang w:val="es-ES" w:eastAsia="es-ES"/>
              </w:rPr>
              <w:t>Carburantes vehículos y maquinaria</w:t>
            </w:r>
          </w:p>
        </w:tc>
        <w:tc>
          <w:tcPr>
            <w:tcW w:w="1709" w:type="dxa"/>
            <w:tcBorders>
              <w:top w:val="single" w:sz="4" w:space="0" w:color="auto"/>
              <w:left w:val="nil"/>
              <w:bottom w:val="single" w:sz="2" w:space="0" w:color="auto"/>
              <w:right w:val="nil"/>
            </w:tcBorders>
            <w:shd w:val="clear" w:color="auto" w:fill="auto"/>
            <w:noWrap/>
            <w:vAlign w:val="center"/>
          </w:tcPr>
          <w:p w14:paraId="08804CB2" w14:textId="77777777" w:rsidR="000A296C" w:rsidRPr="000A296C" w:rsidRDefault="000A296C" w:rsidP="00C26353">
            <w:pPr>
              <w:pStyle w:val="cuatexto"/>
              <w:jc w:val="right"/>
              <w:rPr>
                <w:lang w:val="es-ES" w:eastAsia="es-ES"/>
              </w:rPr>
            </w:pPr>
            <w:r w:rsidRPr="000A296C">
              <w:rPr>
                <w:lang w:val="es-ES" w:eastAsia="es-ES"/>
              </w:rPr>
              <w:t>66.306</w:t>
            </w:r>
          </w:p>
        </w:tc>
        <w:tc>
          <w:tcPr>
            <w:tcW w:w="1710" w:type="dxa"/>
            <w:tcBorders>
              <w:top w:val="single" w:sz="4" w:space="0" w:color="auto"/>
              <w:left w:val="nil"/>
              <w:bottom w:val="single" w:sz="2" w:space="0" w:color="auto"/>
              <w:right w:val="nil"/>
            </w:tcBorders>
            <w:shd w:val="clear" w:color="auto" w:fill="auto"/>
            <w:noWrap/>
            <w:vAlign w:val="center"/>
          </w:tcPr>
          <w:p w14:paraId="3D0B04FB" w14:textId="77777777" w:rsidR="000A296C" w:rsidRPr="000A296C" w:rsidRDefault="000A296C" w:rsidP="00C26353">
            <w:pPr>
              <w:pStyle w:val="cuatexto"/>
              <w:jc w:val="right"/>
              <w:rPr>
                <w:lang w:val="es-ES" w:eastAsia="es-ES"/>
              </w:rPr>
            </w:pPr>
            <w:r w:rsidRPr="000A296C">
              <w:rPr>
                <w:lang w:val="es-ES" w:eastAsia="es-ES"/>
              </w:rPr>
              <w:t>62.195</w:t>
            </w:r>
          </w:p>
        </w:tc>
        <w:tc>
          <w:tcPr>
            <w:tcW w:w="1710" w:type="dxa"/>
            <w:tcBorders>
              <w:top w:val="single" w:sz="4" w:space="0" w:color="auto"/>
              <w:left w:val="nil"/>
              <w:bottom w:val="single" w:sz="2" w:space="0" w:color="auto"/>
              <w:right w:val="nil"/>
            </w:tcBorders>
            <w:vAlign w:val="center"/>
          </w:tcPr>
          <w:p w14:paraId="6ACAF37D" w14:textId="77777777" w:rsidR="000A296C" w:rsidRPr="000A296C" w:rsidRDefault="000A296C" w:rsidP="00C26353">
            <w:pPr>
              <w:pStyle w:val="cuatexto"/>
              <w:jc w:val="right"/>
              <w:rPr>
                <w:lang w:val="es-ES" w:eastAsia="es-ES"/>
              </w:rPr>
            </w:pPr>
            <w:r w:rsidRPr="000A296C">
              <w:rPr>
                <w:lang w:val="es-ES" w:eastAsia="es-ES"/>
              </w:rPr>
              <w:t>-6</w:t>
            </w:r>
          </w:p>
        </w:tc>
      </w:tr>
      <w:tr w:rsidR="000A296C" w:rsidRPr="00181513" w14:paraId="358084A8" w14:textId="77777777" w:rsidTr="00C26353">
        <w:trPr>
          <w:trHeight w:val="198"/>
        </w:trPr>
        <w:tc>
          <w:tcPr>
            <w:tcW w:w="3660" w:type="dxa"/>
            <w:tcBorders>
              <w:top w:val="single" w:sz="2" w:space="0" w:color="auto"/>
              <w:left w:val="nil"/>
              <w:bottom w:val="single" w:sz="2" w:space="0" w:color="auto"/>
              <w:right w:val="nil"/>
            </w:tcBorders>
            <w:shd w:val="clear" w:color="auto" w:fill="auto"/>
            <w:vAlign w:val="center"/>
          </w:tcPr>
          <w:p w14:paraId="2339404F" w14:textId="184B007B" w:rsidR="000A296C" w:rsidRPr="000A296C" w:rsidRDefault="000A296C" w:rsidP="00C26353">
            <w:pPr>
              <w:pStyle w:val="cuatexto"/>
              <w:rPr>
                <w:lang w:val="es-ES" w:eastAsia="es-ES"/>
              </w:rPr>
            </w:pPr>
            <w:r w:rsidRPr="000A296C">
              <w:rPr>
                <w:lang w:val="es-ES" w:eastAsia="es-ES"/>
              </w:rPr>
              <w:t xml:space="preserve">Funcionamiento servicios </w:t>
            </w:r>
          </w:p>
        </w:tc>
        <w:tc>
          <w:tcPr>
            <w:tcW w:w="1709" w:type="dxa"/>
            <w:tcBorders>
              <w:top w:val="single" w:sz="2" w:space="0" w:color="auto"/>
              <w:left w:val="nil"/>
              <w:bottom w:val="single" w:sz="2" w:space="0" w:color="auto"/>
              <w:right w:val="nil"/>
            </w:tcBorders>
            <w:shd w:val="clear" w:color="auto" w:fill="auto"/>
            <w:noWrap/>
            <w:vAlign w:val="center"/>
          </w:tcPr>
          <w:p w14:paraId="6664C980" w14:textId="77777777" w:rsidR="000A296C" w:rsidRPr="000A296C" w:rsidRDefault="000A296C" w:rsidP="00C26353">
            <w:pPr>
              <w:pStyle w:val="cuatexto"/>
              <w:jc w:val="right"/>
              <w:rPr>
                <w:lang w:val="es-ES" w:eastAsia="es-ES"/>
              </w:rPr>
            </w:pPr>
            <w:r w:rsidRPr="000A296C">
              <w:rPr>
                <w:lang w:val="es-ES" w:eastAsia="es-ES"/>
              </w:rPr>
              <w:t>57.223</w:t>
            </w:r>
          </w:p>
        </w:tc>
        <w:tc>
          <w:tcPr>
            <w:tcW w:w="1710" w:type="dxa"/>
            <w:tcBorders>
              <w:top w:val="single" w:sz="2" w:space="0" w:color="auto"/>
              <w:left w:val="nil"/>
              <w:bottom w:val="single" w:sz="2" w:space="0" w:color="auto"/>
              <w:right w:val="nil"/>
            </w:tcBorders>
            <w:shd w:val="clear" w:color="auto" w:fill="auto"/>
            <w:noWrap/>
            <w:vAlign w:val="center"/>
          </w:tcPr>
          <w:p w14:paraId="4393132F" w14:textId="77777777" w:rsidR="000A296C" w:rsidRPr="000A296C" w:rsidRDefault="000A296C" w:rsidP="00C26353">
            <w:pPr>
              <w:pStyle w:val="cuatexto"/>
              <w:jc w:val="right"/>
              <w:rPr>
                <w:lang w:val="es-ES" w:eastAsia="es-ES"/>
              </w:rPr>
            </w:pPr>
            <w:r w:rsidRPr="000A296C">
              <w:rPr>
                <w:lang w:val="es-ES" w:eastAsia="es-ES"/>
              </w:rPr>
              <w:t>50.290</w:t>
            </w:r>
          </w:p>
        </w:tc>
        <w:tc>
          <w:tcPr>
            <w:tcW w:w="1710" w:type="dxa"/>
            <w:tcBorders>
              <w:top w:val="single" w:sz="2" w:space="0" w:color="auto"/>
              <w:left w:val="nil"/>
              <w:bottom w:val="single" w:sz="2" w:space="0" w:color="auto"/>
              <w:right w:val="nil"/>
            </w:tcBorders>
            <w:vAlign w:val="center"/>
          </w:tcPr>
          <w:p w14:paraId="7C53CA30" w14:textId="77777777" w:rsidR="000A296C" w:rsidRPr="000A296C" w:rsidRDefault="000A296C" w:rsidP="00C26353">
            <w:pPr>
              <w:pStyle w:val="cuatexto"/>
              <w:jc w:val="right"/>
              <w:rPr>
                <w:lang w:val="es-ES" w:eastAsia="es-ES"/>
              </w:rPr>
            </w:pPr>
            <w:r w:rsidRPr="000A296C">
              <w:rPr>
                <w:lang w:val="es-ES" w:eastAsia="es-ES"/>
              </w:rPr>
              <w:t>-12</w:t>
            </w:r>
          </w:p>
        </w:tc>
      </w:tr>
      <w:tr w:rsidR="000A296C" w:rsidRPr="00181513" w14:paraId="460885C9" w14:textId="77777777" w:rsidTr="00C26353">
        <w:trPr>
          <w:trHeight w:val="198"/>
        </w:trPr>
        <w:tc>
          <w:tcPr>
            <w:tcW w:w="3660" w:type="dxa"/>
            <w:tcBorders>
              <w:top w:val="single" w:sz="2" w:space="0" w:color="auto"/>
              <w:left w:val="nil"/>
              <w:bottom w:val="single" w:sz="2" w:space="0" w:color="auto"/>
              <w:right w:val="nil"/>
            </w:tcBorders>
            <w:shd w:val="clear" w:color="auto" w:fill="auto"/>
            <w:vAlign w:val="center"/>
          </w:tcPr>
          <w:p w14:paraId="1E6DE631" w14:textId="77777777" w:rsidR="000A296C" w:rsidRPr="000A296C" w:rsidRDefault="000A296C" w:rsidP="00C26353">
            <w:pPr>
              <w:pStyle w:val="cuatexto"/>
              <w:rPr>
                <w:lang w:val="es-ES" w:eastAsia="es-ES"/>
              </w:rPr>
            </w:pPr>
            <w:r w:rsidRPr="000A296C">
              <w:rPr>
                <w:lang w:val="es-ES" w:eastAsia="es-ES"/>
              </w:rPr>
              <w:t>Recogida voluminosos</w:t>
            </w:r>
          </w:p>
        </w:tc>
        <w:tc>
          <w:tcPr>
            <w:tcW w:w="1709" w:type="dxa"/>
            <w:tcBorders>
              <w:top w:val="single" w:sz="2" w:space="0" w:color="auto"/>
              <w:left w:val="nil"/>
              <w:bottom w:val="single" w:sz="2" w:space="0" w:color="auto"/>
              <w:right w:val="nil"/>
            </w:tcBorders>
            <w:shd w:val="clear" w:color="auto" w:fill="auto"/>
            <w:noWrap/>
            <w:vAlign w:val="center"/>
          </w:tcPr>
          <w:p w14:paraId="7924B260" w14:textId="77777777" w:rsidR="000A296C" w:rsidRPr="000A296C" w:rsidRDefault="000A296C" w:rsidP="00C26353">
            <w:pPr>
              <w:pStyle w:val="cuatexto"/>
              <w:jc w:val="right"/>
              <w:rPr>
                <w:lang w:val="es-ES" w:eastAsia="es-ES"/>
              </w:rPr>
            </w:pPr>
            <w:r w:rsidRPr="000A296C">
              <w:rPr>
                <w:lang w:val="es-ES" w:eastAsia="es-ES"/>
              </w:rPr>
              <w:t>35.014</w:t>
            </w:r>
          </w:p>
        </w:tc>
        <w:tc>
          <w:tcPr>
            <w:tcW w:w="1710" w:type="dxa"/>
            <w:tcBorders>
              <w:top w:val="single" w:sz="2" w:space="0" w:color="auto"/>
              <w:left w:val="nil"/>
              <w:bottom w:val="single" w:sz="2" w:space="0" w:color="auto"/>
              <w:right w:val="nil"/>
            </w:tcBorders>
            <w:shd w:val="clear" w:color="auto" w:fill="auto"/>
            <w:noWrap/>
            <w:vAlign w:val="center"/>
          </w:tcPr>
          <w:p w14:paraId="0FDBFF25" w14:textId="77777777" w:rsidR="000A296C" w:rsidRPr="000A296C" w:rsidRDefault="000A296C" w:rsidP="00C26353">
            <w:pPr>
              <w:pStyle w:val="cuatexto"/>
              <w:jc w:val="right"/>
              <w:rPr>
                <w:lang w:val="es-ES" w:eastAsia="es-ES"/>
              </w:rPr>
            </w:pPr>
            <w:r w:rsidRPr="000A296C">
              <w:rPr>
                <w:lang w:val="es-ES" w:eastAsia="es-ES"/>
              </w:rPr>
              <w:t>38.124</w:t>
            </w:r>
          </w:p>
        </w:tc>
        <w:tc>
          <w:tcPr>
            <w:tcW w:w="1710" w:type="dxa"/>
            <w:tcBorders>
              <w:top w:val="single" w:sz="2" w:space="0" w:color="auto"/>
              <w:left w:val="nil"/>
              <w:bottom w:val="single" w:sz="2" w:space="0" w:color="auto"/>
              <w:right w:val="nil"/>
            </w:tcBorders>
            <w:vAlign w:val="center"/>
          </w:tcPr>
          <w:p w14:paraId="05D7E212" w14:textId="77777777" w:rsidR="000A296C" w:rsidRPr="000A296C" w:rsidRDefault="000A296C" w:rsidP="00C26353">
            <w:pPr>
              <w:pStyle w:val="cuatexto"/>
              <w:jc w:val="right"/>
              <w:rPr>
                <w:lang w:val="es-ES" w:eastAsia="es-ES"/>
              </w:rPr>
            </w:pPr>
            <w:r w:rsidRPr="000A296C">
              <w:rPr>
                <w:lang w:val="es-ES" w:eastAsia="es-ES"/>
              </w:rPr>
              <w:t>9</w:t>
            </w:r>
          </w:p>
        </w:tc>
      </w:tr>
      <w:tr w:rsidR="000A296C" w:rsidRPr="00181513" w14:paraId="3EB78881" w14:textId="77777777" w:rsidTr="00C26353">
        <w:trPr>
          <w:trHeight w:val="198"/>
        </w:trPr>
        <w:tc>
          <w:tcPr>
            <w:tcW w:w="3660" w:type="dxa"/>
            <w:tcBorders>
              <w:top w:val="single" w:sz="2" w:space="0" w:color="auto"/>
              <w:left w:val="nil"/>
              <w:bottom w:val="single" w:sz="2" w:space="0" w:color="auto"/>
              <w:right w:val="nil"/>
            </w:tcBorders>
            <w:shd w:val="clear" w:color="auto" w:fill="auto"/>
            <w:vAlign w:val="center"/>
          </w:tcPr>
          <w:p w14:paraId="5001412B" w14:textId="77777777" w:rsidR="000A296C" w:rsidRPr="000A296C" w:rsidRDefault="000A296C" w:rsidP="00C26353">
            <w:pPr>
              <w:pStyle w:val="cuatexto"/>
              <w:rPr>
                <w:lang w:val="es-ES" w:eastAsia="es-ES"/>
              </w:rPr>
            </w:pPr>
            <w:r w:rsidRPr="000A296C">
              <w:rPr>
                <w:lang w:val="es-ES" w:eastAsia="es-ES"/>
              </w:rPr>
              <w:t>Mantenimiento vehículos</w:t>
            </w:r>
          </w:p>
        </w:tc>
        <w:tc>
          <w:tcPr>
            <w:tcW w:w="1709" w:type="dxa"/>
            <w:tcBorders>
              <w:top w:val="single" w:sz="2" w:space="0" w:color="auto"/>
              <w:left w:val="nil"/>
              <w:bottom w:val="single" w:sz="2" w:space="0" w:color="auto"/>
              <w:right w:val="nil"/>
            </w:tcBorders>
            <w:shd w:val="clear" w:color="auto" w:fill="auto"/>
            <w:noWrap/>
            <w:vAlign w:val="center"/>
          </w:tcPr>
          <w:p w14:paraId="5B2DDD98" w14:textId="77777777" w:rsidR="000A296C" w:rsidRPr="000A296C" w:rsidRDefault="000A296C" w:rsidP="00C26353">
            <w:pPr>
              <w:pStyle w:val="cuatexto"/>
              <w:jc w:val="right"/>
              <w:rPr>
                <w:lang w:val="es-ES" w:eastAsia="es-ES"/>
              </w:rPr>
            </w:pPr>
            <w:r w:rsidRPr="000A296C">
              <w:rPr>
                <w:lang w:val="es-ES" w:eastAsia="es-ES"/>
              </w:rPr>
              <w:t>37.814</w:t>
            </w:r>
          </w:p>
        </w:tc>
        <w:tc>
          <w:tcPr>
            <w:tcW w:w="1710" w:type="dxa"/>
            <w:tcBorders>
              <w:top w:val="single" w:sz="2" w:space="0" w:color="auto"/>
              <w:left w:val="nil"/>
              <w:bottom w:val="single" w:sz="2" w:space="0" w:color="auto"/>
              <w:right w:val="nil"/>
            </w:tcBorders>
            <w:shd w:val="clear" w:color="auto" w:fill="auto"/>
            <w:noWrap/>
            <w:vAlign w:val="center"/>
          </w:tcPr>
          <w:p w14:paraId="099AFB4C" w14:textId="77777777" w:rsidR="000A296C" w:rsidRPr="000A296C" w:rsidRDefault="000A296C" w:rsidP="00C26353">
            <w:pPr>
              <w:pStyle w:val="cuatexto"/>
              <w:jc w:val="right"/>
              <w:rPr>
                <w:lang w:val="es-ES" w:eastAsia="es-ES"/>
              </w:rPr>
            </w:pPr>
            <w:r w:rsidRPr="000A296C">
              <w:rPr>
                <w:lang w:val="es-ES" w:eastAsia="es-ES"/>
              </w:rPr>
              <w:t>35.761</w:t>
            </w:r>
          </w:p>
        </w:tc>
        <w:tc>
          <w:tcPr>
            <w:tcW w:w="1710" w:type="dxa"/>
            <w:tcBorders>
              <w:top w:val="single" w:sz="2" w:space="0" w:color="auto"/>
              <w:left w:val="nil"/>
              <w:bottom w:val="single" w:sz="2" w:space="0" w:color="auto"/>
              <w:right w:val="nil"/>
            </w:tcBorders>
            <w:vAlign w:val="center"/>
          </w:tcPr>
          <w:p w14:paraId="19A73561" w14:textId="77777777" w:rsidR="000A296C" w:rsidRPr="000A296C" w:rsidRDefault="000A296C" w:rsidP="00C26353">
            <w:pPr>
              <w:pStyle w:val="cuatexto"/>
              <w:jc w:val="right"/>
              <w:rPr>
                <w:lang w:val="es-ES" w:eastAsia="es-ES"/>
              </w:rPr>
            </w:pPr>
            <w:r w:rsidRPr="000A296C">
              <w:rPr>
                <w:lang w:val="es-ES" w:eastAsia="es-ES"/>
              </w:rPr>
              <w:t>-5</w:t>
            </w:r>
          </w:p>
        </w:tc>
      </w:tr>
      <w:tr w:rsidR="000A296C" w:rsidRPr="00181513" w14:paraId="50755E06" w14:textId="77777777" w:rsidTr="00C26353">
        <w:trPr>
          <w:trHeight w:val="198"/>
        </w:trPr>
        <w:tc>
          <w:tcPr>
            <w:tcW w:w="3660" w:type="dxa"/>
            <w:tcBorders>
              <w:top w:val="single" w:sz="2" w:space="0" w:color="auto"/>
              <w:left w:val="nil"/>
              <w:bottom w:val="single" w:sz="2" w:space="0" w:color="auto"/>
              <w:right w:val="nil"/>
            </w:tcBorders>
            <w:shd w:val="clear" w:color="auto" w:fill="auto"/>
            <w:vAlign w:val="center"/>
          </w:tcPr>
          <w:p w14:paraId="21FC9488" w14:textId="77777777" w:rsidR="000A296C" w:rsidRPr="000A296C" w:rsidRDefault="000A296C" w:rsidP="00C26353">
            <w:pPr>
              <w:pStyle w:val="cuatexto"/>
              <w:rPr>
                <w:lang w:val="es-ES" w:eastAsia="es-ES"/>
              </w:rPr>
            </w:pPr>
            <w:r w:rsidRPr="000A296C">
              <w:rPr>
                <w:lang w:val="es-ES" w:eastAsia="es-ES"/>
              </w:rPr>
              <w:t>Canon vertido consorcio</w:t>
            </w:r>
          </w:p>
        </w:tc>
        <w:tc>
          <w:tcPr>
            <w:tcW w:w="1709" w:type="dxa"/>
            <w:tcBorders>
              <w:top w:val="single" w:sz="2" w:space="0" w:color="auto"/>
              <w:left w:val="nil"/>
              <w:bottom w:val="single" w:sz="2" w:space="0" w:color="auto"/>
              <w:right w:val="nil"/>
            </w:tcBorders>
            <w:shd w:val="clear" w:color="auto" w:fill="auto"/>
            <w:noWrap/>
            <w:vAlign w:val="center"/>
          </w:tcPr>
          <w:p w14:paraId="71DAECCF" w14:textId="77777777" w:rsidR="000A296C" w:rsidRPr="000A296C" w:rsidRDefault="000A296C" w:rsidP="00C26353">
            <w:pPr>
              <w:pStyle w:val="cuatexto"/>
              <w:jc w:val="right"/>
              <w:rPr>
                <w:lang w:val="es-ES" w:eastAsia="es-ES"/>
              </w:rPr>
            </w:pPr>
            <w:r w:rsidRPr="000A296C">
              <w:rPr>
                <w:lang w:val="es-ES" w:eastAsia="es-ES"/>
              </w:rPr>
              <w:t>10.439</w:t>
            </w:r>
          </w:p>
        </w:tc>
        <w:tc>
          <w:tcPr>
            <w:tcW w:w="1710" w:type="dxa"/>
            <w:tcBorders>
              <w:top w:val="single" w:sz="2" w:space="0" w:color="auto"/>
              <w:left w:val="nil"/>
              <w:bottom w:val="single" w:sz="2" w:space="0" w:color="auto"/>
              <w:right w:val="nil"/>
            </w:tcBorders>
            <w:shd w:val="clear" w:color="auto" w:fill="auto"/>
            <w:noWrap/>
            <w:vAlign w:val="center"/>
          </w:tcPr>
          <w:p w14:paraId="76BBC55F" w14:textId="77777777" w:rsidR="000A296C" w:rsidRPr="000A296C" w:rsidRDefault="000A296C" w:rsidP="00C26353">
            <w:pPr>
              <w:pStyle w:val="cuatexto"/>
              <w:jc w:val="right"/>
              <w:rPr>
                <w:lang w:val="es-ES" w:eastAsia="es-ES"/>
              </w:rPr>
            </w:pPr>
            <w:r w:rsidRPr="000A296C">
              <w:rPr>
                <w:lang w:val="es-ES" w:eastAsia="es-ES"/>
              </w:rPr>
              <w:t>23.158</w:t>
            </w:r>
          </w:p>
        </w:tc>
        <w:tc>
          <w:tcPr>
            <w:tcW w:w="1710" w:type="dxa"/>
            <w:tcBorders>
              <w:top w:val="single" w:sz="2" w:space="0" w:color="auto"/>
              <w:left w:val="nil"/>
              <w:bottom w:val="single" w:sz="2" w:space="0" w:color="auto"/>
              <w:right w:val="nil"/>
            </w:tcBorders>
            <w:vAlign w:val="center"/>
          </w:tcPr>
          <w:p w14:paraId="1C8FB73D" w14:textId="77777777" w:rsidR="000A296C" w:rsidRPr="000A296C" w:rsidRDefault="000A296C" w:rsidP="00C26353">
            <w:pPr>
              <w:pStyle w:val="cuatexto"/>
              <w:jc w:val="right"/>
              <w:rPr>
                <w:lang w:val="es-ES" w:eastAsia="es-ES"/>
              </w:rPr>
            </w:pPr>
            <w:r w:rsidRPr="00707911">
              <w:rPr>
                <w:lang w:val="es-ES" w:eastAsia="es-ES"/>
              </w:rPr>
              <w:t>122</w:t>
            </w:r>
          </w:p>
        </w:tc>
      </w:tr>
      <w:tr w:rsidR="000A296C" w:rsidRPr="00181513" w14:paraId="0D2AE3B0" w14:textId="77777777" w:rsidTr="00C26353">
        <w:trPr>
          <w:trHeight w:val="198"/>
        </w:trPr>
        <w:tc>
          <w:tcPr>
            <w:tcW w:w="3660" w:type="dxa"/>
            <w:tcBorders>
              <w:top w:val="single" w:sz="2" w:space="0" w:color="auto"/>
              <w:left w:val="nil"/>
              <w:bottom w:val="single" w:sz="2" w:space="0" w:color="auto"/>
              <w:right w:val="nil"/>
            </w:tcBorders>
            <w:shd w:val="clear" w:color="auto" w:fill="auto"/>
            <w:vAlign w:val="center"/>
          </w:tcPr>
          <w:p w14:paraId="41A4F53B" w14:textId="77777777" w:rsidR="000A296C" w:rsidRPr="000A296C" w:rsidRDefault="000A296C" w:rsidP="00C26353">
            <w:pPr>
              <w:pStyle w:val="cuatexto"/>
              <w:rPr>
                <w:lang w:val="es-ES" w:eastAsia="es-ES"/>
              </w:rPr>
            </w:pPr>
            <w:r w:rsidRPr="000A296C">
              <w:rPr>
                <w:lang w:val="es-ES" w:eastAsia="es-ES"/>
              </w:rPr>
              <w:t>Gastos sede y luz</w:t>
            </w:r>
          </w:p>
        </w:tc>
        <w:tc>
          <w:tcPr>
            <w:tcW w:w="1709" w:type="dxa"/>
            <w:tcBorders>
              <w:top w:val="single" w:sz="2" w:space="0" w:color="auto"/>
              <w:left w:val="nil"/>
              <w:bottom w:val="single" w:sz="2" w:space="0" w:color="auto"/>
              <w:right w:val="nil"/>
            </w:tcBorders>
            <w:shd w:val="clear" w:color="auto" w:fill="auto"/>
            <w:noWrap/>
            <w:vAlign w:val="center"/>
          </w:tcPr>
          <w:p w14:paraId="7060A53C" w14:textId="77777777" w:rsidR="000A296C" w:rsidRPr="000A296C" w:rsidRDefault="000A296C" w:rsidP="00C26353">
            <w:pPr>
              <w:pStyle w:val="cuatexto"/>
              <w:jc w:val="right"/>
              <w:rPr>
                <w:lang w:val="es-ES" w:eastAsia="es-ES"/>
              </w:rPr>
            </w:pPr>
            <w:r w:rsidRPr="000A296C">
              <w:rPr>
                <w:lang w:val="es-ES" w:eastAsia="es-ES"/>
              </w:rPr>
              <w:t>13.996</w:t>
            </w:r>
          </w:p>
        </w:tc>
        <w:tc>
          <w:tcPr>
            <w:tcW w:w="1710" w:type="dxa"/>
            <w:tcBorders>
              <w:top w:val="single" w:sz="2" w:space="0" w:color="auto"/>
              <w:left w:val="nil"/>
              <w:bottom w:val="single" w:sz="2" w:space="0" w:color="auto"/>
              <w:right w:val="nil"/>
            </w:tcBorders>
            <w:shd w:val="clear" w:color="auto" w:fill="auto"/>
            <w:noWrap/>
            <w:vAlign w:val="center"/>
          </w:tcPr>
          <w:p w14:paraId="46AFCF9B" w14:textId="77777777" w:rsidR="000A296C" w:rsidRPr="000A296C" w:rsidRDefault="000A296C" w:rsidP="00C26353">
            <w:pPr>
              <w:pStyle w:val="cuatexto"/>
              <w:jc w:val="right"/>
              <w:rPr>
                <w:lang w:val="es-ES" w:eastAsia="es-ES"/>
              </w:rPr>
            </w:pPr>
            <w:r w:rsidRPr="000A296C">
              <w:rPr>
                <w:lang w:val="es-ES" w:eastAsia="es-ES"/>
              </w:rPr>
              <w:t>15.733</w:t>
            </w:r>
          </w:p>
        </w:tc>
        <w:tc>
          <w:tcPr>
            <w:tcW w:w="1710" w:type="dxa"/>
            <w:tcBorders>
              <w:top w:val="single" w:sz="2" w:space="0" w:color="auto"/>
              <w:left w:val="nil"/>
              <w:bottom w:val="single" w:sz="2" w:space="0" w:color="auto"/>
              <w:right w:val="nil"/>
            </w:tcBorders>
            <w:vAlign w:val="center"/>
          </w:tcPr>
          <w:p w14:paraId="61BC3ADC" w14:textId="77777777" w:rsidR="000A296C" w:rsidRPr="000A296C" w:rsidRDefault="000A296C" w:rsidP="00C26353">
            <w:pPr>
              <w:pStyle w:val="cuatexto"/>
              <w:jc w:val="right"/>
              <w:rPr>
                <w:lang w:val="es-ES" w:eastAsia="es-ES"/>
              </w:rPr>
            </w:pPr>
            <w:r w:rsidRPr="000A296C">
              <w:rPr>
                <w:lang w:val="es-ES" w:eastAsia="es-ES"/>
              </w:rPr>
              <w:t>12</w:t>
            </w:r>
          </w:p>
        </w:tc>
      </w:tr>
      <w:tr w:rsidR="000A296C" w:rsidRPr="00181513" w14:paraId="1677C1C7" w14:textId="77777777" w:rsidTr="00C26353">
        <w:trPr>
          <w:trHeight w:val="198"/>
        </w:trPr>
        <w:tc>
          <w:tcPr>
            <w:tcW w:w="3660" w:type="dxa"/>
            <w:tcBorders>
              <w:top w:val="single" w:sz="2" w:space="0" w:color="auto"/>
              <w:left w:val="nil"/>
              <w:bottom w:val="single" w:sz="2" w:space="0" w:color="auto"/>
              <w:right w:val="nil"/>
            </w:tcBorders>
            <w:shd w:val="clear" w:color="auto" w:fill="auto"/>
            <w:vAlign w:val="center"/>
          </w:tcPr>
          <w:p w14:paraId="416DA1A4" w14:textId="77777777" w:rsidR="000A296C" w:rsidRPr="000A296C" w:rsidRDefault="000A296C" w:rsidP="00C26353">
            <w:pPr>
              <w:pStyle w:val="cuatexto"/>
              <w:rPr>
                <w:lang w:val="es-ES" w:eastAsia="es-ES"/>
              </w:rPr>
            </w:pPr>
            <w:r w:rsidRPr="000A296C">
              <w:rPr>
                <w:lang w:val="es-ES" w:eastAsia="es-ES"/>
              </w:rPr>
              <w:t>Seguros</w:t>
            </w:r>
          </w:p>
        </w:tc>
        <w:tc>
          <w:tcPr>
            <w:tcW w:w="1709" w:type="dxa"/>
            <w:tcBorders>
              <w:top w:val="single" w:sz="2" w:space="0" w:color="auto"/>
              <w:left w:val="nil"/>
              <w:bottom w:val="single" w:sz="2" w:space="0" w:color="auto"/>
              <w:right w:val="nil"/>
            </w:tcBorders>
            <w:shd w:val="clear" w:color="auto" w:fill="auto"/>
            <w:noWrap/>
            <w:vAlign w:val="center"/>
          </w:tcPr>
          <w:p w14:paraId="25DEEE17" w14:textId="77777777" w:rsidR="000A296C" w:rsidRPr="000A296C" w:rsidRDefault="000A296C" w:rsidP="00C26353">
            <w:pPr>
              <w:pStyle w:val="cuatexto"/>
              <w:jc w:val="right"/>
              <w:rPr>
                <w:lang w:val="es-ES" w:eastAsia="es-ES"/>
              </w:rPr>
            </w:pPr>
            <w:r w:rsidRPr="000A296C">
              <w:rPr>
                <w:lang w:val="es-ES" w:eastAsia="es-ES"/>
              </w:rPr>
              <w:t>14.073</w:t>
            </w:r>
          </w:p>
        </w:tc>
        <w:tc>
          <w:tcPr>
            <w:tcW w:w="1710" w:type="dxa"/>
            <w:tcBorders>
              <w:top w:val="single" w:sz="2" w:space="0" w:color="auto"/>
              <w:left w:val="nil"/>
              <w:bottom w:val="single" w:sz="2" w:space="0" w:color="auto"/>
              <w:right w:val="nil"/>
            </w:tcBorders>
            <w:shd w:val="clear" w:color="auto" w:fill="auto"/>
            <w:noWrap/>
            <w:vAlign w:val="center"/>
          </w:tcPr>
          <w:p w14:paraId="7460B634" w14:textId="77777777" w:rsidR="000A296C" w:rsidRPr="000A296C" w:rsidRDefault="000A296C" w:rsidP="00C26353">
            <w:pPr>
              <w:pStyle w:val="cuatexto"/>
              <w:jc w:val="right"/>
              <w:rPr>
                <w:lang w:val="es-ES" w:eastAsia="es-ES"/>
              </w:rPr>
            </w:pPr>
            <w:r w:rsidRPr="000A296C">
              <w:rPr>
                <w:lang w:val="es-ES" w:eastAsia="es-ES"/>
              </w:rPr>
              <w:t>14.937</w:t>
            </w:r>
          </w:p>
        </w:tc>
        <w:tc>
          <w:tcPr>
            <w:tcW w:w="1710" w:type="dxa"/>
            <w:tcBorders>
              <w:top w:val="single" w:sz="2" w:space="0" w:color="auto"/>
              <w:left w:val="nil"/>
              <w:bottom w:val="single" w:sz="2" w:space="0" w:color="auto"/>
              <w:right w:val="nil"/>
            </w:tcBorders>
            <w:vAlign w:val="center"/>
          </w:tcPr>
          <w:p w14:paraId="3D3ADE87" w14:textId="77777777" w:rsidR="000A296C" w:rsidRPr="000A296C" w:rsidRDefault="000A296C" w:rsidP="00C26353">
            <w:pPr>
              <w:pStyle w:val="cuatexto"/>
              <w:jc w:val="right"/>
              <w:rPr>
                <w:lang w:val="es-ES" w:eastAsia="es-ES"/>
              </w:rPr>
            </w:pPr>
            <w:r w:rsidRPr="000A296C">
              <w:rPr>
                <w:lang w:val="es-ES" w:eastAsia="es-ES"/>
              </w:rPr>
              <w:t>6</w:t>
            </w:r>
          </w:p>
        </w:tc>
      </w:tr>
      <w:tr w:rsidR="000A296C" w:rsidRPr="00181513" w14:paraId="03CDFBA1" w14:textId="77777777" w:rsidTr="00C26353">
        <w:trPr>
          <w:trHeight w:val="198"/>
        </w:trPr>
        <w:tc>
          <w:tcPr>
            <w:tcW w:w="3660" w:type="dxa"/>
            <w:tcBorders>
              <w:top w:val="single" w:sz="2" w:space="0" w:color="auto"/>
              <w:left w:val="nil"/>
              <w:bottom w:val="single" w:sz="2" w:space="0" w:color="auto"/>
              <w:right w:val="nil"/>
            </w:tcBorders>
            <w:shd w:val="clear" w:color="auto" w:fill="auto"/>
            <w:vAlign w:val="center"/>
          </w:tcPr>
          <w:p w14:paraId="0B51B5E1" w14:textId="77777777" w:rsidR="000A296C" w:rsidRPr="000A296C" w:rsidRDefault="000A296C" w:rsidP="00C26353">
            <w:pPr>
              <w:pStyle w:val="cuatexto"/>
              <w:rPr>
                <w:lang w:val="es-ES" w:eastAsia="es-ES"/>
              </w:rPr>
            </w:pPr>
            <w:r w:rsidRPr="000A296C">
              <w:rPr>
                <w:lang w:val="es-ES" w:eastAsia="es-ES"/>
              </w:rPr>
              <w:t>Agencia ejecutiva</w:t>
            </w:r>
          </w:p>
        </w:tc>
        <w:tc>
          <w:tcPr>
            <w:tcW w:w="1709" w:type="dxa"/>
            <w:tcBorders>
              <w:top w:val="single" w:sz="2" w:space="0" w:color="auto"/>
              <w:left w:val="nil"/>
              <w:bottom w:val="single" w:sz="2" w:space="0" w:color="auto"/>
              <w:right w:val="nil"/>
            </w:tcBorders>
            <w:shd w:val="clear" w:color="auto" w:fill="auto"/>
            <w:noWrap/>
            <w:vAlign w:val="center"/>
          </w:tcPr>
          <w:p w14:paraId="58BB3042" w14:textId="77777777" w:rsidR="000A296C" w:rsidRPr="000A296C" w:rsidRDefault="000A296C" w:rsidP="00C26353">
            <w:pPr>
              <w:pStyle w:val="cuatexto"/>
              <w:jc w:val="right"/>
              <w:rPr>
                <w:lang w:val="es-ES" w:eastAsia="es-ES"/>
              </w:rPr>
            </w:pPr>
            <w:r w:rsidRPr="000A296C">
              <w:rPr>
                <w:lang w:val="es-ES" w:eastAsia="es-ES"/>
              </w:rPr>
              <w:t>3.316</w:t>
            </w:r>
          </w:p>
        </w:tc>
        <w:tc>
          <w:tcPr>
            <w:tcW w:w="1710" w:type="dxa"/>
            <w:tcBorders>
              <w:top w:val="single" w:sz="2" w:space="0" w:color="auto"/>
              <w:left w:val="nil"/>
              <w:bottom w:val="single" w:sz="2" w:space="0" w:color="auto"/>
              <w:right w:val="nil"/>
            </w:tcBorders>
            <w:shd w:val="clear" w:color="auto" w:fill="auto"/>
            <w:noWrap/>
            <w:vAlign w:val="center"/>
          </w:tcPr>
          <w:p w14:paraId="203744AC" w14:textId="77777777" w:rsidR="000A296C" w:rsidRPr="000A296C" w:rsidRDefault="000A296C" w:rsidP="00C26353">
            <w:pPr>
              <w:pStyle w:val="cuatexto"/>
              <w:jc w:val="right"/>
              <w:rPr>
                <w:lang w:val="es-ES" w:eastAsia="es-ES"/>
              </w:rPr>
            </w:pPr>
            <w:r w:rsidRPr="000A296C">
              <w:rPr>
                <w:lang w:val="es-ES" w:eastAsia="es-ES"/>
              </w:rPr>
              <w:t>10.471</w:t>
            </w:r>
          </w:p>
        </w:tc>
        <w:tc>
          <w:tcPr>
            <w:tcW w:w="1710" w:type="dxa"/>
            <w:tcBorders>
              <w:top w:val="single" w:sz="2" w:space="0" w:color="auto"/>
              <w:left w:val="nil"/>
              <w:bottom w:val="single" w:sz="2" w:space="0" w:color="auto"/>
              <w:right w:val="nil"/>
            </w:tcBorders>
            <w:vAlign w:val="center"/>
          </w:tcPr>
          <w:p w14:paraId="03523528" w14:textId="77777777" w:rsidR="000A296C" w:rsidRPr="000A296C" w:rsidRDefault="000A296C" w:rsidP="00C26353">
            <w:pPr>
              <w:pStyle w:val="cuatexto"/>
              <w:jc w:val="right"/>
              <w:rPr>
                <w:lang w:val="es-ES" w:eastAsia="es-ES"/>
              </w:rPr>
            </w:pPr>
            <w:r w:rsidRPr="000A296C">
              <w:rPr>
                <w:lang w:val="es-ES" w:eastAsia="es-ES"/>
              </w:rPr>
              <w:t>216</w:t>
            </w:r>
          </w:p>
        </w:tc>
      </w:tr>
      <w:tr w:rsidR="00265234" w:rsidRPr="00181513" w14:paraId="2D37587A" w14:textId="77777777" w:rsidTr="00CE5911">
        <w:trPr>
          <w:trHeight w:val="198"/>
        </w:trPr>
        <w:tc>
          <w:tcPr>
            <w:tcW w:w="3660" w:type="dxa"/>
            <w:tcBorders>
              <w:top w:val="single" w:sz="2" w:space="0" w:color="auto"/>
              <w:left w:val="nil"/>
              <w:bottom w:val="single" w:sz="2" w:space="0" w:color="auto"/>
              <w:right w:val="nil"/>
            </w:tcBorders>
            <w:shd w:val="clear" w:color="auto" w:fill="auto"/>
            <w:vAlign w:val="center"/>
          </w:tcPr>
          <w:p w14:paraId="0B165EF7" w14:textId="5B36C7B1" w:rsidR="00265234" w:rsidRPr="000A296C" w:rsidRDefault="0073568E" w:rsidP="00C26353">
            <w:pPr>
              <w:pStyle w:val="cuatexto"/>
              <w:rPr>
                <w:lang w:val="es-ES" w:eastAsia="es-ES"/>
              </w:rPr>
            </w:pPr>
            <w:r>
              <w:rPr>
                <w:lang w:val="es-ES" w:eastAsia="es-ES"/>
              </w:rPr>
              <w:t>Asesoría contable y</w:t>
            </w:r>
            <w:r w:rsidR="004333EE">
              <w:rPr>
                <w:lang w:val="es-ES" w:eastAsia="es-ES"/>
              </w:rPr>
              <w:t xml:space="preserve"> asesoría laboral</w:t>
            </w:r>
          </w:p>
        </w:tc>
        <w:tc>
          <w:tcPr>
            <w:tcW w:w="1709" w:type="dxa"/>
            <w:tcBorders>
              <w:top w:val="single" w:sz="2" w:space="0" w:color="auto"/>
              <w:left w:val="nil"/>
              <w:bottom w:val="single" w:sz="2" w:space="0" w:color="auto"/>
              <w:right w:val="nil"/>
            </w:tcBorders>
            <w:shd w:val="clear" w:color="auto" w:fill="auto"/>
            <w:noWrap/>
            <w:vAlign w:val="center"/>
          </w:tcPr>
          <w:p w14:paraId="7445DE41" w14:textId="0214BA26" w:rsidR="00265234" w:rsidRPr="000A296C" w:rsidRDefault="004333EE" w:rsidP="00C26353">
            <w:pPr>
              <w:pStyle w:val="cuatexto"/>
              <w:jc w:val="right"/>
              <w:rPr>
                <w:lang w:val="es-ES" w:eastAsia="es-ES"/>
              </w:rPr>
            </w:pPr>
            <w:r>
              <w:rPr>
                <w:lang w:val="es-ES" w:eastAsia="es-ES"/>
              </w:rPr>
              <w:t>10.547</w:t>
            </w:r>
          </w:p>
        </w:tc>
        <w:tc>
          <w:tcPr>
            <w:tcW w:w="1710" w:type="dxa"/>
            <w:tcBorders>
              <w:top w:val="single" w:sz="2" w:space="0" w:color="auto"/>
              <w:left w:val="nil"/>
              <w:bottom w:val="single" w:sz="2" w:space="0" w:color="auto"/>
              <w:right w:val="nil"/>
            </w:tcBorders>
            <w:shd w:val="clear" w:color="auto" w:fill="auto"/>
            <w:noWrap/>
            <w:vAlign w:val="center"/>
          </w:tcPr>
          <w:p w14:paraId="376C4A1E" w14:textId="1667E44C" w:rsidR="00265234" w:rsidRPr="000A296C" w:rsidRDefault="004333EE" w:rsidP="00C26353">
            <w:pPr>
              <w:pStyle w:val="cuatexto"/>
              <w:jc w:val="right"/>
              <w:rPr>
                <w:lang w:val="es-ES" w:eastAsia="es-ES"/>
              </w:rPr>
            </w:pPr>
            <w:r>
              <w:rPr>
                <w:lang w:val="es-ES" w:eastAsia="es-ES"/>
              </w:rPr>
              <w:t>8.317</w:t>
            </w:r>
          </w:p>
        </w:tc>
        <w:tc>
          <w:tcPr>
            <w:tcW w:w="1710" w:type="dxa"/>
            <w:tcBorders>
              <w:top w:val="single" w:sz="2" w:space="0" w:color="auto"/>
              <w:left w:val="nil"/>
              <w:bottom w:val="single" w:sz="2" w:space="0" w:color="auto"/>
              <w:right w:val="nil"/>
            </w:tcBorders>
            <w:vAlign w:val="center"/>
          </w:tcPr>
          <w:p w14:paraId="506426F5" w14:textId="54209487" w:rsidR="00265234" w:rsidRPr="000A296C" w:rsidRDefault="004333EE" w:rsidP="00C26353">
            <w:pPr>
              <w:pStyle w:val="cuatexto"/>
              <w:jc w:val="right"/>
              <w:rPr>
                <w:lang w:val="es-ES" w:eastAsia="es-ES"/>
              </w:rPr>
            </w:pPr>
            <w:r>
              <w:rPr>
                <w:lang w:val="es-ES" w:eastAsia="es-ES"/>
              </w:rPr>
              <w:t>-21</w:t>
            </w:r>
          </w:p>
        </w:tc>
      </w:tr>
      <w:tr w:rsidR="00265234" w:rsidRPr="00181513" w14:paraId="1F324CE2" w14:textId="77777777" w:rsidTr="00CE5911">
        <w:trPr>
          <w:trHeight w:val="198"/>
        </w:trPr>
        <w:tc>
          <w:tcPr>
            <w:tcW w:w="3660" w:type="dxa"/>
            <w:tcBorders>
              <w:top w:val="single" w:sz="2" w:space="0" w:color="auto"/>
              <w:left w:val="nil"/>
              <w:bottom w:val="single" w:sz="4" w:space="0" w:color="auto"/>
              <w:right w:val="nil"/>
            </w:tcBorders>
            <w:shd w:val="clear" w:color="auto" w:fill="auto"/>
            <w:vAlign w:val="center"/>
          </w:tcPr>
          <w:p w14:paraId="48042F76" w14:textId="75AAA17C" w:rsidR="00265234" w:rsidRPr="000A296C" w:rsidRDefault="004333EE" w:rsidP="00C26353">
            <w:pPr>
              <w:pStyle w:val="cuatexto"/>
              <w:rPr>
                <w:lang w:val="es-ES" w:eastAsia="es-ES"/>
              </w:rPr>
            </w:pPr>
            <w:r>
              <w:rPr>
                <w:lang w:val="es-ES" w:eastAsia="es-ES"/>
              </w:rPr>
              <w:t>Festival de reciclaje</w:t>
            </w:r>
          </w:p>
        </w:tc>
        <w:tc>
          <w:tcPr>
            <w:tcW w:w="1709" w:type="dxa"/>
            <w:tcBorders>
              <w:top w:val="single" w:sz="2" w:space="0" w:color="auto"/>
              <w:left w:val="nil"/>
              <w:bottom w:val="single" w:sz="4" w:space="0" w:color="auto"/>
              <w:right w:val="nil"/>
            </w:tcBorders>
            <w:shd w:val="clear" w:color="auto" w:fill="auto"/>
            <w:noWrap/>
            <w:vAlign w:val="center"/>
          </w:tcPr>
          <w:p w14:paraId="639D8F6B" w14:textId="00911993" w:rsidR="00265234" w:rsidRPr="000A296C" w:rsidRDefault="004333EE" w:rsidP="00C26353">
            <w:pPr>
              <w:pStyle w:val="cuatexto"/>
              <w:jc w:val="right"/>
              <w:rPr>
                <w:lang w:val="es-ES" w:eastAsia="es-ES"/>
              </w:rPr>
            </w:pPr>
            <w:r>
              <w:rPr>
                <w:lang w:val="es-ES" w:eastAsia="es-ES"/>
              </w:rPr>
              <w:t>0</w:t>
            </w:r>
          </w:p>
        </w:tc>
        <w:tc>
          <w:tcPr>
            <w:tcW w:w="1710" w:type="dxa"/>
            <w:tcBorders>
              <w:top w:val="single" w:sz="2" w:space="0" w:color="auto"/>
              <w:left w:val="nil"/>
              <w:bottom w:val="single" w:sz="4" w:space="0" w:color="auto"/>
              <w:right w:val="nil"/>
            </w:tcBorders>
            <w:shd w:val="clear" w:color="auto" w:fill="auto"/>
            <w:noWrap/>
            <w:vAlign w:val="center"/>
          </w:tcPr>
          <w:p w14:paraId="2E93D5A3" w14:textId="724A09D4" w:rsidR="00265234" w:rsidRPr="000A296C" w:rsidRDefault="004333EE" w:rsidP="00C26353">
            <w:pPr>
              <w:pStyle w:val="cuatexto"/>
              <w:jc w:val="right"/>
              <w:rPr>
                <w:lang w:val="es-ES" w:eastAsia="es-ES"/>
              </w:rPr>
            </w:pPr>
            <w:r>
              <w:rPr>
                <w:lang w:val="es-ES" w:eastAsia="es-ES"/>
              </w:rPr>
              <w:t>7.798</w:t>
            </w:r>
          </w:p>
        </w:tc>
        <w:tc>
          <w:tcPr>
            <w:tcW w:w="1710" w:type="dxa"/>
            <w:tcBorders>
              <w:top w:val="single" w:sz="2" w:space="0" w:color="auto"/>
              <w:left w:val="nil"/>
              <w:bottom w:val="single" w:sz="4" w:space="0" w:color="auto"/>
              <w:right w:val="nil"/>
            </w:tcBorders>
            <w:vAlign w:val="center"/>
          </w:tcPr>
          <w:p w14:paraId="787798EA" w14:textId="77777777" w:rsidR="00265234" w:rsidRPr="000A296C" w:rsidRDefault="00265234" w:rsidP="00C26353">
            <w:pPr>
              <w:pStyle w:val="cuatexto"/>
              <w:jc w:val="right"/>
              <w:rPr>
                <w:lang w:val="es-ES" w:eastAsia="es-ES"/>
              </w:rPr>
            </w:pPr>
          </w:p>
        </w:tc>
      </w:tr>
    </w:tbl>
    <w:p w14:paraId="2ED3BCDC" w14:textId="1A69D436" w:rsidR="00BD241F" w:rsidRDefault="00BD241F" w:rsidP="007871B2">
      <w:pPr>
        <w:pStyle w:val="texto"/>
        <w:spacing w:before="240" w:after="120"/>
      </w:pPr>
      <w:r>
        <w:t xml:space="preserve">Las </w:t>
      </w:r>
      <w:r w:rsidRPr="00882546">
        <w:rPr>
          <w:b/>
        </w:rPr>
        <w:t>conclusiones</w:t>
      </w:r>
      <w:r>
        <w:t xml:space="preserve"> de la revisión han sido las siguientes:</w:t>
      </w:r>
    </w:p>
    <w:p w14:paraId="4D16A68A" w14:textId="24DDBB81" w:rsidR="004333EE" w:rsidRPr="00E20C58" w:rsidRDefault="00E20C58" w:rsidP="00294534">
      <w:pPr>
        <w:pStyle w:val="texto"/>
        <w:numPr>
          <w:ilvl w:val="0"/>
          <w:numId w:val="18"/>
        </w:numPr>
        <w:tabs>
          <w:tab w:val="num" w:pos="567"/>
          <w:tab w:val="num" w:pos="2770"/>
        </w:tabs>
        <w:ind w:left="0" w:firstLine="290"/>
      </w:pPr>
      <w:r>
        <w:t xml:space="preserve">En </w:t>
      </w:r>
      <w:r w:rsidRPr="00294534">
        <w:rPr>
          <w:lang w:val="es-ES"/>
        </w:rPr>
        <w:t>general</w:t>
      </w:r>
      <w:r>
        <w:t xml:space="preserve">, los gastos corrientes en bienes y servicios contabilizados </w:t>
      </w:r>
      <w:r w:rsidR="004333EE">
        <w:t>están justificados</w:t>
      </w:r>
      <w:r w:rsidR="00D866AF">
        <w:t xml:space="preserve"> con las facturas correspondientes</w:t>
      </w:r>
      <w:r w:rsidR="004333EE">
        <w:t xml:space="preserve">, </w:t>
      </w:r>
      <w:r w:rsidR="0019052A">
        <w:t xml:space="preserve">aprobados y no están </w:t>
      </w:r>
      <w:r w:rsidR="004333EE">
        <w:t xml:space="preserve">pagados </w:t>
      </w:r>
      <w:r w:rsidR="0019052A">
        <w:t>en plazo.</w:t>
      </w:r>
    </w:p>
    <w:p w14:paraId="572BD8F1" w14:textId="04B18FFC" w:rsidR="00E20C58" w:rsidRPr="00E20C58" w:rsidRDefault="00BD241F" w:rsidP="00294534">
      <w:pPr>
        <w:pStyle w:val="texto"/>
        <w:numPr>
          <w:ilvl w:val="0"/>
          <w:numId w:val="18"/>
        </w:numPr>
        <w:tabs>
          <w:tab w:val="num" w:pos="567"/>
          <w:tab w:val="num" w:pos="2770"/>
        </w:tabs>
        <w:ind w:left="0" w:firstLine="290"/>
      </w:pPr>
      <w:r w:rsidRPr="2C569507">
        <w:rPr>
          <w:lang w:val="es-ES"/>
        </w:rPr>
        <w:t>Se ha contratado</w:t>
      </w:r>
      <w:r w:rsidR="000733CF">
        <w:rPr>
          <w:lang w:val="es-ES"/>
        </w:rPr>
        <w:t xml:space="preserve"> </w:t>
      </w:r>
      <w:r w:rsidRPr="2C569507">
        <w:rPr>
          <w:lang w:val="es-ES"/>
        </w:rPr>
        <w:t>indebidamente</w:t>
      </w:r>
      <w:r w:rsidR="00E20C58" w:rsidRPr="2C569507">
        <w:rPr>
          <w:lang w:val="es-ES"/>
        </w:rPr>
        <w:t>,</w:t>
      </w:r>
      <w:r w:rsidRPr="2C569507">
        <w:rPr>
          <w:lang w:val="es-ES"/>
        </w:rPr>
        <w:t xml:space="preserve"> en los años </w:t>
      </w:r>
      <w:r w:rsidR="00E20C58" w:rsidRPr="2C569507">
        <w:rPr>
          <w:lang w:val="es-ES"/>
        </w:rPr>
        <w:t>2021 a 2023</w:t>
      </w:r>
      <w:r w:rsidRPr="2C569507">
        <w:rPr>
          <w:lang w:val="es-ES"/>
        </w:rPr>
        <w:t xml:space="preserve">, el seguro de la nave </w:t>
      </w:r>
      <w:r w:rsidR="000733CF">
        <w:rPr>
          <w:lang w:val="es-ES"/>
        </w:rPr>
        <w:t xml:space="preserve">que no utilizaba desde 2021, por una prima total de, </w:t>
      </w:r>
      <w:r w:rsidR="00695583" w:rsidRPr="2C569507">
        <w:rPr>
          <w:lang w:val="es-ES"/>
        </w:rPr>
        <w:t>al menos,</w:t>
      </w:r>
      <w:r w:rsidR="00E20C58" w:rsidRPr="2C569507">
        <w:rPr>
          <w:lang w:val="es-ES"/>
        </w:rPr>
        <w:t xml:space="preserve"> </w:t>
      </w:r>
      <w:r w:rsidR="00935E3F" w:rsidRPr="2C569507">
        <w:rPr>
          <w:lang w:val="es-ES"/>
        </w:rPr>
        <w:t>4.355</w:t>
      </w:r>
      <w:r w:rsidR="00E20C58" w:rsidRPr="2C569507">
        <w:rPr>
          <w:lang w:val="es-ES"/>
        </w:rPr>
        <w:t xml:space="preserve"> euros.</w:t>
      </w:r>
      <w:r w:rsidR="60614668" w:rsidRPr="2C569507">
        <w:rPr>
          <w:lang w:val="es-ES"/>
        </w:rPr>
        <w:t xml:space="preserve"> </w:t>
      </w:r>
      <w:r w:rsidR="005F1783">
        <w:rPr>
          <w:lang w:val="es-ES"/>
        </w:rPr>
        <w:t xml:space="preserve"> En 2024 se canceló y cobró la prima del seguro de dicho año y se reclamó el reintegro de ejercicios anteriores.</w:t>
      </w:r>
    </w:p>
    <w:p w14:paraId="38944D68" w14:textId="5058FC3F" w:rsidR="005B60A9" w:rsidRPr="00516BCC" w:rsidRDefault="005B60A9" w:rsidP="00294534">
      <w:pPr>
        <w:pStyle w:val="texto"/>
        <w:numPr>
          <w:ilvl w:val="0"/>
          <w:numId w:val="18"/>
        </w:numPr>
        <w:tabs>
          <w:tab w:val="num" w:pos="567"/>
          <w:tab w:val="num" w:pos="2770"/>
        </w:tabs>
        <w:ind w:left="0" w:firstLine="290"/>
      </w:pPr>
      <w:r w:rsidRPr="00516BCC">
        <w:t xml:space="preserve">Hemos </w:t>
      </w:r>
      <w:r w:rsidRPr="00294534">
        <w:rPr>
          <w:lang w:val="es-ES"/>
        </w:rPr>
        <w:t>detectado</w:t>
      </w:r>
      <w:r w:rsidRPr="00516BCC">
        <w:t xml:space="preserve"> errores en la contabilización y en la imputación temporal de los </w:t>
      </w:r>
      <w:r w:rsidR="00D866AF">
        <w:t>siguientes gastos</w:t>
      </w:r>
      <w:r w:rsidRPr="00516BCC">
        <w:t>:</w:t>
      </w:r>
    </w:p>
    <w:p w14:paraId="0939288B" w14:textId="5FFAF67D" w:rsidR="006A4FAB" w:rsidRPr="001C5C2D" w:rsidRDefault="00F95C75" w:rsidP="00E20C58">
      <w:pPr>
        <w:pStyle w:val="texto"/>
        <w:spacing w:before="120" w:after="120"/>
      </w:pPr>
      <w:r>
        <w:t>-</w:t>
      </w:r>
      <w:r w:rsidR="0028741B">
        <w:t xml:space="preserve"> </w:t>
      </w:r>
      <w:r w:rsidR="005B60A9">
        <w:t>La partida</w:t>
      </w:r>
      <w:r w:rsidR="006A4FAB">
        <w:t xml:space="preserve"> de recogida de voluminosos no </w:t>
      </w:r>
      <w:r>
        <w:t>incluye</w:t>
      </w:r>
      <w:r w:rsidR="006A4FAB">
        <w:t xml:space="preserve"> </w:t>
      </w:r>
      <w:r w:rsidR="00087964">
        <w:t>el gasto de octubre de 2023 por</w:t>
      </w:r>
      <w:r w:rsidR="00946E75">
        <w:t xml:space="preserve"> 3.429</w:t>
      </w:r>
      <w:r w:rsidR="00087964">
        <w:t xml:space="preserve"> euros</w:t>
      </w:r>
      <w:r w:rsidR="764A27EF">
        <w:t>,</w:t>
      </w:r>
      <w:r w:rsidR="00087964">
        <w:t xml:space="preserve"> que no se ha contabilizado</w:t>
      </w:r>
      <w:r w:rsidR="00695583">
        <w:t>,</w:t>
      </w:r>
      <w:r w:rsidR="00087964">
        <w:t xml:space="preserve"> ni </w:t>
      </w:r>
      <w:r w:rsidR="008675A8">
        <w:t>4.716</w:t>
      </w:r>
      <w:r w:rsidR="006A4FAB">
        <w:t xml:space="preserve"> euros </w:t>
      </w:r>
      <w:r w:rsidR="008675A8">
        <w:t xml:space="preserve">de diciembre de 2023 </w:t>
      </w:r>
      <w:r w:rsidR="006A4FAB">
        <w:t>contabilizados erróneamente en el concepto de funcionamiento de servicios</w:t>
      </w:r>
      <w:r w:rsidR="00707911">
        <w:t>.</w:t>
      </w:r>
      <w:r w:rsidR="006A4FAB">
        <w:t xml:space="preserve"> </w:t>
      </w:r>
      <w:r w:rsidR="002223C3">
        <w:t xml:space="preserve">Todo el gasto </w:t>
      </w:r>
      <w:r w:rsidR="00D02CB6">
        <w:t>de</w:t>
      </w:r>
      <w:r w:rsidR="002223C3">
        <w:t xml:space="preserve"> 2023</w:t>
      </w:r>
      <w:r w:rsidR="00695583">
        <w:t>,</w:t>
      </w:r>
      <w:r w:rsidR="00E20C58">
        <w:t xml:space="preserve"> 42.652 euros, queda pendiente de pago a</w:t>
      </w:r>
      <w:r w:rsidR="002223C3">
        <w:t>l cierre del ejercicio.</w:t>
      </w:r>
    </w:p>
    <w:p w14:paraId="3191ECA4" w14:textId="44897DB5" w:rsidR="006A4FAB" w:rsidRDefault="00EE14A6" w:rsidP="06D4BFB9">
      <w:pPr>
        <w:pStyle w:val="texto"/>
        <w:spacing w:before="120" w:after="120"/>
        <w:rPr>
          <w:color w:val="FF0000"/>
          <w:lang w:val="es-ES"/>
        </w:rPr>
      </w:pPr>
      <w:r w:rsidRPr="37EBD5B8">
        <w:rPr>
          <w:lang w:val="es-ES"/>
        </w:rPr>
        <w:t>-</w:t>
      </w:r>
      <w:r w:rsidR="0028741B" w:rsidRPr="37EBD5B8">
        <w:rPr>
          <w:lang w:val="es-ES"/>
        </w:rPr>
        <w:t xml:space="preserve"> </w:t>
      </w:r>
      <w:r w:rsidR="00D02CB6" w:rsidRPr="37EBD5B8">
        <w:rPr>
          <w:lang w:val="es-ES"/>
        </w:rPr>
        <w:t>En 2023 se han contabilizado e</w:t>
      </w:r>
      <w:r w:rsidR="006A4FAB" w:rsidRPr="37EBD5B8">
        <w:rPr>
          <w:lang w:val="es-ES"/>
        </w:rPr>
        <w:t xml:space="preserve">n la partida de canon de vertido </w:t>
      </w:r>
      <w:r w:rsidR="001165F7" w:rsidRPr="37EBD5B8">
        <w:rPr>
          <w:lang w:val="es-ES"/>
        </w:rPr>
        <w:t>7.048 euros</w:t>
      </w:r>
      <w:r w:rsidR="005B60A9" w:rsidRPr="37EBD5B8">
        <w:rPr>
          <w:lang w:val="es-ES"/>
        </w:rPr>
        <w:t xml:space="preserve"> </w:t>
      </w:r>
      <w:r w:rsidR="001165F7" w:rsidRPr="37EBD5B8">
        <w:rPr>
          <w:lang w:val="es-ES"/>
        </w:rPr>
        <w:t xml:space="preserve">correspondientes al </w:t>
      </w:r>
      <w:r w:rsidR="00927C00" w:rsidRPr="37EBD5B8">
        <w:rPr>
          <w:lang w:val="es-ES"/>
        </w:rPr>
        <w:t>tercer</w:t>
      </w:r>
      <w:r w:rsidR="001165F7" w:rsidRPr="37EBD5B8">
        <w:rPr>
          <w:lang w:val="es-ES"/>
        </w:rPr>
        <w:t xml:space="preserve"> y cuarto trimestre </w:t>
      </w:r>
      <w:r w:rsidR="00927C00" w:rsidRPr="37EBD5B8">
        <w:rPr>
          <w:lang w:val="es-ES"/>
        </w:rPr>
        <w:t>de 2022</w:t>
      </w:r>
      <w:r w:rsidR="00D02CB6" w:rsidRPr="37EBD5B8">
        <w:rPr>
          <w:lang w:val="es-ES"/>
        </w:rPr>
        <w:t xml:space="preserve"> y</w:t>
      </w:r>
      <w:r w:rsidR="00882C98" w:rsidRPr="37EBD5B8">
        <w:rPr>
          <w:lang w:val="es-ES"/>
        </w:rPr>
        <w:t xml:space="preserve"> los tres primeros trimestres de </w:t>
      </w:r>
      <w:r w:rsidR="00D02CB6" w:rsidRPr="37EBD5B8">
        <w:rPr>
          <w:lang w:val="es-ES"/>
        </w:rPr>
        <w:t>2023</w:t>
      </w:r>
      <w:r w:rsidR="5F1D480C" w:rsidRPr="37EBD5B8">
        <w:rPr>
          <w:lang w:val="es-ES"/>
        </w:rPr>
        <w:t>. De ellos</w:t>
      </w:r>
      <w:r w:rsidR="540FE5E6" w:rsidRPr="37EBD5B8">
        <w:rPr>
          <w:lang w:val="es-ES"/>
        </w:rPr>
        <w:t>,</w:t>
      </w:r>
      <w:r w:rsidR="00D02CB6" w:rsidRPr="37EBD5B8">
        <w:rPr>
          <w:lang w:val="es-ES"/>
        </w:rPr>
        <w:t xml:space="preserve"> </w:t>
      </w:r>
      <w:r w:rsidR="00882C98" w:rsidRPr="37EBD5B8">
        <w:rPr>
          <w:lang w:val="es-ES"/>
        </w:rPr>
        <w:t>a</w:t>
      </w:r>
      <w:r w:rsidR="002223C3" w:rsidRPr="37EBD5B8">
        <w:rPr>
          <w:lang w:val="es-ES"/>
        </w:rPr>
        <w:t xml:space="preserve"> 31 de diciembre de 2023, </w:t>
      </w:r>
      <w:r w:rsidR="002223C3" w:rsidRPr="00340CA9">
        <w:rPr>
          <w:lang w:val="es-ES"/>
        </w:rPr>
        <w:t>constan pendientes de pago</w:t>
      </w:r>
      <w:r w:rsidR="002223C3" w:rsidRPr="37EBD5B8">
        <w:rPr>
          <w:lang w:val="es-ES"/>
        </w:rPr>
        <w:t xml:space="preserve"> </w:t>
      </w:r>
      <w:r w:rsidR="000B16BE" w:rsidRPr="37EBD5B8">
        <w:rPr>
          <w:lang w:val="es-ES"/>
        </w:rPr>
        <w:t>11.251 euros d</w:t>
      </w:r>
      <w:r w:rsidR="00946C97" w:rsidRPr="37EBD5B8">
        <w:rPr>
          <w:lang w:val="es-ES"/>
        </w:rPr>
        <w:t>el canon del segundo y tercer trimestre de 2023.</w:t>
      </w:r>
      <w:r w:rsidR="00F95C75" w:rsidRPr="37EBD5B8">
        <w:rPr>
          <w:color w:val="FF0000"/>
          <w:lang w:val="es-ES"/>
        </w:rPr>
        <w:t xml:space="preserve"> </w:t>
      </w:r>
    </w:p>
    <w:p w14:paraId="23BBA51D" w14:textId="7990E34A" w:rsidR="00D16628" w:rsidRPr="00340CA9" w:rsidRDefault="00EE14A6">
      <w:pPr>
        <w:pStyle w:val="texto"/>
        <w:spacing w:before="120" w:after="120" w:line="259" w:lineRule="auto"/>
        <w:rPr>
          <w:lang w:val="es-ES"/>
        </w:rPr>
      </w:pPr>
      <w:r w:rsidRPr="2C569507">
        <w:rPr>
          <w:lang w:val="es-ES"/>
        </w:rPr>
        <w:t>-</w:t>
      </w:r>
      <w:r w:rsidR="0028741B" w:rsidRPr="2C569507">
        <w:rPr>
          <w:lang w:val="es-ES"/>
        </w:rPr>
        <w:t xml:space="preserve"> </w:t>
      </w:r>
      <w:r w:rsidR="00301DAB" w:rsidRPr="2C569507">
        <w:rPr>
          <w:lang w:val="es-ES"/>
        </w:rPr>
        <w:t xml:space="preserve">En 2023, se </w:t>
      </w:r>
      <w:r w:rsidR="00884550" w:rsidRPr="2C569507">
        <w:rPr>
          <w:lang w:val="es-ES"/>
        </w:rPr>
        <w:t xml:space="preserve">han </w:t>
      </w:r>
      <w:r w:rsidR="0073568E" w:rsidRPr="2C569507">
        <w:rPr>
          <w:lang w:val="es-ES"/>
        </w:rPr>
        <w:t>contab</w:t>
      </w:r>
      <w:r w:rsidR="0075294C" w:rsidRPr="2C569507">
        <w:rPr>
          <w:lang w:val="es-ES"/>
        </w:rPr>
        <w:t>i</w:t>
      </w:r>
      <w:r w:rsidR="0073568E" w:rsidRPr="2C569507">
        <w:rPr>
          <w:lang w:val="es-ES"/>
        </w:rPr>
        <w:t xml:space="preserve">lizado </w:t>
      </w:r>
      <w:r w:rsidR="00D02CB6" w:rsidRPr="2C569507">
        <w:rPr>
          <w:lang w:val="es-ES"/>
        </w:rPr>
        <w:t xml:space="preserve">por duplicado </w:t>
      </w:r>
      <w:r w:rsidR="00884550" w:rsidRPr="2C569507">
        <w:rPr>
          <w:lang w:val="es-ES"/>
        </w:rPr>
        <w:t xml:space="preserve">8.625 euros </w:t>
      </w:r>
      <w:r w:rsidR="00D02CB6" w:rsidRPr="2C569507">
        <w:rPr>
          <w:lang w:val="es-ES"/>
        </w:rPr>
        <w:t>por el</w:t>
      </w:r>
      <w:r w:rsidR="00884550" w:rsidRPr="2C569507">
        <w:rPr>
          <w:lang w:val="es-ES"/>
        </w:rPr>
        <w:t xml:space="preserve"> </w:t>
      </w:r>
      <w:r w:rsidR="0073568E" w:rsidRPr="2C569507">
        <w:rPr>
          <w:lang w:val="es-ES"/>
        </w:rPr>
        <w:t>alquiler de naves a la sociedad pública Nasuvinsa</w:t>
      </w:r>
      <w:r w:rsidRPr="2C569507">
        <w:rPr>
          <w:lang w:val="es-ES"/>
        </w:rPr>
        <w:t xml:space="preserve"> </w:t>
      </w:r>
      <w:r w:rsidR="00D02CB6" w:rsidRPr="2C569507">
        <w:rPr>
          <w:lang w:val="es-ES"/>
        </w:rPr>
        <w:t>de</w:t>
      </w:r>
      <w:r w:rsidRPr="2C569507">
        <w:rPr>
          <w:lang w:val="es-ES"/>
        </w:rPr>
        <w:t>l año 2022</w:t>
      </w:r>
      <w:r w:rsidR="00D02CB6" w:rsidRPr="2C569507">
        <w:rPr>
          <w:lang w:val="es-ES"/>
        </w:rPr>
        <w:t xml:space="preserve"> </w:t>
      </w:r>
      <w:r w:rsidR="00301DAB" w:rsidRPr="2C569507">
        <w:rPr>
          <w:lang w:val="es-ES"/>
        </w:rPr>
        <w:t>y no está contabilizado el alquiler de naves de los años 2018 a 202</w:t>
      </w:r>
      <w:r w:rsidR="00D02CB6" w:rsidRPr="2C569507">
        <w:rPr>
          <w:lang w:val="es-ES"/>
        </w:rPr>
        <w:t>1</w:t>
      </w:r>
      <w:r w:rsidR="00EE56F7" w:rsidRPr="2C569507">
        <w:rPr>
          <w:lang w:val="es-ES"/>
        </w:rPr>
        <w:t xml:space="preserve"> </w:t>
      </w:r>
      <w:r w:rsidR="00301DAB" w:rsidRPr="2C569507">
        <w:rPr>
          <w:lang w:val="es-ES"/>
        </w:rPr>
        <w:t>ni el alquiler de 2023</w:t>
      </w:r>
      <w:r w:rsidR="00DA5DE6">
        <w:rPr>
          <w:lang w:val="es-ES"/>
        </w:rPr>
        <w:t xml:space="preserve"> (9.143 euros)</w:t>
      </w:r>
      <w:r w:rsidR="00D02CB6" w:rsidRPr="2C569507">
        <w:rPr>
          <w:lang w:val="es-ES"/>
        </w:rPr>
        <w:t xml:space="preserve">, </w:t>
      </w:r>
      <w:r w:rsidR="00D02CB6" w:rsidRPr="2C569507">
        <w:rPr>
          <w:lang w:val="es-ES"/>
        </w:rPr>
        <w:lastRenderedPageBreak/>
        <w:t>en total 38.032 euros</w:t>
      </w:r>
      <w:r w:rsidR="00301DAB" w:rsidRPr="2C569507">
        <w:rPr>
          <w:lang w:val="es-ES"/>
        </w:rPr>
        <w:t>.</w:t>
      </w:r>
      <w:r w:rsidR="00D16628" w:rsidRPr="2C569507">
        <w:rPr>
          <w:lang w:val="es-ES"/>
        </w:rPr>
        <w:t xml:space="preserve"> </w:t>
      </w:r>
      <w:r w:rsidR="00EE56F7" w:rsidRPr="2C569507">
        <w:rPr>
          <w:lang w:val="es-ES"/>
        </w:rPr>
        <w:t xml:space="preserve">A 31 de diciembre de 2023, el alquiler pendiente de pago </w:t>
      </w:r>
      <w:r w:rsidR="00B343C3" w:rsidRPr="2C569507">
        <w:rPr>
          <w:lang w:val="es-ES"/>
        </w:rPr>
        <w:t xml:space="preserve">a Nasuvinsa </w:t>
      </w:r>
      <w:r w:rsidR="00EE56F7" w:rsidRPr="2C569507">
        <w:rPr>
          <w:lang w:val="es-ES"/>
        </w:rPr>
        <w:t>asciende a 46.</w:t>
      </w:r>
      <w:r w:rsidR="00DA5DE6" w:rsidRPr="2C569507">
        <w:rPr>
          <w:lang w:val="es-ES"/>
        </w:rPr>
        <w:t>657</w:t>
      </w:r>
      <w:r w:rsidR="0086509D">
        <w:rPr>
          <w:lang w:val="es-ES"/>
        </w:rPr>
        <w:t xml:space="preserve"> euros</w:t>
      </w:r>
      <w:r w:rsidR="00DA5DE6">
        <w:rPr>
          <w:lang w:val="es-ES"/>
        </w:rPr>
        <w:t xml:space="preserve">. </w:t>
      </w:r>
    </w:p>
    <w:p w14:paraId="5394A702" w14:textId="546C0691" w:rsidR="00B5458A" w:rsidRPr="00B5458A" w:rsidRDefault="00B5458A" w:rsidP="06D4BFB9">
      <w:pPr>
        <w:pStyle w:val="texto"/>
        <w:spacing w:before="120" w:after="120"/>
        <w:rPr>
          <w:lang w:val="es-ES"/>
        </w:rPr>
      </w:pPr>
      <w:r w:rsidRPr="2C569507">
        <w:rPr>
          <w:lang w:val="es-ES"/>
        </w:rPr>
        <w:t>-</w:t>
      </w:r>
      <w:r w:rsidR="0028741B" w:rsidRPr="2C569507">
        <w:rPr>
          <w:lang w:val="es-ES"/>
        </w:rPr>
        <w:t xml:space="preserve"> </w:t>
      </w:r>
      <w:r w:rsidRPr="2C569507">
        <w:rPr>
          <w:lang w:val="es-ES"/>
        </w:rPr>
        <w:t>La partida de funcionamiento de servicios recoge 70 apuntes contables, de los cuale</w:t>
      </w:r>
      <w:r w:rsidRPr="00340CA9">
        <w:rPr>
          <w:lang w:val="es-ES"/>
        </w:rPr>
        <w:t xml:space="preserve">s 11 son negativos realizados para anular el gasto </w:t>
      </w:r>
      <w:r w:rsidR="5BC73333" w:rsidRPr="00340CA9">
        <w:rPr>
          <w:lang w:val="es-ES"/>
        </w:rPr>
        <w:t>incorrectamente</w:t>
      </w:r>
      <w:r w:rsidRPr="00340CA9">
        <w:rPr>
          <w:lang w:val="es-ES"/>
        </w:rPr>
        <w:t xml:space="preserve"> contabilizado</w:t>
      </w:r>
      <w:r w:rsidRPr="2C569507">
        <w:rPr>
          <w:lang w:val="es-ES"/>
        </w:rPr>
        <w:t>.</w:t>
      </w:r>
    </w:p>
    <w:p w14:paraId="1844674F" w14:textId="3B7D644F" w:rsidR="00901CD5" w:rsidRDefault="0028741B" w:rsidP="4176AA0A">
      <w:pPr>
        <w:pStyle w:val="texto"/>
        <w:spacing w:before="120" w:after="120"/>
        <w:rPr>
          <w:lang w:val="es-ES"/>
        </w:rPr>
      </w:pPr>
      <w:r w:rsidRPr="25A69295">
        <w:rPr>
          <w:lang w:val="es-ES"/>
        </w:rPr>
        <w:t xml:space="preserve">- </w:t>
      </w:r>
      <w:r w:rsidR="00EE56F7" w:rsidRPr="25A69295">
        <w:rPr>
          <w:lang w:val="es-ES"/>
        </w:rPr>
        <w:t>En general, lo</w:t>
      </w:r>
      <w:r w:rsidR="00901CD5" w:rsidRPr="25A69295">
        <w:rPr>
          <w:lang w:val="es-ES"/>
        </w:rPr>
        <w:t xml:space="preserve">s gastos no se contabilizan con cargo al correspondiente acreedor registrado </w:t>
      </w:r>
      <w:r w:rsidR="00CB1198" w:rsidRPr="25A69295">
        <w:rPr>
          <w:lang w:val="es-ES"/>
        </w:rPr>
        <w:t xml:space="preserve">en </w:t>
      </w:r>
      <w:r w:rsidR="00207DDE" w:rsidRPr="25A69295">
        <w:rPr>
          <w:lang w:val="es-ES"/>
        </w:rPr>
        <w:t xml:space="preserve">la aplicación </w:t>
      </w:r>
      <w:r w:rsidR="00630509" w:rsidRPr="25A69295">
        <w:rPr>
          <w:lang w:val="es-ES"/>
        </w:rPr>
        <w:t>informática,</w:t>
      </w:r>
      <w:r w:rsidR="00CB1198" w:rsidRPr="25A69295">
        <w:rPr>
          <w:lang w:val="es-ES"/>
        </w:rPr>
        <w:t xml:space="preserve"> </w:t>
      </w:r>
      <w:r w:rsidR="00901CD5" w:rsidRPr="25A69295">
        <w:rPr>
          <w:lang w:val="es-ES"/>
        </w:rPr>
        <w:t xml:space="preserve">sino que se </w:t>
      </w:r>
      <w:r w:rsidRPr="25A69295">
        <w:rPr>
          <w:lang w:val="es-ES"/>
        </w:rPr>
        <w:t xml:space="preserve">imputan </w:t>
      </w:r>
      <w:r w:rsidR="00901CD5" w:rsidRPr="25A69295">
        <w:rPr>
          <w:lang w:val="es-ES"/>
        </w:rPr>
        <w:t>a la cuenta</w:t>
      </w:r>
      <w:r w:rsidRPr="25A69295">
        <w:rPr>
          <w:lang w:val="es-ES"/>
        </w:rPr>
        <w:t xml:space="preserve"> genérica de</w:t>
      </w:r>
      <w:r w:rsidR="00901CD5" w:rsidRPr="25A69295">
        <w:rPr>
          <w:lang w:val="es-ES"/>
        </w:rPr>
        <w:t xml:space="preserve"> “acreedores varios”</w:t>
      </w:r>
    </w:p>
    <w:p w14:paraId="41107BDD" w14:textId="7B6DF896" w:rsidR="000A296C" w:rsidRPr="009417DA" w:rsidRDefault="00544E8B" w:rsidP="00E47952">
      <w:pPr>
        <w:pStyle w:val="atitulo3"/>
        <w:tabs>
          <w:tab w:val="num" w:pos="360"/>
          <w:tab w:val="left" w:pos="426"/>
          <w:tab w:val="num" w:pos="600"/>
          <w:tab w:val="num" w:pos="720"/>
          <w:tab w:val="num" w:pos="1320"/>
          <w:tab w:val="num" w:pos="1637"/>
          <w:tab w:val="num" w:pos="2770"/>
        </w:tabs>
        <w:spacing w:before="240" w:line="259" w:lineRule="auto"/>
        <w:rPr>
          <w:rFonts w:cs="Arial"/>
        </w:rPr>
      </w:pPr>
      <w:r>
        <w:rPr>
          <w:rFonts w:cs="Arial"/>
        </w:rPr>
        <w:t>5</w:t>
      </w:r>
      <w:r w:rsidR="00E47952">
        <w:rPr>
          <w:rFonts w:cs="Arial"/>
        </w:rPr>
        <w:t>.4</w:t>
      </w:r>
      <w:r w:rsidR="000A296C" w:rsidRPr="483DF1BC">
        <w:rPr>
          <w:rFonts w:cs="Arial"/>
        </w:rPr>
        <w:t xml:space="preserve"> Gastos de transferencias corrientes</w:t>
      </w:r>
    </w:p>
    <w:p w14:paraId="29A58869" w14:textId="35BFD88C" w:rsidR="00D866AF" w:rsidRPr="005625D7" w:rsidRDefault="00400081" w:rsidP="2C569507">
      <w:pPr>
        <w:pStyle w:val="texto"/>
        <w:rPr>
          <w:lang w:val="es-ES"/>
        </w:rPr>
      </w:pPr>
      <w:r>
        <w:rPr>
          <w:lang w:val="es-ES"/>
        </w:rPr>
        <w:t>En 2023</w:t>
      </w:r>
      <w:r w:rsidR="00CA3446">
        <w:rPr>
          <w:lang w:val="es-ES"/>
        </w:rPr>
        <w:t>,</w:t>
      </w:r>
      <w:r>
        <w:rPr>
          <w:lang w:val="es-ES"/>
        </w:rPr>
        <w:t xml:space="preserve"> l</w:t>
      </w:r>
      <w:r w:rsidR="000A296C" w:rsidRPr="2C569507">
        <w:rPr>
          <w:lang w:val="es-ES"/>
        </w:rPr>
        <w:t xml:space="preserve">as transferencias corrientes de la </w:t>
      </w:r>
      <w:r w:rsidR="003C06D0">
        <w:rPr>
          <w:lang w:val="es-ES"/>
        </w:rPr>
        <w:t>Mancomunidad</w:t>
      </w:r>
      <w:r w:rsidR="000A296C" w:rsidRPr="2C569507">
        <w:rPr>
          <w:lang w:val="es-ES"/>
        </w:rPr>
        <w:t xml:space="preserve"> ascendieron a 1.954 euros, un 29 </w:t>
      </w:r>
      <w:r w:rsidR="000A296C" w:rsidRPr="001B3D8D">
        <w:rPr>
          <w:lang w:val="es-ES"/>
        </w:rPr>
        <w:t xml:space="preserve">por ciento de los créditos definitivos. </w:t>
      </w:r>
      <w:r w:rsidR="001B3D8D" w:rsidRPr="005625D7">
        <w:t>Se presupuestaron 6.800 euros, en los que se incluían, entre otros, aportaciones para cooperación al desarrollo que no se ejecutaron.</w:t>
      </w:r>
    </w:p>
    <w:p w14:paraId="306CAE48" w14:textId="29923F6E" w:rsidR="000A296C" w:rsidRPr="00D866AF" w:rsidRDefault="000A296C" w:rsidP="00D866AF">
      <w:pPr>
        <w:pStyle w:val="texto"/>
      </w:pPr>
      <w:r>
        <w:t xml:space="preserve">Este gasto corresponde a la cuota </w:t>
      </w:r>
      <w:r w:rsidR="0075294C">
        <w:t>anual a</w:t>
      </w:r>
      <w:r w:rsidR="00087761">
        <w:t xml:space="preserve"> la Red</w:t>
      </w:r>
      <w:r w:rsidR="0075294C">
        <w:t xml:space="preserve"> NELS</w:t>
      </w:r>
      <w:r w:rsidR="00097EF6">
        <w:t xml:space="preserve"> (Red Navarra de Entidades Locales para la Sostenibilidad)</w:t>
      </w:r>
      <w:r w:rsidR="006503E9">
        <w:t>,</w:t>
      </w:r>
      <w:r w:rsidR="0075294C">
        <w:t xml:space="preserve"> por importe de 1.479 euros y el resto </w:t>
      </w:r>
      <w:r>
        <w:t xml:space="preserve">a la Federación Navarra de Municipios y Concejos. </w:t>
      </w:r>
      <w:r w:rsidR="00097EF6">
        <w:t xml:space="preserve">La cuota del año 2023 a </w:t>
      </w:r>
      <w:r w:rsidR="00087761">
        <w:t xml:space="preserve">la Red </w:t>
      </w:r>
      <w:r w:rsidR="00097EF6">
        <w:t>NELS no se ha pagado.</w:t>
      </w:r>
    </w:p>
    <w:p w14:paraId="06AC557F" w14:textId="5F83A934" w:rsidR="000A296C" w:rsidRPr="00A60A18" w:rsidRDefault="00544E8B" w:rsidP="000A296C">
      <w:pPr>
        <w:pStyle w:val="atitulo3"/>
        <w:spacing w:before="240"/>
        <w:rPr>
          <w:rFonts w:cs="Arial"/>
        </w:rPr>
      </w:pPr>
      <w:r>
        <w:rPr>
          <w:rFonts w:cs="Arial"/>
        </w:rPr>
        <w:t>5</w:t>
      </w:r>
      <w:r w:rsidR="00CE5911">
        <w:rPr>
          <w:rFonts w:cs="Arial"/>
        </w:rPr>
        <w:t>.5</w:t>
      </w:r>
      <w:r w:rsidR="000A296C" w:rsidRPr="00A60A18">
        <w:rPr>
          <w:rFonts w:cs="Arial"/>
        </w:rPr>
        <w:t xml:space="preserve"> Inversiones</w:t>
      </w:r>
    </w:p>
    <w:p w14:paraId="2BD4274E" w14:textId="50BA28C2" w:rsidR="00695583" w:rsidRDefault="000A296C" w:rsidP="00EE56F7">
      <w:pPr>
        <w:pStyle w:val="texto"/>
      </w:pPr>
      <w:r>
        <w:t xml:space="preserve">Las inversiones en el ejercicio 2023 ascendieron a 16.725 euros. Representan el dos por ciento del total de obligaciones reconocidas en el ejercicio. </w:t>
      </w:r>
      <w:r w:rsidR="00695583">
        <w:t>El 77 por ciento de este gasto, 12.939 euros</w:t>
      </w:r>
      <w:r w:rsidR="30CFCEEE">
        <w:t>,</w:t>
      </w:r>
      <w:r w:rsidR="00695583">
        <w:t xml:space="preserve"> es gasto corriente del </w:t>
      </w:r>
      <w:r w:rsidR="00B343C3">
        <w:t>programa de</w:t>
      </w:r>
      <w:r w:rsidR="00EE56F7">
        <w:t xml:space="preserve"> control y seguimiento de aguas</w:t>
      </w:r>
      <w:r w:rsidR="00695583">
        <w:t>.</w:t>
      </w:r>
    </w:p>
    <w:p w14:paraId="161BBD8C" w14:textId="4349EBCD" w:rsidR="008C23D5" w:rsidRDefault="000A296C" w:rsidP="2C569507">
      <w:pPr>
        <w:pStyle w:val="texto"/>
        <w:rPr>
          <w:highlight w:val="yellow"/>
        </w:rPr>
      </w:pPr>
      <w:r w:rsidRPr="2C569507">
        <w:rPr>
          <w:lang w:val="es-ES"/>
        </w:rPr>
        <w:t>Solamente se ha ejecutado el tres por cien</w:t>
      </w:r>
      <w:r w:rsidR="008C23D5" w:rsidRPr="2C569507">
        <w:rPr>
          <w:lang w:val="es-ES"/>
        </w:rPr>
        <w:t xml:space="preserve">to de los créditos definitivos, debido a que la inversión </w:t>
      </w:r>
      <w:r w:rsidR="00EE56F7" w:rsidRPr="2C569507">
        <w:rPr>
          <w:lang w:val="es-ES"/>
        </w:rPr>
        <w:t>“Vertedero Urroz. Extracción y tratamiento de la masa de vertido. 2ª fase”</w:t>
      </w:r>
      <w:r w:rsidR="00485FC2">
        <w:t>, incluida</w:t>
      </w:r>
      <w:r w:rsidR="008C23D5" w:rsidRPr="2C569507">
        <w:rPr>
          <w:lang w:val="es-ES"/>
        </w:rPr>
        <w:t xml:space="preserve"> en el presupuesto por</w:t>
      </w:r>
      <w:r w:rsidR="00EE56F7" w:rsidRPr="2C569507">
        <w:rPr>
          <w:lang w:val="es-ES"/>
        </w:rPr>
        <w:t xml:space="preserve"> 630.206 euros</w:t>
      </w:r>
      <w:r w:rsidR="000E7EC7">
        <w:rPr>
          <w:lang w:val="es-ES"/>
        </w:rPr>
        <w:t>,</w:t>
      </w:r>
      <w:r w:rsidR="00EE56F7" w:rsidRPr="2C569507">
        <w:rPr>
          <w:lang w:val="es-ES"/>
        </w:rPr>
        <w:t xml:space="preserve"> no se ejecutó</w:t>
      </w:r>
      <w:r w:rsidR="007F6B15" w:rsidRPr="2C569507">
        <w:rPr>
          <w:lang w:val="es-ES"/>
        </w:rPr>
        <w:t xml:space="preserve"> </w:t>
      </w:r>
      <w:r w:rsidR="007F6B15" w:rsidRPr="00340CA9">
        <w:t xml:space="preserve">debido a que la financiación prevista de la Administración Foral </w:t>
      </w:r>
      <w:r w:rsidR="00340CA9" w:rsidRPr="00340CA9">
        <w:rPr>
          <w:lang w:val="es-ES"/>
        </w:rPr>
        <w:t xml:space="preserve">no fue concedida. </w:t>
      </w:r>
    </w:p>
    <w:p w14:paraId="5D473DCA" w14:textId="0C9A960F" w:rsidR="00F90DEE" w:rsidRDefault="008C23D5" w:rsidP="008C23D5">
      <w:pPr>
        <w:pStyle w:val="texto"/>
      </w:pPr>
      <w:r w:rsidRPr="37EBD5B8">
        <w:rPr>
          <w:lang w:val="es-ES"/>
        </w:rPr>
        <w:t>Esta inversión</w:t>
      </w:r>
      <w:r w:rsidR="000A296C" w:rsidRPr="37EBD5B8">
        <w:rPr>
          <w:lang w:val="es-ES"/>
        </w:rPr>
        <w:t xml:space="preserve"> </w:t>
      </w:r>
      <w:r w:rsidRPr="37EBD5B8">
        <w:rPr>
          <w:lang w:val="es-ES"/>
        </w:rPr>
        <w:t>se incluyó provisionalmente en el Plan de Infraestructuras Locales 2017-2019</w:t>
      </w:r>
      <w:r w:rsidR="007F6B15" w:rsidRPr="37EBD5B8">
        <w:rPr>
          <w:lang w:val="es-ES"/>
        </w:rPr>
        <w:t xml:space="preserve"> en mayo de 2017</w:t>
      </w:r>
      <w:r w:rsidR="004E4284">
        <w:rPr>
          <w:lang w:val="es-ES"/>
        </w:rPr>
        <w:t>,</w:t>
      </w:r>
      <w:r w:rsidR="007F6B15" w:rsidRPr="37EBD5B8">
        <w:rPr>
          <w:lang w:val="es-ES"/>
        </w:rPr>
        <w:t xml:space="preserve"> junto con la </w:t>
      </w:r>
      <w:r w:rsidR="007F6B15" w:rsidRPr="00DA3936">
        <w:rPr>
          <w:lang w:val="es-ES"/>
        </w:rPr>
        <w:t xml:space="preserve">primera </w:t>
      </w:r>
      <w:r w:rsidR="007F6B15" w:rsidRPr="005625D7">
        <w:rPr>
          <w:lang w:val="es-ES"/>
        </w:rPr>
        <w:t>fase</w:t>
      </w:r>
      <w:r w:rsidR="007F6B15" w:rsidRPr="00DA3936">
        <w:rPr>
          <w:lang w:val="es-ES"/>
        </w:rPr>
        <w:t xml:space="preserve"> </w:t>
      </w:r>
      <w:r w:rsidR="00DA3936" w:rsidRPr="00DA3936">
        <w:rPr>
          <w:lang w:val="es-ES"/>
        </w:rPr>
        <w:t>de la obra</w:t>
      </w:r>
      <w:r w:rsidR="00092D89">
        <w:rPr>
          <w:lang w:val="es-ES"/>
        </w:rPr>
        <w:t>,</w:t>
      </w:r>
      <w:r w:rsidR="00DA3936" w:rsidRPr="00DA3936">
        <w:rPr>
          <w:lang w:val="es-ES"/>
        </w:rPr>
        <w:t xml:space="preserve"> </w:t>
      </w:r>
      <w:r w:rsidRPr="00DA3936">
        <w:rPr>
          <w:lang w:val="es-ES"/>
        </w:rPr>
        <w:t xml:space="preserve">pero no se produjo su inclusión definitiva porque la </w:t>
      </w:r>
      <w:r w:rsidR="003C06D0">
        <w:rPr>
          <w:lang w:val="es-ES"/>
        </w:rPr>
        <w:t>Mancomunidad</w:t>
      </w:r>
      <w:r w:rsidRPr="00DA3936">
        <w:rPr>
          <w:lang w:val="es-ES"/>
        </w:rPr>
        <w:t xml:space="preserve"> no cumplió</w:t>
      </w:r>
      <w:r w:rsidRPr="37EBD5B8">
        <w:rPr>
          <w:lang w:val="es-ES"/>
        </w:rPr>
        <w:t xml:space="preserve"> el plazo para aportar</w:t>
      </w:r>
      <w:r w:rsidR="00EE14A6" w:rsidRPr="37EBD5B8">
        <w:rPr>
          <w:lang w:val="es-ES"/>
        </w:rPr>
        <w:t xml:space="preserve"> documentación, </w:t>
      </w:r>
      <w:r w:rsidR="00886085" w:rsidRPr="37EBD5B8">
        <w:rPr>
          <w:lang w:val="es-ES"/>
        </w:rPr>
        <w:t xml:space="preserve">presentando </w:t>
      </w:r>
      <w:r w:rsidR="00EE14A6" w:rsidRPr="37EBD5B8">
        <w:rPr>
          <w:lang w:val="es-ES"/>
        </w:rPr>
        <w:t>el proyecto de ejecución de la obra</w:t>
      </w:r>
      <w:r w:rsidR="00886085" w:rsidRPr="37EBD5B8">
        <w:rPr>
          <w:lang w:val="es-ES"/>
        </w:rPr>
        <w:t xml:space="preserve"> ocho meses después de la fecha de finalización del plazo</w:t>
      </w:r>
      <w:r w:rsidRPr="37EBD5B8">
        <w:rPr>
          <w:lang w:val="es-ES"/>
        </w:rPr>
        <w:t>.</w:t>
      </w:r>
      <w:r w:rsidR="00886085" w:rsidRPr="37EBD5B8">
        <w:rPr>
          <w:lang w:val="es-ES"/>
        </w:rPr>
        <w:t xml:space="preserve"> Así mismo, </w:t>
      </w:r>
      <w:r w:rsidR="2EB0857B" w:rsidRPr="37EBD5B8">
        <w:rPr>
          <w:lang w:val="es-ES"/>
        </w:rPr>
        <w:t>un</w:t>
      </w:r>
      <w:r w:rsidR="00886085" w:rsidRPr="37EBD5B8">
        <w:rPr>
          <w:lang w:val="es-ES"/>
        </w:rPr>
        <w:t xml:space="preserve"> informe del Servicio de Infraestructuras Locales del Departamento de Cohesión Territorial de 4 de mayo de 2023 </w:t>
      </w:r>
      <w:r w:rsidR="00792B22" w:rsidRPr="37EBD5B8">
        <w:rPr>
          <w:lang w:val="es-ES"/>
        </w:rPr>
        <w:t xml:space="preserve">remarca que la </w:t>
      </w:r>
      <w:r w:rsidR="003C06D0">
        <w:rPr>
          <w:lang w:val="es-ES"/>
        </w:rPr>
        <w:t>Mancomunidad</w:t>
      </w:r>
      <w:r w:rsidR="00792B22" w:rsidRPr="37EBD5B8">
        <w:rPr>
          <w:lang w:val="es-ES"/>
        </w:rPr>
        <w:t xml:space="preserve"> deberá tomar las medidas oportunas para resolver </w:t>
      </w:r>
      <w:r w:rsidR="00886085" w:rsidRPr="37EBD5B8">
        <w:rPr>
          <w:lang w:val="es-ES"/>
        </w:rPr>
        <w:t>las afecciones del vertedero.</w:t>
      </w:r>
      <w:r w:rsidR="00744693" w:rsidRPr="37EBD5B8">
        <w:rPr>
          <w:lang w:val="es-ES"/>
        </w:rPr>
        <w:t xml:space="preserve"> </w:t>
      </w:r>
    </w:p>
    <w:p w14:paraId="560D4F61" w14:textId="1435F5D4" w:rsidR="000235BA" w:rsidRDefault="000235BA" w:rsidP="008C23D5">
      <w:pPr>
        <w:pStyle w:val="texto"/>
      </w:pPr>
      <w:r>
        <w:t>L</w:t>
      </w:r>
      <w:r w:rsidR="00744693">
        <w:t xml:space="preserve">a </w:t>
      </w:r>
      <w:r w:rsidR="003C06D0">
        <w:t>Mancomunidad</w:t>
      </w:r>
      <w:r w:rsidR="00744693">
        <w:t xml:space="preserve"> presentó</w:t>
      </w:r>
      <w:r w:rsidR="008C23D5">
        <w:t xml:space="preserve"> en septiembre de 2023 una reclamación</w:t>
      </w:r>
      <w:r>
        <w:t xml:space="preserve"> ante la </w:t>
      </w:r>
      <w:r w:rsidR="008E5C2D">
        <w:t>in</w:t>
      </w:r>
      <w:r>
        <w:t xml:space="preserve">admisión alegando que no se declaró expresamente la conclusión de la primera </w:t>
      </w:r>
      <w:r>
        <w:lastRenderedPageBreak/>
        <w:t>fase del proyecto y la inexistencia de requerimiento del Servicio de Infraestructuras Locales en relación con las soluciones de recuperación del proyecto</w:t>
      </w:r>
      <w:r w:rsidR="008C23D5">
        <w:t xml:space="preserve">. </w:t>
      </w:r>
    </w:p>
    <w:p w14:paraId="22FF78B8" w14:textId="14135FEA" w:rsidR="008E5C2D" w:rsidRDefault="008C23D5" w:rsidP="008C23D5">
      <w:pPr>
        <w:pStyle w:val="texto"/>
      </w:pPr>
      <w:r>
        <w:t>El 31 de octubre de 2023, el Gobierno de Navarra acordó inadmitir</w:t>
      </w:r>
      <w:r w:rsidR="6D0E34E9">
        <w:t>la</w:t>
      </w:r>
      <w:r>
        <w:t xml:space="preserve"> y la </w:t>
      </w:r>
      <w:r w:rsidR="003C06D0">
        <w:t>Mancomunidad</w:t>
      </w:r>
      <w:r>
        <w:t xml:space="preserve"> presentó un recurso contencioso administrativo cuya tramitación se suspendió</w:t>
      </w:r>
      <w:r w:rsidR="00F90DEE">
        <w:t xml:space="preserve"> el 5 de junio de 2024</w:t>
      </w:r>
      <w:r>
        <w:t>, a solicitud de las partes, por un plazo de 60 días.</w:t>
      </w:r>
    </w:p>
    <w:p w14:paraId="1972FB74" w14:textId="37751DA8" w:rsidR="000235BA" w:rsidRDefault="008C23D5" w:rsidP="008C23D5">
      <w:pPr>
        <w:pStyle w:val="texto"/>
      </w:pPr>
      <w:r>
        <w:t xml:space="preserve"> La suspensión se deb</w:t>
      </w:r>
      <w:r w:rsidR="008E5C2D">
        <w:t>ió</w:t>
      </w:r>
      <w:r>
        <w:t xml:space="preserve"> a la posibilidad de financiar la inversión a través del </w:t>
      </w:r>
      <w:r w:rsidR="1A4B277C">
        <w:t>F</w:t>
      </w:r>
      <w:r>
        <w:t xml:space="preserve">ondo </w:t>
      </w:r>
      <w:r w:rsidR="3C00E2CA">
        <w:t>E</w:t>
      </w:r>
      <w:r>
        <w:t xml:space="preserve">statal de </w:t>
      </w:r>
      <w:r w:rsidR="1144FA8E">
        <w:t>R</w:t>
      </w:r>
      <w:r>
        <w:t xml:space="preserve">esiduos y del </w:t>
      </w:r>
      <w:r w:rsidR="72DF8036">
        <w:t>D</w:t>
      </w:r>
      <w:r>
        <w:t xml:space="preserve">epartamento de Medio Ambiente. </w:t>
      </w:r>
    </w:p>
    <w:p w14:paraId="2042F8B1" w14:textId="77777777" w:rsidR="000235BA" w:rsidRDefault="000235BA" w:rsidP="008C23D5">
      <w:pPr>
        <w:pStyle w:val="texto"/>
      </w:pPr>
      <w:r>
        <w:t>Por decreto de la Sala de lo Contencioso del Tribunal Superior de Justicia de Navarra de 24 de octubre de 2024 se acuerda archivar provisionalmente los autos mientras no se solicite la continuidad del proceso o se produzca la caducidad de la instancia.</w:t>
      </w:r>
    </w:p>
    <w:p w14:paraId="5F442633" w14:textId="46A0646A" w:rsidR="008C23D5" w:rsidRPr="00301DAB" w:rsidRDefault="000235BA" w:rsidP="008C23D5">
      <w:pPr>
        <w:pStyle w:val="texto"/>
      </w:pPr>
      <w:r>
        <w:t xml:space="preserve">A dicha fecha </w:t>
      </w:r>
      <w:r w:rsidR="006B0499">
        <w:t xml:space="preserve">no se ha resuelto </w:t>
      </w:r>
      <w:r w:rsidR="001165F7">
        <w:t xml:space="preserve">la financiación de la inversión. </w:t>
      </w:r>
    </w:p>
    <w:p w14:paraId="104A2A94" w14:textId="6EAB02B5" w:rsidR="000A296C" w:rsidRPr="00A60A18" w:rsidRDefault="00544E8B" w:rsidP="00ED599B">
      <w:pPr>
        <w:pStyle w:val="atitulo3"/>
        <w:spacing w:before="240"/>
        <w:rPr>
          <w:rFonts w:cs="Arial"/>
        </w:rPr>
      </w:pPr>
      <w:r>
        <w:rPr>
          <w:rFonts w:cs="Arial"/>
        </w:rPr>
        <w:t>5</w:t>
      </w:r>
      <w:r w:rsidR="00CE5911">
        <w:rPr>
          <w:rFonts w:cs="Arial"/>
        </w:rPr>
        <w:t>.6</w:t>
      </w:r>
      <w:r w:rsidR="00E47952">
        <w:rPr>
          <w:rFonts w:cs="Arial"/>
        </w:rPr>
        <w:t xml:space="preserve"> </w:t>
      </w:r>
      <w:r w:rsidR="000A296C" w:rsidRPr="00A60A18">
        <w:rPr>
          <w:rFonts w:cs="Arial"/>
        </w:rPr>
        <w:t>Tasas, precios públicos y otros ingresos</w:t>
      </w:r>
    </w:p>
    <w:p w14:paraId="08502545" w14:textId="77777777" w:rsidR="000A296C" w:rsidRPr="00FA082A" w:rsidRDefault="000A296C" w:rsidP="000E070D">
      <w:pPr>
        <w:pStyle w:val="texto"/>
        <w:tabs>
          <w:tab w:val="left" w:pos="142"/>
        </w:tabs>
        <w:rPr>
          <w:szCs w:val="26"/>
        </w:rPr>
      </w:pPr>
      <w:r w:rsidRPr="00FA082A">
        <w:rPr>
          <w:szCs w:val="26"/>
        </w:rPr>
        <w:t>Los derechos reconocidos en el capítulo económico de tasas, precios públicos y otros ingresos ascendieron a 628.900 euros, un 97 por ciento de las previsiones definitivas.</w:t>
      </w:r>
    </w:p>
    <w:p w14:paraId="05B26FB5" w14:textId="5AEC99EF" w:rsidR="000A296C" w:rsidRPr="004F7827" w:rsidRDefault="000A296C" w:rsidP="000E070D">
      <w:pPr>
        <w:pStyle w:val="texto"/>
        <w:tabs>
          <w:tab w:val="left" w:pos="142"/>
        </w:tabs>
        <w:spacing w:after="240"/>
        <w:rPr>
          <w:szCs w:val="26"/>
        </w:rPr>
      </w:pPr>
      <w:r w:rsidRPr="004F7827">
        <w:rPr>
          <w:szCs w:val="26"/>
        </w:rPr>
        <w:t>Los</w:t>
      </w:r>
      <w:r>
        <w:rPr>
          <w:szCs w:val="26"/>
        </w:rPr>
        <w:t xml:space="preserve"> principales</w:t>
      </w:r>
      <w:r w:rsidRPr="004F7827">
        <w:rPr>
          <w:szCs w:val="26"/>
        </w:rPr>
        <w:t xml:space="preserve"> </w:t>
      </w:r>
      <w:r w:rsidR="00F90DEE">
        <w:rPr>
          <w:szCs w:val="26"/>
        </w:rPr>
        <w:t>ingreso</w:t>
      </w:r>
      <w:r w:rsidRPr="004F7827">
        <w:rPr>
          <w:szCs w:val="26"/>
        </w:rPr>
        <w:t>s que integran dicho capítulo y su variación respecto al ejercicio 2022 es la siguiente:</w:t>
      </w:r>
    </w:p>
    <w:tbl>
      <w:tblPr>
        <w:tblW w:w="8789" w:type="dxa"/>
        <w:tblCellMar>
          <w:left w:w="70" w:type="dxa"/>
          <w:right w:w="70" w:type="dxa"/>
        </w:tblCellMar>
        <w:tblLook w:val="04A0" w:firstRow="1" w:lastRow="0" w:firstColumn="1" w:lastColumn="0" w:noHBand="0" w:noVBand="1"/>
      </w:tblPr>
      <w:tblGrid>
        <w:gridCol w:w="4253"/>
        <w:gridCol w:w="1512"/>
        <w:gridCol w:w="1512"/>
        <w:gridCol w:w="1512"/>
      </w:tblGrid>
      <w:tr w:rsidR="000A296C" w:rsidRPr="00704016" w14:paraId="3B0A706B" w14:textId="77777777" w:rsidTr="00A60971">
        <w:trPr>
          <w:trHeight w:val="255"/>
        </w:trPr>
        <w:tc>
          <w:tcPr>
            <w:tcW w:w="4253" w:type="dxa"/>
            <w:tcBorders>
              <w:top w:val="single" w:sz="4" w:space="0" w:color="auto"/>
              <w:left w:val="nil"/>
              <w:bottom w:val="single" w:sz="4" w:space="0" w:color="auto"/>
              <w:right w:val="nil"/>
            </w:tcBorders>
            <w:shd w:val="clear" w:color="000000" w:fill="FABF8F"/>
            <w:noWrap/>
            <w:vAlign w:val="center"/>
            <w:hideMark/>
          </w:tcPr>
          <w:p w14:paraId="2974299A" w14:textId="77777777" w:rsidR="000A296C" w:rsidRPr="000A296C" w:rsidRDefault="000A296C" w:rsidP="00C26353">
            <w:pPr>
              <w:pStyle w:val="cuadroCabe"/>
              <w:rPr>
                <w:lang w:val="es-ES" w:eastAsia="es-ES"/>
              </w:rPr>
            </w:pPr>
            <w:r w:rsidRPr="000A296C">
              <w:rPr>
                <w:lang w:val="es-ES" w:eastAsia="es-ES"/>
              </w:rPr>
              <w:t xml:space="preserve"> Concepto </w:t>
            </w:r>
          </w:p>
        </w:tc>
        <w:tc>
          <w:tcPr>
            <w:tcW w:w="1512" w:type="dxa"/>
            <w:tcBorders>
              <w:top w:val="single" w:sz="4" w:space="0" w:color="auto"/>
              <w:left w:val="nil"/>
              <w:bottom w:val="single" w:sz="4" w:space="0" w:color="auto"/>
              <w:right w:val="nil"/>
            </w:tcBorders>
            <w:shd w:val="clear" w:color="000000" w:fill="FABF8F"/>
            <w:vAlign w:val="center"/>
          </w:tcPr>
          <w:p w14:paraId="686CD149" w14:textId="77777777" w:rsidR="000A296C" w:rsidRPr="000A296C" w:rsidRDefault="000A296C" w:rsidP="00C26353">
            <w:pPr>
              <w:pStyle w:val="cuadroCabe"/>
              <w:jc w:val="right"/>
              <w:rPr>
                <w:lang w:val="es-ES" w:eastAsia="es-ES"/>
              </w:rPr>
            </w:pPr>
            <w:r w:rsidRPr="000A296C">
              <w:rPr>
                <w:lang w:val="es-ES" w:eastAsia="es-ES"/>
              </w:rPr>
              <w:t>DRN 2022</w:t>
            </w:r>
          </w:p>
        </w:tc>
        <w:tc>
          <w:tcPr>
            <w:tcW w:w="1512" w:type="dxa"/>
            <w:tcBorders>
              <w:top w:val="single" w:sz="4" w:space="0" w:color="auto"/>
              <w:left w:val="nil"/>
              <w:bottom w:val="single" w:sz="4" w:space="0" w:color="auto"/>
              <w:right w:val="nil"/>
            </w:tcBorders>
            <w:shd w:val="clear" w:color="000000" w:fill="FABF8F"/>
            <w:vAlign w:val="center"/>
          </w:tcPr>
          <w:p w14:paraId="31A5BD47" w14:textId="77777777" w:rsidR="000A296C" w:rsidRPr="000A296C" w:rsidRDefault="000A296C" w:rsidP="00C26353">
            <w:pPr>
              <w:pStyle w:val="cuadroCabe"/>
              <w:jc w:val="right"/>
              <w:rPr>
                <w:lang w:val="es-ES" w:eastAsia="es-ES"/>
              </w:rPr>
            </w:pPr>
            <w:r w:rsidRPr="000A296C">
              <w:rPr>
                <w:lang w:val="es-ES" w:eastAsia="es-ES"/>
              </w:rPr>
              <w:t>DRN 2023</w:t>
            </w:r>
          </w:p>
        </w:tc>
        <w:tc>
          <w:tcPr>
            <w:tcW w:w="1512" w:type="dxa"/>
            <w:tcBorders>
              <w:top w:val="single" w:sz="4" w:space="0" w:color="auto"/>
              <w:left w:val="nil"/>
              <w:bottom w:val="single" w:sz="4" w:space="0" w:color="auto"/>
              <w:right w:val="nil"/>
            </w:tcBorders>
            <w:shd w:val="clear" w:color="000000" w:fill="FABF8F"/>
            <w:vAlign w:val="center"/>
            <w:hideMark/>
          </w:tcPr>
          <w:p w14:paraId="4AAF1D78" w14:textId="239477A2" w:rsidR="000A296C" w:rsidRPr="000A296C" w:rsidRDefault="000A296C" w:rsidP="00A60971">
            <w:pPr>
              <w:pStyle w:val="cuadroCabe"/>
              <w:jc w:val="right"/>
              <w:rPr>
                <w:lang w:val="es-ES" w:eastAsia="es-ES"/>
              </w:rPr>
            </w:pPr>
            <w:r w:rsidRPr="000A296C">
              <w:rPr>
                <w:lang w:val="es-ES" w:eastAsia="es-ES"/>
              </w:rPr>
              <w:t>%</w:t>
            </w:r>
            <w:r w:rsidR="00A60971">
              <w:rPr>
                <w:lang w:val="es-ES" w:eastAsia="es-ES"/>
              </w:rPr>
              <w:t xml:space="preserve"> </w:t>
            </w:r>
            <w:r w:rsidRPr="000A296C">
              <w:rPr>
                <w:lang w:val="es-ES" w:eastAsia="es-ES"/>
              </w:rPr>
              <w:t>Variación</w:t>
            </w:r>
          </w:p>
        </w:tc>
      </w:tr>
      <w:tr w:rsidR="002504D6" w:rsidRPr="004F7827" w14:paraId="5832D3C5" w14:textId="77777777" w:rsidTr="00A60971">
        <w:trPr>
          <w:trHeight w:val="198"/>
        </w:trPr>
        <w:tc>
          <w:tcPr>
            <w:tcW w:w="4253" w:type="dxa"/>
            <w:tcBorders>
              <w:top w:val="single" w:sz="4" w:space="0" w:color="auto"/>
              <w:left w:val="nil"/>
              <w:bottom w:val="single" w:sz="2" w:space="0" w:color="auto"/>
              <w:right w:val="nil"/>
            </w:tcBorders>
            <w:shd w:val="clear" w:color="auto" w:fill="auto"/>
            <w:noWrap/>
            <w:vAlign w:val="center"/>
          </w:tcPr>
          <w:p w14:paraId="54CA5D1B" w14:textId="1D15C57D" w:rsidR="002504D6" w:rsidRPr="000A296C" w:rsidRDefault="002504D6" w:rsidP="00C26353">
            <w:pPr>
              <w:pStyle w:val="cuatexto"/>
              <w:rPr>
                <w:lang w:val="es-ES" w:eastAsia="es-ES"/>
              </w:rPr>
            </w:pPr>
            <w:r>
              <w:rPr>
                <w:lang w:val="es-ES" w:eastAsia="es-ES"/>
              </w:rPr>
              <w:t>Tasa de basuras</w:t>
            </w:r>
          </w:p>
        </w:tc>
        <w:tc>
          <w:tcPr>
            <w:tcW w:w="1512" w:type="dxa"/>
            <w:tcBorders>
              <w:top w:val="single" w:sz="4" w:space="0" w:color="auto"/>
              <w:left w:val="nil"/>
              <w:bottom w:val="single" w:sz="2" w:space="0" w:color="auto"/>
              <w:right w:val="nil"/>
            </w:tcBorders>
            <w:vAlign w:val="center"/>
          </w:tcPr>
          <w:p w14:paraId="7262AE58" w14:textId="62E5ECA0" w:rsidR="002504D6" w:rsidRPr="000A296C" w:rsidRDefault="002504D6" w:rsidP="00C26353">
            <w:pPr>
              <w:pStyle w:val="cuatexto"/>
              <w:jc w:val="right"/>
              <w:rPr>
                <w:lang w:val="es-ES" w:eastAsia="es-ES"/>
              </w:rPr>
            </w:pPr>
            <w:r>
              <w:rPr>
                <w:lang w:val="es-ES" w:eastAsia="es-ES"/>
              </w:rPr>
              <w:t>489.982</w:t>
            </w:r>
          </w:p>
        </w:tc>
        <w:tc>
          <w:tcPr>
            <w:tcW w:w="1512" w:type="dxa"/>
            <w:tcBorders>
              <w:top w:val="single" w:sz="4" w:space="0" w:color="auto"/>
              <w:left w:val="nil"/>
              <w:bottom w:val="single" w:sz="2" w:space="0" w:color="auto"/>
              <w:right w:val="nil"/>
            </w:tcBorders>
            <w:shd w:val="clear" w:color="auto" w:fill="auto"/>
            <w:vAlign w:val="center"/>
          </w:tcPr>
          <w:p w14:paraId="4EC7687E" w14:textId="4D9C7290" w:rsidR="002504D6" w:rsidRPr="000A296C" w:rsidRDefault="002504D6" w:rsidP="00C26353">
            <w:pPr>
              <w:pStyle w:val="cuatexto"/>
              <w:jc w:val="right"/>
              <w:rPr>
                <w:lang w:val="es-ES" w:eastAsia="es-ES"/>
              </w:rPr>
            </w:pPr>
            <w:r>
              <w:rPr>
                <w:lang w:val="es-ES" w:eastAsia="es-ES"/>
              </w:rPr>
              <w:t>487.491</w:t>
            </w:r>
          </w:p>
        </w:tc>
        <w:tc>
          <w:tcPr>
            <w:tcW w:w="1512" w:type="dxa"/>
            <w:tcBorders>
              <w:top w:val="single" w:sz="4" w:space="0" w:color="auto"/>
              <w:left w:val="nil"/>
              <w:bottom w:val="single" w:sz="2" w:space="0" w:color="auto"/>
              <w:right w:val="nil"/>
            </w:tcBorders>
            <w:shd w:val="clear" w:color="auto" w:fill="auto"/>
            <w:noWrap/>
            <w:vAlign w:val="center"/>
          </w:tcPr>
          <w:p w14:paraId="530093CC" w14:textId="0FB758EB" w:rsidR="002504D6" w:rsidRPr="000A296C" w:rsidRDefault="002504D6" w:rsidP="00C26353">
            <w:pPr>
              <w:pStyle w:val="cuatexto"/>
              <w:jc w:val="right"/>
              <w:rPr>
                <w:lang w:val="es-ES" w:eastAsia="es-ES"/>
              </w:rPr>
            </w:pPr>
            <w:r>
              <w:rPr>
                <w:lang w:val="es-ES" w:eastAsia="es-ES"/>
              </w:rPr>
              <w:t>-1</w:t>
            </w:r>
          </w:p>
        </w:tc>
      </w:tr>
      <w:tr w:rsidR="000A296C" w:rsidRPr="004F7827" w14:paraId="1692D4FE" w14:textId="77777777" w:rsidTr="00A60971">
        <w:trPr>
          <w:trHeight w:val="198"/>
        </w:trPr>
        <w:tc>
          <w:tcPr>
            <w:tcW w:w="4253" w:type="dxa"/>
            <w:tcBorders>
              <w:top w:val="single" w:sz="2" w:space="0" w:color="auto"/>
              <w:left w:val="nil"/>
              <w:bottom w:val="single" w:sz="2" w:space="0" w:color="auto"/>
              <w:right w:val="nil"/>
            </w:tcBorders>
            <w:shd w:val="clear" w:color="auto" w:fill="auto"/>
            <w:noWrap/>
            <w:vAlign w:val="center"/>
          </w:tcPr>
          <w:p w14:paraId="43AF9628" w14:textId="77777777" w:rsidR="000A296C" w:rsidRPr="000A296C" w:rsidRDefault="000A296C" w:rsidP="00C26353">
            <w:pPr>
              <w:pStyle w:val="cuatexto"/>
              <w:rPr>
                <w:lang w:val="es-ES" w:eastAsia="es-ES"/>
              </w:rPr>
            </w:pPr>
            <w:r w:rsidRPr="000A296C">
              <w:rPr>
                <w:lang w:val="es-ES" w:eastAsia="es-ES"/>
              </w:rPr>
              <w:t>Venta de envases</w:t>
            </w:r>
          </w:p>
        </w:tc>
        <w:tc>
          <w:tcPr>
            <w:tcW w:w="1512" w:type="dxa"/>
            <w:tcBorders>
              <w:top w:val="single" w:sz="2" w:space="0" w:color="auto"/>
              <w:left w:val="nil"/>
              <w:bottom w:val="single" w:sz="2" w:space="0" w:color="auto"/>
              <w:right w:val="nil"/>
            </w:tcBorders>
            <w:vAlign w:val="center"/>
          </w:tcPr>
          <w:p w14:paraId="42204B0E" w14:textId="77777777" w:rsidR="000A296C" w:rsidRPr="000A296C" w:rsidRDefault="000A296C" w:rsidP="00C26353">
            <w:pPr>
              <w:pStyle w:val="cuatexto"/>
              <w:jc w:val="right"/>
              <w:rPr>
                <w:lang w:val="es-ES" w:eastAsia="es-ES"/>
              </w:rPr>
            </w:pPr>
            <w:r w:rsidRPr="000A296C">
              <w:rPr>
                <w:lang w:val="es-ES" w:eastAsia="es-ES"/>
              </w:rPr>
              <w:t>60.243</w:t>
            </w:r>
          </w:p>
        </w:tc>
        <w:tc>
          <w:tcPr>
            <w:tcW w:w="1512" w:type="dxa"/>
            <w:tcBorders>
              <w:top w:val="single" w:sz="2" w:space="0" w:color="auto"/>
              <w:left w:val="nil"/>
              <w:bottom w:val="single" w:sz="2" w:space="0" w:color="auto"/>
              <w:right w:val="nil"/>
            </w:tcBorders>
            <w:shd w:val="clear" w:color="auto" w:fill="auto"/>
            <w:vAlign w:val="center"/>
          </w:tcPr>
          <w:p w14:paraId="6BEC3FB6" w14:textId="77777777" w:rsidR="000A296C" w:rsidRPr="000A296C" w:rsidRDefault="000A296C" w:rsidP="00C26353">
            <w:pPr>
              <w:pStyle w:val="cuatexto"/>
              <w:jc w:val="right"/>
              <w:rPr>
                <w:lang w:val="es-ES" w:eastAsia="es-ES"/>
              </w:rPr>
            </w:pPr>
            <w:r w:rsidRPr="000A296C">
              <w:rPr>
                <w:lang w:val="es-ES" w:eastAsia="es-ES"/>
              </w:rPr>
              <w:t>107.954</w:t>
            </w:r>
          </w:p>
        </w:tc>
        <w:tc>
          <w:tcPr>
            <w:tcW w:w="1512" w:type="dxa"/>
            <w:tcBorders>
              <w:top w:val="single" w:sz="2" w:space="0" w:color="auto"/>
              <w:left w:val="nil"/>
              <w:bottom w:val="single" w:sz="2" w:space="0" w:color="auto"/>
              <w:right w:val="nil"/>
            </w:tcBorders>
            <w:shd w:val="clear" w:color="auto" w:fill="auto"/>
            <w:noWrap/>
            <w:vAlign w:val="center"/>
          </w:tcPr>
          <w:p w14:paraId="61550AF9" w14:textId="77777777" w:rsidR="000A296C" w:rsidRPr="000A296C" w:rsidRDefault="000A296C" w:rsidP="00C26353">
            <w:pPr>
              <w:pStyle w:val="cuatexto"/>
              <w:jc w:val="right"/>
              <w:rPr>
                <w:lang w:val="es-ES" w:eastAsia="es-ES"/>
              </w:rPr>
            </w:pPr>
            <w:r w:rsidRPr="000A296C">
              <w:rPr>
                <w:lang w:val="es-ES" w:eastAsia="es-ES"/>
              </w:rPr>
              <w:t>79</w:t>
            </w:r>
          </w:p>
        </w:tc>
      </w:tr>
      <w:tr w:rsidR="000A296C" w:rsidRPr="004F7827" w14:paraId="07493884" w14:textId="77777777" w:rsidTr="00A60971">
        <w:trPr>
          <w:trHeight w:val="198"/>
        </w:trPr>
        <w:tc>
          <w:tcPr>
            <w:tcW w:w="4253" w:type="dxa"/>
            <w:tcBorders>
              <w:top w:val="single" w:sz="2" w:space="0" w:color="auto"/>
              <w:left w:val="nil"/>
              <w:bottom w:val="single" w:sz="2" w:space="0" w:color="auto"/>
              <w:right w:val="nil"/>
            </w:tcBorders>
            <w:shd w:val="clear" w:color="auto" w:fill="auto"/>
            <w:noWrap/>
            <w:vAlign w:val="center"/>
          </w:tcPr>
          <w:p w14:paraId="1A01C248" w14:textId="77777777" w:rsidR="000A296C" w:rsidRPr="000A296C" w:rsidRDefault="000A296C" w:rsidP="00C26353">
            <w:pPr>
              <w:pStyle w:val="cuatexto"/>
              <w:rPr>
                <w:lang w:val="es-ES" w:eastAsia="es-ES"/>
              </w:rPr>
            </w:pPr>
            <w:r w:rsidRPr="000A296C">
              <w:rPr>
                <w:lang w:val="es-ES" w:eastAsia="es-ES"/>
              </w:rPr>
              <w:t>Venta papel y cartón</w:t>
            </w:r>
          </w:p>
        </w:tc>
        <w:tc>
          <w:tcPr>
            <w:tcW w:w="1512" w:type="dxa"/>
            <w:tcBorders>
              <w:top w:val="single" w:sz="2" w:space="0" w:color="auto"/>
              <w:left w:val="nil"/>
              <w:bottom w:val="single" w:sz="2" w:space="0" w:color="auto"/>
              <w:right w:val="nil"/>
            </w:tcBorders>
            <w:vAlign w:val="center"/>
          </w:tcPr>
          <w:p w14:paraId="50870BDD" w14:textId="77777777" w:rsidR="000A296C" w:rsidRPr="000A296C" w:rsidRDefault="000A296C" w:rsidP="00C26353">
            <w:pPr>
              <w:pStyle w:val="cuatexto"/>
              <w:jc w:val="right"/>
              <w:rPr>
                <w:lang w:val="es-ES" w:eastAsia="es-ES"/>
              </w:rPr>
            </w:pPr>
            <w:r w:rsidRPr="000A296C">
              <w:rPr>
                <w:lang w:val="es-ES" w:eastAsia="es-ES"/>
              </w:rPr>
              <w:t>35.051</w:t>
            </w:r>
          </w:p>
        </w:tc>
        <w:tc>
          <w:tcPr>
            <w:tcW w:w="1512" w:type="dxa"/>
            <w:tcBorders>
              <w:top w:val="single" w:sz="2" w:space="0" w:color="auto"/>
              <w:left w:val="nil"/>
              <w:bottom w:val="single" w:sz="2" w:space="0" w:color="auto"/>
              <w:right w:val="nil"/>
            </w:tcBorders>
            <w:shd w:val="clear" w:color="auto" w:fill="auto"/>
            <w:vAlign w:val="center"/>
          </w:tcPr>
          <w:p w14:paraId="67DEF09A" w14:textId="77777777" w:rsidR="000A296C" w:rsidRPr="000A296C" w:rsidRDefault="000A296C" w:rsidP="00C26353">
            <w:pPr>
              <w:pStyle w:val="cuatexto"/>
              <w:jc w:val="right"/>
              <w:rPr>
                <w:lang w:val="es-ES" w:eastAsia="es-ES"/>
              </w:rPr>
            </w:pPr>
            <w:r w:rsidRPr="000A296C">
              <w:rPr>
                <w:lang w:val="es-ES" w:eastAsia="es-ES"/>
              </w:rPr>
              <w:t>15.465</w:t>
            </w:r>
          </w:p>
        </w:tc>
        <w:tc>
          <w:tcPr>
            <w:tcW w:w="1512" w:type="dxa"/>
            <w:tcBorders>
              <w:top w:val="single" w:sz="2" w:space="0" w:color="auto"/>
              <w:left w:val="nil"/>
              <w:bottom w:val="single" w:sz="2" w:space="0" w:color="auto"/>
              <w:right w:val="nil"/>
            </w:tcBorders>
            <w:shd w:val="clear" w:color="auto" w:fill="auto"/>
            <w:noWrap/>
            <w:vAlign w:val="center"/>
          </w:tcPr>
          <w:p w14:paraId="6EC1438C" w14:textId="77777777" w:rsidR="000A296C" w:rsidRPr="000A296C" w:rsidRDefault="000A296C" w:rsidP="00C26353">
            <w:pPr>
              <w:pStyle w:val="cuatexto"/>
              <w:jc w:val="right"/>
              <w:rPr>
                <w:lang w:val="es-ES" w:eastAsia="es-ES"/>
              </w:rPr>
            </w:pPr>
            <w:r w:rsidRPr="000A296C">
              <w:rPr>
                <w:lang w:val="es-ES" w:eastAsia="es-ES"/>
              </w:rPr>
              <w:t>-56</w:t>
            </w:r>
          </w:p>
        </w:tc>
      </w:tr>
      <w:tr w:rsidR="000A296C" w:rsidRPr="004F7827" w14:paraId="686B3D75" w14:textId="77777777" w:rsidTr="00A60971">
        <w:trPr>
          <w:trHeight w:val="198"/>
        </w:trPr>
        <w:tc>
          <w:tcPr>
            <w:tcW w:w="4253" w:type="dxa"/>
            <w:tcBorders>
              <w:top w:val="single" w:sz="2" w:space="0" w:color="auto"/>
              <w:left w:val="nil"/>
              <w:bottom w:val="single" w:sz="4" w:space="0" w:color="auto"/>
              <w:right w:val="nil"/>
            </w:tcBorders>
            <w:shd w:val="clear" w:color="auto" w:fill="auto"/>
            <w:noWrap/>
            <w:vAlign w:val="center"/>
          </w:tcPr>
          <w:p w14:paraId="1F09CDBD" w14:textId="77777777" w:rsidR="000A296C" w:rsidRPr="000A296C" w:rsidRDefault="000A296C" w:rsidP="00C26353">
            <w:pPr>
              <w:pStyle w:val="cuatexto"/>
              <w:rPr>
                <w:lang w:val="es-ES" w:eastAsia="es-ES"/>
              </w:rPr>
            </w:pPr>
            <w:r w:rsidRPr="000A296C">
              <w:rPr>
                <w:lang w:val="es-ES" w:eastAsia="es-ES"/>
              </w:rPr>
              <w:t>Recargos</w:t>
            </w:r>
          </w:p>
        </w:tc>
        <w:tc>
          <w:tcPr>
            <w:tcW w:w="1512" w:type="dxa"/>
            <w:tcBorders>
              <w:top w:val="single" w:sz="2" w:space="0" w:color="auto"/>
              <w:left w:val="nil"/>
              <w:bottom w:val="single" w:sz="4" w:space="0" w:color="auto"/>
              <w:right w:val="nil"/>
            </w:tcBorders>
            <w:vAlign w:val="center"/>
          </w:tcPr>
          <w:p w14:paraId="56267E76" w14:textId="77777777" w:rsidR="000A296C" w:rsidRPr="000A296C" w:rsidRDefault="000A296C" w:rsidP="00C26353">
            <w:pPr>
              <w:pStyle w:val="cuatexto"/>
              <w:jc w:val="right"/>
              <w:rPr>
                <w:lang w:val="es-ES" w:eastAsia="es-ES"/>
              </w:rPr>
            </w:pPr>
            <w:r w:rsidRPr="000A296C">
              <w:rPr>
                <w:lang w:val="es-ES" w:eastAsia="es-ES"/>
              </w:rPr>
              <w:t>3.504</w:t>
            </w:r>
          </w:p>
        </w:tc>
        <w:tc>
          <w:tcPr>
            <w:tcW w:w="1512" w:type="dxa"/>
            <w:tcBorders>
              <w:top w:val="single" w:sz="2" w:space="0" w:color="auto"/>
              <w:left w:val="nil"/>
              <w:bottom w:val="single" w:sz="4" w:space="0" w:color="auto"/>
              <w:right w:val="nil"/>
            </w:tcBorders>
            <w:shd w:val="clear" w:color="auto" w:fill="auto"/>
            <w:vAlign w:val="center"/>
          </w:tcPr>
          <w:p w14:paraId="1DCE548E" w14:textId="77777777" w:rsidR="000A296C" w:rsidRPr="000A296C" w:rsidRDefault="000A296C" w:rsidP="00C26353">
            <w:pPr>
              <w:pStyle w:val="cuatexto"/>
              <w:jc w:val="right"/>
              <w:rPr>
                <w:lang w:val="es-ES" w:eastAsia="es-ES"/>
              </w:rPr>
            </w:pPr>
            <w:r w:rsidRPr="000A296C">
              <w:rPr>
                <w:lang w:val="es-ES" w:eastAsia="es-ES"/>
              </w:rPr>
              <w:t>11.986</w:t>
            </w:r>
          </w:p>
        </w:tc>
        <w:tc>
          <w:tcPr>
            <w:tcW w:w="1512" w:type="dxa"/>
            <w:tcBorders>
              <w:top w:val="single" w:sz="2" w:space="0" w:color="auto"/>
              <w:left w:val="nil"/>
              <w:bottom w:val="single" w:sz="4" w:space="0" w:color="auto"/>
              <w:right w:val="nil"/>
            </w:tcBorders>
            <w:shd w:val="clear" w:color="auto" w:fill="auto"/>
            <w:noWrap/>
            <w:vAlign w:val="center"/>
          </w:tcPr>
          <w:p w14:paraId="0F8E7D57" w14:textId="77777777" w:rsidR="000A296C" w:rsidRPr="000A296C" w:rsidRDefault="000A296C" w:rsidP="00C26353">
            <w:pPr>
              <w:pStyle w:val="cuatexto"/>
              <w:jc w:val="right"/>
              <w:rPr>
                <w:lang w:val="es-ES" w:eastAsia="es-ES"/>
              </w:rPr>
            </w:pPr>
            <w:r w:rsidRPr="000A296C">
              <w:rPr>
                <w:lang w:val="es-ES" w:eastAsia="es-ES"/>
              </w:rPr>
              <w:t>242</w:t>
            </w:r>
          </w:p>
        </w:tc>
      </w:tr>
    </w:tbl>
    <w:p w14:paraId="34F1FBDD" w14:textId="0DF1E49A" w:rsidR="00D50F37" w:rsidRDefault="00D50F37" w:rsidP="009F5750">
      <w:pPr>
        <w:pStyle w:val="texto"/>
        <w:tabs>
          <w:tab w:val="left" w:pos="142"/>
          <w:tab w:val="num" w:pos="1637"/>
          <w:tab w:val="num" w:pos="2770"/>
        </w:tabs>
        <w:spacing w:before="240" w:after="120"/>
        <w:ind w:left="289" w:firstLine="0"/>
      </w:pPr>
      <w:r>
        <w:t xml:space="preserve">De la revisión de estos ingresos, destacamos las siguientes </w:t>
      </w:r>
      <w:r w:rsidRPr="00882546">
        <w:rPr>
          <w:b/>
        </w:rPr>
        <w:t>conclusiones</w:t>
      </w:r>
      <w:r>
        <w:t>:</w:t>
      </w:r>
    </w:p>
    <w:p w14:paraId="7B3DCEC8" w14:textId="4045D21D" w:rsidR="00164F0A" w:rsidRPr="00490981" w:rsidRDefault="00D46B8E" w:rsidP="00294534">
      <w:pPr>
        <w:pStyle w:val="texto"/>
        <w:numPr>
          <w:ilvl w:val="0"/>
          <w:numId w:val="18"/>
        </w:numPr>
        <w:tabs>
          <w:tab w:val="num" w:pos="567"/>
          <w:tab w:val="num" w:pos="2770"/>
        </w:tabs>
        <w:ind w:left="0" w:firstLine="290"/>
      </w:pPr>
      <w:r>
        <w:t xml:space="preserve">La </w:t>
      </w:r>
      <w:r w:rsidRPr="00294534">
        <w:rPr>
          <w:lang w:val="es-ES"/>
        </w:rPr>
        <w:t>ordenanza</w:t>
      </w:r>
      <w:r>
        <w:t xml:space="preserve"> reguladora de la gestión de residuos urbanos se aprobó inicialmente </w:t>
      </w:r>
      <w:r w:rsidR="001405FC">
        <w:t xml:space="preserve">en el pleno de la </w:t>
      </w:r>
      <w:r w:rsidR="003E7144">
        <w:t xml:space="preserve">asamblea general </w:t>
      </w:r>
      <w:r w:rsidR="001405FC">
        <w:t>d</w:t>
      </w:r>
      <w:r>
        <w:t>el 17 de junio de 2021</w:t>
      </w:r>
      <w:r w:rsidR="00164F0A">
        <w:t xml:space="preserve">. </w:t>
      </w:r>
      <w:r w:rsidR="00F53E39">
        <w:t xml:space="preserve">Dos años y medio más tarde, el 30 de enero de 2024 se publicó en el BON. </w:t>
      </w:r>
      <w:r w:rsidR="00164F0A">
        <w:t>Las ordenanzas fiscales requieren la publicación íntegra en el BON.</w:t>
      </w:r>
      <w:r w:rsidR="001B410D">
        <w:t xml:space="preserve"> </w:t>
      </w:r>
      <w:r w:rsidR="00164F0A">
        <w:t>La propia ordenanza establece que entrará en vigor el día siguiente de la publicación de su aprobación definitiva en el BON.</w:t>
      </w:r>
    </w:p>
    <w:p w14:paraId="0A4EF1B9" w14:textId="0AC6E803" w:rsidR="00164F0A" w:rsidRDefault="00312452" w:rsidP="00EC6D1C">
      <w:pPr>
        <w:pStyle w:val="texto"/>
        <w:tabs>
          <w:tab w:val="left" w:pos="142"/>
        </w:tabs>
        <w:spacing w:before="120" w:after="120"/>
        <w:rPr>
          <w:szCs w:val="26"/>
        </w:rPr>
      </w:pPr>
      <w:r>
        <w:rPr>
          <w:szCs w:val="26"/>
        </w:rPr>
        <w:t>La o</w:t>
      </w:r>
      <w:r w:rsidR="00EC6D1C" w:rsidRPr="00EC6D1C">
        <w:rPr>
          <w:szCs w:val="26"/>
        </w:rPr>
        <w:t xml:space="preserve">rdenanza </w:t>
      </w:r>
      <w:r w:rsidR="00164F0A">
        <w:rPr>
          <w:szCs w:val="26"/>
        </w:rPr>
        <w:t xml:space="preserve">no está </w:t>
      </w:r>
      <w:r w:rsidR="00EC6D1C" w:rsidRPr="00EC6D1C">
        <w:rPr>
          <w:szCs w:val="26"/>
        </w:rPr>
        <w:t>adaptada a la ley 7/2022</w:t>
      </w:r>
      <w:r w:rsidR="00164F0A">
        <w:rPr>
          <w:szCs w:val="26"/>
        </w:rPr>
        <w:t xml:space="preserve">, de 8 de abril, de </w:t>
      </w:r>
      <w:r w:rsidR="00EC6D1C" w:rsidRPr="00EC6D1C">
        <w:rPr>
          <w:szCs w:val="26"/>
        </w:rPr>
        <w:t>residuos</w:t>
      </w:r>
      <w:r w:rsidR="00164F0A">
        <w:rPr>
          <w:szCs w:val="26"/>
        </w:rPr>
        <w:t xml:space="preserve"> y suelos contaminados</w:t>
      </w:r>
      <w:r w:rsidR="009620A5">
        <w:rPr>
          <w:szCs w:val="26"/>
        </w:rPr>
        <w:t xml:space="preserve"> para una economía circular</w:t>
      </w:r>
      <w:r w:rsidR="00F53E39">
        <w:rPr>
          <w:szCs w:val="26"/>
        </w:rPr>
        <w:t>, sino que se atiene a los principios de la Ley 10/1998, de 21 de abril, de Residuos</w:t>
      </w:r>
      <w:r w:rsidR="00EC6D1C">
        <w:rPr>
          <w:szCs w:val="26"/>
        </w:rPr>
        <w:t>.</w:t>
      </w:r>
    </w:p>
    <w:p w14:paraId="328C54E1" w14:textId="28D01AEB" w:rsidR="008E4C06" w:rsidRPr="00490981" w:rsidRDefault="008E4C06" w:rsidP="00294534">
      <w:pPr>
        <w:pStyle w:val="texto"/>
        <w:numPr>
          <w:ilvl w:val="0"/>
          <w:numId w:val="18"/>
        </w:numPr>
        <w:tabs>
          <w:tab w:val="num" w:pos="567"/>
          <w:tab w:val="num" w:pos="2770"/>
        </w:tabs>
        <w:ind w:left="0" w:firstLine="290"/>
      </w:pPr>
      <w:r>
        <w:t xml:space="preserve">La </w:t>
      </w:r>
      <w:r w:rsidRPr="00294534">
        <w:rPr>
          <w:lang w:val="es-ES"/>
        </w:rPr>
        <w:t>ordenanza</w:t>
      </w:r>
      <w:r>
        <w:t xml:space="preserve"> reguladora de la tasa por recogida de basura</w:t>
      </w:r>
      <w:r w:rsidR="00C5776C">
        <w:t>s</w:t>
      </w:r>
      <w:r w:rsidR="00FC28DD">
        <w:t xml:space="preserve"> se publicó en el BON, junto con </w:t>
      </w:r>
      <w:r w:rsidR="00301DAB">
        <w:t xml:space="preserve">la </w:t>
      </w:r>
      <w:r w:rsidR="00C5776C">
        <w:t>O</w:t>
      </w:r>
      <w:r w:rsidR="00C64A64">
        <w:t>rdenanza fiscal general</w:t>
      </w:r>
      <w:r w:rsidR="00FC28DD">
        <w:t>, el 19 de marzo de 2010</w:t>
      </w:r>
      <w:r w:rsidR="00C64A64">
        <w:t>.</w:t>
      </w:r>
    </w:p>
    <w:p w14:paraId="24FE482B" w14:textId="0354B873" w:rsidR="00231A78" w:rsidRDefault="001B410D" w:rsidP="001B410D">
      <w:pPr>
        <w:pStyle w:val="texto"/>
        <w:tabs>
          <w:tab w:val="left" w:pos="142"/>
        </w:tabs>
        <w:spacing w:before="120" w:after="120"/>
      </w:pPr>
      <w:r w:rsidRPr="4176AA0A">
        <w:rPr>
          <w:lang w:val="es-ES"/>
        </w:rPr>
        <w:lastRenderedPageBreak/>
        <w:t xml:space="preserve">El 21 de diciembre de 2020 la </w:t>
      </w:r>
      <w:r w:rsidR="003E7144">
        <w:rPr>
          <w:lang w:val="es-ES"/>
        </w:rPr>
        <w:t>a</w:t>
      </w:r>
      <w:r w:rsidR="003E7144" w:rsidRPr="4176AA0A">
        <w:rPr>
          <w:lang w:val="es-ES"/>
        </w:rPr>
        <w:t xml:space="preserve">samblea </w:t>
      </w:r>
      <w:r w:rsidR="003E7144">
        <w:rPr>
          <w:lang w:val="es-ES"/>
        </w:rPr>
        <w:t xml:space="preserve">general </w:t>
      </w:r>
      <w:r w:rsidRPr="4176AA0A">
        <w:rPr>
          <w:lang w:val="es-ES"/>
        </w:rPr>
        <w:t xml:space="preserve">de la </w:t>
      </w:r>
      <w:r w:rsidR="003C06D0">
        <w:rPr>
          <w:lang w:val="es-ES"/>
        </w:rPr>
        <w:t>Mancomunidad</w:t>
      </w:r>
      <w:r w:rsidRPr="4176AA0A">
        <w:rPr>
          <w:lang w:val="es-ES"/>
        </w:rPr>
        <w:t xml:space="preserve"> acordó </w:t>
      </w:r>
      <w:r w:rsidR="00797E4B" w:rsidRPr="4176AA0A">
        <w:rPr>
          <w:lang w:val="es-ES"/>
        </w:rPr>
        <w:t xml:space="preserve">aumentar, para el año 2021, </w:t>
      </w:r>
      <w:r w:rsidRPr="4176AA0A">
        <w:rPr>
          <w:lang w:val="es-ES"/>
        </w:rPr>
        <w:t>l</w:t>
      </w:r>
      <w:r w:rsidR="00797E4B" w:rsidRPr="4176AA0A">
        <w:rPr>
          <w:lang w:val="es-ES"/>
        </w:rPr>
        <w:t>os ingresos por la</w:t>
      </w:r>
      <w:r w:rsidRPr="4176AA0A">
        <w:rPr>
          <w:lang w:val="es-ES"/>
        </w:rPr>
        <w:t xml:space="preserve"> tasa de </w:t>
      </w:r>
      <w:r w:rsidR="00DD3A18" w:rsidRPr="4176AA0A">
        <w:rPr>
          <w:lang w:val="es-ES"/>
        </w:rPr>
        <w:t xml:space="preserve">recogida de </w:t>
      </w:r>
      <w:r w:rsidRPr="4176AA0A">
        <w:rPr>
          <w:lang w:val="es-ES"/>
        </w:rPr>
        <w:t xml:space="preserve">basura </w:t>
      </w:r>
      <w:r w:rsidR="00797E4B" w:rsidRPr="4176AA0A">
        <w:rPr>
          <w:lang w:val="es-ES"/>
        </w:rPr>
        <w:t>hasta un</w:t>
      </w:r>
      <w:r w:rsidRPr="4176AA0A">
        <w:rPr>
          <w:lang w:val="es-ES"/>
        </w:rPr>
        <w:t xml:space="preserve"> importe de 486.500 euros</w:t>
      </w:r>
      <w:r w:rsidR="00301DAB" w:rsidRPr="4176AA0A">
        <w:rPr>
          <w:lang w:val="es-ES"/>
        </w:rPr>
        <w:t xml:space="preserve">. </w:t>
      </w:r>
      <w:r w:rsidR="00FC28DD" w:rsidRPr="4176AA0A">
        <w:rPr>
          <w:lang w:val="es-ES"/>
        </w:rPr>
        <w:t xml:space="preserve">Se </w:t>
      </w:r>
      <w:r w:rsidR="00C2640C" w:rsidRPr="4176AA0A">
        <w:rPr>
          <w:lang w:val="es-ES"/>
        </w:rPr>
        <w:t>d</w:t>
      </w:r>
      <w:r w:rsidR="00C35C71" w:rsidRPr="4176AA0A">
        <w:rPr>
          <w:lang w:val="es-ES"/>
        </w:rPr>
        <w:t>eterminaron</w:t>
      </w:r>
      <w:r w:rsidR="00FC28DD" w:rsidRPr="4176AA0A">
        <w:rPr>
          <w:lang w:val="es-ES"/>
        </w:rPr>
        <w:t xml:space="preserve"> las tarifas</w:t>
      </w:r>
      <w:r w:rsidR="00C2640C" w:rsidRPr="4176AA0A">
        <w:rPr>
          <w:lang w:val="es-ES"/>
        </w:rPr>
        <w:t xml:space="preserve"> dividiendo </w:t>
      </w:r>
      <w:r w:rsidR="00797E4B" w:rsidRPr="4176AA0A">
        <w:rPr>
          <w:lang w:val="es-ES"/>
        </w:rPr>
        <w:t xml:space="preserve">el incremento de recaudación de 2020 a 2021 </w:t>
      </w:r>
      <w:r w:rsidR="00C2640C" w:rsidRPr="4176AA0A">
        <w:rPr>
          <w:lang w:val="es-ES"/>
        </w:rPr>
        <w:t>entre el número de recibos, resultando un importe de 21 euros que se aplicó a todos los contribuyentes por igual, sin tener en cuenta las distintas tarifas establecidas en la tasa de recogida de basuras en función de las características del sujeto pasivo</w:t>
      </w:r>
      <w:r w:rsidR="00D50F37" w:rsidRPr="4176AA0A">
        <w:rPr>
          <w:lang w:val="es-ES"/>
        </w:rPr>
        <w:t xml:space="preserve"> (doméstico, comercios, supermercados, bares, industrias, etc)</w:t>
      </w:r>
      <w:r w:rsidR="00C2640C" w:rsidRPr="4176AA0A">
        <w:rPr>
          <w:lang w:val="es-ES"/>
        </w:rPr>
        <w:t xml:space="preserve">. </w:t>
      </w:r>
    </w:p>
    <w:p w14:paraId="20C150F6" w14:textId="65F1C1E7" w:rsidR="00231A78" w:rsidRDefault="00231A78" w:rsidP="001B410D">
      <w:pPr>
        <w:pStyle w:val="texto"/>
        <w:tabs>
          <w:tab w:val="left" w:pos="142"/>
        </w:tabs>
        <w:spacing w:before="120" w:after="120"/>
        <w:rPr>
          <w:szCs w:val="26"/>
        </w:rPr>
      </w:pPr>
      <w:r>
        <w:rPr>
          <w:szCs w:val="26"/>
        </w:rPr>
        <w:t>Esta modificación de la tasa no se tramitó mediante una modificación de la ordenanza reguladora ni se publicaron las tarifas modificadas.</w:t>
      </w:r>
    </w:p>
    <w:p w14:paraId="05FD9B96" w14:textId="555A367B" w:rsidR="0050683B" w:rsidRPr="005625D7" w:rsidRDefault="001F3567">
      <w:pPr>
        <w:pStyle w:val="texto"/>
        <w:tabs>
          <w:tab w:val="left" w:pos="142"/>
        </w:tabs>
        <w:spacing w:before="120" w:after="120" w:line="259" w:lineRule="auto"/>
        <w:rPr>
          <w:highlight w:val="yellow"/>
          <w:lang w:val="es-ES"/>
        </w:rPr>
      </w:pPr>
      <w:r>
        <w:t>Por otra parte, l</w:t>
      </w:r>
      <w:r w:rsidR="009620A5">
        <w:t xml:space="preserve">a tasa no se fija en función de los costes del servicio. </w:t>
      </w:r>
      <w:r w:rsidR="0050683B">
        <w:t xml:space="preserve">No se lleva una contabilidad analítica de los servicios que presta la </w:t>
      </w:r>
      <w:r w:rsidR="003C06D0">
        <w:t>Mancomunidad</w:t>
      </w:r>
      <w:r w:rsidR="0050683B">
        <w:t>, contrariamente a lo establecido en sus estatuto</w:t>
      </w:r>
      <w:r w:rsidR="00DE75DE">
        <w:t>s</w:t>
      </w:r>
      <w:r w:rsidR="0050683B">
        <w:t>.</w:t>
      </w:r>
    </w:p>
    <w:p w14:paraId="1F60F893" w14:textId="4CDED051" w:rsidR="00C5776C" w:rsidRPr="003E7144" w:rsidRDefault="007B4367" w:rsidP="00294534">
      <w:pPr>
        <w:pStyle w:val="texto"/>
        <w:numPr>
          <w:ilvl w:val="0"/>
          <w:numId w:val="18"/>
        </w:numPr>
        <w:tabs>
          <w:tab w:val="num" w:pos="567"/>
          <w:tab w:val="num" w:pos="2770"/>
        </w:tabs>
        <w:ind w:left="0" w:firstLine="290"/>
        <w:rPr>
          <w:lang w:val="es-ES"/>
        </w:rPr>
      </w:pPr>
      <w:r w:rsidRPr="003E7144">
        <w:rPr>
          <w:lang w:val="es-ES"/>
        </w:rPr>
        <w:t xml:space="preserve">La </w:t>
      </w:r>
      <w:r w:rsidR="00C5776C" w:rsidRPr="003E7144">
        <w:rPr>
          <w:lang w:val="es-ES"/>
        </w:rPr>
        <w:t xml:space="preserve">ordenanza reguladora de la tasa por recogida de basuras establece que las cuotas tributarias de </w:t>
      </w:r>
      <w:r w:rsidR="005B2A12" w:rsidRPr="003E7144">
        <w:rPr>
          <w:lang w:val="es-ES"/>
        </w:rPr>
        <w:t>dicha</w:t>
      </w:r>
      <w:r w:rsidR="00C5776C" w:rsidRPr="003E7144">
        <w:rPr>
          <w:lang w:val="es-ES"/>
        </w:rPr>
        <w:t xml:space="preserve"> tasa se verán incrementadas en la tarifa que fije el Consorcio para el Tratamiento de Residuos Urbanos de Navarra y que las tarifas del Consorcio se cobrarán conjuntamente con la tasa por recogida de basuras.</w:t>
      </w:r>
    </w:p>
    <w:p w14:paraId="7DEF1A25" w14:textId="08C40606" w:rsidR="007B4367" w:rsidRPr="003E7144" w:rsidRDefault="007B4367" w:rsidP="007B4367">
      <w:pPr>
        <w:pStyle w:val="texto"/>
        <w:tabs>
          <w:tab w:val="left" w:pos="142"/>
          <w:tab w:val="num" w:pos="1637"/>
          <w:tab w:val="num" w:pos="2770"/>
        </w:tabs>
        <w:spacing w:before="120" w:after="120"/>
      </w:pPr>
      <w:r w:rsidRPr="003E7144">
        <w:rPr>
          <w:lang w:val="es-ES"/>
        </w:rPr>
        <w:t xml:space="preserve">   Se gira y cobra junto con la tasa de recogida de </w:t>
      </w:r>
      <w:r w:rsidR="00C93C06" w:rsidRPr="003E7144">
        <w:rPr>
          <w:lang w:val="es-ES"/>
        </w:rPr>
        <w:t>basura</w:t>
      </w:r>
      <w:r w:rsidR="23D028F2" w:rsidRPr="003E7144">
        <w:rPr>
          <w:lang w:val="es-ES"/>
        </w:rPr>
        <w:t>,</w:t>
      </w:r>
      <w:r w:rsidR="00C64A64" w:rsidRPr="003E7144">
        <w:rPr>
          <w:lang w:val="es-ES"/>
        </w:rPr>
        <w:t xml:space="preserve"> pero es un ingreso que corresponde y debe a</w:t>
      </w:r>
      <w:r w:rsidRPr="003E7144">
        <w:rPr>
          <w:lang w:val="es-ES"/>
        </w:rPr>
        <w:t>bonarse al Consorcio de Residuos.</w:t>
      </w:r>
      <w:r w:rsidR="00577C49" w:rsidRPr="003E7144">
        <w:rPr>
          <w:lang w:val="es-ES"/>
        </w:rPr>
        <w:t xml:space="preserve"> </w:t>
      </w:r>
      <w:r w:rsidR="003E7144" w:rsidRPr="005625D7">
        <w:rPr>
          <w:lang w:val="es-ES"/>
        </w:rPr>
        <w:t xml:space="preserve">Por tanto, debe contabilizarse </w:t>
      </w:r>
      <w:r w:rsidR="003E7144" w:rsidRPr="005625D7">
        <w:t xml:space="preserve">como </w:t>
      </w:r>
      <w:r w:rsidRPr="003E7144">
        <w:t>concepto no presupuestario</w:t>
      </w:r>
      <w:r w:rsidR="001F3567" w:rsidRPr="003E7144">
        <w:t xml:space="preserve">. </w:t>
      </w:r>
    </w:p>
    <w:p w14:paraId="5A8C079C" w14:textId="74FB14A6" w:rsidR="00DE75DE" w:rsidRPr="00340CA9" w:rsidRDefault="00DE75DE" w:rsidP="00340CA9">
      <w:pPr>
        <w:pStyle w:val="texto"/>
        <w:tabs>
          <w:tab w:val="left" w:pos="142"/>
          <w:tab w:val="num" w:pos="1637"/>
          <w:tab w:val="num" w:pos="2770"/>
        </w:tabs>
        <w:spacing w:before="120" w:after="120"/>
        <w:ind w:left="289" w:firstLine="0"/>
        <w:rPr>
          <w:i/>
          <w:iCs/>
        </w:rPr>
      </w:pPr>
      <w:r w:rsidRPr="00340CA9">
        <w:rPr>
          <w:i/>
          <w:iCs/>
          <w:lang w:val="es-ES"/>
        </w:rPr>
        <w:t>Se recomienda</w:t>
      </w:r>
    </w:p>
    <w:p w14:paraId="677F0A3B" w14:textId="015676AC" w:rsidR="009620A5" w:rsidRDefault="00267271" w:rsidP="00294534">
      <w:pPr>
        <w:pStyle w:val="texto"/>
        <w:numPr>
          <w:ilvl w:val="0"/>
          <w:numId w:val="18"/>
        </w:numPr>
        <w:tabs>
          <w:tab w:val="num" w:pos="567"/>
          <w:tab w:val="num" w:pos="2770"/>
        </w:tabs>
        <w:ind w:left="0" w:firstLine="290"/>
        <w:rPr>
          <w:i/>
          <w:iCs/>
        </w:rPr>
      </w:pPr>
      <w:r w:rsidRPr="00294534">
        <w:rPr>
          <w:i/>
          <w:lang w:val="es-ES"/>
        </w:rPr>
        <w:t>Tramitar</w:t>
      </w:r>
      <w:r w:rsidRPr="4176AA0A">
        <w:rPr>
          <w:i/>
          <w:iCs/>
        </w:rPr>
        <w:t xml:space="preserve"> la</w:t>
      </w:r>
      <w:r w:rsidR="008A710A" w:rsidRPr="4176AA0A">
        <w:rPr>
          <w:i/>
          <w:iCs/>
        </w:rPr>
        <w:t xml:space="preserve"> modificación de la tasa de recogida de basura mediante la modificación de la </w:t>
      </w:r>
      <w:r w:rsidRPr="4176AA0A">
        <w:rPr>
          <w:i/>
          <w:iCs/>
        </w:rPr>
        <w:t xml:space="preserve">ordenanza reguladora </w:t>
      </w:r>
      <w:r w:rsidR="008A710A" w:rsidRPr="4176AA0A">
        <w:rPr>
          <w:i/>
          <w:iCs/>
        </w:rPr>
        <w:t xml:space="preserve">y publicar las </w:t>
      </w:r>
      <w:r w:rsidR="001F3567" w:rsidRPr="4176AA0A">
        <w:rPr>
          <w:i/>
          <w:iCs/>
        </w:rPr>
        <w:t xml:space="preserve">tarifas </w:t>
      </w:r>
      <w:r w:rsidR="008A710A" w:rsidRPr="4176AA0A">
        <w:rPr>
          <w:i/>
          <w:iCs/>
        </w:rPr>
        <w:t xml:space="preserve">aprobadas. Determinar el importe de dicha tasa </w:t>
      </w:r>
      <w:r w:rsidR="009620A5" w:rsidRPr="4176AA0A">
        <w:rPr>
          <w:i/>
          <w:iCs/>
        </w:rPr>
        <w:t>en función del coste del servicio.</w:t>
      </w:r>
      <w:r w:rsidR="003560F6" w:rsidRPr="4176AA0A">
        <w:rPr>
          <w:i/>
          <w:iCs/>
        </w:rPr>
        <w:t xml:space="preserve"> </w:t>
      </w:r>
    </w:p>
    <w:p w14:paraId="4DAC9562" w14:textId="588FA629" w:rsidR="00E022C2" w:rsidRDefault="008A710A" w:rsidP="00294534">
      <w:pPr>
        <w:pStyle w:val="texto"/>
        <w:numPr>
          <w:ilvl w:val="0"/>
          <w:numId w:val="18"/>
        </w:numPr>
        <w:tabs>
          <w:tab w:val="num" w:pos="567"/>
          <w:tab w:val="num" w:pos="2770"/>
        </w:tabs>
        <w:ind w:left="0" w:firstLine="290"/>
        <w:rPr>
          <w:i/>
        </w:rPr>
      </w:pPr>
      <w:r w:rsidRPr="00294534">
        <w:rPr>
          <w:i/>
          <w:lang w:val="es-ES"/>
        </w:rPr>
        <w:t>Enviar</w:t>
      </w:r>
      <w:r>
        <w:rPr>
          <w:i/>
        </w:rPr>
        <w:t xml:space="preserve"> las deudas no cobradas en periodo voluntario, una vez finalizado dicho plazo, a la agencia ejecutiva para su recaudaci</w:t>
      </w:r>
      <w:r w:rsidR="00E022C2">
        <w:rPr>
          <w:i/>
        </w:rPr>
        <w:t>ón por el procedimiento de apremio, aplicando los recargos correspondientes</w:t>
      </w:r>
      <w:r>
        <w:rPr>
          <w:i/>
        </w:rPr>
        <w:t xml:space="preserve"> a todas las deudas cobradas en periodo ejecutivo, así como los intereses de demora</w:t>
      </w:r>
      <w:r w:rsidR="00E022C2">
        <w:rPr>
          <w:i/>
        </w:rPr>
        <w:t xml:space="preserve">. </w:t>
      </w:r>
    </w:p>
    <w:p w14:paraId="20626C51" w14:textId="77CB7A6D" w:rsidR="009E418D" w:rsidRPr="00672422" w:rsidRDefault="009E418D" w:rsidP="00294534">
      <w:pPr>
        <w:pStyle w:val="texto"/>
        <w:numPr>
          <w:ilvl w:val="0"/>
          <w:numId w:val="18"/>
        </w:numPr>
        <w:tabs>
          <w:tab w:val="num" w:pos="567"/>
          <w:tab w:val="num" w:pos="2770"/>
        </w:tabs>
        <w:ind w:left="0" w:firstLine="290"/>
        <w:rPr>
          <w:i/>
        </w:rPr>
      </w:pPr>
      <w:r w:rsidRPr="00294534">
        <w:rPr>
          <w:i/>
          <w:lang w:val="es-ES"/>
        </w:rPr>
        <w:t>Contabilizar</w:t>
      </w:r>
      <w:r w:rsidRPr="00672422">
        <w:rPr>
          <w:i/>
        </w:rPr>
        <w:t xml:space="preserve"> los ingresos </w:t>
      </w:r>
      <w:r w:rsidR="00672422" w:rsidRPr="00672422">
        <w:rPr>
          <w:i/>
        </w:rPr>
        <w:t xml:space="preserve">del Consorcio de Residuos </w:t>
      </w:r>
      <w:r w:rsidRPr="00672422">
        <w:rPr>
          <w:i/>
        </w:rPr>
        <w:t>por recogida de fracción resto y envases.</w:t>
      </w:r>
    </w:p>
    <w:p w14:paraId="75219CF3" w14:textId="4AE173D3" w:rsidR="000A296C" w:rsidRPr="001D3874" w:rsidRDefault="00544E8B" w:rsidP="000A296C">
      <w:pPr>
        <w:pStyle w:val="atitulo3"/>
        <w:spacing w:before="240"/>
        <w:rPr>
          <w:rFonts w:cs="Arial"/>
        </w:rPr>
      </w:pPr>
      <w:r>
        <w:rPr>
          <w:rFonts w:cs="Arial"/>
        </w:rPr>
        <w:t>5</w:t>
      </w:r>
      <w:r w:rsidR="00E47952">
        <w:rPr>
          <w:rFonts w:cs="Arial"/>
        </w:rPr>
        <w:t>.7</w:t>
      </w:r>
      <w:r w:rsidR="000A296C" w:rsidRPr="001D3874">
        <w:rPr>
          <w:rFonts w:cs="Arial"/>
        </w:rPr>
        <w:t xml:space="preserve"> </w:t>
      </w:r>
      <w:r w:rsidR="000A296C">
        <w:rPr>
          <w:rFonts w:cs="Arial"/>
        </w:rPr>
        <w:t>Ingresos por t</w:t>
      </w:r>
      <w:r w:rsidR="000A296C" w:rsidRPr="001D3874">
        <w:rPr>
          <w:rFonts w:cs="Arial"/>
        </w:rPr>
        <w:t xml:space="preserve">ransferencias corrientes </w:t>
      </w:r>
    </w:p>
    <w:p w14:paraId="5913C6A1" w14:textId="4DBD3571" w:rsidR="008A710A" w:rsidRDefault="000A296C" w:rsidP="00753B78">
      <w:pPr>
        <w:pStyle w:val="texto"/>
      </w:pPr>
      <w:r w:rsidRPr="2C569507">
        <w:rPr>
          <w:lang w:val="es-ES"/>
        </w:rPr>
        <w:t>Los ingresos por transferencias corrientes ascendieron a 83.455 euros</w:t>
      </w:r>
      <w:r w:rsidR="008A710A" w:rsidRPr="2C569507">
        <w:rPr>
          <w:lang w:val="es-ES"/>
        </w:rPr>
        <w:t>, todos ellos pendientes de cobro a 31 de diciembre de 2023.</w:t>
      </w:r>
      <w:r w:rsidR="5CA01CD6">
        <w:t xml:space="preserve"> </w:t>
      </w:r>
    </w:p>
    <w:p w14:paraId="1AB39726" w14:textId="549CF671" w:rsidR="000A296C" w:rsidRDefault="000A296C" w:rsidP="00753B78">
      <w:pPr>
        <w:pStyle w:val="texto"/>
      </w:pPr>
      <w:r>
        <w:t xml:space="preserve">Destaca la </w:t>
      </w:r>
      <w:r w:rsidR="007F6B15">
        <w:t>transferencia</w:t>
      </w:r>
      <w:r>
        <w:t xml:space="preserve"> del consorcio </w:t>
      </w:r>
      <w:r w:rsidRPr="008C2FD4">
        <w:t>para compostaje con un importe de 61.306 euros.</w:t>
      </w:r>
    </w:p>
    <w:p w14:paraId="6511064F" w14:textId="3C7DBBA4" w:rsidR="002675F7" w:rsidRDefault="002675F7" w:rsidP="002675F7">
      <w:pPr>
        <w:pStyle w:val="texto"/>
      </w:pPr>
      <w:r>
        <w:t xml:space="preserve">El grado de ejecución de las transferencias corrientes fue del 67 por ciento de las previsiones definitivas. </w:t>
      </w:r>
    </w:p>
    <w:p w14:paraId="3E945C45" w14:textId="71CC476A" w:rsidR="00DA3936" w:rsidRDefault="00A15072" w:rsidP="002675F7">
      <w:pPr>
        <w:pStyle w:val="texto"/>
      </w:pPr>
      <w:r>
        <w:lastRenderedPageBreak/>
        <w:t xml:space="preserve">Las incorrecciones significativas en relación con los </w:t>
      </w:r>
      <w:r w:rsidR="00DA3936">
        <w:t xml:space="preserve">ingresos por transferencias corrientes </w:t>
      </w:r>
      <w:r>
        <w:t>se detallan en el apéndice 4 de información adicional sobre salvedades de este informe.</w:t>
      </w:r>
      <w:r w:rsidR="00DA3936">
        <w:t xml:space="preserve"> </w:t>
      </w:r>
    </w:p>
    <w:p w14:paraId="334B7FDD" w14:textId="01E913F8" w:rsidR="00A60971" w:rsidRDefault="00744693" w:rsidP="004A7A9D">
      <w:pPr>
        <w:pStyle w:val="texto"/>
        <w:numPr>
          <w:ilvl w:val="0"/>
          <w:numId w:val="18"/>
        </w:numPr>
        <w:tabs>
          <w:tab w:val="num" w:pos="567"/>
          <w:tab w:val="num" w:pos="2770"/>
        </w:tabs>
        <w:spacing w:after="240"/>
        <w:ind w:left="0" w:firstLine="289"/>
      </w:pPr>
      <w:r w:rsidRPr="00A60971">
        <w:rPr>
          <w:lang w:val="es-ES"/>
        </w:rPr>
        <w:t>Hemos</w:t>
      </w:r>
      <w:r>
        <w:t xml:space="preserve"> </w:t>
      </w:r>
      <w:r w:rsidRPr="00963807">
        <w:rPr>
          <w:lang w:val="es-ES"/>
        </w:rPr>
        <w:t>constatado</w:t>
      </w:r>
      <w:r>
        <w:t xml:space="preserve"> diferencias significativas entre las subvenciones corrientes y de capital que solicitó la </w:t>
      </w:r>
      <w:r w:rsidR="003C06D0">
        <w:t>Mancomunidad</w:t>
      </w:r>
      <w:r>
        <w:t xml:space="preserve"> </w:t>
      </w:r>
      <w:r w:rsidR="00106D0C">
        <w:t>del</w:t>
      </w:r>
      <w:r>
        <w:t xml:space="preserve"> Fondo de Residuos en el periodo 2020 a 2023 y las </w:t>
      </w:r>
      <w:r w:rsidR="43AD0284">
        <w:t>recibidas</w:t>
      </w:r>
      <w:r>
        <w:t xml:space="preserve"> en función del gasto </w:t>
      </w:r>
      <w:r w:rsidR="008A710A">
        <w:t>admisible</w:t>
      </w:r>
      <w:r>
        <w:t>, tal como se muestra en el cuadro siguiente:</w:t>
      </w:r>
    </w:p>
    <w:tbl>
      <w:tblPr>
        <w:tblW w:w="8789" w:type="dxa"/>
        <w:tblCellMar>
          <w:left w:w="70" w:type="dxa"/>
          <w:right w:w="70" w:type="dxa"/>
        </w:tblCellMar>
        <w:tblLook w:val="04A0" w:firstRow="1" w:lastRow="0" w:firstColumn="1" w:lastColumn="0" w:noHBand="0" w:noVBand="1"/>
      </w:tblPr>
      <w:tblGrid>
        <w:gridCol w:w="4253"/>
        <w:gridCol w:w="1843"/>
        <w:gridCol w:w="2693"/>
      </w:tblGrid>
      <w:tr w:rsidR="00744693" w:rsidRPr="00704016" w14:paraId="3D246FB4" w14:textId="77777777" w:rsidTr="004A7A9D">
        <w:trPr>
          <w:cantSplit/>
          <w:trHeight w:val="255"/>
        </w:trPr>
        <w:tc>
          <w:tcPr>
            <w:tcW w:w="4253" w:type="dxa"/>
            <w:tcBorders>
              <w:top w:val="single" w:sz="4" w:space="0" w:color="auto"/>
              <w:left w:val="nil"/>
              <w:bottom w:val="single" w:sz="4" w:space="0" w:color="auto"/>
              <w:right w:val="nil"/>
            </w:tcBorders>
            <w:shd w:val="clear" w:color="000000" w:fill="FABF8F"/>
            <w:noWrap/>
            <w:vAlign w:val="center"/>
            <w:hideMark/>
          </w:tcPr>
          <w:p w14:paraId="55200591" w14:textId="77777777" w:rsidR="00744693" w:rsidRPr="000A296C" w:rsidRDefault="00744693" w:rsidP="008F3DBC">
            <w:pPr>
              <w:pStyle w:val="cuadroCabe"/>
              <w:rPr>
                <w:lang w:val="es-ES" w:eastAsia="es-ES"/>
              </w:rPr>
            </w:pPr>
            <w:r>
              <w:rPr>
                <w:lang w:val="es-ES" w:eastAsia="es-ES"/>
              </w:rPr>
              <w:t> Año</w:t>
            </w:r>
          </w:p>
        </w:tc>
        <w:tc>
          <w:tcPr>
            <w:tcW w:w="1843" w:type="dxa"/>
            <w:tcBorders>
              <w:top w:val="single" w:sz="4" w:space="0" w:color="auto"/>
              <w:left w:val="nil"/>
              <w:bottom w:val="single" w:sz="4" w:space="0" w:color="auto"/>
              <w:right w:val="nil"/>
            </w:tcBorders>
            <w:shd w:val="clear" w:color="000000" w:fill="FABF8F"/>
            <w:vAlign w:val="center"/>
          </w:tcPr>
          <w:p w14:paraId="48826404" w14:textId="77777777" w:rsidR="00744693" w:rsidRPr="000A296C" w:rsidRDefault="00744693" w:rsidP="008F3DBC">
            <w:pPr>
              <w:pStyle w:val="cuadroCabe"/>
              <w:jc w:val="right"/>
              <w:rPr>
                <w:lang w:val="es-ES" w:eastAsia="es-ES"/>
              </w:rPr>
            </w:pPr>
            <w:r>
              <w:rPr>
                <w:lang w:val="es-ES" w:eastAsia="es-ES"/>
              </w:rPr>
              <w:t>Importe solicitado</w:t>
            </w:r>
          </w:p>
        </w:tc>
        <w:tc>
          <w:tcPr>
            <w:tcW w:w="2693" w:type="dxa"/>
            <w:tcBorders>
              <w:top w:val="single" w:sz="4" w:space="0" w:color="auto"/>
              <w:left w:val="nil"/>
              <w:bottom w:val="single" w:sz="4" w:space="0" w:color="auto"/>
              <w:right w:val="nil"/>
            </w:tcBorders>
            <w:shd w:val="clear" w:color="000000" w:fill="FABF8F"/>
            <w:vAlign w:val="center"/>
          </w:tcPr>
          <w:p w14:paraId="4D43CD36" w14:textId="77777777" w:rsidR="00744693" w:rsidRPr="000A296C" w:rsidRDefault="00744693" w:rsidP="008F3DBC">
            <w:pPr>
              <w:pStyle w:val="cuadroCabe"/>
              <w:jc w:val="right"/>
              <w:rPr>
                <w:lang w:val="es-ES" w:eastAsia="es-ES"/>
              </w:rPr>
            </w:pPr>
            <w:r>
              <w:rPr>
                <w:lang w:val="es-ES" w:eastAsia="es-ES"/>
              </w:rPr>
              <w:t>Importe concedido</w:t>
            </w:r>
          </w:p>
        </w:tc>
      </w:tr>
      <w:tr w:rsidR="00744693" w:rsidRPr="004F7827" w14:paraId="02FF2F0D" w14:textId="77777777" w:rsidTr="004A7A9D">
        <w:trPr>
          <w:cantSplit/>
          <w:trHeight w:val="198"/>
        </w:trPr>
        <w:tc>
          <w:tcPr>
            <w:tcW w:w="4253" w:type="dxa"/>
            <w:tcBorders>
              <w:top w:val="single" w:sz="4" w:space="0" w:color="auto"/>
              <w:left w:val="nil"/>
              <w:bottom w:val="single" w:sz="2" w:space="0" w:color="auto"/>
              <w:right w:val="nil"/>
            </w:tcBorders>
            <w:shd w:val="clear" w:color="auto" w:fill="auto"/>
            <w:noWrap/>
            <w:vAlign w:val="center"/>
          </w:tcPr>
          <w:p w14:paraId="39DE1320" w14:textId="77777777" w:rsidR="00744693" w:rsidRPr="000A296C" w:rsidRDefault="00744693" w:rsidP="008F3DBC">
            <w:pPr>
              <w:pStyle w:val="cuatexto"/>
              <w:rPr>
                <w:lang w:val="es-ES" w:eastAsia="es-ES"/>
              </w:rPr>
            </w:pPr>
            <w:r>
              <w:rPr>
                <w:lang w:val="es-ES" w:eastAsia="es-ES"/>
              </w:rPr>
              <w:t>2020</w:t>
            </w:r>
          </w:p>
        </w:tc>
        <w:tc>
          <w:tcPr>
            <w:tcW w:w="1843" w:type="dxa"/>
            <w:tcBorders>
              <w:top w:val="single" w:sz="4" w:space="0" w:color="auto"/>
              <w:left w:val="nil"/>
              <w:bottom w:val="single" w:sz="2" w:space="0" w:color="auto"/>
              <w:right w:val="nil"/>
            </w:tcBorders>
            <w:vAlign w:val="center"/>
          </w:tcPr>
          <w:p w14:paraId="17907816" w14:textId="77777777" w:rsidR="00744693" w:rsidRPr="000A296C" w:rsidRDefault="00744693" w:rsidP="008F3DBC">
            <w:pPr>
              <w:pStyle w:val="cuatexto"/>
              <w:jc w:val="right"/>
              <w:rPr>
                <w:lang w:val="es-ES" w:eastAsia="es-ES"/>
              </w:rPr>
            </w:pPr>
            <w:r>
              <w:rPr>
                <w:lang w:val="es-ES" w:eastAsia="es-ES"/>
              </w:rPr>
              <w:t>130.100</w:t>
            </w:r>
          </w:p>
        </w:tc>
        <w:tc>
          <w:tcPr>
            <w:tcW w:w="2693" w:type="dxa"/>
            <w:tcBorders>
              <w:top w:val="single" w:sz="4" w:space="0" w:color="auto"/>
              <w:left w:val="nil"/>
              <w:bottom w:val="single" w:sz="2" w:space="0" w:color="auto"/>
              <w:right w:val="nil"/>
            </w:tcBorders>
            <w:shd w:val="clear" w:color="auto" w:fill="auto"/>
            <w:vAlign w:val="center"/>
          </w:tcPr>
          <w:p w14:paraId="1C5BA615" w14:textId="77777777" w:rsidR="00744693" w:rsidRPr="000A296C" w:rsidRDefault="00744693" w:rsidP="008F3DBC">
            <w:pPr>
              <w:pStyle w:val="cuatexto"/>
              <w:jc w:val="right"/>
              <w:rPr>
                <w:lang w:val="es-ES" w:eastAsia="es-ES"/>
              </w:rPr>
            </w:pPr>
            <w:r>
              <w:rPr>
                <w:lang w:val="es-ES" w:eastAsia="es-ES"/>
              </w:rPr>
              <w:t>11.970</w:t>
            </w:r>
          </w:p>
        </w:tc>
      </w:tr>
      <w:tr w:rsidR="00744693" w:rsidRPr="004F7827" w14:paraId="764ABE39" w14:textId="77777777" w:rsidTr="004A7A9D">
        <w:trPr>
          <w:cantSplit/>
          <w:trHeight w:val="198"/>
        </w:trPr>
        <w:tc>
          <w:tcPr>
            <w:tcW w:w="4253" w:type="dxa"/>
            <w:tcBorders>
              <w:top w:val="single" w:sz="2" w:space="0" w:color="auto"/>
              <w:left w:val="nil"/>
              <w:bottom w:val="single" w:sz="2" w:space="0" w:color="auto"/>
              <w:right w:val="nil"/>
            </w:tcBorders>
            <w:shd w:val="clear" w:color="auto" w:fill="auto"/>
            <w:noWrap/>
            <w:vAlign w:val="center"/>
          </w:tcPr>
          <w:p w14:paraId="12BCBAC6" w14:textId="77777777" w:rsidR="00744693" w:rsidRPr="000A296C" w:rsidRDefault="00744693" w:rsidP="008F3DBC">
            <w:pPr>
              <w:pStyle w:val="cuatexto"/>
              <w:rPr>
                <w:lang w:val="es-ES" w:eastAsia="es-ES"/>
              </w:rPr>
            </w:pPr>
            <w:r>
              <w:rPr>
                <w:lang w:val="es-ES" w:eastAsia="es-ES"/>
              </w:rPr>
              <w:t>2021</w:t>
            </w:r>
          </w:p>
        </w:tc>
        <w:tc>
          <w:tcPr>
            <w:tcW w:w="1843" w:type="dxa"/>
            <w:tcBorders>
              <w:top w:val="single" w:sz="2" w:space="0" w:color="auto"/>
              <w:left w:val="nil"/>
              <w:bottom w:val="single" w:sz="2" w:space="0" w:color="auto"/>
              <w:right w:val="nil"/>
            </w:tcBorders>
            <w:vAlign w:val="center"/>
          </w:tcPr>
          <w:p w14:paraId="6D56087C" w14:textId="77777777" w:rsidR="00744693" w:rsidRPr="000A296C" w:rsidRDefault="00744693" w:rsidP="008F3DBC">
            <w:pPr>
              <w:pStyle w:val="cuatexto"/>
              <w:jc w:val="right"/>
              <w:rPr>
                <w:lang w:val="es-ES" w:eastAsia="es-ES"/>
              </w:rPr>
            </w:pPr>
            <w:r>
              <w:rPr>
                <w:lang w:val="es-ES" w:eastAsia="es-ES"/>
              </w:rPr>
              <w:t>172.425</w:t>
            </w:r>
          </w:p>
        </w:tc>
        <w:tc>
          <w:tcPr>
            <w:tcW w:w="2693" w:type="dxa"/>
            <w:tcBorders>
              <w:top w:val="single" w:sz="2" w:space="0" w:color="auto"/>
              <w:left w:val="nil"/>
              <w:bottom w:val="single" w:sz="2" w:space="0" w:color="auto"/>
              <w:right w:val="nil"/>
            </w:tcBorders>
            <w:shd w:val="clear" w:color="auto" w:fill="auto"/>
            <w:vAlign w:val="center"/>
          </w:tcPr>
          <w:p w14:paraId="189063A0" w14:textId="77777777" w:rsidR="00744693" w:rsidRPr="000A296C" w:rsidRDefault="00744693" w:rsidP="008F3DBC">
            <w:pPr>
              <w:pStyle w:val="cuatexto"/>
              <w:jc w:val="right"/>
              <w:rPr>
                <w:lang w:val="es-ES" w:eastAsia="es-ES"/>
              </w:rPr>
            </w:pPr>
            <w:r>
              <w:rPr>
                <w:lang w:val="es-ES" w:eastAsia="es-ES"/>
              </w:rPr>
              <w:t>35.389</w:t>
            </w:r>
          </w:p>
        </w:tc>
      </w:tr>
      <w:tr w:rsidR="00744693" w:rsidRPr="004F7827" w14:paraId="669E5EC5" w14:textId="77777777" w:rsidTr="004A7A9D">
        <w:trPr>
          <w:cantSplit/>
          <w:trHeight w:val="198"/>
        </w:trPr>
        <w:tc>
          <w:tcPr>
            <w:tcW w:w="4253" w:type="dxa"/>
            <w:tcBorders>
              <w:top w:val="single" w:sz="2" w:space="0" w:color="auto"/>
              <w:left w:val="nil"/>
              <w:bottom w:val="single" w:sz="2" w:space="0" w:color="auto"/>
              <w:right w:val="nil"/>
            </w:tcBorders>
            <w:shd w:val="clear" w:color="auto" w:fill="auto"/>
            <w:noWrap/>
            <w:vAlign w:val="center"/>
          </w:tcPr>
          <w:p w14:paraId="2C708D64" w14:textId="77777777" w:rsidR="00744693" w:rsidRPr="000A296C" w:rsidRDefault="00744693" w:rsidP="008F3DBC">
            <w:pPr>
              <w:pStyle w:val="cuatexto"/>
              <w:rPr>
                <w:lang w:val="es-ES" w:eastAsia="es-ES"/>
              </w:rPr>
            </w:pPr>
            <w:r>
              <w:rPr>
                <w:lang w:val="es-ES" w:eastAsia="es-ES"/>
              </w:rPr>
              <w:t>2022</w:t>
            </w:r>
          </w:p>
        </w:tc>
        <w:tc>
          <w:tcPr>
            <w:tcW w:w="1843" w:type="dxa"/>
            <w:tcBorders>
              <w:top w:val="single" w:sz="2" w:space="0" w:color="auto"/>
              <w:left w:val="nil"/>
              <w:bottom w:val="single" w:sz="2" w:space="0" w:color="auto"/>
              <w:right w:val="nil"/>
            </w:tcBorders>
            <w:vAlign w:val="center"/>
          </w:tcPr>
          <w:p w14:paraId="74ECF264" w14:textId="77777777" w:rsidR="00744693" w:rsidRPr="000A296C" w:rsidRDefault="00744693" w:rsidP="008F3DBC">
            <w:pPr>
              <w:pStyle w:val="cuatexto"/>
              <w:jc w:val="right"/>
              <w:rPr>
                <w:lang w:val="es-ES" w:eastAsia="es-ES"/>
              </w:rPr>
            </w:pPr>
            <w:r>
              <w:rPr>
                <w:lang w:val="es-ES" w:eastAsia="es-ES"/>
              </w:rPr>
              <w:t>175.265</w:t>
            </w:r>
          </w:p>
        </w:tc>
        <w:tc>
          <w:tcPr>
            <w:tcW w:w="2693" w:type="dxa"/>
            <w:tcBorders>
              <w:top w:val="single" w:sz="2" w:space="0" w:color="auto"/>
              <w:left w:val="nil"/>
              <w:bottom w:val="single" w:sz="2" w:space="0" w:color="auto"/>
              <w:right w:val="nil"/>
            </w:tcBorders>
            <w:shd w:val="clear" w:color="auto" w:fill="auto"/>
            <w:vAlign w:val="center"/>
          </w:tcPr>
          <w:p w14:paraId="411BE7F4" w14:textId="77777777" w:rsidR="00744693" w:rsidRPr="000A296C" w:rsidRDefault="00744693" w:rsidP="008F3DBC">
            <w:pPr>
              <w:pStyle w:val="cuatexto"/>
              <w:jc w:val="right"/>
              <w:rPr>
                <w:lang w:val="es-ES" w:eastAsia="es-ES"/>
              </w:rPr>
            </w:pPr>
            <w:r>
              <w:rPr>
                <w:lang w:val="es-ES" w:eastAsia="es-ES"/>
              </w:rPr>
              <w:t>106.857</w:t>
            </w:r>
          </w:p>
        </w:tc>
      </w:tr>
      <w:tr w:rsidR="00744693" w:rsidRPr="004F7827" w14:paraId="46C4E6DF" w14:textId="77777777" w:rsidTr="004A7A9D">
        <w:trPr>
          <w:cantSplit/>
          <w:trHeight w:val="198"/>
        </w:trPr>
        <w:tc>
          <w:tcPr>
            <w:tcW w:w="4253" w:type="dxa"/>
            <w:tcBorders>
              <w:top w:val="single" w:sz="2" w:space="0" w:color="auto"/>
              <w:left w:val="nil"/>
              <w:bottom w:val="single" w:sz="4" w:space="0" w:color="auto"/>
              <w:right w:val="nil"/>
            </w:tcBorders>
            <w:shd w:val="clear" w:color="auto" w:fill="auto"/>
            <w:noWrap/>
            <w:vAlign w:val="center"/>
          </w:tcPr>
          <w:p w14:paraId="64A69151" w14:textId="77777777" w:rsidR="00744693" w:rsidRDefault="00744693" w:rsidP="008F3DBC">
            <w:pPr>
              <w:pStyle w:val="cuatexto"/>
              <w:rPr>
                <w:lang w:val="es-ES" w:eastAsia="es-ES"/>
              </w:rPr>
            </w:pPr>
            <w:r>
              <w:rPr>
                <w:lang w:val="es-ES" w:eastAsia="es-ES"/>
              </w:rPr>
              <w:t>2023</w:t>
            </w:r>
          </w:p>
        </w:tc>
        <w:tc>
          <w:tcPr>
            <w:tcW w:w="1843" w:type="dxa"/>
            <w:tcBorders>
              <w:top w:val="single" w:sz="2" w:space="0" w:color="auto"/>
              <w:left w:val="nil"/>
              <w:bottom w:val="single" w:sz="4" w:space="0" w:color="auto"/>
              <w:right w:val="nil"/>
            </w:tcBorders>
            <w:vAlign w:val="center"/>
          </w:tcPr>
          <w:p w14:paraId="6521C3E3" w14:textId="77777777" w:rsidR="00744693" w:rsidRPr="000A296C" w:rsidRDefault="00744693" w:rsidP="008F3DBC">
            <w:pPr>
              <w:pStyle w:val="cuatexto"/>
              <w:jc w:val="right"/>
              <w:rPr>
                <w:lang w:val="es-ES" w:eastAsia="es-ES"/>
              </w:rPr>
            </w:pPr>
            <w:r>
              <w:rPr>
                <w:lang w:val="es-ES" w:eastAsia="es-ES"/>
              </w:rPr>
              <w:t>44.318</w:t>
            </w:r>
          </w:p>
        </w:tc>
        <w:tc>
          <w:tcPr>
            <w:tcW w:w="2693" w:type="dxa"/>
            <w:tcBorders>
              <w:top w:val="single" w:sz="2" w:space="0" w:color="auto"/>
              <w:left w:val="nil"/>
              <w:bottom w:val="single" w:sz="4" w:space="0" w:color="auto"/>
              <w:right w:val="nil"/>
            </w:tcBorders>
            <w:shd w:val="clear" w:color="auto" w:fill="auto"/>
            <w:vAlign w:val="center"/>
          </w:tcPr>
          <w:p w14:paraId="5B64D825" w14:textId="77777777" w:rsidR="00744693" w:rsidRPr="000A296C" w:rsidRDefault="00744693" w:rsidP="008F3DBC">
            <w:pPr>
              <w:pStyle w:val="cuatexto"/>
              <w:jc w:val="right"/>
              <w:rPr>
                <w:lang w:val="es-ES" w:eastAsia="es-ES"/>
              </w:rPr>
            </w:pPr>
            <w:r>
              <w:rPr>
                <w:lang w:val="es-ES" w:eastAsia="es-ES"/>
              </w:rPr>
              <w:t>5.388</w:t>
            </w:r>
          </w:p>
        </w:tc>
      </w:tr>
      <w:tr w:rsidR="00744693" w:rsidRPr="004F7827" w14:paraId="79809DB5" w14:textId="77777777" w:rsidTr="004A7A9D">
        <w:trPr>
          <w:cantSplit/>
          <w:trHeight w:val="255"/>
        </w:trPr>
        <w:tc>
          <w:tcPr>
            <w:tcW w:w="4253" w:type="dxa"/>
            <w:tcBorders>
              <w:top w:val="single" w:sz="4" w:space="0" w:color="auto"/>
              <w:left w:val="nil"/>
              <w:bottom w:val="single" w:sz="4" w:space="0" w:color="auto"/>
              <w:right w:val="nil"/>
            </w:tcBorders>
            <w:shd w:val="clear" w:color="auto" w:fill="F7CAAC" w:themeFill="accent2" w:themeFillTint="66"/>
            <w:noWrap/>
            <w:vAlign w:val="center"/>
          </w:tcPr>
          <w:p w14:paraId="0AD9D447" w14:textId="77777777" w:rsidR="00744693" w:rsidRDefault="00744693" w:rsidP="008F3DBC">
            <w:pPr>
              <w:pStyle w:val="cuadroCabe"/>
              <w:rPr>
                <w:lang w:val="es-ES" w:eastAsia="es-ES"/>
              </w:rPr>
            </w:pPr>
            <w:r>
              <w:rPr>
                <w:lang w:val="es-ES" w:eastAsia="es-ES"/>
              </w:rPr>
              <w:t>Total</w:t>
            </w:r>
          </w:p>
        </w:tc>
        <w:tc>
          <w:tcPr>
            <w:tcW w:w="1843" w:type="dxa"/>
            <w:tcBorders>
              <w:top w:val="single" w:sz="4" w:space="0" w:color="auto"/>
              <w:left w:val="nil"/>
              <w:bottom w:val="single" w:sz="4" w:space="0" w:color="auto"/>
              <w:right w:val="nil"/>
            </w:tcBorders>
            <w:shd w:val="clear" w:color="auto" w:fill="F7CAAC" w:themeFill="accent2" w:themeFillTint="66"/>
            <w:vAlign w:val="center"/>
          </w:tcPr>
          <w:p w14:paraId="61B16469" w14:textId="77777777" w:rsidR="00744693" w:rsidRDefault="00744693" w:rsidP="008F3DBC">
            <w:pPr>
              <w:pStyle w:val="cuadroCabe"/>
              <w:jc w:val="right"/>
              <w:rPr>
                <w:lang w:val="es-ES" w:eastAsia="es-ES"/>
              </w:rPr>
            </w:pPr>
            <w:r>
              <w:rPr>
                <w:lang w:val="es-ES" w:eastAsia="es-ES"/>
              </w:rPr>
              <w:fldChar w:fldCharType="begin"/>
            </w:r>
            <w:r>
              <w:rPr>
                <w:lang w:val="es-ES" w:eastAsia="es-ES"/>
              </w:rPr>
              <w:instrText xml:space="preserve"> =SUM(ABOVE) </w:instrText>
            </w:r>
            <w:r>
              <w:rPr>
                <w:lang w:val="es-ES" w:eastAsia="es-ES"/>
              </w:rPr>
              <w:fldChar w:fldCharType="separate"/>
            </w:r>
            <w:r>
              <w:rPr>
                <w:noProof/>
                <w:lang w:val="es-ES" w:eastAsia="es-ES"/>
              </w:rPr>
              <w:t>522.108</w:t>
            </w:r>
            <w:r>
              <w:rPr>
                <w:lang w:val="es-ES" w:eastAsia="es-ES"/>
              </w:rPr>
              <w:fldChar w:fldCharType="end"/>
            </w:r>
          </w:p>
        </w:tc>
        <w:tc>
          <w:tcPr>
            <w:tcW w:w="2693" w:type="dxa"/>
            <w:tcBorders>
              <w:top w:val="single" w:sz="4" w:space="0" w:color="auto"/>
              <w:left w:val="nil"/>
              <w:bottom w:val="single" w:sz="4" w:space="0" w:color="auto"/>
              <w:right w:val="nil"/>
            </w:tcBorders>
            <w:shd w:val="clear" w:color="auto" w:fill="F7CAAC" w:themeFill="accent2" w:themeFillTint="66"/>
            <w:vAlign w:val="center"/>
          </w:tcPr>
          <w:p w14:paraId="6D65E7F5" w14:textId="77777777" w:rsidR="00744693" w:rsidRDefault="00744693" w:rsidP="008F3DBC">
            <w:pPr>
              <w:pStyle w:val="cuadroCabe"/>
              <w:jc w:val="right"/>
              <w:rPr>
                <w:lang w:val="es-ES" w:eastAsia="es-ES"/>
              </w:rPr>
            </w:pPr>
            <w:r>
              <w:rPr>
                <w:lang w:val="es-ES" w:eastAsia="es-ES"/>
              </w:rPr>
              <w:fldChar w:fldCharType="begin"/>
            </w:r>
            <w:r>
              <w:rPr>
                <w:lang w:val="es-ES" w:eastAsia="es-ES"/>
              </w:rPr>
              <w:instrText xml:space="preserve"> =SUM(ABOVE) </w:instrText>
            </w:r>
            <w:r>
              <w:rPr>
                <w:lang w:val="es-ES" w:eastAsia="es-ES"/>
              </w:rPr>
              <w:fldChar w:fldCharType="separate"/>
            </w:r>
            <w:r>
              <w:rPr>
                <w:noProof/>
                <w:lang w:val="es-ES" w:eastAsia="es-ES"/>
              </w:rPr>
              <w:t>159.604</w:t>
            </w:r>
            <w:r>
              <w:rPr>
                <w:lang w:val="es-ES" w:eastAsia="es-ES"/>
              </w:rPr>
              <w:fldChar w:fldCharType="end"/>
            </w:r>
          </w:p>
        </w:tc>
      </w:tr>
    </w:tbl>
    <w:p w14:paraId="55E58BDF" w14:textId="56E946E2" w:rsidR="001E3A67" w:rsidRDefault="008A710A" w:rsidP="00A60971">
      <w:pPr>
        <w:pStyle w:val="texto"/>
        <w:spacing w:before="240"/>
      </w:pPr>
      <w:r w:rsidRPr="2C569507">
        <w:rPr>
          <w:lang w:val="es-ES"/>
        </w:rPr>
        <w:t>Así, e</w:t>
      </w:r>
      <w:r w:rsidR="001E3A67" w:rsidRPr="2C569507">
        <w:rPr>
          <w:lang w:val="es-ES"/>
        </w:rPr>
        <w:t>n 2020</w:t>
      </w:r>
      <w:r w:rsidR="00F5390C" w:rsidRPr="2C569507">
        <w:rPr>
          <w:lang w:val="es-ES"/>
        </w:rPr>
        <w:t xml:space="preserve"> la </w:t>
      </w:r>
      <w:r w:rsidR="003C06D0">
        <w:rPr>
          <w:lang w:val="es-ES"/>
        </w:rPr>
        <w:t>Mancomunidad</w:t>
      </w:r>
      <w:r w:rsidR="00F5390C" w:rsidRPr="2C569507">
        <w:rPr>
          <w:lang w:val="es-ES"/>
        </w:rPr>
        <w:t xml:space="preserve"> solicitó subvenciones </w:t>
      </w:r>
      <w:r w:rsidR="001E3A67" w:rsidRPr="2C569507">
        <w:rPr>
          <w:lang w:val="es-ES"/>
        </w:rPr>
        <w:t>por importe de 130.100 euros y se le</w:t>
      </w:r>
      <w:r w:rsidR="00F5390C" w:rsidRPr="2C569507">
        <w:rPr>
          <w:lang w:val="es-ES"/>
        </w:rPr>
        <w:t xml:space="preserve"> concedieron</w:t>
      </w:r>
      <w:r w:rsidR="001E3A67" w:rsidRPr="2C569507">
        <w:rPr>
          <w:lang w:val="es-ES"/>
        </w:rPr>
        <w:t xml:space="preserve"> 11.970 euros porque l</w:t>
      </w:r>
      <w:r w:rsidR="00F5390C" w:rsidRPr="2C569507">
        <w:rPr>
          <w:lang w:val="es-ES"/>
        </w:rPr>
        <w:t>a documentación</w:t>
      </w:r>
      <w:r w:rsidR="001E3A67" w:rsidRPr="2C569507">
        <w:rPr>
          <w:lang w:val="es-ES"/>
        </w:rPr>
        <w:t xml:space="preserve"> presentad</w:t>
      </w:r>
      <w:r w:rsidR="001440D5" w:rsidRPr="2C569507">
        <w:rPr>
          <w:lang w:val="es-ES"/>
        </w:rPr>
        <w:t>a</w:t>
      </w:r>
      <w:r w:rsidR="001E3A67" w:rsidRPr="2C569507">
        <w:rPr>
          <w:lang w:val="es-ES"/>
        </w:rPr>
        <w:t xml:space="preserve"> no cumpl</w:t>
      </w:r>
      <w:r w:rsidR="00F5390C" w:rsidRPr="2C569507">
        <w:rPr>
          <w:lang w:val="es-ES"/>
        </w:rPr>
        <w:t>ía con</w:t>
      </w:r>
      <w:r w:rsidR="001E3A67" w:rsidRPr="2C569507">
        <w:rPr>
          <w:lang w:val="es-ES"/>
        </w:rPr>
        <w:t xml:space="preserve"> lo requerido en la convocatoria</w:t>
      </w:r>
      <w:r w:rsidR="00F5390C" w:rsidRPr="2C569507">
        <w:rPr>
          <w:lang w:val="es-ES"/>
        </w:rPr>
        <w:t xml:space="preserve">. De este importe, cobró 2.124 euros al justificar </w:t>
      </w:r>
      <w:r w:rsidR="001E3A67" w:rsidRPr="2C569507">
        <w:rPr>
          <w:lang w:val="es-ES"/>
        </w:rPr>
        <w:t>s</w:t>
      </w:r>
      <w:r w:rsidR="00D51503">
        <w:rPr>
          <w:lang w:val="es-ES"/>
        </w:rPr>
        <w:t>o</w:t>
      </w:r>
      <w:r w:rsidR="001E3A67" w:rsidRPr="2C569507">
        <w:rPr>
          <w:lang w:val="es-ES"/>
        </w:rPr>
        <w:t xml:space="preserve">lo una de las cuatro actuaciones </w:t>
      </w:r>
      <w:r w:rsidR="00F5390C" w:rsidRPr="2C569507">
        <w:rPr>
          <w:lang w:val="es-ES"/>
        </w:rPr>
        <w:t xml:space="preserve">subvencionadas. </w:t>
      </w:r>
      <w:r w:rsidR="001E3A67">
        <w:t xml:space="preserve"> </w:t>
      </w:r>
    </w:p>
    <w:p w14:paraId="6F49F0E8" w14:textId="6A4599BC" w:rsidR="00106D0C" w:rsidRDefault="00106D0C" w:rsidP="00744693">
      <w:pPr>
        <w:pStyle w:val="texto"/>
      </w:pPr>
      <w:r w:rsidRPr="2BF44EB8">
        <w:rPr>
          <w:lang w:val="es-ES"/>
        </w:rPr>
        <w:t>Desde el año 2019</w:t>
      </w:r>
      <w:r w:rsidR="00C73344">
        <w:rPr>
          <w:lang w:val="es-ES"/>
        </w:rPr>
        <w:t>,</w:t>
      </w:r>
      <w:r w:rsidRPr="2BF44EB8">
        <w:rPr>
          <w:lang w:val="es-ES"/>
        </w:rPr>
        <w:t xml:space="preserve"> la </w:t>
      </w:r>
      <w:r w:rsidR="003C06D0">
        <w:rPr>
          <w:lang w:val="es-ES"/>
        </w:rPr>
        <w:t>Mancomunidad</w:t>
      </w:r>
      <w:r w:rsidRPr="2BF44EB8">
        <w:rPr>
          <w:lang w:val="es-ES"/>
        </w:rPr>
        <w:t xml:space="preserve"> contaba con la asistencia técnica de la asociación Economías Biorregionales (EBR), que según indica la propia asociación realizó, al menos en 2022, memorias para que la </w:t>
      </w:r>
      <w:r w:rsidR="003C06D0">
        <w:rPr>
          <w:lang w:val="es-ES"/>
        </w:rPr>
        <w:t>Mancomunidad</w:t>
      </w:r>
      <w:r w:rsidRPr="2BF44EB8">
        <w:rPr>
          <w:lang w:val="es-ES"/>
        </w:rPr>
        <w:t xml:space="preserve"> se presentase a diversas subvenciones, entre ellas, las subvenciones del Fondo de Residuos.</w:t>
      </w:r>
    </w:p>
    <w:p w14:paraId="76BA50B0" w14:textId="12AE9ED5" w:rsidR="000A296C" w:rsidRPr="00E47952" w:rsidRDefault="00544E8B" w:rsidP="00E47952">
      <w:pPr>
        <w:pStyle w:val="atitulo3"/>
        <w:spacing w:before="240"/>
        <w:rPr>
          <w:rFonts w:cs="Arial"/>
        </w:rPr>
      </w:pPr>
      <w:bookmarkStart w:id="99" w:name="_Toc167698490"/>
      <w:r>
        <w:rPr>
          <w:rFonts w:cs="Arial"/>
        </w:rPr>
        <w:t>5</w:t>
      </w:r>
      <w:r w:rsidR="00E47952">
        <w:rPr>
          <w:rFonts w:cs="Arial"/>
        </w:rPr>
        <w:t>.8</w:t>
      </w:r>
      <w:r w:rsidR="000A296C" w:rsidRPr="00E47952">
        <w:rPr>
          <w:rFonts w:cs="Arial"/>
        </w:rPr>
        <w:t xml:space="preserve"> Deudores </w:t>
      </w:r>
      <w:bookmarkEnd w:id="99"/>
    </w:p>
    <w:p w14:paraId="586AB676" w14:textId="1AA2CC9F" w:rsidR="00E47952" w:rsidRPr="002476AB" w:rsidRDefault="00E47952" w:rsidP="003F629F">
      <w:pPr>
        <w:pStyle w:val="atitulo3"/>
        <w:spacing w:before="240"/>
      </w:pPr>
      <w:r w:rsidRPr="002476AB">
        <w:t>Deudores</w:t>
      </w:r>
      <w:r>
        <w:t xml:space="preserve"> de presupuestos cerrado</w:t>
      </w:r>
      <w:r w:rsidR="00794DDD">
        <w:t>s</w:t>
      </w:r>
    </w:p>
    <w:p w14:paraId="051E692F" w14:textId="44E9C4B8" w:rsidR="000A296C" w:rsidRPr="005625D7" w:rsidRDefault="000A296C" w:rsidP="00294534">
      <w:pPr>
        <w:pStyle w:val="texto"/>
        <w:spacing w:after="240"/>
        <w:rPr>
          <w:lang w:val="es-ES"/>
        </w:rPr>
      </w:pPr>
      <w:r w:rsidRPr="005625D7">
        <w:rPr>
          <w:lang w:val="es-ES"/>
        </w:rPr>
        <w:t xml:space="preserve">A 31 de diciembre de 2023, </w:t>
      </w:r>
      <w:r w:rsidR="00A15072" w:rsidRPr="005625D7">
        <w:rPr>
          <w:lang w:val="es-ES"/>
        </w:rPr>
        <w:t>el saldo contable de</w:t>
      </w:r>
      <w:r w:rsidRPr="005625D7">
        <w:rPr>
          <w:lang w:val="es-ES"/>
        </w:rPr>
        <w:t xml:space="preserve"> deudores de ejercicios cerrados ascendía a 224.921 euros</w:t>
      </w:r>
      <w:r w:rsidR="00A15072" w:rsidRPr="005625D7">
        <w:rPr>
          <w:lang w:val="es-ES"/>
        </w:rPr>
        <w:t>, y se desglosaba en</w:t>
      </w:r>
      <w:r w:rsidRPr="005625D7">
        <w:rPr>
          <w:lang w:val="es-ES"/>
        </w:rPr>
        <w:t xml:space="preserve"> los siguientes conceptos y ejercicios:</w:t>
      </w:r>
    </w:p>
    <w:tbl>
      <w:tblPr>
        <w:tblW w:w="8789" w:type="dxa"/>
        <w:tblCellMar>
          <w:left w:w="70" w:type="dxa"/>
          <w:right w:w="70" w:type="dxa"/>
        </w:tblCellMar>
        <w:tblLook w:val="04A0" w:firstRow="1" w:lastRow="0" w:firstColumn="1" w:lastColumn="0" w:noHBand="0" w:noVBand="1"/>
      </w:tblPr>
      <w:tblGrid>
        <w:gridCol w:w="3544"/>
        <w:gridCol w:w="2622"/>
        <w:gridCol w:w="2623"/>
      </w:tblGrid>
      <w:tr w:rsidR="000A296C" w:rsidRPr="007F59FE" w14:paraId="23022775" w14:textId="77777777" w:rsidTr="00A60971">
        <w:trPr>
          <w:trHeight w:val="255"/>
        </w:trPr>
        <w:tc>
          <w:tcPr>
            <w:tcW w:w="3544" w:type="dxa"/>
            <w:tcBorders>
              <w:top w:val="single" w:sz="4" w:space="0" w:color="auto"/>
              <w:left w:val="nil"/>
              <w:bottom w:val="single" w:sz="4" w:space="0" w:color="auto"/>
              <w:right w:val="nil"/>
            </w:tcBorders>
            <w:shd w:val="clear" w:color="auto" w:fill="F4B083" w:themeFill="accent2" w:themeFillTint="99"/>
            <w:noWrap/>
            <w:vAlign w:val="center"/>
          </w:tcPr>
          <w:p w14:paraId="7AB5E45F" w14:textId="77777777" w:rsidR="000A296C" w:rsidRPr="007F59FE" w:rsidRDefault="000A296C" w:rsidP="007F59FE">
            <w:pPr>
              <w:pStyle w:val="cuadroCabe"/>
            </w:pPr>
            <w:r w:rsidRPr="007F59FE">
              <w:t>Concepto</w:t>
            </w:r>
          </w:p>
        </w:tc>
        <w:tc>
          <w:tcPr>
            <w:tcW w:w="2622" w:type="dxa"/>
            <w:tcBorders>
              <w:top w:val="single" w:sz="4" w:space="0" w:color="auto"/>
              <w:left w:val="nil"/>
              <w:bottom w:val="single" w:sz="4" w:space="0" w:color="auto"/>
              <w:right w:val="nil"/>
            </w:tcBorders>
            <w:shd w:val="clear" w:color="auto" w:fill="F4B083" w:themeFill="accent2" w:themeFillTint="99"/>
            <w:noWrap/>
            <w:vAlign w:val="center"/>
          </w:tcPr>
          <w:p w14:paraId="2F070879" w14:textId="77777777" w:rsidR="000A296C" w:rsidRPr="007F59FE" w:rsidRDefault="000A296C" w:rsidP="007F59FE">
            <w:pPr>
              <w:pStyle w:val="cuadroCabe"/>
              <w:jc w:val="right"/>
            </w:pPr>
            <w:r w:rsidRPr="007F59FE">
              <w:t>Importe a 31/12/2023</w:t>
            </w:r>
          </w:p>
        </w:tc>
        <w:tc>
          <w:tcPr>
            <w:tcW w:w="2623" w:type="dxa"/>
            <w:tcBorders>
              <w:top w:val="single" w:sz="4" w:space="0" w:color="auto"/>
              <w:left w:val="nil"/>
              <w:bottom w:val="single" w:sz="4" w:space="0" w:color="auto"/>
              <w:right w:val="nil"/>
            </w:tcBorders>
            <w:shd w:val="clear" w:color="auto" w:fill="F4B083" w:themeFill="accent2" w:themeFillTint="99"/>
            <w:vAlign w:val="center"/>
          </w:tcPr>
          <w:p w14:paraId="3BDCDC74" w14:textId="77777777" w:rsidR="000A296C" w:rsidRPr="007F59FE" w:rsidRDefault="000A296C" w:rsidP="007F59FE">
            <w:pPr>
              <w:pStyle w:val="cuadroCabe"/>
              <w:jc w:val="right"/>
            </w:pPr>
            <w:r w:rsidRPr="007F59FE">
              <w:t>Ejercicios</w:t>
            </w:r>
          </w:p>
        </w:tc>
      </w:tr>
      <w:tr w:rsidR="000A296C" w:rsidRPr="0086002D" w14:paraId="64DA68B1" w14:textId="77777777" w:rsidTr="00A60971">
        <w:trPr>
          <w:trHeight w:val="123"/>
        </w:trPr>
        <w:tc>
          <w:tcPr>
            <w:tcW w:w="3544" w:type="dxa"/>
            <w:tcBorders>
              <w:top w:val="single" w:sz="4" w:space="0" w:color="auto"/>
              <w:left w:val="nil"/>
              <w:bottom w:val="single" w:sz="2" w:space="0" w:color="auto"/>
              <w:right w:val="nil"/>
            </w:tcBorders>
            <w:shd w:val="clear" w:color="auto" w:fill="auto"/>
            <w:noWrap/>
            <w:vAlign w:val="center"/>
          </w:tcPr>
          <w:p w14:paraId="48857808" w14:textId="77777777" w:rsidR="000A296C" w:rsidRPr="007F59FE" w:rsidRDefault="000A296C" w:rsidP="007F59FE">
            <w:pPr>
              <w:pStyle w:val="cuatexto"/>
            </w:pPr>
            <w:r w:rsidRPr="007F59FE">
              <w:t>Otros ingresos</w:t>
            </w:r>
          </w:p>
        </w:tc>
        <w:tc>
          <w:tcPr>
            <w:tcW w:w="2622" w:type="dxa"/>
            <w:tcBorders>
              <w:top w:val="single" w:sz="4" w:space="0" w:color="auto"/>
              <w:left w:val="nil"/>
              <w:bottom w:val="single" w:sz="2" w:space="0" w:color="auto"/>
              <w:right w:val="nil"/>
            </w:tcBorders>
            <w:shd w:val="clear" w:color="auto" w:fill="auto"/>
            <w:noWrap/>
            <w:vAlign w:val="center"/>
          </w:tcPr>
          <w:p w14:paraId="435A9EAD" w14:textId="685BDB18" w:rsidR="000A296C" w:rsidRPr="007F59FE" w:rsidRDefault="000A296C" w:rsidP="007F59FE">
            <w:pPr>
              <w:pStyle w:val="cuatexto"/>
              <w:jc w:val="right"/>
            </w:pPr>
            <w:r w:rsidRPr="007F59FE">
              <w:t>69.19</w:t>
            </w:r>
            <w:r w:rsidR="00C93C06" w:rsidRPr="007F59FE">
              <w:t>8</w:t>
            </w:r>
          </w:p>
        </w:tc>
        <w:tc>
          <w:tcPr>
            <w:tcW w:w="2623" w:type="dxa"/>
            <w:tcBorders>
              <w:top w:val="single" w:sz="4" w:space="0" w:color="auto"/>
              <w:left w:val="nil"/>
              <w:bottom w:val="single" w:sz="2" w:space="0" w:color="auto"/>
              <w:right w:val="nil"/>
            </w:tcBorders>
            <w:vAlign w:val="center"/>
          </w:tcPr>
          <w:p w14:paraId="06862F8A" w14:textId="77777777" w:rsidR="000A296C" w:rsidRPr="007F59FE" w:rsidRDefault="000A296C" w:rsidP="007F59FE">
            <w:pPr>
              <w:pStyle w:val="cuatexto"/>
              <w:jc w:val="right"/>
            </w:pPr>
            <w:r w:rsidRPr="007F59FE">
              <w:t>2008</w:t>
            </w:r>
          </w:p>
        </w:tc>
      </w:tr>
      <w:tr w:rsidR="007F59FE" w:rsidRPr="0086002D" w14:paraId="05318692" w14:textId="77777777" w:rsidTr="00A60971">
        <w:trPr>
          <w:trHeight w:val="198"/>
        </w:trPr>
        <w:tc>
          <w:tcPr>
            <w:tcW w:w="3544" w:type="dxa"/>
            <w:tcBorders>
              <w:top w:val="single" w:sz="2" w:space="0" w:color="auto"/>
              <w:left w:val="nil"/>
              <w:bottom w:val="single" w:sz="2" w:space="0" w:color="auto"/>
              <w:right w:val="nil"/>
            </w:tcBorders>
            <w:shd w:val="clear" w:color="auto" w:fill="auto"/>
            <w:noWrap/>
            <w:vAlign w:val="center"/>
          </w:tcPr>
          <w:p w14:paraId="53165900" w14:textId="77777777" w:rsidR="007F59FE" w:rsidRPr="007F59FE" w:rsidRDefault="007F59FE" w:rsidP="007F59FE">
            <w:pPr>
              <w:pStyle w:val="cuatexto"/>
            </w:pPr>
            <w:r w:rsidRPr="007F59FE">
              <w:t>Tasa de basuras</w:t>
            </w:r>
          </w:p>
        </w:tc>
        <w:tc>
          <w:tcPr>
            <w:tcW w:w="2622" w:type="dxa"/>
            <w:tcBorders>
              <w:top w:val="single" w:sz="2" w:space="0" w:color="auto"/>
              <w:left w:val="nil"/>
              <w:bottom w:val="single" w:sz="2" w:space="0" w:color="auto"/>
              <w:right w:val="nil"/>
            </w:tcBorders>
            <w:shd w:val="clear" w:color="auto" w:fill="auto"/>
            <w:noWrap/>
            <w:vAlign w:val="center"/>
          </w:tcPr>
          <w:p w14:paraId="1B612553" w14:textId="77777777" w:rsidR="007F59FE" w:rsidRPr="007F59FE" w:rsidRDefault="007F59FE" w:rsidP="007F59FE">
            <w:pPr>
              <w:pStyle w:val="cuatexto"/>
              <w:jc w:val="right"/>
            </w:pPr>
            <w:r w:rsidRPr="007F59FE">
              <w:t>123.014</w:t>
            </w:r>
          </w:p>
        </w:tc>
        <w:tc>
          <w:tcPr>
            <w:tcW w:w="2623" w:type="dxa"/>
            <w:tcBorders>
              <w:top w:val="single" w:sz="2" w:space="0" w:color="auto"/>
              <w:left w:val="nil"/>
              <w:bottom w:val="single" w:sz="2" w:space="0" w:color="auto"/>
              <w:right w:val="nil"/>
            </w:tcBorders>
            <w:vAlign w:val="center"/>
          </w:tcPr>
          <w:p w14:paraId="78E1B033" w14:textId="77777777" w:rsidR="007F59FE" w:rsidRPr="007F59FE" w:rsidRDefault="007F59FE" w:rsidP="007F59FE">
            <w:pPr>
              <w:pStyle w:val="cuatexto"/>
              <w:jc w:val="right"/>
            </w:pPr>
            <w:r w:rsidRPr="007F59FE">
              <w:t>2003 a 2022</w:t>
            </w:r>
          </w:p>
        </w:tc>
      </w:tr>
      <w:tr w:rsidR="000A296C" w:rsidRPr="0086002D" w14:paraId="3F328263" w14:textId="77777777" w:rsidTr="00A60971">
        <w:trPr>
          <w:trHeight w:val="198"/>
        </w:trPr>
        <w:tc>
          <w:tcPr>
            <w:tcW w:w="3544" w:type="dxa"/>
            <w:tcBorders>
              <w:top w:val="single" w:sz="2" w:space="0" w:color="auto"/>
              <w:left w:val="nil"/>
              <w:bottom w:val="single" w:sz="4" w:space="0" w:color="auto"/>
              <w:right w:val="nil"/>
            </w:tcBorders>
            <w:shd w:val="clear" w:color="auto" w:fill="auto"/>
            <w:noWrap/>
            <w:vAlign w:val="center"/>
          </w:tcPr>
          <w:p w14:paraId="29EF4AE8" w14:textId="77777777" w:rsidR="000A296C" w:rsidRPr="007F59FE" w:rsidRDefault="000A296C" w:rsidP="007F59FE">
            <w:pPr>
              <w:pStyle w:val="cuatexto"/>
            </w:pPr>
            <w:r w:rsidRPr="007F59FE">
              <w:t>Subvención consorcio: poda, residuos, etc</w:t>
            </w:r>
          </w:p>
        </w:tc>
        <w:tc>
          <w:tcPr>
            <w:tcW w:w="2622" w:type="dxa"/>
            <w:tcBorders>
              <w:top w:val="single" w:sz="2" w:space="0" w:color="auto"/>
              <w:left w:val="nil"/>
              <w:bottom w:val="single" w:sz="4" w:space="0" w:color="auto"/>
              <w:right w:val="nil"/>
            </w:tcBorders>
            <w:shd w:val="clear" w:color="auto" w:fill="auto"/>
            <w:noWrap/>
            <w:vAlign w:val="center"/>
          </w:tcPr>
          <w:p w14:paraId="5C1982BE" w14:textId="77777777" w:rsidR="000A296C" w:rsidRPr="007F59FE" w:rsidRDefault="000A296C" w:rsidP="007F59FE">
            <w:pPr>
              <w:pStyle w:val="cuatexto"/>
              <w:jc w:val="right"/>
            </w:pPr>
            <w:r w:rsidRPr="007F59FE">
              <w:t>32.709</w:t>
            </w:r>
          </w:p>
        </w:tc>
        <w:tc>
          <w:tcPr>
            <w:tcW w:w="2623" w:type="dxa"/>
            <w:tcBorders>
              <w:top w:val="single" w:sz="2" w:space="0" w:color="auto"/>
              <w:left w:val="nil"/>
              <w:bottom w:val="single" w:sz="4" w:space="0" w:color="auto"/>
              <w:right w:val="nil"/>
            </w:tcBorders>
            <w:vAlign w:val="center"/>
          </w:tcPr>
          <w:p w14:paraId="59B99268" w14:textId="77777777" w:rsidR="000A296C" w:rsidRPr="007F59FE" w:rsidRDefault="000A296C" w:rsidP="007F59FE">
            <w:pPr>
              <w:pStyle w:val="cuatexto"/>
              <w:jc w:val="right"/>
            </w:pPr>
            <w:r w:rsidRPr="007F59FE">
              <w:t>2020</w:t>
            </w:r>
          </w:p>
        </w:tc>
      </w:tr>
      <w:tr w:rsidR="000A296C" w:rsidRPr="007F59FE" w14:paraId="7A5B00C0" w14:textId="77777777" w:rsidTr="00A60971">
        <w:trPr>
          <w:trHeight w:val="255"/>
        </w:trPr>
        <w:tc>
          <w:tcPr>
            <w:tcW w:w="3544" w:type="dxa"/>
            <w:tcBorders>
              <w:top w:val="single" w:sz="4" w:space="0" w:color="auto"/>
              <w:left w:val="nil"/>
              <w:bottom w:val="single" w:sz="4" w:space="0" w:color="auto"/>
              <w:right w:val="nil"/>
            </w:tcBorders>
            <w:shd w:val="clear" w:color="auto" w:fill="F4B083" w:themeFill="accent2" w:themeFillTint="99"/>
            <w:noWrap/>
            <w:vAlign w:val="center"/>
          </w:tcPr>
          <w:p w14:paraId="0FC0EB4E" w14:textId="77777777" w:rsidR="000A296C" w:rsidRPr="007F59FE" w:rsidRDefault="000A296C" w:rsidP="007F59FE">
            <w:pPr>
              <w:pStyle w:val="cuadroCabe"/>
            </w:pPr>
            <w:r w:rsidRPr="007F59FE">
              <w:t>Total</w:t>
            </w:r>
          </w:p>
        </w:tc>
        <w:tc>
          <w:tcPr>
            <w:tcW w:w="2622" w:type="dxa"/>
            <w:tcBorders>
              <w:top w:val="single" w:sz="4" w:space="0" w:color="auto"/>
              <w:left w:val="nil"/>
              <w:bottom w:val="single" w:sz="4" w:space="0" w:color="auto"/>
              <w:right w:val="nil"/>
            </w:tcBorders>
            <w:shd w:val="clear" w:color="auto" w:fill="F4B083" w:themeFill="accent2" w:themeFillTint="99"/>
            <w:noWrap/>
            <w:vAlign w:val="center"/>
          </w:tcPr>
          <w:p w14:paraId="770FD2EB" w14:textId="77777777" w:rsidR="000A296C" w:rsidRPr="007F59FE" w:rsidRDefault="000A296C" w:rsidP="007F59FE">
            <w:pPr>
              <w:pStyle w:val="cuadroCabe"/>
              <w:jc w:val="right"/>
            </w:pPr>
            <w:r w:rsidRPr="007F59FE">
              <w:fldChar w:fldCharType="begin"/>
            </w:r>
            <w:r w:rsidRPr="007F59FE">
              <w:instrText xml:space="preserve"> =SUM(ABOVE) </w:instrText>
            </w:r>
            <w:r w:rsidRPr="007F59FE">
              <w:fldChar w:fldCharType="separate"/>
            </w:r>
            <w:r w:rsidRPr="007F59FE">
              <w:t>224.921</w:t>
            </w:r>
            <w:r w:rsidRPr="007F59FE">
              <w:fldChar w:fldCharType="end"/>
            </w:r>
          </w:p>
        </w:tc>
        <w:tc>
          <w:tcPr>
            <w:tcW w:w="2623" w:type="dxa"/>
            <w:tcBorders>
              <w:top w:val="single" w:sz="4" w:space="0" w:color="auto"/>
              <w:left w:val="nil"/>
              <w:bottom w:val="single" w:sz="4" w:space="0" w:color="auto"/>
              <w:right w:val="nil"/>
            </w:tcBorders>
            <w:shd w:val="clear" w:color="auto" w:fill="F4B083" w:themeFill="accent2" w:themeFillTint="99"/>
            <w:vAlign w:val="center"/>
          </w:tcPr>
          <w:p w14:paraId="351B7B6E" w14:textId="77777777" w:rsidR="000A296C" w:rsidRPr="007F59FE" w:rsidRDefault="000A296C" w:rsidP="007F59FE">
            <w:pPr>
              <w:pStyle w:val="cuadroCabe"/>
              <w:jc w:val="right"/>
            </w:pPr>
          </w:p>
        </w:tc>
      </w:tr>
    </w:tbl>
    <w:p w14:paraId="0CD2880E" w14:textId="43E542D4" w:rsidR="00A15072" w:rsidRPr="005625D7" w:rsidRDefault="00A15072" w:rsidP="00294534">
      <w:pPr>
        <w:pStyle w:val="texto"/>
        <w:numPr>
          <w:ilvl w:val="0"/>
          <w:numId w:val="18"/>
        </w:numPr>
        <w:tabs>
          <w:tab w:val="num" w:pos="567"/>
          <w:tab w:val="num" w:pos="2770"/>
        </w:tabs>
        <w:spacing w:before="240"/>
        <w:ind w:left="0" w:firstLine="289"/>
      </w:pPr>
      <w:r w:rsidRPr="009341EB">
        <w:rPr>
          <w:lang w:val="es-ES"/>
        </w:rPr>
        <w:t xml:space="preserve">De este saldo total, </w:t>
      </w:r>
      <w:r w:rsidRPr="009341EB">
        <w:rPr>
          <w:szCs w:val="26"/>
        </w:rPr>
        <w:t>103.442 euros era incorrecto, tal como se detalla en el</w:t>
      </w:r>
      <w:r w:rsidRPr="005625D7">
        <w:rPr>
          <w:lang w:val="es-ES"/>
        </w:rPr>
        <w:t xml:space="preserve"> apéndice 4 de información adicional sobre salvedades de este informe.</w:t>
      </w:r>
    </w:p>
    <w:p w14:paraId="78C86BFE" w14:textId="1A8920D1" w:rsidR="000507B0" w:rsidRDefault="00A15072" w:rsidP="00294534">
      <w:pPr>
        <w:pStyle w:val="texto"/>
        <w:numPr>
          <w:ilvl w:val="0"/>
          <w:numId w:val="18"/>
        </w:numPr>
        <w:tabs>
          <w:tab w:val="num" w:pos="567"/>
          <w:tab w:val="num" w:pos="2770"/>
        </w:tabs>
        <w:ind w:left="0" w:firstLine="290"/>
      </w:pPr>
      <w:r>
        <w:t xml:space="preserve">Existe </w:t>
      </w:r>
      <w:r w:rsidR="000507B0">
        <w:t xml:space="preserve">una </w:t>
      </w:r>
      <w:r w:rsidR="000507B0" w:rsidRPr="00294534">
        <w:rPr>
          <w:lang w:val="es-ES"/>
        </w:rPr>
        <w:t>diferencia</w:t>
      </w:r>
      <w:r w:rsidR="000507B0">
        <w:t xml:space="preserve"> de 21.694 euros entre la tasa de basura pendiente de cobro de ejercicios cerrados contabilizada y la existente en la a</w:t>
      </w:r>
      <w:r w:rsidR="000507B0" w:rsidRPr="000D6994">
        <w:t>gencia ejecutiva</w:t>
      </w:r>
      <w:r w:rsidR="000507B0">
        <w:t>. Esta diferencia se debe principalmente a 2</w:t>
      </w:r>
      <w:r w:rsidR="000507B0" w:rsidRPr="000D6994">
        <w:t xml:space="preserve">0.931 </w:t>
      </w:r>
      <w:r w:rsidR="000507B0">
        <w:t xml:space="preserve">euros del </w:t>
      </w:r>
      <w:r w:rsidR="000507B0" w:rsidRPr="000D6994">
        <w:t>año 2022 no traspasados a la agencia</w:t>
      </w:r>
      <w:r w:rsidR="000507B0">
        <w:t xml:space="preserve"> </w:t>
      </w:r>
      <w:r w:rsidR="002051AE">
        <w:t>ejecutiva</w:t>
      </w:r>
      <w:r w:rsidR="000507B0">
        <w:t>.</w:t>
      </w:r>
    </w:p>
    <w:p w14:paraId="6D91AA51" w14:textId="6FE2DFBF" w:rsidR="00935E3F" w:rsidRPr="005625D7" w:rsidRDefault="00264713" w:rsidP="00294534">
      <w:pPr>
        <w:pStyle w:val="texto"/>
        <w:numPr>
          <w:ilvl w:val="0"/>
          <w:numId w:val="18"/>
        </w:numPr>
        <w:tabs>
          <w:tab w:val="num" w:pos="567"/>
          <w:tab w:val="num" w:pos="2770"/>
        </w:tabs>
        <w:ind w:left="0" w:firstLine="290"/>
      </w:pPr>
      <w:r w:rsidRPr="009341EB">
        <w:lastRenderedPageBreak/>
        <w:t xml:space="preserve">La </w:t>
      </w:r>
      <w:r w:rsidRPr="00294534">
        <w:rPr>
          <w:lang w:val="es-ES"/>
        </w:rPr>
        <w:t>recaudación</w:t>
      </w:r>
      <w:r w:rsidRPr="009341EB">
        <w:t xml:space="preserve"> de la deuda en periodo ejecutivo no se inicia al finalizar el</w:t>
      </w:r>
      <w:r>
        <w:t xml:space="preserve"> plazo legalmente establecido </w:t>
      </w:r>
      <w:r w:rsidR="00697272">
        <w:t>para su cobro en periodo voluntario</w:t>
      </w:r>
      <w:r w:rsidR="00935E3F">
        <w:t xml:space="preserve">, dado que las deudas no se envían a la agencia ejecutiva una vez </w:t>
      </w:r>
      <w:r w:rsidR="00935E3F" w:rsidRPr="009341EB">
        <w:t xml:space="preserve">finalizado dicho periodo. </w:t>
      </w:r>
      <w:r w:rsidR="00935E3F" w:rsidRPr="005625D7">
        <w:t>Así, a 30 de septiembre de 2024 no se había enviado la deuda no cobrada correspondiente a los años 2022 y 2023.</w:t>
      </w:r>
    </w:p>
    <w:p w14:paraId="66898074" w14:textId="382AB5BE" w:rsidR="00310E8C" w:rsidRPr="00310E8C" w:rsidRDefault="00310E8C" w:rsidP="00935E3F">
      <w:pPr>
        <w:pStyle w:val="texto"/>
        <w:tabs>
          <w:tab w:val="left" w:pos="142"/>
          <w:tab w:val="num" w:pos="1637"/>
          <w:tab w:val="num" w:pos="2770"/>
        </w:tabs>
      </w:pPr>
      <w:r w:rsidRPr="06D4BFB9">
        <w:rPr>
          <w:lang w:val="es-ES"/>
        </w:rPr>
        <w:t xml:space="preserve">Este considerable retraso en el inicio del periodo ejecutivo de cobro, conlleva que no se cobren los recargos correspondientes a dicho periodo si las deudas han sido abonadas </w:t>
      </w:r>
      <w:r w:rsidR="00AB1703" w:rsidRPr="06D4BFB9">
        <w:rPr>
          <w:lang w:val="es-ES"/>
        </w:rPr>
        <w:t xml:space="preserve">una vez transcurrido el periodo voluntario </w:t>
      </w:r>
      <w:r w:rsidRPr="06D4BFB9">
        <w:rPr>
          <w:lang w:val="es-ES"/>
        </w:rPr>
        <w:t xml:space="preserve">y </w:t>
      </w:r>
      <w:r w:rsidR="00AB1703" w:rsidRPr="06D4BFB9">
        <w:rPr>
          <w:lang w:val="es-ES"/>
        </w:rPr>
        <w:t>no</w:t>
      </w:r>
      <w:r w:rsidR="00B32E85" w:rsidRPr="06D4BFB9">
        <w:rPr>
          <w:lang w:val="es-ES"/>
        </w:rPr>
        <w:t xml:space="preserve"> habían sido</w:t>
      </w:r>
      <w:r w:rsidR="00AB1703" w:rsidRPr="06D4BFB9">
        <w:rPr>
          <w:lang w:val="es-ES"/>
        </w:rPr>
        <w:t xml:space="preserve"> enviadas a la agencia ejecutiva. Los recargos del periodo ejecutivo son</w:t>
      </w:r>
      <w:r w:rsidRPr="06D4BFB9">
        <w:rPr>
          <w:lang w:val="es-ES"/>
        </w:rPr>
        <w:t xml:space="preserve"> los siguientes:</w:t>
      </w:r>
    </w:p>
    <w:p w14:paraId="4F148CCA" w14:textId="4D1CD189" w:rsidR="00310E8C" w:rsidRPr="00310E8C" w:rsidRDefault="00310E8C" w:rsidP="00A60971">
      <w:pPr>
        <w:pStyle w:val="texto"/>
        <w:tabs>
          <w:tab w:val="left" w:pos="426"/>
        </w:tabs>
      </w:pPr>
      <w:r w:rsidRPr="00310E8C">
        <w:t>-</w:t>
      </w:r>
      <w:r w:rsidR="00A60971">
        <w:tab/>
      </w:r>
      <w:r w:rsidRPr="00A60971">
        <w:rPr>
          <w:lang w:val="es-ES"/>
        </w:rPr>
        <w:t>Recargo</w:t>
      </w:r>
      <w:r w:rsidRPr="00310E8C">
        <w:t xml:space="preserve"> ejecutivo del cinco por ciento, sin intereses de demora, si la deuda se paga antes de recibir la providencia de apremio.</w:t>
      </w:r>
    </w:p>
    <w:p w14:paraId="250716C1" w14:textId="46C5D4CE" w:rsidR="00310E8C" w:rsidRPr="00310E8C" w:rsidRDefault="00310E8C" w:rsidP="00A60971">
      <w:pPr>
        <w:pStyle w:val="texto"/>
        <w:tabs>
          <w:tab w:val="left" w:pos="426"/>
        </w:tabs>
      </w:pPr>
      <w:r w:rsidRPr="00310E8C">
        <w:t>-</w:t>
      </w:r>
      <w:r w:rsidR="00A60971">
        <w:tab/>
      </w:r>
      <w:r w:rsidRPr="00A60971">
        <w:rPr>
          <w:lang w:val="es-ES"/>
        </w:rPr>
        <w:t>Recargo</w:t>
      </w:r>
      <w:r w:rsidRPr="00310E8C">
        <w:t xml:space="preserve"> reducido de apremio del 10 por ciento, sin intereses de demora, cuando la deuda y el propio recargo se paga dentro del plazo de un mes desde la notificación de la providencia de apremio.</w:t>
      </w:r>
    </w:p>
    <w:p w14:paraId="4A5B768C" w14:textId="64BF4BD8" w:rsidR="00310E8C" w:rsidRPr="00310E8C" w:rsidRDefault="00310E8C" w:rsidP="00A60971">
      <w:pPr>
        <w:pStyle w:val="texto"/>
        <w:tabs>
          <w:tab w:val="left" w:pos="426"/>
        </w:tabs>
      </w:pPr>
      <w:r w:rsidRPr="00310E8C">
        <w:t>-</w:t>
      </w:r>
      <w:r w:rsidR="00A60971">
        <w:tab/>
      </w:r>
      <w:r w:rsidRPr="00A60971">
        <w:rPr>
          <w:lang w:val="es-ES"/>
        </w:rPr>
        <w:t>Recargo</w:t>
      </w:r>
      <w:r w:rsidRPr="00310E8C">
        <w:t xml:space="preserve"> ordinario de apremio del 20 por ciento más intereses de demora cuando la deuda se paga transcurrido un mes desde la notificación de la providencia de apremio.</w:t>
      </w:r>
    </w:p>
    <w:p w14:paraId="1CCF7D9C" w14:textId="150DF66B" w:rsidR="00310E8C" w:rsidRPr="00310E8C" w:rsidRDefault="00310E8C" w:rsidP="00A60971">
      <w:pPr>
        <w:pStyle w:val="texto"/>
        <w:tabs>
          <w:tab w:val="left" w:pos="142"/>
          <w:tab w:val="num" w:pos="1637"/>
          <w:tab w:val="num" w:pos="2770"/>
        </w:tabs>
      </w:pPr>
      <w:r w:rsidRPr="00310E8C">
        <w:t xml:space="preserve">En ningún caso la </w:t>
      </w:r>
      <w:r w:rsidR="003C06D0">
        <w:t>Mancomunidad</w:t>
      </w:r>
      <w:r w:rsidRPr="00310E8C">
        <w:t xml:space="preserve"> cobra el recargo ejecutivo del cinco por ciento ni intereses de demora.</w:t>
      </w:r>
    </w:p>
    <w:p w14:paraId="7AC81185" w14:textId="0780996F" w:rsidR="00BE582F" w:rsidRDefault="00310E8C" w:rsidP="00A60971">
      <w:pPr>
        <w:pStyle w:val="texto"/>
        <w:tabs>
          <w:tab w:val="left" w:pos="142"/>
        </w:tabs>
      </w:pPr>
      <w:r w:rsidRPr="2C569507">
        <w:rPr>
          <w:lang w:val="es-ES"/>
        </w:rPr>
        <w:t>L</w:t>
      </w:r>
      <w:r w:rsidR="000E7128" w:rsidRPr="2C569507">
        <w:rPr>
          <w:lang w:val="es-ES"/>
        </w:rPr>
        <w:t>a gestión de la recaudación de los ingresos en periodo ejecutivo está contratada con Geserlocal.</w:t>
      </w:r>
      <w:r w:rsidR="00B32E85" w:rsidRPr="2C569507">
        <w:rPr>
          <w:lang w:val="es-ES"/>
        </w:rPr>
        <w:t xml:space="preserve"> No se ha tramitado como un encargo </w:t>
      </w:r>
      <w:r w:rsidR="007F6B15" w:rsidRPr="2C569507">
        <w:rPr>
          <w:lang w:val="es-ES"/>
        </w:rPr>
        <w:t>ni expediente de contratación de dicho servicio</w:t>
      </w:r>
      <w:r w:rsidR="00B32E85" w:rsidRPr="2C569507">
        <w:rPr>
          <w:lang w:val="es-ES"/>
        </w:rPr>
        <w:t>.</w:t>
      </w:r>
    </w:p>
    <w:p w14:paraId="6F7D07A5" w14:textId="77777777" w:rsidR="002051AE" w:rsidRPr="0088383A" w:rsidRDefault="002051AE" w:rsidP="002051AE">
      <w:pPr>
        <w:pStyle w:val="texto"/>
        <w:tabs>
          <w:tab w:val="left" w:pos="142"/>
        </w:tabs>
        <w:spacing w:before="120"/>
        <w:rPr>
          <w:i/>
          <w:szCs w:val="26"/>
        </w:rPr>
      </w:pPr>
      <w:r w:rsidRPr="0088383A">
        <w:rPr>
          <w:i/>
          <w:szCs w:val="26"/>
        </w:rPr>
        <w:t>Se recomienda:</w:t>
      </w:r>
    </w:p>
    <w:p w14:paraId="2D4DFF9A" w14:textId="55BFD421" w:rsidR="002051AE" w:rsidRDefault="002051AE" w:rsidP="00294534">
      <w:pPr>
        <w:pStyle w:val="texto"/>
        <w:numPr>
          <w:ilvl w:val="0"/>
          <w:numId w:val="18"/>
        </w:numPr>
        <w:tabs>
          <w:tab w:val="num" w:pos="567"/>
          <w:tab w:val="num" w:pos="2770"/>
        </w:tabs>
        <w:ind w:left="0" w:firstLine="290"/>
        <w:rPr>
          <w:i/>
        </w:rPr>
      </w:pPr>
      <w:r w:rsidRPr="00294534">
        <w:rPr>
          <w:i/>
          <w:lang w:val="es-ES"/>
        </w:rPr>
        <w:t>Traspasar</w:t>
      </w:r>
      <w:r>
        <w:rPr>
          <w:i/>
        </w:rPr>
        <w:t xml:space="preserve"> a la agencia ejecutiva la deuda no cobrada</w:t>
      </w:r>
      <w:r w:rsidR="006F4A04">
        <w:rPr>
          <w:i/>
        </w:rPr>
        <w:t>,</w:t>
      </w:r>
      <w:r>
        <w:rPr>
          <w:i/>
        </w:rPr>
        <w:t xml:space="preserve"> </w:t>
      </w:r>
      <w:r w:rsidR="0013096B">
        <w:rPr>
          <w:i/>
        </w:rPr>
        <w:t xml:space="preserve">una vez vencido el plazo </w:t>
      </w:r>
      <w:r w:rsidR="00F063DE">
        <w:rPr>
          <w:i/>
        </w:rPr>
        <w:t>de cobro e</w:t>
      </w:r>
      <w:r>
        <w:rPr>
          <w:i/>
        </w:rPr>
        <w:t xml:space="preserve">n periodo </w:t>
      </w:r>
      <w:r w:rsidR="00F063DE">
        <w:rPr>
          <w:i/>
        </w:rPr>
        <w:t>voluntario</w:t>
      </w:r>
      <w:r w:rsidR="006F4A04">
        <w:rPr>
          <w:i/>
        </w:rPr>
        <w:t>, para su recaudación en periodo</w:t>
      </w:r>
      <w:r w:rsidR="00F063DE">
        <w:rPr>
          <w:i/>
        </w:rPr>
        <w:t xml:space="preserve"> </w:t>
      </w:r>
      <w:r>
        <w:rPr>
          <w:i/>
        </w:rPr>
        <w:t xml:space="preserve">ejecutivo por </w:t>
      </w:r>
      <w:r w:rsidR="00F063DE">
        <w:rPr>
          <w:i/>
        </w:rPr>
        <w:t>el procedimiento de apremio</w:t>
      </w:r>
      <w:r>
        <w:rPr>
          <w:i/>
        </w:rPr>
        <w:t>.</w:t>
      </w:r>
    </w:p>
    <w:p w14:paraId="33EAD146" w14:textId="375C1344" w:rsidR="00B83C81" w:rsidRDefault="00B83C81" w:rsidP="00294534">
      <w:pPr>
        <w:pStyle w:val="texto"/>
        <w:numPr>
          <w:ilvl w:val="0"/>
          <w:numId w:val="18"/>
        </w:numPr>
        <w:tabs>
          <w:tab w:val="num" w:pos="567"/>
          <w:tab w:val="num" w:pos="2770"/>
        </w:tabs>
        <w:ind w:left="0" w:firstLine="290"/>
        <w:rPr>
          <w:i/>
          <w:iCs/>
          <w:lang w:val="es-ES"/>
        </w:rPr>
      </w:pPr>
      <w:r w:rsidRPr="00294534">
        <w:rPr>
          <w:i/>
          <w:lang w:val="es-ES"/>
        </w:rPr>
        <w:t>Cobrar</w:t>
      </w:r>
      <w:r w:rsidRPr="06D4BFB9">
        <w:rPr>
          <w:i/>
          <w:iCs/>
          <w:lang w:val="es-ES"/>
        </w:rPr>
        <w:t xml:space="preserve"> en el periodo ejecutivo de recaudación los recargos propios de dicho </w:t>
      </w:r>
      <w:r w:rsidR="0019332C" w:rsidRPr="06D4BFB9">
        <w:rPr>
          <w:i/>
          <w:iCs/>
          <w:lang w:val="es-ES"/>
        </w:rPr>
        <w:t>período,</w:t>
      </w:r>
      <w:r w:rsidRPr="06D4BFB9">
        <w:rPr>
          <w:i/>
          <w:iCs/>
          <w:lang w:val="es-ES"/>
        </w:rPr>
        <w:t xml:space="preserve"> así como intereses de demora.</w:t>
      </w:r>
    </w:p>
    <w:p w14:paraId="12C15C55" w14:textId="7F6CB45E" w:rsidR="003F629F" w:rsidRDefault="002051AE" w:rsidP="00294534">
      <w:pPr>
        <w:pStyle w:val="texto"/>
        <w:numPr>
          <w:ilvl w:val="0"/>
          <w:numId w:val="18"/>
        </w:numPr>
        <w:tabs>
          <w:tab w:val="num" w:pos="567"/>
          <w:tab w:val="num" w:pos="2770"/>
        </w:tabs>
        <w:ind w:left="0" w:firstLine="290"/>
        <w:rPr>
          <w:i/>
        </w:rPr>
      </w:pPr>
      <w:r w:rsidRPr="00294534">
        <w:rPr>
          <w:i/>
          <w:lang w:val="es-ES"/>
        </w:rPr>
        <w:t>Corregir</w:t>
      </w:r>
      <w:r>
        <w:rPr>
          <w:i/>
        </w:rPr>
        <w:t xml:space="preserve"> los saldos de deudores incorrectamente contabilizados.</w:t>
      </w:r>
    </w:p>
    <w:p w14:paraId="08507E67" w14:textId="77777777" w:rsidR="003F629F" w:rsidRDefault="003F629F">
      <w:pPr>
        <w:spacing w:after="0"/>
        <w:ind w:firstLine="0"/>
        <w:jc w:val="left"/>
        <w:rPr>
          <w:i/>
          <w:spacing w:val="6"/>
          <w:sz w:val="26"/>
          <w:szCs w:val="24"/>
        </w:rPr>
      </w:pPr>
      <w:r>
        <w:rPr>
          <w:i/>
        </w:rPr>
        <w:br w:type="page"/>
      </w:r>
    </w:p>
    <w:p w14:paraId="1A30D553" w14:textId="0E9DCA9E" w:rsidR="000A296C" w:rsidRPr="002476AB" w:rsidRDefault="000A296C" w:rsidP="003F629F">
      <w:pPr>
        <w:pStyle w:val="atitulo3"/>
        <w:spacing w:before="240"/>
      </w:pPr>
      <w:r w:rsidRPr="002476AB">
        <w:lastRenderedPageBreak/>
        <w:t>Deudores</w:t>
      </w:r>
      <w:r>
        <w:t xml:space="preserve"> no presupuestarios</w:t>
      </w:r>
    </w:p>
    <w:p w14:paraId="5E749E8D" w14:textId="4282B18E" w:rsidR="000A296C" w:rsidRDefault="00997F75" w:rsidP="00294534">
      <w:pPr>
        <w:pStyle w:val="texto"/>
        <w:tabs>
          <w:tab w:val="left" w:pos="142"/>
        </w:tabs>
        <w:spacing w:after="240"/>
        <w:rPr>
          <w:szCs w:val="26"/>
        </w:rPr>
      </w:pPr>
      <w:r>
        <w:rPr>
          <w:szCs w:val="26"/>
        </w:rPr>
        <w:t xml:space="preserve">El saldo a 31 de diciembre de 2023 de </w:t>
      </w:r>
      <w:r w:rsidR="000A296C">
        <w:rPr>
          <w:szCs w:val="26"/>
        </w:rPr>
        <w:t xml:space="preserve">deudores no presupuestarios </w:t>
      </w:r>
      <w:r>
        <w:rPr>
          <w:szCs w:val="26"/>
        </w:rPr>
        <w:t>asciende a 3.200 euros. En la revisión realizada hemos comprobado que</w:t>
      </w:r>
      <w:r w:rsidR="002051AE">
        <w:rPr>
          <w:szCs w:val="26"/>
        </w:rPr>
        <w:t>,</w:t>
      </w:r>
      <w:r>
        <w:rPr>
          <w:szCs w:val="26"/>
        </w:rPr>
        <w:t xml:space="preserve"> aunque el saldo no varía, está incorrectamente imputado en los conceptos correspondientes, tal como se refleja en el siguiente cuadro:</w:t>
      </w:r>
    </w:p>
    <w:tbl>
      <w:tblPr>
        <w:tblW w:w="8789" w:type="dxa"/>
        <w:tblCellMar>
          <w:left w:w="70" w:type="dxa"/>
          <w:right w:w="70" w:type="dxa"/>
        </w:tblCellMar>
        <w:tblLook w:val="04A0" w:firstRow="1" w:lastRow="0" w:firstColumn="1" w:lastColumn="0" w:noHBand="0" w:noVBand="1"/>
      </w:tblPr>
      <w:tblGrid>
        <w:gridCol w:w="2552"/>
        <w:gridCol w:w="2977"/>
        <w:gridCol w:w="3260"/>
      </w:tblGrid>
      <w:tr w:rsidR="001877E2" w:rsidRPr="000A296C" w14:paraId="07E900E8" w14:textId="705E12AF" w:rsidTr="006C6BF0">
        <w:trPr>
          <w:trHeight w:val="255"/>
        </w:trPr>
        <w:tc>
          <w:tcPr>
            <w:tcW w:w="2552" w:type="dxa"/>
            <w:tcBorders>
              <w:top w:val="single" w:sz="4" w:space="0" w:color="auto"/>
              <w:left w:val="nil"/>
              <w:bottom w:val="single" w:sz="4" w:space="0" w:color="auto"/>
              <w:right w:val="nil"/>
            </w:tcBorders>
            <w:shd w:val="clear" w:color="auto" w:fill="F4B083" w:themeFill="accent2" w:themeFillTint="99"/>
            <w:noWrap/>
            <w:vAlign w:val="center"/>
          </w:tcPr>
          <w:p w14:paraId="3AF3796A" w14:textId="77777777" w:rsidR="001877E2" w:rsidRPr="000A296C" w:rsidRDefault="001877E2" w:rsidP="00003992">
            <w:pPr>
              <w:pStyle w:val="cuadroCabe"/>
              <w:rPr>
                <w:lang w:val="es-ES" w:eastAsia="es-ES"/>
              </w:rPr>
            </w:pPr>
            <w:r w:rsidRPr="000A296C">
              <w:rPr>
                <w:lang w:val="es-ES" w:eastAsia="es-ES"/>
              </w:rPr>
              <w:t>Concepto</w:t>
            </w:r>
          </w:p>
        </w:tc>
        <w:tc>
          <w:tcPr>
            <w:tcW w:w="2977" w:type="dxa"/>
            <w:tcBorders>
              <w:top w:val="single" w:sz="4" w:space="0" w:color="auto"/>
              <w:left w:val="nil"/>
              <w:bottom w:val="single" w:sz="4" w:space="0" w:color="auto"/>
              <w:right w:val="nil"/>
            </w:tcBorders>
            <w:shd w:val="clear" w:color="auto" w:fill="F4B083" w:themeFill="accent2" w:themeFillTint="99"/>
            <w:noWrap/>
            <w:vAlign w:val="center"/>
          </w:tcPr>
          <w:p w14:paraId="2985AA75" w14:textId="410CE780" w:rsidR="001877E2" w:rsidRPr="000A296C" w:rsidRDefault="001877E2" w:rsidP="006C6BF0">
            <w:pPr>
              <w:pStyle w:val="cuadroCabe"/>
              <w:rPr>
                <w:lang w:val="es-ES" w:eastAsia="es-ES"/>
              </w:rPr>
            </w:pPr>
            <w:r w:rsidRPr="000A296C">
              <w:rPr>
                <w:lang w:val="es-ES" w:eastAsia="es-ES"/>
              </w:rPr>
              <w:t>Importe</w:t>
            </w:r>
            <w:r w:rsidR="006C6BF0">
              <w:rPr>
                <w:lang w:val="es-ES" w:eastAsia="es-ES"/>
              </w:rPr>
              <w:t xml:space="preserve"> </w:t>
            </w:r>
            <w:r>
              <w:rPr>
                <w:lang w:val="es-ES" w:eastAsia="es-ES"/>
              </w:rPr>
              <w:t xml:space="preserve">contabilizado </w:t>
            </w:r>
            <w:r w:rsidRPr="000A296C">
              <w:rPr>
                <w:lang w:val="es-ES" w:eastAsia="es-ES"/>
              </w:rPr>
              <w:t>a</w:t>
            </w:r>
            <w:r w:rsidR="006C6BF0">
              <w:rPr>
                <w:lang w:val="es-ES" w:eastAsia="es-ES"/>
              </w:rPr>
              <w:t xml:space="preserve"> </w:t>
            </w:r>
            <w:r w:rsidRPr="000A296C">
              <w:rPr>
                <w:lang w:val="es-ES" w:eastAsia="es-ES"/>
              </w:rPr>
              <w:t>31/12/23</w:t>
            </w:r>
          </w:p>
        </w:tc>
        <w:tc>
          <w:tcPr>
            <w:tcW w:w="3260" w:type="dxa"/>
            <w:tcBorders>
              <w:top w:val="single" w:sz="4" w:space="0" w:color="auto"/>
              <w:left w:val="nil"/>
              <w:bottom w:val="single" w:sz="4" w:space="0" w:color="auto"/>
              <w:right w:val="nil"/>
            </w:tcBorders>
            <w:shd w:val="clear" w:color="auto" w:fill="F4B083" w:themeFill="accent2" w:themeFillTint="99"/>
          </w:tcPr>
          <w:p w14:paraId="63FFC1FA" w14:textId="5E3D4AC3" w:rsidR="001877E2" w:rsidRPr="000A296C" w:rsidRDefault="001877E2" w:rsidP="00003992">
            <w:pPr>
              <w:pStyle w:val="cuadroCabe"/>
              <w:jc w:val="right"/>
              <w:rPr>
                <w:lang w:val="es-ES" w:eastAsia="es-ES"/>
              </w:rPr>
            </w:pPr>
            <w:r>
              <w:rPr>
                <w:lang w:val="es-ES" w:eastAsia="es-ES"/>
              </w:rPr>
              <w:t>Importe según la revisión realizada</w:t>
            </w:r>
          </w:p>
        </w:tc>
      </w:tr>
      <w:tr w:rsidR="001877E2" w:rsidRPr="000A296C" w14:paraId="1EA7816A" w14:textId="65C17E24" w:rsidTr="006C6BF0">
        <w:trPr>
          <w:trHeight w:val="198"/>
        </w:trPr>
        <w:tc>
          <w:tcPr>
            <w:tcW w:w="2552" w:type="dxa"/>
            <w:tcBorders>
              <w:top w:val="single" w:sz="4" w:space="0" w:color="auto"/>
              <w:left w:val="nil"/>
              <w:bottom w:val="single" w:sz="2" w:space="0" w:color="auto"/>
              <w:right w:val="nil"/>
            </w:tcBorders>
            <w:shd w:val="clear" w:color="auto" w:fill="auto"/>
            <w:noWrap/>
            <w:vAlign w:val="center"/>
          </w:tcPr>
          <w:p w14:paraId="10D472D1" w14:textId="77777777" w:rsidR="001877E2" w:rsidRPr="000A296C" w:rsidRDefault="001877E2" w:rsidP="000A296C">
            <w:pPr>
              <w:spacing w:after="0"/>
              <w:ind w:firstLine="0"/>
              <w:rPr>
                <w:rFonts w:ascii="Arial Narrow" w:hAnsi="Arial Narrow" w:cs="Calibri"/>
                <w:lang w:val="es-ES" w:eastAsia="es-ES"/>
              </w:rPr>
            </w:pPr>
            <w:r w:rsidRPr="000A296C">
              <w:rPr>
                <w:rFonts w:ascii="Arial Narrow" w:hAnsi="Arial Narrow" w:cs="Calibri"/>
                <w:lang w:val="es-ES" w:eastAsia="es-ES"/>
              </w:rPr>
              <w:t>Fianzas constituidas</w:t>
            </w:r>
          </w:p>
        </w:tc>
        <w:tc>
          <w:tcPr>
            <w:tcW w:w="2977" w:type="dxa"/>
            <w:tcBorders>
              <w:top w:val="single" w:sz="4" w:space="0" w:color="auto"/>
              <w:left w:val="nil"/>
              <w:bottom w:val="single" w:sz="2" w:space="0" w:color="auto"/>
              <w:right w:val="nil"/>
            </w:tcBorders>
            <w:shd w:val="clear" w:color="auto" w:fill="auto"/>
            <w:noWrap/>
            <w:vAlign w:val="center"/>
          </w:tcPr>
          <w:p w14:paraId="414567AF" w14:textId="77777777" w:rsidR="001877E2" w:rsidRPr="000A296C" w:rsidRDefault="001877E2" w:rsidP="000A296C">
            <w:pPr>
              <w:spacing w:after="0"/>
              <w:ind w:firstLine="0"/>
              <w:jc w:val="right"/>
              <w:rPr>
                <w:rFonts w:ascii="Arial Narrow" w:hAnsi="Arial Narrow" w:cs="Calibri"/>
                <w:lang w:val="es-ES" w:eastAsia="es-ES"/>
              </w:rPr>
            </w:pPr>
            <w:r w:rsidRPr="000A296C">
              <w:rPr>
                <w:rFonts w:ascii="Arial Narrow" w:hAnsi="Arial Narrow" w:cs="Calibri"/>
                <w:lang w:val="es-ES" w:eastAsia="es-ES"/>
              </w:rPr>
              <w:t>1.074</w:t>
            </w:r>
          </w:p>
        </w:tc>
        <w:tc>
          <w:tcPr>
            <w:tcW w:w="3260" w:type="dxa"/>
            <w:tcBorders>
              <w:top w:val="single" w:sz="4" w:space="0" w:color="auto"/>
              <w:left w:val="nil"/>
              <w:bottom w:val="single" w:sz="2" w:space="0" w:color="auto"/>
              <w:right w:val="nil"/>
            </w:tcBorders>
          </w:tcPr>
          <w:p w14:paraId="4B11219D" w14:textId="05D7FE5B" w:rsidR="001877E2" w:rsidRPr="000A296C" w:rsidRDefault="001877E2" w:rsidP="000A296C">
            <w:pPr>
              <w:spacing w:after="0"/>
              <w:ind w:firstLine="0"/>
              <w:jc w:val="right"/>
              <w:rPr>
                <w:rFonts w:ascii="Arial Narrow" w:hAnsi="Arial Narrow" w:cs="Calibri"/>
                <w:lang w:val="es-ES" w:eastAsia="es-ES"/>
              </w:rPr>
            </w:pPr>
            <w:r>
              <w:rPr>
                <w:rFonts w:ascii="Arial Narrow" w:hAnsi="Arial Narrow" w:cs="Calibri"/>
                <w:lang w:val="es-ES" w:eastAsia="es-ES"/>
              </w:rPr>
              <w:t>2.620</w:t>
            </w:r>
          </w:p>
        </w:tc>
      </w:tr>
      <w:tr w:rsidR="001877E2" w:rsidRPr="000A296C" w14:paraId="77800BC7" w14:textId="6B436B82" w:rsidTr="006C6BF0">
        <w:trPr>
          <w:trHeight w:val="123"/>
        </w:trPr>
        <w:tc>
          <w:tcPr>
            <w:tcW w:w="2552" w:type="dxa"/>
            <w:tcBorders>
              <w:top w:val="single" w:sz="2" w:space="0" w:color="auto"/>
              <w:left w:val="nil"/>
              <w:bottom w:val="single" w:sz="4" w:space="0" w:color="auto"/>
              <w:right w:val="nil"/>
            </w:tcBorders>
            <w:shd w:val="clear" w:color="auto" w:fill="auto"/>
            <w:noWrap/>
            <w:vAlign w:val="center"/>
          </w:tcPr>
          <w:p w14:paraId="1B1C7502" w14:textId="77777777" w:rsidR="001877E2" w:rsidRPr="000A296C" w:rsidRDefault="001877E2" w:rsidP="000A296C">
            <w:pPr>
              <w:spacing w:after="0"/>
              <w:ind w:firstLine="0"/>
              <w:rPr>
                <w:rFonts w:ascii="Arial Narrow" w:hAnsi="Arial Narrow" w:cs="Calibri"/>
                <w:lang w:val="es-ES" w:eastAsia="es-ES"/>
              </w:rPr>
            </w:pPr>
            <w:r w:rsidRPr="000A296C">
              <w:rPr>
                <w:rFonts w:ascii="Arial Narrow" w:hAnsi="Arial Narrow" w:cs="Calibri"/>
                <w:lang w:val="es-ES" w:eastAsia="es-ES"/>
              </w:rPr>
              <w:t>Pagos pendientes de aplicación</w:t>
            </w:r>
          </w:p>
        </w:tc>
        <w:tc>
          <w:tcPr>
            <w:tcW w:w="2977" w:type="dxa"/>
            <w:tcBorders>
              <w:top w:val="single" w:sz="2" w:space="0" w:color="auto"/>
              <w:left w:val="nil"/>
              <w:bottom w:val="single" w:sz="4" w:space="0" w:color="auto"/>
              <w:right w:val="nil"/>
            </w:tcBorders>
            <w:shd w:val="clear" w:color="auto" w:fill="auto"/>
            <w:noWrap/>
            <w:vAlign w:val="center"/>
          </w:tcPr>
          <w:p w14:paraId="2DC19BBA" w14:textId="77777777" w:rsidR="001877E2" w:rsidRPr="000A296C" w:rsidRDefault="001877E2" w:rsidP="000A296C">
            <w:pPr>
              <w:spacing w:after="0"/>
              <w:ind w:firstLine="0"/>
              <w:jc w:val="right"/>
              <w:rPr>
                <w:rFonts w:ascii="Arial Narrow" w:hAnsi="Arial Narrow" w:cs="Calibri"/>
                <w:lang w:val="es-ES" w:eastAsia="es-ES"/>
              </w:rPr>
            </w:pPr>
            <w:r w:rsidRPr="000A296C">
              <w:rPr>
                <w:rFonts w:ascii="Arial Narrow" w:hAnsi="Arial Narrow" w:cs="Calibri"/>
                <w:lang w:val="es-ES" w:eastAsia="es-ES"/>
              </w:rPr>
              <w:t>2.126</w:t>
            </w:r>
          </w:p>
        </w:tc>
        <w:tc>
          <w:tcPr>
            <w:tcW w:w="3260" w:type="dxa"/>
            <w:tcBorders>
              <w:top w:val="single" w:sz="2" w:space="0" w:color="auto"/>
              <w:left w:val="nil"/>
              <w:bottom w:val="single" w:sz="4" w:space="0" w:color="auto"/>
              <w:right w:val="nil"/>
            </w:tcBorders>
          </w:tcPr>
          <w:p w14:paraId="14805483" w14:textId="6CB78CD0" w:rsidR="001877E2" w:rsidRPr="000A296C" w:rsidRDefault="001877E2" w:rsidP="000A296C">
            <w:pPr>
              <w:spacing w:after="0"/>
              <w:ind w:firstLine="0"/>
              <w:jc w:val="right"/>
              <w:rPr>
                <w:rFonts w:ascii="Arial Narrow" w:hAnsi="Arial Narrow" w:cs="Calibri"/>
                <w:lang w:val="es-ES" w:eastAsia="es-ES"/>
              </w:rPr>
            </w:pPr>
            <w:r>
              <w:rPr>
                <w:rFonts w:ascii="Arial Narrow" w:hAnsi="Arial Narrow" w:cs="Calibri"/>
                <w:lang w:val="es-ES" w:eastAsia="es-ES"/>
              </w:rPr>
              <w:t>580</w:t>
            </w:r>
          </w:p>
        </w:tc>
      </w:tr>
      <w:tr w:rsidR="001877E2" w:rsidRPr="000A296C" w14:paraId="31966643" w14:textId="27CDCF3C" w:rsidTr="006C6BF0">
        <w:trPr>
          <w:trHeight w:val="255"/>
        </w:trPr>
        <w:tc>
          <w:tcPr>
            <w:tcW w:w="2552" w:type="dxa"/>
            <w:tcBorders>
              <w:top w:val="single" w:sz="4" w:space="0" w:color="auto"/>
              <w:left w:val="nil"/>
              <w:bottom w:val="single" w:sz="4" w:space="0" w:color="auto"/>
              <w:right w:val="nil"/>
            </w:tcBorders>
            <w:shd w:val="clear" w:color="auto" w:fill="F4B083" w:themeFill="accent2" w:themeFillTint="99"/>
            <w:noWrap/>
            <w:vAlign w:val="center"/>
          </w:tcPr>
          <w:p w14:paraId="29B0ED78" w14:textId="77777777" w:rsidR="001877E2" w:rsidRPr="000A296C" w:rsidRDefault="001877E2" w:rsidP="00003992">
            <w:pPr>
              <w:pStyle w:val="cuadroCabe"/>
              <w:rPr>
                <w:lang w:val="es-ES" w:eastAsia="es-ES"/>
              </w:rPr>
            </w:pPr>
            <w:r w:rsidRPr="000A296C">
              <w:rPr>
                <w:lang w:val="es-ES" w:eastAsia="es-ES"/>
              </w:rPr>
              <w:t>Total</w:t>
            </w:r>
          </w:p>
        </w:tc>
        <w:tc>
          <w:tcPr>
            <w:tcW w:w="2977" w:type="dxa"/>
            <w:tcBorders>
              <w:top w:val="single" w:sz="4" w:space="0" w:color="auto"/>
              <w:left w:val="nil"/>
              <w:bottom w:val="single" w:sz="4" w:space="0" w:color="auto"/>
              <w:right w:val="nil"/>
            </w:tcBorders>
            <w:shd w:val="clear" w:color="auto" w:fill="F4B083" w:themeFill="accent2" w:themeFillTint="99"/>
            <w:noWrap/>
            <w:vAlign w:val="center"/>
          </w:tcPr>
          <w:p w14:paraId="0392CB85" w14:textId="79D0A946" w:rsidR="001877E2" w:rsidRPr="000A296C" w:rsidRDefault="00997F75" w:rsidP="00003992">
            <w:pPr>
              <w:pStyle w:val="cuadroCabe"/>
              <w:jc w:val="right"/>
              <w:rPr>
                <w:lang w:val="es-ES" w:eastAsia="es-ES"/>
              </w:rPr>
            </w:pPr>
            <w:r>
              <w:rPr>
                <w:lang w:val="es-ES" w:eastAsia="es-ES"/>
              </w:rPr>
              <w:fldChar w:fldCharType="begin"/>
            </w:r>
            <w:r>
              <w:rPr>
                <w:lang w:val="es-ES" w:eastAsia="es-ES"/>
              </w:rPr>
              <w:instrText xml:space="preserve"> =SUM(ABOVE) </w:instrText>
            </w:r>
            <w:r>
              <w:rPr>
                <w:lang w:val="es-ES" w:eastAsia="es-ES"/>
              </w:rPr>
              <w:fldChar w:fldCharType="separate"/>
            </w:r>
            <w:r>
              <w:rPr>
                <w:noProof/>
                <w:lang w:val="es-ES" w:eastAsia="es-ES"/>
              </w:rPr>
              <w:t>3.200</w:t>
            </w:r>
            <w:r>
              <w:rPr>
                <w:lang w:val="es-ES" w:eastAsia="es-ES"/>
              </w:rPr>
              <w:fldChar w:fldCharType="end"/>
            </w:r>
          </w:p>
        </w:tc>
        <w:tc>
          <w:tcPr>
            <w:tcW w:w="3260" w:type="dxa"/>
            <w:tcBorders>
              <w:top w:val="single" w:sz="4" w:space="0" w:color="auto"/>
              <w:left w:val="nil"/>
              <w:bottom w:val="single" w:sz="4" w:space="0" w:color="auto"/>
              <w:right w:val="nil"/>
            </w:tcBorders>
            <w:shd w:val="clear" w:color="auto" w:fill="F4B083" w:themeFill="accent2" w:themeFillTint="99"/>
          </w:tcPr>
          <w:p w14:paraId="1D93F0CA" w14:textId="0AD861EC" w:rsidR="001877E2" w:rsidRPr="000A296C" w:rsidRDefault="00997F75" w:rsidP="00003992">
            <w:pPr>
              <w:pStyle w:val="cuadroCabe"/>
              <w:jc w:val="right"/>
              <w:rPr>
                <w:lang w:val="es-ES" w:eastAsia="es-ES"/>
              </w:rPr>
            </w:pPr>
            <w:r>
              <w:rPr>
                <w:lang w:val="es-ES" w:eastAsia="es-ES"/>
              </w:rPr>
              <w:fldChar w:fldCharType="begin"/>
            </w:r>
            <w:r>
              <w:rPr>
                <w:lang w:val="es-ES" w:eastAsia="es-ES"/>
              </w:rPr>
              <w:instrText xml:space="preserve"> =SUM(ABOVE) </w:instrText>
            </w:r>
            <w:r>
              <w:rPr>
                <w:lang w:val="es-ES" w:eastAsia="es-ES"/>
              </w:rPr>
              <w:fldChar w:fldCharType="separate"/>
            </w:r>
            <w:r>
              <w:rPr>
                <w:noProof/>
                <w:lang w:val="es-ES" w:eastAsia="es-ES"/>
              </w:rPr>
              <w:t>3.200</w:t>
            </w:r>
            <w:r>
              <w:rPr>
                <w:lang w:val="es-ES" w:eastAsia="es-ES"/>
              </w:rPr>
              <w:fldChar w:fldCharType="end"/>
            </w:r>
          </w:p>
        </w:tc>
      </w:tr>
    </w:tbl>
    <w:p w14:paraId="21F5C5FB" w14:textId="7386C44A" w:rsidR="001F78ED" w:rsidRPr="0088383A" w:rsidRDefault="001F78ED" w:rsidP="009F5750">
      <w:pPr>
        <w:pStyle w:val="texto"/>
        <w:tabs>
          <w:tab w:val="left" w:pos="142"/>
        </w:tabs>
        <w:spacing w:before="240"/>
        <w:rPr>
          <w:i/>
          <w:szCs w:val="26"/>
        </w:rPr>
      </w:pPr>
      <w:r w:rsidRPr="0088383A">
        <w:rPr>
          <w:i/>
          <w:szCs w:val="26"/>
        </w:rPr>
        <w:t>Se recomienda:</w:t>
      </w:r>
    </w:p>
    <w:p w14:paraId="1869117F" w14:textId="33BC06BA" w:rsidR="00577C49" w:rsidRDefault="00577C49" w:rsidP="00294534">
      <w:pPr>
        <w:pStyle w:val="texto"/>
        <w:numPr>
          <w:ilvl w:val="0"/>
          <w:numId w:val="18"/>
        </w:numPr>
        <w:tabs>
          <w:tab w:val="num" w:pos="567"/>
          <w:tab w:val="num" w:pos="2770"/>
        </w:tabs>
        <w:ind w:left="0" w:firstLine="290"/>
        <w:rPr>
          <w:i/>
        </w:rPr>
      </w:pPr>
      <w:r w:rsidRPr="00294534">
        <w:rPr>
          <w:i/>
          <w:lang w:val="es-ES"/>
        </w:rPr>
        <w:t>Corregir</w:t>
      </w:r>
      <w:r>
        <w:rPr>
          <w:i/>
        </w:rPr>
        <w:t xml:space="preserve"> el saldo de la cuenta de fianzas constituidas y de los pagos pendientes de aplicación. </w:t>
      </w:r>
    </w:p>
    <w:p w14:paraId="25771D53" w14:textId="24F00803" w:rsidR="00E47952" w:rsidRPr="00E47952" w:rsidRDefault="00544E8B" w:rsidP="00E47952">
      <w:pPr>
        <w:pStyle w:val="atitulo3"/>
        <w:spacing w:before="240"/>
        <w:rPr>
          <w:rFonts w:cs="Arial"/>
        </w:rPr>
      </w:pPr>
      <w:r>
        <w:rPr>
          <w:rFonts w:cs="Arial"/>
        </w:rPr>
        <w:t>5</w:t>
      </w:r>
      <w:r w:rsidR="00E47952">
        <w:rPr>
          <w:rFonts w:cs="Arial"/>
        </w:rPr>
        <w:t>.9</w:t>
      </w:r>
      <w:r w:rsidR="00E47952" w:rsidRPr="00E47952">
        <w:rPr>
          <w:rFonts w:cs="Arial"/>
        </w:rPr>
        <w:t xml:space="preserve"> </w:t>
      </w:r>
      <w:r w:rsidR="00E47952">
        <w:rPr>
          <w:rFonts w:cs="Arial"/>
        </w:rPr>
        <w:t>A</w:t>
      </w:r>
      <w:r w:rsidR="00E47952" w:rsidRPr="00E47952">
        <w:rPr>
          <w:rFonts w:cs="Arial"/>
        </w:rPr>
        <w:t xml:space="preserve">creedores </w:t>
      </w:r>
    </w:p>
    <w:p w14:paraId="5439506C" w14:textId="1D772976" w:rsidR="00E47952" w:rsidRPr="003F629F" w:rsidRDefault="00DE04BB" w:rsidP="003F629F">
      <w:pPr>
        <w:pStyle w:val="atitulo3"/>
        <w:spacing w:before="240"/>
      </w:pPr>
      <w:r w:rsidRPr="003F629F">
        <w:t>Acreedores d</w:t>
      </w:r>
      <w:r w:rsidR="00E47952" w:rsidRPr="003F629F">
        <w:t>e presupuestos cerrados</w:t>
      </w:r>
    </w:p>
    <w:p w14:paraId="71FB2C79" w14:textId="7C0B803E" w:rsidR="00FD36BF" w:rsidRDefault="00E47952" w:rsidP="00E47952">
      <w:pPr>
        <w:pStyle w:val="texto"/>
        <w:tabs>
          <w:tab w:val="left" w:pos="142"/>
        </w:tabs>
        <w:rPr>
          <w:szCs w:val="26"/>
        </w:rPr>
      </w:pPr>
      <w:r w:rsidRPr="002476AB">
        <w:rPr>
          <w:szCs w:val="26"/>
        </w:rPr>
        <w:t xml:space="preserve">A 31 de diciembre de 2023, </w:t>
      </w:r>
      <w:r w:rsidR="009341EB">
        <w:rPr>
          <w:szCs w:val="26"/>
        </w:rPr>
        <w:t>el saldo contable de</w:t>
      </w:r>
      <w:r w:rsidRPr="002476AB">
        <w:rPr>
          <w:szCs w:val="26"/>
        </w:rPr>
        <w:t xml:space="preserve"> acreedores de ejercicios cerrados ascendía a </w:t>
      </w:r>
      <w:r w:rsidRPr="000564EF">
        <w:rPr>
          <w:szCs w:val="26"/>
        </w:rPr>
        <w:t>62.879 euros.</w:t>
      </w:r>
      <w:r>
        <w:rPr>
          <w:szCs w:val="26"/>
        </w:rPr>
        <w:t xml:space="preserve"> </w:t>
      </w:r>
    </w:p>
    <w:p w14:paraId="35CF1747" w14:textId="23F27B35" w:rsidR="00E47952" w:rsidRDefault="00F022F4" w:rsidP="009F5750">
      <w:pPr>
        <w:pStyle w:val="texto"/>
        <w:tabs>
          <w:tab w:val="left" w:pos="142"/>
        </w:tabs>
        <w:spacing w:after="240"/>
        <w:rPr>
          <w:szCs w:val="26"/>
        </w:rPr>
      </w:pPr>
      <w:r>
        <w:rPr>
          <w:szCs w:val="26"/>
        </w:rPr>
        <w:t xml:space="preserve">Hemos revisado los </w:t>
      </w:r>
      <w:r w:rsidR="00E47952">
        <w:rPr>
          <w:szCs w:val="26"/>
        </w:rPr>
        <w:t>principales conceptos económicos pendientes de pago</w:t>
      </w:r>
      <w:r>
        <w:rPr>
          <w:szCs w:val="26"/>
        </w:rPr>
        <w:t>, indicados en el siguiente cuadro</w:t>
      </w:r>
      <w:r w:rsidR="00E47952">
        <w:rPr>
          <w:szCs w:val="26"/>
        </w:rPr>
        <w:t>:</w:t>
      </w:r>
    </w:p>
    <w:tbl>
      <w:tblPr>
        <w:tblW w:w="8789" w:type="dxa"/>
        <w:tblCellMar>
          <w:left w:w="70" w:type="dxa"/>
          <w:right w:w="70" w:type="dxa"/>
        </w:tblCellMar>
        <w:tblLook w:val="04A0" w:firstRow="1" w:lastRow="0" w:firstColumn="1" w:lastColumn="0" w:noHBand="0" w:noVBand="1"/>
      </w:tblPr>
      <w:tblGrid>
        <w:gridCol w:w="3261"/>
        <w:gridCol w:w="2268"/>
        <w:gridCol w:w="3260"/>
      </w:tblGrid>
      <w:tr w:rsidR="00E47952" w:rsidRPr="0086002D" w14:paraId="364A3B5B" w14:textId="77777777" w:rsidTr="00132E23">
        <w:trPr>
          <w:trHeight w:val="255"/>
        </w:trPr>
        <w:tc>
          <w:tcPr>
            <w:tcW w:w="3261" w:type="dxa"/>
            <w:tcBorders>
              <w:top w:val="single" w:sz="4" w:space="0" w:color="auto"/>
              <w:left w:val="nil"/>
              <w:bottom w:val="single" w:sz="4" w:space="0" w:color="auto"/>
              <w:right w:val="nil"/>
            </w:tcBorders>
            <w:shd w:val="clear" w:color="auto" w:fill="F4B083" w:themeFill="accent2" w:themeFillTint="99"/>
            <w:noWrap/>
            <w:vAlign w:val="center"/>
          </w:tcPr>
          <w:p w14:paraId="64BCC2AD" w14:textId="77777777" w:rsidR="00E47952" w:rsidRPr="000A296C" w:rsidRDefault="00E47952" w:rsidP="00003992">
            <w:pPr>
              <w:pStyle w:val="cuadroCabe"/>
              <w:rPr>
                <w:lang w:val="es-ES" w:eastAsia="es-ES"/>
              </w:rPr>
            </w:pPr>
            <w:r w:rsidRPr="000A296C">
              <w:rPr>
                <w:lang w:val="es-ES" w:eastAsia="es-ES"/>
              </w:rPr>
              <w:t>Concepto</w:t>
            </w:r>
          </w:p>
        </w:tc>
        <w:tc>
          <w:tcPr>
            <w:tcW w:w="2268" w:type="dxa"/>
            <w:tcBorders>
              <w:top w:val="single" w:sz="4" w:space="0" w:color="auto"/>
              <w:left w:val="nil"/>
              <w:bottom w:val="single" w:sz="4" w:space="0" w:color="auto"/>
              <w:right w:val="nil"/>
            </w:tcBorders>
            <w:shd w:val="clear" w:color="auto" w:fill="F4B083" w:themeFill="accent2" w:themeFillTint="99"/>
            <w:noWrap/>
            <w:vAlign w:val="center"/>
          </w:tcPr>
          <w:p w14:paraId="3885566B" w14:textId="77777777" w:rsidR="00E47952" w:rsidRPr="000A296C" w:rsidRDefault="00E47952" w:rsidP="00003992">
            <w:pPr>
              <w:spacing w:after="0"/>
              <w:ind w:firstLine="0"/>
              <w:jc w:val="right"/>
              <w:rPr>
                <w:rFonts w:ascii="Arial" w:hAnsi="Arial" w:cs="Arial"/>
                <w:color w:val="000000"/>
                <w:sz w:val="18"/>
                <w:szCs w:val="18"/>
                <w:lang w:val="es-ES" w:eastAsia="es-ES"/>
              </w:rPr>
            </w:pPr>
            <w:r w:rsidRPr="000A296C">
              <w:rPr>
                <w:rFonts w:ascii="Arial" w:hAnsi="Arial" w:cs="Arial"/>
                <w:color w:val="000000"/>
                <w:sz w:val="18"/>
                <w:szCs w:val="18"/>
                <w:lang w:val="es-ES" w:eastAsia="es-ES"/>
              </w:rPr>
              <w:t>Importe a 31/12/2023</w:t>
            </w:r>
          </w:p>
        </w:tc>
        <w:tc>
          <w:tcPr>
            <w:tcW w:w="3260" w:type="dxa"/>
            <w:tcBorders>
              <w:top w:val="single" w:sz="4" w:space="0" w:color="auto"/>
              <w:left w:val="nil"/>
              <w:bottom w:val="single" w:sz="4" w:space="0" w:color="auto"/>
              <w:right w:val="nil"/>
            </w:tcBorders>
            <w:shd w:val="clear" w:color="auto" w:fill="F4B083" w:themeFill="accent2" w:themeFillTint="99"/>
            <w:vAlign w:val="center"/>
          </w:tcPr>
          <w:p w14:paraId="6E510C1A" w14:textId="77777777" w:rsidR="00E47952" w:rsidRPr="000A296C" w:rsidRDefault="00E47952" w:rsidP="00003992">
            <w:pPr>
              <w:spacing w:after="0"/>
              <w:ind w:firstLine="0"/>
              <w:jc w:val="right"/>
              <w:rPr>
                <w:rFonts w:ascii="Arial" w:hAnsi="Arial" w:cs="Arial"/>
                <w:color w:val="000000"/>
                <w:sz w:val="18"/>
                <w:szCs w:val="18"/>
                <w:lang w:val="es-ES" w:eastAsia="es-ES"/>
              </w:rPr>
            </w:pPr>
            <w:r w:rsidRPr="000A296C">
              <w:rPr>
                <w:rFonts w:ascii="Arial" w:hAnsi="Arial" w:cs="Arial"/>
                <w:color w:val="000000"/>
                <w:sz w:val="18"/>
                <w:szCs w:val="18"/>
                <w:lang w:val="es-ES" w:eastAsia="es-ES"/>
              </w:rPr>
              <w:t>Ejercicios</w:t>
            </w:r>
          </w:p>
        </w:tc>
      </w:tr>
      <w:tr w:rsidR="00E47952" w:rsidRPr="000A296C" w14:paraId="41A3566E" w14:textId="77777777" w:rsidTr="00132E23">
        <w:trPr>
          <w:trHeight w:val="198"/>
        </w:trPr>
        <w:tc>
          <w:tcPr>
            <w:tcW w:w="3261" w:type="dxa"/>
            <w:tcBorders>
              <w:top w:val="single" w:sz="4" w:space="0" w:color="auto"/>
              <w:left w:val="nil"/>
              <w:bottom w:val="single" w:sz="2" w:space="0" w:color="auto"/>
              <w:right w:val="nil"/>
            </w:tcBorders>
            <w:shd w:val="clear" w:color="auto" w:fill="auto"/>
            <w:noWrap/>
            <w:vAlign w:val="center"/>
          </w:tcPr>
          <w:p w14:paraId="58D3D9EA" w14:textId="77777777" w:rsidR="00E47952" w:rsidRPr="000A296C" w:rsidRDefault="00E47952" w:rsidP="00003992">
            <w:pPr>
              <w:pStyle w:val="cuatexto"/>
              <w:rPr>
                <w:lang w:val="es-ES" w:eastAsia="es-ES"/>
              </w:rPr>
            </w:pPr>
            <w:r w:rsidRPr="000A296C">
              <w:rPr>
                <w:lang w:val="es-ES" w:eastAsia="es-ES"/>
              </w:rPr>
              <w:t>Sellado vertedero</w:t>
            </w:r>
          </w:p>
        </w:tc>
        <w:tc>
          <w:tcPr>
            <w:tcW w:w="2268" w:type="dxa"/>
            <w:tcBorders>
              <w:top w:val="single" w:sz="4" w:space="0" w:color="auto"/>
              <w:left w:val="nil"/>
              <w:bottom w:val="single" w:sz="2" w:space="0" w:color="auto"/>
              <w:right w:val="nil"/>
            </w:tcBorders>
            <w:shd w:val="clear" w:color="auto" w:fill="auto"/>
            <w:noWrap/>
            <w:vAlign w:val="center"/>
          </w:tcPr>
          <w:p w14:paraId="525BC744" w14:textId="2D6666ED" w:rsidR="00E47952" w:rsidRPr="000A296C" w:rsidRDefault="00E47952" w:rsidP="00003992">
            <w:pPr>
              <w:pStyle w:val="cuatexto"/>
              <w:jc w:val="right"/>
              <w:rPr>
                <w:lang w:val="es-ES" w:eastAsia="es-ES"/>
              </w:rPr>
            </w:pPr>
            <w:r w:rsidRPr="000A296C">
              <w:rPr>
                <w:lang w:val="es-ES" w:eastAsia="es-ES"/>
              </w:rPr>
              <w:t>23.32</w:t>
            </w:r>
            <w:r w:rsidR="00753B78">
              <w:rPr>
                <w:lang w:val="es-ES" w:eastAsia="es-ES"/>
              </w:rPr>
              <w:t>5</w:t>
            </w:r>
          </w:p>
        </w:tc>
        <w:tc>
          <w:tcPr>
            <w:tcW w:w="3260" w:type="dxa"/>
            <w:tcBorders>
              <w:top w:val="single" w:sz="4" w:space="0" w:color="auto"/>
              <w:left w:val="nil"/>
              <w:bottom w:val="single" w:sz="2" w:space="0" w:color="auto"/>
              <w:right w:val="nil"/>
            </w:tcBorders>
            <w:vAlign w:val="center"/>
          </w:tcPr>
          <w:p w14:paraId="25F84CB4" w14:textId="77777777" w:rsidR="00E47952" w:rsidRPr="000A296C" w:rsidRDefault="00E47952" w:rsidP="00003992">
            <w:pPr>
              <w:pStyle w:val="cuatexto"/>
              <w:jc w:val="right"/>
              <w:rPr>
                <w:lang w:val="es-ES" w:eastAsia="es-ES"/>
              </w:rPr>
            </w:pPr>
            <w:r w:rsidRPr="000A296C">
              <w:rPr>
                <w:lang w:val="es-ES" w:eastAsia="es-ES"/>
              </w:rPr>
              <w:t>2008</w:t>
            </w:r>
          </w:p>
        </w:tc>
      </w:tr>
      <w:tr w:rsidR="00E47952" w:rsidRPr="000A296C" w14:paraId="736C63BA" w14:textId="77777777" w:rsidTr="00132E23">
        <w:trPr>
          <w:trHeight w:val="95"/>
        </w:trPr>
        <w:tc>
          <w:tcPr>
            <w:tcW w:w="3261" w:type="dxa"/>
            <w:tcBorders>
              <w:top w:val="single" w:sz="2" w:space="0" w:color="auto"/>
              <w:left w:val="nil"/>
              <w:bottom w:val="single" w:sz="2" w:space="0" w:color="auto"/>
              <w:right w:val="nil"/>
            </w:tcBorders>
            <w:shd w:val="clear" w:color="auto" w:fill="auto"/>
            <w:noWrap/>
            <w:vAlign w:val="center"/>
          </w:tcPr>
          <w:p w14:paraId="323786EA" w14:textId="77777777" w:rsidR="00E47952" w:rsidRPr="000A296C" w:rsidRDefault="00E47952" w:rsidP="00003992">
            <w:pPr>
              <w:pStyle w:val="cuatexto"/>
              <w:rPr>
                <w:lang w:val="es-ES" w:eastAsia="es-ES"/>
              </w:rPr>
            </w:pPr>
            <w:r w:rsidRPr="000A296C">
              <w:rPr>
                <w:lang w:val="es-ES" w:eastAsia="es-ES"/>
              </w:rPr>
              <w:t>Obras nave</w:t>
            </w:r>
          </w:p>
        </w:tc>
        <w:tc>
          <w:tcPr>
            <w:tcW w:w="2268" w:type="dxa"/>
            <w:tcBorders>
              <w:top w:val="single" w:sz="2" w:space="0" w:color="auto"/>
              <w:left w:val="nil"/>
              <w:bottom w:val="single" w:sz="2" w:space="0" w:color="auto"/>
              <w:right w:val="nil"/>
            </w:tcBorders>
            <w:shd w:val="clear" w:color="auto" w:fill="auto"/>
            <w:noWrap/>
            <w:vAlign w:val="center"/>
          </w:tcPr>
          <w:p w14:paraId="173F8764" w14:textId="77777777" w:rsidR="00E47952" w:rsidRPr="000A296C" w:rsidRDefault="00E47952" w:rsidP="00003992">
            <w:pPr>
              <w:pStyle w:val="cuatexto"/>
              <w:jc w:val="right"/>
              <w:rPr>
                <w:lang w:val="es-ES" w:eastAsia="es-ES"/>
              </w:rPr>
            </w:pPr>
            <w:r w:rsidRPr="000A296C">
              <w:rPr>
                <w:lang w:val="es-ES" w:eastAsia="es-ES"/>
              </w:rPr>
              <w:t>19.149</w:t>
            </w:r>
          </w:p>
        </w:tc>
        <w:tc>
          <w:tcPr>
            <w:tcW w:w="3260" w:type="dxa"/>
            <w:tcBorders>
              <w:top w:val="single" w:sz="2" w:space="0" w:color="auto"/>
              <w:left w:val="nil"/>
              <w:bottom w:val="single" w:sz="2" w:space="0" w:color="auto"/>
              <w:right w:val="nil"/>
            </w:tcBorders>
            <w:vAlign w:val="center"/>
          </w:tcPr>
          <w:p w14:paraId="7B39CCA2" w14:textId="77777777" w:rsidR="00E47952" w:rsidRPr="000A296C" w:rsidRDefault="00E47952" w:rsidP="00003992">
            <w:pPr>
              <w:pStyle w:val="cuatexto"/>
              <w:jc w:val="right"/>
              <w:rPr>
                <w:lang w:val="es-ES" w:eastAsia="es-ES"/>
              </w:rPr>
            </w:pPr>
            <w:r w:rsidRPr="000A296C">
              <w:rPr>
                <w:lang w:val="es-ES" w:eastAsia="es-ES"/>
              </w:rPr>
              <w:t>2020 y 2021</w:t>
            </w:r>
          </w:p>
        </w:tc>
      </w:tr>
      <w:tr w:rsidR="00E47952" w:rsidRPr="000A296C" w14:paraId="5A59CB56" w14:textId="77777777" w:rsidTr="00132E23">
        <w:trPr>
          <w:trHeight w:val="198"/>
        </w:trPr>
        <w:tc>
          <w:tcPr>
            <w:tcW w:w="3261" w:type="dxa"/>
            <w:tcBorders>
              <w:top w:val="single" w:sz="2" w:space="0" w:color="auto"/>
              <w:left w:val="nil"/>
              <w:bottom w:val="single" w:sz="2" w:space="0" w:color="auto"/>
              <w:right w:val="nil"/>
            </w:tcBorders>
            <w:shd w:val="clear" w:color="auto" w:fill="auto"/>
            <w:noWrap/>
            <w:vAlign w:val="center"/>
          </w:tcPr>
          <w:p w14:paraId="203AC099" w14:textId="77777777" w:rsidR="00E47952" w:rsidRPr="000A296C" w:rsidRDefault="00E47952" w:rsidP="00003992">
            <w:pPr>
              <w:pStyle w:val="cuatexto"/>
              <w:rPr>
                <w:lang w:val="es-ES" w:eastAsia="es-ES"/>
              </w:rPr>
            </w:pPr>
            <w:r w:rsidRPr="000A296C">
              <w:rPr>
                <w:lang w:val="es-ES" w:eastAsia="es-ES"/>
              </w:rPr>
              <w:t>Gastos sede y luz</w:t>
            </w:r>
          </w:p>
        </w:tc>
        <w:tc>
          <w:tcPr>
            <w:tcW w:w="2268" w:type="dxa"/>
            <w:tcBorders>
              <w:top w:val="single" w:sz="2" w:space="0" w:color="auto"/>
              <w:left w:val="nil"/>
              <w:bottom w:val="single" w:sz="2" w:space="0" w:color="auto"/>
              <w:right w:val="nil"/>
            </w:tcBorders>
            <w:shd w:val="clear" w:color="auto" w:fill="auto"/>
            <w:noWrap/>
            <w:vAlign w:val="center"/>
          </w:tcPr>
          <w:p w14:paraId="08FB61F6" w14:textId="147548F4" w:rsidR="00E47952" w:rsidRPr="000A296C" w:rsidRDefault="00E47952" w:rsidP="00003992">
            <w:pPr>
              <w:pStyle w:val="cuatexto"/>
              <w:jc w:val="right"/>
              <w:rPr>
                <w:lang w:val="es-ES" w:eastAsia="es-ES"/>
              </w:rPr>
            </w:pPr>
            <w:r w:rsidRPr="000A296C">
              <w:rPr>
                <w:lang w:val="es-ES" w:eastAsia="es-ES"/>
              </w:rPr>
              <w:t>11.</w:t>
            </w:r>
            <w:r w:rsidR="00F022F4">
              <w:rPr>
                <w:lang w:val="es-ES" w:eastAsia="es-ES"/>
              </w:rPr>
              <w:t>141</w:t>
            </w:r>
          </w:p>
        </w:tc>
        <w:tc>
          <w:tcPr>
            <w:tcW w:w="3260" w:type="dxa"/>
            <w:tcBorders>
              <w:top w:val="single" w:sz="2" w:space="0" w:color="auto"/>
              <w:left w:val="nil"/>
              <w:bottom w:val="single" w:sz="2" w:space="0" w:color="auto"/>
              <w:right w:val="nil"/>
            </w:tcBorders>
            <w:vAlign w:val="center"/>
          </w:tcPr>
          <w:p w14:paraId="2EE9CC92" w14:textId="77777777" w:rsidR="00E47952" w:rsidRPr="000A296C" w:rsidRDefault="00E47952" w:rsidP="00003992">
            <w:pPr>
              <w:pStyle w:val="cuatexto"/>
              <w:jc w:val="right"/>
              <w:rPr>
                <w:lang w:val="es-ES" w:eastAsia="es-ES"/>
              </w:rPr>
            </w:pPr>
            <w:r w:rsidRPr="000A296C">
              <w:rPr>
                <w:lang w:val="es-ES" w:eastAsia="es-ES"/>
              </w:rPr>
              <w:t>2013, 2014 y 2022</w:t>
            </w:r>
          </w:p>
        </w:tc>
      </w:tr>
      <w:tr w:rsidR="00E47952" w:rsidRPr="000A296C" w14:paraId="70FFB4B6" w14:textId="77777777" w:rsidTr="00132E23">
        <w:trPr>
          <w:trHeight w:val="198"/>
        </w:trPr>
        <w:tc>
          <w:tcPr>
            <w:tcW w:w="3261" w:type="dxa"/>
            <w:tcBorders>
              <w:top w:val="single" w:sz="2" w:space="0" w:color="auto"/>
              <w:left w:val="nil"/>
              <w:bottom w:val="single" w:sz="4" w:space="0" w:color="auto"/>
              <w:right w:val="nil"/>
            </w:tcBorders>
            <w:shd w:val="clear" w:color="auto" w:fill="auto"/>
            <w:noWrap/>
            <w:vAlign w:val="center"/>
          </w:tcPr>
          <w:p w14:paraId="41DA9B54" w14:textId="77777777" w:rsidR="00E47952" w:rsidRPr="000A296C" w:rsidRDefault="00E47952" w:rsidP="00003992">
            <w:pPr>
              <w:pStyle w:val="cuatexto"/>
              <w:rPr>
                <w:lang w:val="es-ES" w:eastAsia="es-ES"/>
              </w:rPr>
            </w:pPr>
            <w:r w:rsidRPr="000A296C">
              <w:rPr>
                <w:lang w:val="es-ES" w:eastAsia="es-ES"/>
              </w:rPr>
              <w:t>Retirada antiguo vertedero</w:t>
            </w:r>
          </w:p>
        </w:tc>
        <w:tc>
          <w:tcPr>
            <w:tcW w:w="2268" w:type="dxa"/>
            <w:tcBorders>
              <w:top w:val="single" w:sz="2" w:space="0" w:color="auto"/>
              <w:left w:val="nil"/>
              <w:bottom w:val="single" w:sz="4" w:space="0" w:color="auto"/>
              <w:right w:val="nil"/>
            </w:tcBorders>
            <w:shd w:val="clear" w:color="auto" w:fill="auto"/>
            <w:noWrap/>
            <w:vAlign w:val="center"/>
          </w:tcPr>
          <w:p w14:paraId="7A85AD5E" w14:textId="77777777" w:rsidR="00E47952" w:rsidRPr="000A296C" w:rsidRDefault="00E47952" w:rsidP="00003992">
            <w:pPr>
              <w:pStyle w:val="cuatexto"/>
              <w:jc w:val="right"/>
              <w:rPr>
                <w:lang w:val="es-ES" w:eastAsia="es-ES"/>
              </w:rPr>
            </w:pPr>
            <w:r w:rsidRPr="000A296C">
              <w:rPr>
                <w:lang w:val="es-ES" w:eastAsia="es-ES"/>
              </w:rPr>
              <w:t>3.717</w:t>
            </w:r>
          </w:p>
        </w:tc>
        <w:tc>
          <w:tcPr>
            <w:tcW w:w="3260" w:type="dxa"/>
            <w:tcBorders>
              <w:top w:val="single" w:sz="2" w:space="0" w:color="auto"/>
              <w:left w:val="nil"/>
              <w:bottom w:val="single" w:sz="4" w:space="0" w:color="auto"/>
              <w:right w:val="nil"/>
            </w:tcBorders>
            <w:vAlign w:val="center"/>
          </w:tcPr>
          <w:p w14:paraId="7558F6C4" w14:textId="77777777" w:rsidR="00E47952" w:rsidRPr="000A296C" w:rsidRDefault="00E47952" w:rsidP="00003992">
            <w:pPr>
              <w:pStyle w:val="cuatexto"/>
              <w:jc w:val="right"/>
              <w:rPr>
                <w:lang w:val="es-ES" w:eastAsia="es-ES"/>
              </w:rPr>
            </w:pPr>
            <w:r w:rsidRPr="000A296C">
              <w:rPr>
                <w:lang w:val="es-ES" w:eastAsia="es-ES"/>
              </w:rPr>
              <w:t>2020</w:t>
            </w:r>
          </w:p>
        </w:tc>
      </w:tr>
      <w:tr w:rsidR="000D4E85" w:rsidRPr="007F0C67" w14:paraId="68F381CA" w14:textId="77777777" w:rsidTr="00132E23">
        <w:trPr>
          <w:trHeight w:val="198"/>
        </w:trPr>
        <w:tc>
          <w:tcPr>
            <w:tcW w:w="3261" w:type="dxa"/>
            <w:tcBorders>
              <w:top w:val="single" w:sz="4" w:space="0" w:color="auto"/>
              <w:left w:val="nil"/>
              <w:bottom w:val="single" w:sz="4" w:space="0" w:color="auto"/>
              <w:right w:val="nil"/>
            </w:tcBorders>
            <w:shd w:val="clear" w:color="auto" w:fill="F4B083" w:themeFill="accent2" w:themeFillTint="99"/>
            <w:noWrap/>
            <w:vAlign w:val="center"/>
          </w:tcPr>
          <w:p w14:paraId="77693E7C" w14:textId="1DC383BE" w:rsidR="000D4E85" w:rsidRPr="007F0C67" w:rsidRDefault="000D4E85" w:rsidP="00003992">
            <w:pPr>
              <w:pStyle w:val="cuadroCabe"/>
              <w:rPr>
                <w:lang w:val="es-ES" w:eastAsia="es-ES"/>
              </w:rPr>
            </w:pPr>
            <w:r w:rsidRPr="007F0C67">
              <w:rPr>
                <w:lang w:val="es-ES" w:eastAsia="es-ES"/>
              </w:rPr>
              <w:t xml:space="preserve">Total </w:t>
            </w:r>
            <w:r w:rsidR="00F022F4" w:rsidRPr="007F0C67">
              <w:rPr>
                <w:lang w:val="es-ES" w:eastAsia="es-ES"/>
              </w:rPr>
              <w:t>revisado</w:t>
            </w:r>
          </w:p>
        </w:tc>
        <w:tc>
          <w:tcPr>
            <w:tcW w:w="2268" w:type="dxa"/>
            <w:tcBorders>
              <w:top w:val="single" w:sz="4" w:space="0" w:color="auto"/>
              <w:left w:val="nil"/>
              <w:bottom w:val="single" w:sz="4" w:space="0" w:color="auto"/>
              <w:right w:val="nil"/>
            </w:tcBorders>
            <w:shd w:val="clear" w:color="auto" w:fill="F4B083" w:themeFill="accent2" w:themeFillTint="99"/>
            <w:noWrap/>
            <w:vAlign w:val="center"/>
          </w:tcPr>
          <w:p w14:paraId="1B8EFFFA" w14:textId="6450B619" w:rsidR="000D4E85" w:rsidRPr="007F0C67" w:rsidRDefault="00F022F4" w:rsidP="00003992">
            <w:pPr>
              <w:pStyle w:val="cuadroCabe"/>
              <w:jc w:val="right"/>
              <w:rPr>
                <w:lang w:val="es-ES" w:eastAsia="es-ES"/>
              </w:rPr>
            </w:pPr>
            <w:r w:rsidRPr="007F0C67">
              <w:rPr>
                <w:lang w:val="es-ES" w:eastAsia="es-ES"/>
              </w:rPr>
              <w:fldChar w:fldCharType="begin"/>
            </w:r>
            <w:r w:rsidRPr="007F0C67">
              <w:rPr>
                <w:lang w:val="es-ES" w:eastAsia="es-ES"/>
              </w:rPr>
              <w:instrText xml:space="preserve"> =SUM(ABOVE) </w:instrText>
            </w:r>
            <w:r w:rsidRPr="007F0C67">
              <w:rPr>
                <w:lang w:val="es-ES" w:eastAsia="es-ES"/>
              </w:rPr>
              <w:fldChar w:fldCharType="separate"/>
            </w:r>
            <w:r w:rsidRPr="007F0C67">
              <w:rPr>
                <w:noProof/>
                <w:lang w:val="es-ES" w:eastAsia="es-ES"/>
              </w:rPr>
              <w:t>57.332</w:t>
            </w:r>
            <w:r w:rsidRPr="007F0C67">
              <w:rPr>
                <w:lang w:val="es-ES" w:eastAsia="es-ES"/>
              </w:rPr>
              <w:fldChar w:fldCharType="end"/>
            </w:r>
          </w:p>
        </w:tc>
        <w:tc>
          <w:tcPr>
            <w:tcW w:w="3260" w:type="dxa"/>
            <w:tcBorders>
              <w:top w:val="single" w:sz="4" w:space="0" w:color="auto"/>
              <w:left w:val="nil"/>
              <w:bottom w:val="single" w:sz="4" w:space="0" w:color="auto"/>
              <w:right w:val="nil"/>
            </w:tcBorders>
            <w:shd w:val="clear" w:color="auto" w:fill="F4B083" w:themeFill="accent2" w:themeFillTint="99"/>
            <w:vAlign w:val="center"/>
          </w:tcPr>
          <w:p w14:paraId="57FEE712" w14:textId="77777777" w:rsidR="000D4E85" w:rsidRPr="007F0C67" w:rsidRDefault="000D4E85" w:rsidP="00003992">
            <w:pPr>
              <w:pStyle w:val="cuadroCabe"/>
              <w:jc w:val="right"/>
              <w:rPr>
                <w:lang w:val="es-ES" w:eastAsia="es-ES"/>
              </w:rPr>
            </w:pPr>
          </w:p>
        </w:tc>
      </w:tr>
    </w:tbl>
    <w:p w14:paraId="4C8E5D5B" w14:textId="3E3CF1D0" w:rsidR="00DE04BB" w:rsidRPr="00B84D54" w:rsidRDefault="00DE04BB" w:rsidP="009F5750">
      <w:pPr>
        <w:pStyle w:val="texto"/>
        <w:numPr>
          <w:ilvl w:val="0"/>
          <w:numId w:val="18"/>
        </w:numPr>
        <w:tabs>
          <w:tab w:val="num" w:pos="567"/>
          <w:tab w:val="num" w:pos="2770"/>
        </w:tabs>
        <w:spacing w:before="240"/>
        <w:ind w:left="0" w:firstLine="289"/>
      </w:pPr>
      <w:r w:rsidRPr="00B84D54">
        <w:t xml:space="preserve">Hemos comprobado que la totalidad del saldo revisado, 57.332 euros, está incorrectamente </w:t>
      </w:r>
      <w:r w:rsidR="00C66289" w:rsidRPr="00B84D54">
        <w:t>contabilizado</w:t>
      </w:r>
      <w:r w:rsidRPr="00B84D54">
        <w:t xml:space="preserve"> como acreedor </w:t>
      </w:r>
      <w:r w:rsidR="00C66289" w:rsidRPr="00B84D54">
        <w:t>y no debe figurar pendiente de pago ya</w:t>
      </w:r>
      <w:r w:rsidRPr="00B84D54">
        <w:t xml:space="preserve"> que algunos gastos se han contabilizado por duplicado y de otros no consta </w:t>
      </w:r>
      <w:r w:rsidR="00C66289" w:rsidRPr="00B84D54">
        <w:t>justificación</w:t>
      </w:r>
      <w:r w:rsidRPr="00B84D54">
        <w:t>.</w:t>
      </w:r>
    </w:p>
    <w:p w14:paraId="2973A3CD" w14:textId="0368065F" w:rsidR="00B84D54" w:rsidRPr="00B84D54" w:rsidRDefault="00C66289" w:rsidP="00294534">
      <w:pPr>
        <w:pStyle w:val="texto"/>
        <w:numPr>
          <w:ilvl w:val="0"/>
          <w:numId w:val="18"/>
        </w:numPr>
        <w:tabs>
          <w:tab w:val="num" w:pos="567"/>
          <w:tab w:val="num" w:pos="2770"/>
        </w:tabs>
        <w:ind w:left="0" w:firstLine="290"/>
      </w:pPr>
      <w:r w:rsidRPr="00B84D54">
        <w:t>Hemos revisado</w:t>
      </w:r>
      <w:r w:rsidR="00672422">
        <w:t xml:space="preserve"> </w:t>
      </w:r>
      <w:r w:rsidR="00DE04BB" w:rsidRPr="00B84D54">
        <w:t xml:space="preserve">los pagos a la </w:t>
      </w:r>
      <w:r w:rsidR="00EC6D1C" w:rsidRPr="00B84D54">
        <w:t>asociación</w:t>
      </w:r>
      <w:r w:rsidR="00DE04BB" w:rsidRPr="00B84D54">
        <w:t xml:space="preserve"> </w:t>
      </w:r>
      <w:r w:rsidR="00EC6D1C" w:rsidRPr="00B84D54">
        <w:t>EBR</w:t>
      </w:r>
      <w:r w:rsidR="007F0C67">
        <w:t>.</w:t>
      </w:r>
    </w:p>
    <w:p w14:paraId="75B5D8F3" w14:textId="1D0BABB5" w:rsidR="00C64A64" w:rsidRDefault="00C64A64" w:rsidP="00B84D54">
      <w:pPr>
        <w:pStyle w:val="texto"/>
        <w:tabs>
          <w:tab w:val="left" w:pos="142"/>
          <w:tab w:val="num" w:pos="720"/>
        </w:tabs>
        <w:spacing w:before="120" w:after="120"/>
        <w:rPr>
          <w:szCs w:val="26"/>
        </w:rPr>
      </w:pPr>
      <w:r>
        <w:rPr>
          <w:szCs w:val="26"/>
        </w:rPr>
        <w:t xml:space="preserve">La asociación EBR </w:t>
      </w:r>
      <w:r w:rsidR="00CB4D74">
        <w:rPr>
          <w:szCs w:val="26"/>
        </w:rPr>
        <w:t xml:space="preserve">facturó </w:t>
      </w:r>
      <w:r>
        <w:rPr>
          <w:szCs w:val="26"/>
        </w:rPr>
        <w:t xml:space="preserve">a la </w:t>
      </w:r>
      <w:r w:rsidR="003C06D0">
        <w:rPr>
          <w:szCs w:val="26"/>
        </w:rPr>
        <w:t>Mancomunidad</w:t>
      </w:r>
      <w:r>
        <w:rPr>
          <w:szCs w:val="26"/>
        </w:rPr>
        <w:t xml:space="preserve"> </w:t>
      </w:r>
      <w:r w:rsidR="00D2037C">
        <w:rPr>
          <w:szCs w:val="26"/>
        </w:rPr>
        <w:t xml:space="preserve">63.489 euros en el periodo 2019 a 2023 </w:t>
      </w:r>
      <w:r>
        <w:rPr>
          <w:szCs w:val="26"/>
        </w:rPr>
        <w:t xml:space="preserve">por la asistencia </w:t>
      </w:r>
      <w:r w:rsidRPr="00B84D54">
        <w:rPr>
          <w:szCs w:val="26"/>
        </w:rPr>
        <w:t xml:space="preserve">técnica en la implementación y seguimiento del plan de acompañamiento en la gestión de la materia orgánica </w:t>
      </w:r>
      <w:r>
        <w:rPr>
          <w:szCs w:val="26"/>
        </w:rPr>
        <w:t xml:space="preserve">2019-2023 </w:t>
      </w:r>
      <w:r w:rsidRPr="00B84D54">
        <w:rPr>
          <w:szCs w:val="26"/>
        </w:rPr>
        <w:t>y de prevención de la fracción resto.</w:t>
      </w:r>
    </w:p>
    <w:p w14:paraId="2908EB7F" w14:textId="7D52766D" w:rsidR="00D2037C" w:rsidRPr="00AB1703" w:rsidRDefault="00D2037C" w:rsidP="00D2037C">
      <w:pPr>
        <w:pStyle w:val="texto"/>
        <w:tabs>
          <w:tab w:val="left" w:pos="142"/>
          <w:tab w:val="num" w:pos="720"/>
        </w:tabs>
        <w:spacing w:before="120" w:after="120"/>
      </w:pPr>
      <w:r>
        <w:t>No consta que se convocara una licitación pública para adjudicar los servicios a dicha asociación</w:t>
      </w:r>
      <w:r w:rsidR="00BC28A1">
        <w:t xml:space="preserve">, sino que </w:t>
      </w:r>
      <w:r w:rsidR="001A149D">
        <w:t>se tramitaron como contrato de menor cuantía</w:t>
      </w:r>
      <w:r w:rsidR="0043199C">
        <w:t>.</w:t>
      </w:r>
      <w:r>
        <w:t xml:space="preserve"> </w:t>
      </w:r>
    </w:p>
    <w:p w14:paraId="2573A936" w14:textId="5037FECF" w:rsidR="00B84D54" w:rsidRDefault="00B84D54" w:rsidP="00B84D54">
      <w:pPr>
        <w:pStyle w:val="texto"/>
        <w:tabs>
          <w:tab w:val="left" w:pos="142"/>
          <w:tab w:val="num" w:pos="720"/>
        </w:tabs>
        <w:spacing w:before="120" w:after="120"/>
        <w:rPr>
          <w:szCs w:val="26"/>
        </w:rPr>
      </w:pPr>
      <w:r w:rsidRPr="00B84D54">
        <w:rPr>
          <w:szCs w:val="26"/>
        </w:rPr>
        <w:lastRenderedPageBreak/>
        <w:t xml:space="preserve">No consta contrato ni un presupuesto detallado de los trabajos </w:t>
      </w:r>
      <w:r w:rsidR="00C64A64">
        <w:rPr>
          <w:szCs w:val="26"/>
        </w:rPr>
        <w:t>que realizará la asociación EBR</w:t>
      </w:r>
      <w:r w:rsidRPr="00B84D54">
        <w:rPr>
          <w:szCs w:val="26"/>
        </w:rPr>
        <w:t xml:space="preserve">. </w:t>
      </w:r>
      <w:r w:rsidR="00EC6D1C" w:rsidRPr="00B84D54">
        <w:rPr>
          <w:szCs w:val="26"/>
        </w:rPr>
        <w:t xml:space="preserve">Consta una propuesta técnica de la asociación EBR </w:t>
      </w:r>
      <w:r w:rsidR="00D9779B" w:rsidRPr="00B84D54">
        <w:rPr>
          <w:szCs w:val="26"/>
        </w:rPr>
        <w:t xml:space="preserve">para el periodo septiembre 2018 a junio de 2019 </w:t>
      </w:r>
      <w:r w:rsidR="00D2037C">
        <w:rPr>
          <w:szCs w:val="26"/>
        </w:rPr>
        <w:t>con</w:t>
      </w:r>
      <w:r w:rsidR="00B87E09" w:rsidRPr="00B84D54">
        <w:rPr>
          <w:szCs w:val="26"/>
        </w:rPr>
        <w:t xml:space="preserve"> un presupuesto de 14.500 euros más IVA para el citado periodo de diez meses</w:t>
      </w:r>
      <w:r w:rsidR="00D2037C">
        <w:rPr>
          <w:szCs w:val="26"/>
        </w:rPr>
        <w:t xml:space="preserve"> para la asistencia técnica en los siguientes cuatro ámbitos:</w:t>
      </w:r>
      <w:r w:rsidR="00AB1703">
        <w:rPr>
          <w:szCs w:val="26"/>
        </w:rPr>
        <w:t xml:space="preserve"> </w:t>
      </w:r>
    </w:p>
    <w:p w14:paraId="459C33C7" w14:textId="1AE564F5" w:rsidR="00D9779B" w:rsidRPr="006F009F" w:rsidRDefault="00D2037C" w:rsidP="007F0C67">
      <w:pPr>
        <w:pStyle w:val="texto"/>
        <w:tabs>
          <w:tab w:val="left" w:pos="142"/>
          <w:tab w:val="num" w:pos="426"/>
          <w:tab w:val="num" w:pos="720"/>
        </w:tabs>
        <w:spacing w:before="120" w:after="120"/>
        <w:rPr>
          <w:color w:val="FF0000"/>
        </w:rPr>
      </w:pPr>
      <w:r>
        <w:t>1</w:t>
      </w:r>
      <w:r w:rsidR="007F0C67">
        <w:t>-</w:t>
      </w:r>
      <w:r w:rsidR="50B9D217">
        <w:t>P</w:t>
      </w:r>
      <w:r w:rsidR="00D9779B">
        <w:t>roceso de planificación e implementación en gestión de residuos (mat</w:t>
      </w:r>
      <w:r>
        <w:t>eria orgánica y puntos limpios).</w:t>
      </w:r>
    </w:p>
    <w:p w14:paraId="346CC1ED" w14:textId="36259CBC" w:rsidR="00D9779B" w:rsidRPr="006F009F" w:rsidRDefault="00D2037C" w:rsidP="00753B78">
      <w:pPr>
        <w:pStyle w:val="texto"/>
        <w:tabs>
          <w:tab w:val="left" w:pos="142"/>
        </w:tabs>
        <w:spacing w:before="120" w:after="120"/>
      </w:pPr>
      <w:r>
        <w:t>2</w:t>
      </w:r>
      <w:r w:rsidR="007F0C67">
        <w:t>-</w:t>
      </w:r>
      <w:r w:rsidR="7C3D10A8">
        <w:t>I</w:t>
      </w:r>
      <w:r w:rsidR="00D9779B">
        <w:t xml:space="preserve">mplementación </w:t>
      </w:r>
      <w:r w:rsidR="007F0C67">
        <w:t xml:space="preserve">de </w:t>
      </w:r>
      <w:r w:rsidR="00D9779B">
        <w:t>moneda social vinculada a recuperación de residuos y dinamización del comercio local</w:t>
      </w:r>
    </w:p>
    <w:p w14:paraId="4AC29F30" w14:textId="760CAB7C" w:rsidR="00D9779B" w:rsidRPr="006F009F" w:rsidRDefault="00D2037C" w:rsidP="00753B78">
      <w:pPr>
        <w:pStyle w:val="texto"/>
        <w:tabs>
          <w:tab w:val="left" w:pos="142"/>
        </w:tabs>
        <w:spacing w:before="120" w:after="120"/>
      </w:pPr>
      <w:r>
        <w:t>3</w:t>
      </w:r>
      <w:r w:rsidR="007F0C67">
        <w:t>-</w:t>
      </w:r>
      <w:r w:rsidR="418AE6E8">
        <w:t>E</w:t>
      </w:r>
      <w:r w:rsidR="00D9779B">
        <w:t xml:space="preserve">stimación de emisiones de </w:t>
      </w:r>
      <w:r w:rsidR="221E54CF">
        <w:t>g</w:t>
      </w:r>
      <w:r w:rsidR="00D9779B">
        <w:t xml:space="preserve">ases de </w:t>
      </w:r>
      <w:r w:rsidR="111C1DD3">
        <w:t>e</w:t>
      </w:r>
      <w:r w:rsidR="00D9779B">
        <w:t xml:space="preserve">fecto </w:t>
      </w:r>
      <w:r w:rsidR="3E7FD288">
        <w:t>i</w:t>
      </w:r>
      <w:r w:rsidR="00D9779B">
        <w:t xml:space="preserve">nvernadero y de los escenarios de mejora implementando y cuantificando medidas concretas </w:t>
      </w:r>
    </w:p>
    <w:p w14:paraId="3F7F5973" w14:textId="6906C744" w:rsidR="00D9779B" w:rsidRDefault="00D2037C" w:rsidP="00753B78">
      <w:pPr>
        <w:pStyle w:val="texto"/>
        <w:tabs>
          <w:tab w:val="left" w:pos="142"/>
        </w:tabs>
        <w:spacing w:before="120" w:after="120"/>
      </w:pPr>
      <w:r>
        <w:t>4</w:t>
      </w:r>
      <w:r w:rsidR="007F0C67">
        <w:t>-</w:t>
      </w:r>
      <w:r w:rsidR="5ADBF54B">
        <w:t>M</w:t>
      </w:r>
      <w:r w:rsidR="00D9779B">
        <w:t>edidas de seguimiento</w:t>
      </w:r>
      <w:r w:rsidR="005B0E03">
        <w:t xml:space="preserve"> del compostaje de los residuos.</w:t>
      </w:r>
    </w:p>
    <w:p w14:paraId="70711D1F" w14:textId="0CCD46AB" w:rsidR="007F0C67" w:rsidRPr="001A149D" w:rsidRDefault="00D2037C" w:rsidP="06D4BFB9">
      <w:pPr>
        <w:pStyle w:val="texto"/>
        <w:tabs>
          <w:tab w:val="left" w:pos="142"/>
          <w:tab w:val="num" w:pos="426"/>
          <w:tab w:val="num" w:pos="720"/>
        </w:tabs>
        <w:spacing w:before="120" w:after="120"/>
        <w:rPr>
          <w:color w:val="FF0000"/>
          <w:lang w:val="es-ES"/>
        </w:rPr>
      </w:pPr>
      <w:r w:rsidRPr="37EBD5B8">
        <w:rPr>
          <w:lang w:val="es-ES"/>
        </w:rPr>
        <w:t>En las facturas que presentó la asociación EBR se indica que realizó la asistencia técnica en la implementación y seguimiento en gestión de residuos</w:t>
      </w:r>
      <w:r w:rsidR="00B232F3">
        <w:rPr>
          <w:lang w:val="es-ES"/>
        </w:rPr>
        <w:t>,</w:t>
      </w:r>
      <w:r w:rsidRPr="37EBD5B8">
        <w:rPr>
          <w:lang w:val="es-ES"/>
        </w:rPr>
        <w:t xml:space="preserve"> pero no se detallan los trabajos realizados en los ámbitos citados. </w:t>
      </w:r>
      <w:r w:rsidR="007F0C67" w:rsidRPr="37EBD5B8">
        <w:rPr>
          <w:lang w:val="es-ES"/>
        </w:rPr>
        <w:t xml:space="preserve">No consta que la </w:t>
      </w:r>
      <w:r w:rsidR="003C06D0">
        <w:rPr>
          <w:lang w:val="es-ES"/>
        </w:rPr>
        <w:t>Mancomunidad</w:t>
      </w:r>
      <w:r w:rsidR="007F0C67" w:rsidRPr="37EBD5B8">
        <w:rPr>
          <w:lang w:val="es-ES"/>
        </w:rPr>
        <w:t xml:space="preserve"> hiciera </w:t>
      </w:r>
      <w:r w:rsidR="00124A0B" w:rsidRPr="37EBD5B8">
        <w:rPr>
          <w:lang w:val="es-ES"/>
        </w:rPr>
        <w:t xml:space="preserve">un seguimiento de los servicios </w:t>
      </w:r>
      <w:r w:rsidR="007F0C67" w:rsidRPr="37EBD5B8">
        <w:rPr>
          <w:lang w:val="es-ES"/>
        </w:rPr>
        <w:t>facturados</w:t>
      </w:r>
      <w:r w:rsidR="00124A0B" w:rsidRPr="37EBD5B8">
        <w:rPr>
          <w:lang w:val="es-ES"/>
        </w:rPr>
        <w:t xml:space="preserve"> por la asociación</w:t>
      </w:r>
      <w:r w:rsidR="007F0C67" w:rsidRPr="37EBD5B8">
        <w:rPr>
          <w:lang w:val="es-ES"/>
        </w:rPr>
        <w:t>.</w:t>
      </w:r>
      <w:r w:rsidR="001A149D" w:rsidRPr="37EBD5B8">
        <w:rPr>
          <w:lang w:val="es-ES"/>
        </w:rPr>
        <w:t xml:space="preserve"> </w:t>
      </w:r>
    </w:p>
    <w:p w14:paraId="57C92F77" w14:textId="7DB97C96" w:rsidR="00E47952" w:rsidRPr="003F629F" w:rsidRDefault="00E47952" w:rsidP="003F629F">
      <w:pPr>
        <w:pStyle w:val="atitulo3"/>
        <w:spacing w:before="240"/>
      </w:pPr>
      <w:r w:rsidRPr="003F629F">
        <w:t>Acreedores no presupuestarios</w:t>
      </w:r>
    </w:p>
    <w:p w14:paraId="5C2EC5AA" w14:textId="4CDDDDBA" w:rsidR="00E47952" w:rsidRDefault="00E47952" w:rsidP="009F5750">
      <w:pPr>
        <w:pStyle w:val="texto"/>
        <w:tabs>
          <w:tab w:val="left" w:pos="142"/>
        </w:tabs>
        <w:spacing w:after="240"/>
        <w:rPr>
          <w:szCs w:val="26"/>
        </w:rPr>
      </w:pPr>
      <w:r>
        <w:rPr>
          <w:szCs w:val="26"/>
        </w:rPr>
        <w:t xml:space="preserve">El saldo de acreedores no presupuestarios a 31 de diciembre de 2023 asciende a </w:t>
      </w:r>
      <w:r w:rsidR="00997F75">
        <w:rPr>
          <w:szCs w:val="26"/>
        </w:rPr>
        <w:t>119.494</w:t>
      </w:r>
      <w:r>
        <w:rPr>
          <w:szCs w:val="26"/>
        </w:rPr>
        <w:t xml:space="preserve"> euros y corresponde a los siguientes conceptos</w:t>
      </w:r>
      <w:r w:rsidR="00512EA2">
        <w:rPr>
          <w:szCs w:val="26"/>
        </w:rPr>
        <w:t>:</w:t>
      </w:r>
    </w:p>
    <w:tbl>
      <w:tblPr>
        <w:tblW w:w="8789" w:type="dxa"/>
        <w:tblCellMar>
          <w:left w:w="70" w:type="dxa"/>
          <w:right w:w="70" w:type="dxa"/>
        </w:tblCellMar>
        <w:tblLook w:val="04A0" w:firstRow="1" w:lastRow="0" w:firstColumn="1" w:lastColumn="0" w:noHBand="0" w:noVBand="1"/>
      </w:tblPr>
      <w:tblGrid>
        <w:gridCol w:w="4534"/>
        <w:gridCol w:w="146"/>
        <w:gridCol w:w="4109"/>
      </w:tblGrid>
      <w:tr w:rsidR="00390FE7" w:rsidRPr="0086002D" w14:paraId="15DA1FB0" w14:textId="77777777" w:rsidTr="00390FE7">
        <w:trPr>
          <w:trHeight w:val="255"/>
        </w:trPr>
        <w:tc>
          <w:tcPr>
            <w:tcW w:w="4534" w:type="dxa"/>
            <w:tcBorders>
              <w:top w:val="single" w:sz="4" w:space="0" w:color="auto"/>
              <w:left w:val="nil"/>
              <w:bottom w:val="single" w:sz="4" w:space="0" w:color="auto"/>
              <w:right w:val="nil"/>
            </w:tcBorders>
            <w:shd w:val="clear" w:color="auto" w:fill="F4B083" w:themeFill="accent2" w:themeFillTint="99"/>
            <w:noWrap/>
            <w:vAlign w:val="center"/>
          </w:tcPr>
          <w:p w14:paraId="0961F802" w14:textId="77777777" w:rsidR="00390FE7" w:rsidRPr="000A296C" w:rsidRDefault="00390FE7" w:rsidP="00390FE7">
            <w:pPr>
              <w:pStyle w:val="cuadroCabe"/>
              <w:rPr>
                <w:lang w:val="es-ES" w:eastAsia="es-ES"/>
              </w:rPr>
            </w:pPr>
            <w:r w:rsidRPr="000A296C">
              <w:rPr>
                <w:lang w:val="es-ES" w:eastAsia="es-ES"/>
              </w:rPr>
              <w:t>Concepto</w:t>
            </w:r>
          </w:p>
        </w:tc>
        <w:tc>
          <w:tcPr>
            <w:tcW w:w="146" w:type="dxa"/>
            <w:tcBorders>
              <w:top w:val="single" w:sz="4" w:space="0" w:color="auto"/>
              <w:left w:val="nil"/>
              <w:bottom w:val="single" w:sz="4" w:space="0" w:color="auto"/>
              <w:right w:val="nil"/>
            </w:tcBorders>
            <w:shd w:val="clear" w:color="auto" w:fill="F4B083" w:themeFill="accent2" w:themeFillTint="99"/>
          </w:tcPr>
          <w:p w14:paraId="13447D36" w14:textId="77777777" w:rsidR="00390FE7" w:rsidRPr="000A296C" w:rsidRDefault="00390FE7" w:rsidP="00A0070D">
            <w:pPr>
              <w:spacing w:after="0"/>
              <w:ind w:firstLine="0"/>
              <w:jc w:val="right"/>
              <w:rPr>
                <w:rFonts w:ascii="Arial Narrow" w:hAnsi="Arial Narrow" w:cs="Calibri"/>
                <w:lang w:val="es-ES" w:eastAsia="es-ES"/>
              </w:rPr>
            </w:pPr>
          </w:p>
        </w:tc>
        <w:tc>
          <w:tcPr>
            <w:tcW w:w="4109" w:type="dxa"/>
            <w:tcBorders>
              <w:top w:val="single" w:sz="4" w:space="0" w:color="auto"/>
              <w:left w:val="nil"/>
              <w:bottom w:val="single" w:sz="4" w:space="0" w:color="auto"/>
              <w:right w:val="nil"/>
            </w:tcBorders>
            <w:shd w:val="clear" w:color="auto" w:fill="F4B083" w:themeFill="accent2" w:themeFillTint="99"/>
            <w:noWrap/>
            <w:vAlign w:val="center"/>
          </w:tcPr>
          <w:p w14:paraId="0E7411C3" w14:textId="1C4EBA0E" w:rsidR="00390FE7" w:rsidRPr="000A296C" w:rsidRDefault="00390FE7" w:rsidP="00390FE7">
            <w:pPr>
              <w:spacing w:after="0"/>
              <w:ind w:firstLine="0"/>
              <w:jc w:val="right"/>
              <w:rPr>
                <w:rFonts w:ascii="Arial Narrow" w:hAnsi="Arial Narrow" w:cs="Calibri"/>
                <w:lang w:val="es-ES" w:eastAsia="es-ES"/>
              </w:rPr>
            </w:pPr>
            <w:r w:rsidRPr="000A296C">
              <w:rPr>
                <w:rFonts w:ascii="Arial Narrow" w:hAnsi="Arial Narrow" w:cs="Calibri"/>
                <w:lang w:val="es-ES" w:eastAsia="es-ES"/>
              </w:rPr>
              <w:t>Importe a 31/12/2023</w:t>
            </w:r>
          </w:p>
        </w:tc>
      </w:tr>
      <w:tr w:rsidR="00390FE7" w:rsidRPr="0086002D" w14:paraId="1A42BEB1" w14:textId="77777777" w:rsidTr="00390FE7">
        <w:trPr>
          <w:trHeight w:val="198"/>
        </w:trPr>
        <w:tc>
          <w:tcPr>
            <w:tcW w:w="4534" w:type="dxa"/>
            <w:tcBorders>
              <w:top w:val="single" w:sz="4" w:space="0" w:color="auto"/>
              <w:left w:val="nil"/>
              <w:bottom w:val="single" w:sz="2" w:space="0" w:color="auto"/>
              <w:right w:val="nil"/>
            </w:tcBorders>
            <w:shd w:val="clear" w:color="auto" w:fill="auto"/>
            <w:noWrap/>
            <w:vAlign w:val="center"/>
          </w:tcPr>
          <w:p w14:paraId="559FD2EF" w14:textId="77777777" w:rsidR="00390FE7" w:rsidRPr="000A296C" w:rsidRDefault="00390FE7" w:rsidP="00390FE7">
            <w:pPr>
              <w:pStyle w:val="cuatexto"/>
              <w:rPr>
                <w:lang w:val="es-ES" w:eastAsia="es-ES"/>
              </w:rPr>
            </w:pPr>
            <w:r w:rsidRPr="000A296C">
              <w:rPr>
                <w:lang w:val="es-ES" w:eastAsia="es-ES"/>
              </w:rPr>
              <w:t>Seguridad Social</w:t>
            </w:r>
          </w:p>
        </w:tc>
        <w:tc>
          <w:tcPr>
            <w:tcW w:w="146" w:type="dxa"/>
            <w:tcBorders>
              <w:top w:val="single" w:sz="4" w:space="0" w:color="auto"/>
              <w:left w:val="nil"/>
              <w:bottom w:val="single" w:sz="2" w:space="0" w:color="auto"/>
              <w:right w:val="nil"/>
            </w:tcBorders>
          </w:tcPr>
          <w:p w14:paraId="0E298842" w14:textId="77777777" w:rsidR="00390FE7" w:rsidRPr="000A296C" w:rsidRDefault="00390FE7" w:rsidP="00390FE7">
            <w:pPr>
              <w:pStyle w:val="cuatexto"/>
              <w:rPr>
                <w:lang w:val="es-ES" w:eastAsia="es-ES"/>
              </w:rPr>
            </w:pPr>
          </w:p>
        </w:tc>
        <w:tc>
          <w:tcPr>
            <w:tcW w:w="4109" w:type="dxa"/>
            <w:tcBorders>
              <w:top w:val="single" w:sz="4" w:space="0" w:color="auto"/>
              <w:left w:val="nil"/>
              <w:bottom w:val="single" w:sz="2" w:space="0" w:color="auto"/>
              <w:right w:val="nil"/>
            </w:tcBorders>
            <w:shd w:val="clear" w:color="auto" w:fill="auto"/>
            <w:noWrap/>
            <w:vAlign w:val="center"/>
          </w:tcPr>
          <w:p w14:paraId="6F6BEBD2" w14:textId="15FFB759" w:rsidR="00390FE7" w:rsidRPr="000A296C" w:rsidRDefault="00390FE7" w:rsidP="00390FE7">
            <w:pPr>
              <w:pStyle w:val="cuatexto"/>
              <w:jc w:val="right"/>
              <w:rPr>
                <w:lang w:val="es-ES" w:eastAsia="es-ES"/>
              </w:rPr>
            </w:pPr>
            <w:r w:rsidRPr="000A296C">
              <w:rPr>
                <w:lang w:val="es-ES" w:eastAsia="es-ES"/>
              </w:rPr>
              <w:t>4.157</w:t>
            </w:r>
          </w:p>
        </w:tc>
      </w:tr>
      <w:tr w:rsidR="00390FE7" w:rsidRPr="0086002D" w14:paraId="53042DF2" w14:textId="77777777" w:rsidTr="00390FE7">
        <w:trPr>
          <w:trHeight w:val="123"/>
        </w:trPr>
        <w:tc>
          <w:tcPr>
            <w:tcW w:w="4534" w:type="dxa"/>
            <w:tcBorders>
              <w:top w:val="single" w:sz="2" w:space="0" w:color="auto"/>
              <w:left w:val="nil"/>
              <w:bottom w:val="single" w:sz="2" w:space="0" w:color="auto"/>
              <w:right w:val="nil"/>
            </w:tcBorders>
            <w:shd w:val="clear" w:color="auto" w:fill="auto"/>
            <w:noWrap/>
            <w:vAlign w:val="center"/>
          </w:tcPr>
          <w:p w14:paraId="0D9A5941" w14:textId="77777777" w:rsidR="00390FE7" w:rsidRPr="000A296C" w:rsidRDefault="00390FE7" w:rsidP="00390FE7">
            <w:pPr>
              <w:pStyle w:val="cuatexto"/>
              <w:rPr>
                <w:lang w:val="es-ES" w:eastAsia="es-ES"/>
              </w:rPr>
            </w:pPr>
            <w:r w:rsidRPr="000A296C">
              <w:rPr>
                <w:lang w:val="es-ES" w:eastAsia="es-ES"/>
              </w:rPr>
              <w:t>Préstamo de tesorería</w:t>
            </w:r>
          </w:p>
        </w:tc>
        <w:tc>
          <w:tcPr>
            <w:tcW w:w="146" w:type="dxa"/>
            <w:tcBorders>
              <w:top w:val="single" w:sz="2" w:space="0" w:color="auto"/>
              <w:left w:val="nil"/>
              <w:bottom w:val="single" w:sz="2" w:space="0" w:color="auto"/>
              <w:right w:val="nil"/>
            </w:tcBorders>
          </w:tcPr>
          <w:p w14:paraId="0D92AD60" w14:textId="77777777" w:rsidR="00390FE7" w:rsidRPr="000A296C" w:rsidRDefault="00390FE7" w:rsidP="00390FE7">
            <w:pPr>
              <w:pStyle w:val="cuatexto"/>
              <w:rPr>
                <w:lang w:val="es-ES" w:eastAsia="es-ES"/>
              </w:rPr>
            </w:pPr>
          </w:p>
        </w:tc>
        <w:tc>
          <w:tcPr>
            <w:tcW w:w="4109" w:type="dxa"/>
            <w:tcBorders>
              <w:top w:val="single" w:sz="2" w:space="0" w:color="auto"/>
              <w:left w:val="nil"/>
              <w:bottom w:val="single" w:sz="2" w:space="0" w:color="auto"/>
              <w:right w:val="nil"/>
            </w:tcBorders>
            <w:shd w:val="clear" w:color="auto" w:fill="auto"/>
            <w:noWrap/>
            <w:vAlign w:val="center"/>
          </w:tcPr>
          <w:p w14:paraId="755EDAFE" w14:textId="6A5D04EB" w:rsidR="00390FE7" w:rsidRPr="000A296C" w:rsidRDefault="00390FE7" w:rsidP="00390FE7">
            <w:pPr>
              <w:pStyle w:val="cuatexto"/>
              <w:jc w:val="right"/>
              <w:rPr>
                <w:lang w:val="es-ES" w:eastAsia="es-ES"/>
              </w:rPr>
            </w:pPr>
            <w:r w:rsidRPr="000A296C">
              <w:rPr>
                <w:lang w:val="es-ES" w:eastAsia="es-ES"/>
              </w:rPr>
              <w:t>45.000</w:t>
            </w:r>
          </w:p>
        </w:tc>
      </w:tr>
      <w:tr w:rsidR="00390FE7" w:rsidRPr="0086002D" w14:paraId="51A3368D" w14:textId="77777777" w:rsidTr="00390FE7">
        <w:trPr>
          <w:trHeight w:val="198"/>
        </w:trPr>
        <w:tc>
          <w:tcPr>
            <w:tcW w:w="4534" w:type="dxa"/>
            <w:tcBorders>
              <w:top w:val="single" w:sz="2" w:space="0" w:color="auto"/>
              <w:left w:val="nil"/>
              <w:bottom w:val="single" w:sz="2" w:space="0" w:color="auto"/>
              <w:right w:val="nil"/>
            </w:tcBorders>
            <w:shd w:val="clear" w:color="auto" w:fill="auto"/>
            <w:noWrap/>
            <w:vAlign w:val="center"/>
          </w:tcPr>
          <w:p w14:paraId="34CD2310" w14:textId="77777777" w:rsidR="00390FE7" w:rsidRPr="000A296C" w:rsidRDefault="00390FE7" w:rsidP="00B963AB">
            <w:pPr>
              <w:pStyle w:val="cuatexto"/>
              <w:rPr>
                <w:lang w:val="es-ES" w:eastAsia="es-ES"/>
              </w:rPr>
            </w:pPr>
            <w:r w:rsidRPr="000A296C">
              <w:rPr>
                <w:lang w:val="es-ES" w:eastAsia="es-ES"/>
              </w:rPr>
              <w:t>IRPF</w:t>
            </w:r>
          </w:p>
        </w:tc>
        <w:tc>
          <w:tcPr>
            <w:tcW w:w="146" w:type="dxa"/>
            <w:tcBorders>
              <w:top w:val="single" w:sz="2" w:space="0" w:color="auto"/>
              <w:left w:val="nil"/>
              <w:bottom w:val="single" w:sz="2" w:space="0" w:color="auto"/>
              <w:right w:val="nil"/>
            </w:tcBorders>
          </w:tcPr>
          <w:p w14:paraId="3CC6ED5C" w14:textId="77777777" w:rsidR="00390FE7" w:rsidRPr="000A296C" w:rsidRDefault="00390FE7" w:rsidP="00B963AB">
            <w:pPr>
              <w:pStyle w:val="cuatexto"/>
              <w:rPr>
                <w:lang w:val="es-ES" w:eastAsia="es-ES"/>
              </w:rPr>
            </w:pPr>
          </w:p>
        </w:tc>
        <w:tc>
          <w:tcPr>
            <w:tcW w:w="4109" w:type="dxa"/>
            <w:tcBorders>
              <w:top w:val="single" w:sz="2" w:space="0" w:color="auto"/>
              <w:left w:val="nil"/>
              <w:bottom w:val="single" w:sz="2" w:space="0" w:color="auto"/>
              <w:right w:val="nil"/>
            </w:tcBorders>
            <w:shd w:val="clear" w:color="auto" w:fill="auto"/>
            <w:noWrap/>
            <w:vAlign w:val="center"/>
          </w:tcPr>
          <w:p w14:paraId="368CC661" w14:textId="77777777" w:rsidR="00390FE7" w:rsidRPr="000A296C" w:rsidRDefault="00390FE7" w:rsidP="00B963AB">
            <w:pPr>
              <w:pStyle w:val="cuatexto"/>
              <w:jc w:val="right"/>
              <w:rPr>
                <w:lang w:val="es-ES" w:eastAsia="es-ES"/>
              </w:rPr>
            </w:pPr>
            <w:r w:rsidRPr="000A296C">
              <w:rPr>
                <w:lang w:val="es-ES" w:eastAsia="es-ES"/>
              </w:rPr>
              <w:t>23.570</w:t>
            </w:r>
          </w:p>
        </w:tc>
      </w:tr>
      <w:tr w:rsidR="00390FE7" w:rsidRPr="0086002D" w14:paraId="32586A51" w14:textId="77777777" w:rsidTr="00390FE7">
        <w:trPr>
          <w:trHeight w:val="123"/>
        </w:trPr>
        <w:tc>
          <w:tcPr>
            <w:tcW w:w="4534" w:type="dxa"/>
            <w:tcBorders>
              <w:top w:val="single" w:sz="2" w:space="0" w:color="auto"/>
              <w:left w:val="nil"/>
              <w:bottom w:val="single" w:sz="4" w:space="0" w:color="auto"/>
              <w:right w:val="nil"/>
            </w:tcBorders>
            <w:shd w:val="clear" w:color="auto" w:fill="auto"/>
            <w:noWrap/>
            <w:vAlign w:val="center"/>
          </w:tcPr>
          <w:p w14:paraId="62637780" w14:textId="77777777" w:rsidR="00390FE7" w:rsidRPr="000A296C" w:rsidRDefault="00390FE7" w:rsidP="00390FE7">
            <w:pPr>
              <w:pStyle w:val="cuatexto"/>
              <w:rPr>
                <w:lang w:val="es-ES" w:eastAsia="es-ES"/>
              </w:rPr>
            </w:pPr>
            <w:r w:rsidRPr="000A296C">
              <w:rPr>
                <w:lang w:val="es-ES" w:eastAsia="es-ES"/>
              </w:rPr>
              <w:t>Ingresos pendientes de aplicación</w:t>
            </w:r>
          </w:p>
        </w:tc>
        <w:tc>
          <w:tcPr>
            <w:tcW w:w="146" w:type="dxa"/>
            <w:tcBorders>
              <w:top w:val="single" w:sz="2" w:space="0" w:color="auto"/>
              <w:left w:val="nil"/>
              <w:bottom w:val="single" w:sz="4" w:space="0" w:color="auto"/>
              <w:right w:val="nil"/>
            </w:tcBorders>
          </w:tcPr>
          <w:p w14:paraId="7EEFB7AA" w14:textId="77777777" w:rsidR="00390FE7" w:rsidRPr="000A296C" w:rsidRDefault="00390FE7" w:rsidP="00390FE7">
            <w:pPr>
              <w:pStyle w:val="cuatexto"/>
              <w:rPr>
                <w:lang w:val="es-ES" w:eastAsia="es-ES"/>
              </w:rPr>
            </w:pPr>
          </w:p>
        </w:tc>
        <w:tc>
          <w:tcPr>
            <w:tcW w:w="4109" w:type="dxa"/>
            <w:tcBorders>
              <w:top w:val="single" w:sz="2" w:space="0" w:color="auto"/>
              <w:left w:val="nil"/>
              <w:bottom w:val="single" w:sz="4" w:space="0" w:color="auto"/>
              <w:right w:val="nil"/>
            </w:tcBorders>
            <w:shd w:val="clear" w:color="auto" w:fill="auto"/>
            <w:noWrap/>
            <w:vAlign w:val="center"/>
          </w:tcPr>
          <w:p w14:paraId="1CEC5A7F" w14:textId="4F11F4F8" w:rsidR="00390FE7" w:rsidRPr="000A296C" w:rsidRDefault="00390FE7" w:rsidP="00390FE7">
            <w:pPr>
              <w:pStyle w:val="cuatexto"/>
              <w:jc w:val="right"/>
              <w:rPr>
                <w:lang w:val="es-ES" w:eastAsia="es-ES"/>
              </w:rPr>
            </w:pPr>
            <w:r w:rsidRPr="000A296C">
              <w:rPr>
                <w:lang w:val="es-ES" w:eastAsia="es-ES"/>
              </w:rPr>
              <w:t>46.767</w:t>
            </w:r>
          </w:p>
        </w:tc>
      </w:tr>
      <w:tr w:rsidR="00390FE7" w:rsidRPr="0086002D" w14:paraId="568545C8" w14:textId="77777777" w:rsidTr="00390FE7">
        <w:trPr>
          <w:trHeight w:val="255"/>
        </w:trPr>
        <w:tc>
          <w:tcPr>
            <w:tcW w:w="4534" w:type="dxa"/>
            <w:tcBorders>
              <w:top w:val="single" w:sz="4" w:space="0" w:color="auto"/>
              <w:left w:val="nil"/>
              <w:bottom w:val="single" w:sz="4" w:space="0" w:color="auto"/>
              <w:right w:val="nil"/>
            </w:tcBorders>
            <w:shd w:val="clear" w:color="auto" w:fill="F4B083" w:themeFill="accent2" w:themeFillTint="99"/>
            <w:noWrap/>
            <w:vAlign w:val="center"/>
          </w:tcPr>
          <w:p w14:paraId="651AF2A3" w14:textId="77777777" w:rsidR="00390FE7" w:rsidRPr="000A296C" w:rsidRDefault="00390FE7" w:rsidP="00390FE7">
            <w:pPr>
              <w:pStyle w:val="cuadroCabe"/>
              <w:rPr>
                <w:lang w:val="es-ES" w:eastAsia="es-ES"/>
              </w:rPr>
            </w:pPr>
            <w:r w:rsidRPr="000A296C">
              <w:rPr>
                <w:lang w:val="es-ES" w:eastAsia="es-ES"/>
              </w:rPr>
              <w:t>Total</w:t>
            </w:r>
          </w:p>
        </w:tc>
        <w:tc>
          <w:tcPr>
            <w:tcW w:w="146" w:type="dxa"/>
            <w:tcBorders>
              <w:top w:val="single" w:sz="4" w:space="0" w:color="auto"/>
              <w:left w:val="nil"/>
              <w:bottom w:val="single" w:sz="4" w:space="0" w:color="auto"/>
              <w:right w:val="nil"/>
            </w:tcBorders>
            <w:shd w:val="clear" w:color="auto" w:fill="F4B083" w:themeFill="accent2" w:themeFillTint="99"/>
          </w:tcPr>
          <w:p w14:paraId="5B0EB790" w14:textId="77777777" w:rsidR="00390FE7" w:rsidRPr="000A296C" w:rsidRDefault="00390FE7" w:rsidP="00390FE7">
            <w:pPr>
              <w:pStyle w:val="cuadroCabe"/>
              <w:rPr>
                <w:lang w:val="es-ES" w:eastAsia="es-ES"/>
              </w:rPr>
            </w:pPr>
          </w:p>
        </w:tc>
        <w:tc>
          <w:tcPr>
            <w:tcW w:w="4109" w:type="dxa"/>
            <w:tcBorders>
              <w:top w:val="single" w:sz="4" w:space="0" w:color="auto"/>
              <w:left w:val="nil"/>
              <w:bottom w:val="single" w:sz="4" w:space="0" w:color="auto"/>
              <w:right w:val="nil"/>
            </w:tcBorders>
            <w:shd w:val="clear" w:color="auto" w:fill="F4B083" w:themeFill="accent2" w:themeFillTint="99"/>
            <w:noWrap/>
            <w:vAlign w:val="center"/>
          </w:tcPr>
          <w:p w14:paraId="55DB3B78" w14:textId="4D65F256" w:rsidR="00390FE7" w:rsidRPr="000A296C" w:rsidRDefault="00390FE7" w:rsidP="00390FE7">
            <w:pPr>
              <w:pStyle w:val="cuadroCabe"/>
              <w:jc w:val="right"/>
              <w:rPr>
                <w:lang w:val="es-ES" w:eastAsia="es-ES"/>
              </w:rPr>
            </w:pPr>
            <w:r w:rsidRPr="000A296C">
              <w:rPr>
                <w:lang w:val="es-ES" w:eastAsia="es-ES"/>
              </w:rPr>
              <w:fldChar w:fldCharType="begin"/>
            </w:r>
            <w:r w:rsidRPr="000A296C">
              <w:rPr>
                <w:lang w:val="es-ES" w:eastAsia="es-ES"/>
              </w:rPr>
              <w:instrText xml:space="preserve"> =SUM(ABOVE) </w:instrText>
            </w:r>
            <w:r w:rsidRPr="000A296C">
              <w:rPr>
                <w:lang w:val="es-ES" w:eastAsia="es-ES"/>
              </w:rPr>
              <w:fldChar w:fldCharType="end"/>
            </w:r>
            <w:r>
              <w:rPr>
                <w:lang w:val="es-ES" w:eastAsia="es-ES"/>
              </w:rPr>
              <w:fldChar w:fldCharType="begin"/>
            </w:r>
            <w:r>
              <w:rPr>
                <w:lang w:val="es-ES" w:eastAsia="es-ES"/>
              </w:rPr>
              <w:instrText xml:space="preserve"> =SUM(ABOVE) </w:instrText>
            </w:r>
            <w:r>
              <w:rPr>
                <w:lang w:val="es-ES" w:eastAsia="es-ES"/>
              </w:rPr>
              <w:fldChar w:fldCharType="separate"/>
            </w:r>
            <w:r>
              <w:rPr>
                <w:noProof/>
                <w:lang w:val="es-ES" w:eastAsia="es-ES"/>
              </w:rPr>
              <w:t>119.494</w:t>
            </w:r>
            <w:r>
              <w:rPr>
                <w:lang w:val="es-ES" w:eastAsia="es-ES"/>
              </w:rPr>
              <w:fldChar w:fldCharType="end"/>
            </w:r>
          </w:p>
        </w:tc>
      </w:tr>
    </w:tbl>
    <w:p w14:paraId="75A780D9" w14:textId="01C9ABA5" w:rsidR="00512EA2" w:rsidRDefault="00512EA2" w:rsidP="009F5750">
      <w:pPr>
        <w:pStyle w:val="texto"/>
        <w:tabs>
          <w:tab w:val="left" w:pos="142"/>
          <w:tab w:val="num" w:pos="720"/>
        </w:tabs>
        <w:spacing w:before="240" w:after="120"/>
      </w:pPr>
      <w:r w:rsidRPr="005625D7">
        <w:t>Las incorrecciones detectadas en el saldo de IRPF y Seguridad Social se detallan en el apéndice 4 de información adicional sobre salvedades de este informe.</w:t>
      </w:r>
      <w:r w:rsidR="00CC4648" w:rsidRPr="005625D7">
        <w:t xml:space="preserve"> </w:t>
      </w:r>
    </w:p>
    <w:p w14:paraId="3705F2C3" w14:textId="06FBBBCD" w:rsidR="00127432" w:rsidRDefault="00512EA2" w:rsidP="005625D7">
      <w:pPr>
        <w:pStyle w:val="texto"/>
        <w:tabs>
          <w:tab w:val="left" w:pos="142"/>
          <w:tab w:val="num" w:pos="720"/>
        </w:tabs>
        <w:spacing w:before="120" w:after="120"/>
      </w:pPr>
      <w:r>
        <w:t>Adem</w:t>
      </w:r>
      <w:r w:rsidRPr="003E7144">
        <w:t>ás</w:t>
      </w:r>
      <w:r w:rsidR="005625D7">
        <w:t>,</w:t>
      </w:r>
      <w:r w:rsidRPr="003E7144">
        <w:t xml:space="preserve"> hemos comprobado que </w:t>
      </w:r>
      <w:r w:rsidR="0065681C" w:rsidRPr="005625D7">
        <w:t>43.862 euros del saldo de l</w:t>
      </w:r>
      <w:r w:rsidR="00A3570F" w:rsidRPr="005625D7">
        <w:t xml:space="preserve">os ingresos pendientes de aplicación </w:t>
      </w:r>
      <w:r w:rsidR="00C66289" w:rsidRPr="005625D7">
        <w:t>corresponde</w:t>
      </w:r>
      <w:r w:rsidR="00127432" w:rsidRPr="005625D7">
        <w:t>n</w:t>
      </w:r>
      <w:r w:rsidR="00A3570F" w:rsidRPr="005625D7">
        <w:t xml:space="preserve"> a ingresos cobrados de más en los años 2009 y 2010 a diversos ayuntamientos integrantes de la </w:t>
      </w:r>
      <w:r w:rsidR="003C06D0">
        <w:t>Mancomunidad</w:t>
      </w:r>
      <w:r w:rsidR="00A3570F" w:rsidRPr="005625D7">
        <w:t>, ayuntamientos que no en todos los casos están identificados</w:t>
      </w:r>
      <w:r w:rsidR="0065681C" w:rsidRPr="005625D7">
        <w:t xml:space="preserve">, y pendientes de devolución por la </w:t>
      </w:r>
      <w:r w:rsidR="003C06D0">
        <w:t>Mancomunidad</w:t>
      </w:r>
      <w:r w:rsidR="00A3570F" w:rsidRPr="005625D7">
        <w:t>.</w:t>
      </w:r>
      <w:r w:rsidR="0065681C" w:rsidRPr="005625D7">
        <w:t xml:space="preserve"> Por otra parte, </w:t>
      </w:r>
      <w:r w:rsidR="00127432" w:rsidRPr="005625D7">
        <w:t>en 2014 se anularon</w:t>
      </w:r>
      <w:r w:rsidR="0064077E">
        <w:t>,</w:t>
      </w:r>
      <w:r w:rsidR="00127432" w:rsidRPr="005625D7">
        <w:t xml:space="preserve"> sin que conste su aprobación ni justificación, 45.296 euros de ingresos </w:t>
      </w:r>
      <w:r w:rsidR="008C2FD4" w:rsidRPr="005625D7">
        <w:t xml:space="preserve">presupuestarios </w:t>
      </w:r>
      <w:r w:rsidR="00127432" w:rsidRPr="005625D7">
        <w:t xml:space="preserve">por aportación de ayuntamientos, de los cuales 32.216 corresponden al </w:t>
      </w:r>
      <w:r w:rsidR="00B232F3">
        <w:t>A</w:t>
      </w:r>
      <w:r w:rsidR="00127432" w:rsidRPr="005625D7">
        <w:t>yuntamiento de Aoiz. No podemos comprobar si estas operaciones están relacionadas.</w:t>
      </w:r>
    </w:p>
    <w:p w14:paraId="53EFE6D4" w14:textId="3F420BAC" w:rsidR="00771F01" w:rsidRDefault="00771F01" w:rsidP="00235383">
      <w:pPr>
        <w:pStyle w:val="texto"/>
        <w:keepNext/>
        <w:tabs>
          <w:tab w:val="left" w:pos="142"/>
        </w:tabs>
        <w:spacing w:before="120" w:after="120"/>
        <w:rPr>
          <w:i/>
        </w:rPr>
      </w:pPr>
      <w:r w:rsidRPr="007F2B2C">
        <w:rPr>
          <w:i/>
        </w:rPr>
        <w:lastRenderedPageBreak/>
        <w:t>Se recomienda</w:t>
      </w:r>
      <w:r w:rsidR="00235383">
        <w:rPr>
          <w:i/>
        </w:rPr>
        <w:t xml:space="preserve"> r</w:t>
      </w:r>
      <w:r w:rsidRPr="00294534">
        <w:rPr>
          <w:i/>
          <w:lang w:val="es-ES"/>
        </w:rPr>
        <w:t>egularizar</w:t>
      </w:r>
      <w:r w:rsidRPr="00771F01">
        <w:rPr>
          <w:i/>
        </w:rPr>
        <w:t xml:space="preserve"> los saldos de los acreedores no presupuestarios, dando de baja aquellos conceptos ya pagados.</w:t>
      </w:r>
    </w:p>
    <w:p w14:paraId="4A03A37C" w14:textId="056AF402" w:rsidR="00997F75" w:rsidRPr="007B4367" w:rsidRDefault="00544E8B" w:rsidP="00997F75">
      <w:pPr>
        <w:pStyle w:val="atitulo3"/>
        <w:spacing w:before="240"/>
        <w:rPr>
          <w:rFonts w:cs="Arial"/>
        </w:rPr>
      </w:pPr>
      <w:r>
        <w:rPr>
          <w:rFonts w:cs="Arial"/>
        </w:rPr>
        <w:t>5</w:t>
      </w:r>
      <w:r w:rsidR="00AB3947">
        <w:rPr>
          <w:rFonts w:cs="Arial"/>
        </w:rPr>
        <w:t>.10</w:t>
      </w:r>
      <w:r w:rsidR="00997F75" w:rsidRPr="007B4367">
        <w:rPr>
          <w:rFonts w:cs="Arial"/>
        </w:rPr>
        <w:t xml:space="preserve"> </w:t>
      </w:r>
      <w:r w:rsidR="007B4367" w:rsidRPr="007B4367">
        <w:rPr>
          <w:rFonts w:cs="Arial"/>
        </w:rPr>
        <w:t>Impuesto sobre el Valor añadido (IVA)</w:t>
      </w:r>
    </w:p>
    <w:p w14:paraId="3D8C4E5F" w14:textId="61AB3217" w:rsidR="00577C49" w:rsidRDefault="00577C49" w:rsidP="00577C49">
      <w:pPr>
        <w:pStyle w:val="texto"/>
        <w:tabs>
          <w:tab w:val="left" w:pos="142"/>
        </w:tabs>
        <w:spacing w:before="120"/>
      </w:pPr>
      <w:r>
        <w:t>En la revisión de</w:t>
      </w:r>
      <w:r w:rsidR="005B0E03">
        <w:t xml:space="preserve"> IVA </w:t>
      </w:r>
      <w:r>
        <w:t>hemos constatado las siguientes deficiencias:</w:t>
      </w:r>
    </w:p>
    <w:p w14:paraId="312DC013" w14:textId="5767E4CC" w:rsidR="00577C49" w:rsidRDefault="0012244F" w:rsidP="00294534">
      <w:pPr>
        <w:pStyle w:val="texto"/>
        <w:numPr>
          <w:ilvl w:val="0"/>
          <w:numId w:val="18"/>
        </w:numPr>
        <w:tabs>
          <w:tab w:val="num" w:pos="567"/>
          <w:tab w:val="num" w:pos="2770"/>
        </w:tabs>
        <w:ind w:left="0" w:firstLine="290"/>
      </w:pPr>
      <w:r>
        <w:t>L</w:t>
      </w:r>
      <w:r w:rsidR="00577C49">
        <w:t xml:space="preserve">a </w:t>
      </w:r>
      <w:r w:rsidR="003C06D0">
        <w:t>Mancomunidad</w:t>
      </w:r>
      <w:r w:rsidR="00577C49">
        <w:t xml:space="preserve"> </w:t>
      </w:r>
      <w:r w:rsidR="0007570D">
        <w:t>presenta declaraciones de IVA por</w:t>
      </w:r>
      <w:r w:rsidR="00577C49">
        <w:t xml:space="preserve"> la venta de papel</w:t>
      </w:r>
      <w:r w:rsidR="00E022C2">
        <w:t xml:space="preserve"> y cartón</w:t>
      </w:r>
      <w:r w:rsidR="00577C49">
        <w:t xml:space="preserve">, </w:t>
      </w:r>
      <w:r w:rsidR="002051AE" w:rsidRPr="00294534">
        <w:rPr>
          <w:lang w:val="es-ES"/>
        </w:rPr>
        <w:t>gestión</w:t>
      </w:r>
      <w:r w:rsidR="002051AE">
        <w:t xml:space="preserve"> </w:t>
      </w:r>
      <w:r w:rsidR="002051AE" w:rsidRPr="002051AE">
        <w:t xml:space="preserve">del </w:t>
      </w:r>
      <w:r w:rsidR="00577C49" w:rsidRPr="002051AE">
        <w:t>punto limpio</w:t>
      </w:r>
      <w:r w:rsidR="007D7BCB">
        <w:t xml:space="preserve"> y</w:t>
      </w:r>
      <w:r w:rsidR="00577C49" w:rsidRPr="002051AE">
        <w:t xml:space="preserve"> </w:t>
      </w:r>
      <w:r w:rsidR="00E022C2" w:rsidRPr="007D7BCB">
        <w:t>venta de envases</w:t>
      </w:r>
      <w:r w:rsidR="0007570D">
        <w:t xml:space="preserve">. En las cuotas ingresadas en la Hacienda Foral por estas declaraciones, la </w:t>
      </w:r>
      <w:r w:rsidR="003C06D0">
        <w:t>Mancomunidad</w:t>
      </w:r>
      <w:r w:rsidR="0007570D">
        <w:t xml:space="preserve"> no se ha deducido el </w:t>
      </w:r>
      <w:r w:rsidR="00577C49">
        <w:t xml:space="preserve">IVA soportado </w:t>
      </w:r>
      <w:r>
        <w:t xml:space="preserve">en </w:t>
      </w:r>
      <w:r w:rsidR="00577C49">
        <w:t>los gastos relacionados con dichas actividades.</w:t>
      </w:r>
    </w:p>
    <w:p w14:paraId="432E537F" w14:textId="5A82ED2C" w:rsidR="00577C49" w:rsidRPr="0012244F" w:rsidRDefault="00577C49" w:rsidP="00294534">
      <w:pPr>
        <w:pStyle w:val="texto"/>
        <w:numPr>
          <w:ilvl w:val="0"/>
          <w:numId w:val="18"/>
        </w:numPr>
        <w:tabs>
          <w:tab w:val="num" w:pos="567"/>
          <w:tab w:val="num" w:pos="2770"/>
        </w:tabs>
        <w:ind w:left="0" w:firstLine="290"/>
      </w:pPr>
      <w:r>
        <w:t xml:space="preserve">Las </w:t>
      </w:r>
      <w:r w:rsidRPr="00294534">
        <w:rPr>
          <w:lang w:val="es-ES"/>
        </w:rPr>
        <w:t>liquidaciones</w:t>
      </w:r>
      <w:r>
        <w:t xml:space="preserve"> de IVA están incorrectamente contabilizadas </w:t>
      </w:r>
      <w:r w:rsidR="005B0E03">
        <w:t xml:space="preserve">y los saldos contables de IVA no </w:t>
      </w:r>
      <w:r>
        <w:t xml:space="preserve">coinciden </w:t>
      </w:r>
      <w:r w:rsidR="005B0E03">
        <w:t xml:space="preserve">con los saldos resultantes de </w:t>
      </w:r>
      <w:r>
        <w:t>las liquidaciones p</w:t>
      </w:r>
      <w:r w:rsidR="00D01F94">
        <w:t xml:space="preserve">resentadas a la Hacienda Foral, existiendo una diferencia de 4.406 euros en el saldo deudor de la Hacienda Foral a favor de la </w:t>
      </w:r>
      <w:r w:rsidR="003C06D0">
        <w:t>Mancomunidad</w:t>
      </w:r>
      <w:r w:rsidR="00D01F94">
        <w:t>.</w:t>
      </w:r>
      <w:r w:rsidR="00127432">
        <w:t xml:space="preserve"> No consta justificación de las cantidades declaradas a Hacienda</w:t>
      </w:r>
      <w:r w:rsidR="00742976">
        <w:t>.</w:t>
      </w:r>
    </w:p>
    <w:p w14:paraId="733769E5" w14:textId="77777777" w:rsidR="00577C49" w:rsidRPr="0088383A" w:rsidRDefault="00577C49" w:rsidP="00AB3947">
      <w:pPr>
        <w:pStyle w:val="texto"/>
        <w:tabs>
          <w:tab w:val="left" w:pos="142"/>
        </w:tabs>
        <w:spacing w:before="240" w:after="240"/>
        <w:rPr>
          <w:i/>
          <w:szCs w:val="26"/>
        </w:rPr>
      </w:pPr>
      <w:r w:rsidRPr="0088383A">
        <w:rPr>
          <w:i/>
          <w:szCs w:val="26"/>
        </w:rPr>
        <w:t>Se recomienda:</w:t>
      </w:r>
    </w:p>
    <w:p w14:paraId="2FE678DE" w14:textId="77777777" w:rsidR="00577C49" w:rsidRPr="0088383A" w:rsidRDefault="00577C49" w:rsidP="00294534">
      <w:pPr>
        <w:pStyle w:val="texto"/>
        <w:numPr>
          <w:ilvl w:val="0"/>
          <w:numId w:val="18"/>
        </w:numPr>
        <w:tabs>
          <w:tab w:val="num" w:pos="567"/>
          <w:tab w:val="num" w:pos="2770"/>
        </w:tabs>
        <w:ind w:left="0" w:firstLine="290"/>
        <w:rPr>
          <w:i/>
        </w:rPr>
      </w:pPr>
      <w:r w:rsidRPr="00294534">
        <w:rPr>
          <w:i/>
          <w:lang w:val="es-ES"/>
        </w:rPr>
        <w:t>Deducir</w:t>
      </w:r>
      <w:r w:rsidRPr="0088383A">
        <w:rPr>
          <w:i/>
        </w:rPr>
        <w:t xml:space="preserve"> el IVA soportado en los gastos relacionadas con las actividades sujetas a IVA.</w:t>
      </w:r>
    </w:p>
    <w:p w14:paraId="37B7AE19" w14:textId="36ED8686" w:rsidR="00577C49" w:rsidRDefault="00577C49" w:rsidP="00294534">
      <w:pPr>
        <w:pStyle w:val="texto"/>
        <w:numPr>
          <w:ilvl w:val="0"/>
          <w:numId w:val="18"/>
        </w:numPr>
        <w:tabs>
          <w:tab w:val="num" w:pos="567"/>
          <w:tab w:val="num" w:pos="2770"/>
        </w:tabs>
        <w:ind w:left="0" w:firstLine="290"/>
        <w:rPr>
          <w:i/>
          <w:iCs/>
        </w:rPr>
      </w:pPr>
      <w:r w:rsidRPr="00294534">
        <w:rPr>
          <w:i/>
          <w:lang w:val="es-ES"/>
        </w:rPr>
        <w:t>Revisar</w:t>
      </w:r>
      <w:r w:rsidRPr="37EBD5B8">
        <w:rPr>
          <w:i/>
          <w:iCs/>
        </w:rPr>
        <w:t xml:space="preserve"> las operaciones duplicadas o incorrectas que hemos detectado en la fiscalización y se indican en este informe, para rectificar, en su caso, las declaraciones de IVA presentadas a la Hacienda Foral. </w:t>
      </w:r>
    </w:p>
    <w:p w14:paraId="1C9EB992" w14:textId="5FE20DBC" w:rsidR="00577C49" w:rsidRPr="0088383A" w:rsidRDefault="00577C49" w:rsidP="00294534">
      <w:pPr>
        <w:pStyle w:val="texto"/>
        <w:numPr>
          <w:ilvl w:val="0"/>
          <w:numId w:val="18"/>
        </w:numPr>
        <w:tabs>
          <w:tab w:val="num" w:pos="567"/>
          <w:tab w:val="num" w:pos="2770"/>
        </w:tabs>
        <w:ind w:left="0" w:firstLine="290"/>
        <w:rPr>
          <w:i/>
          <w:iCs/>
          <w:lang w:val="es-ES"/>
        </w:rPr>
      </w:pPr>
      <w:r w:rsidRPr="00294534">
        <w:rPr>
          <w:i/>
          <w:lang w:val="es-ES"/>
        </w:rPr>
        <w:t>Contabilizar</w:t>
      </w:r>
      <w:r w:rsidRPr="06D4BFB9">
        <w:rPr>
          <w:i/>
          <w:iCs/>
          <w:lang w:val="es-ES"/>
        </w:rPr>
        <w:t xml:space="preserve"> trimestralmente </w:t>
      </w:r>
      <w:r w:rsidR="00D01F94" w:rsidRPr="06D4BFB9">
        <w:rPr>
          <w:i/>
          <w:iCs/>
          <w:lang w:val="es-ES"/>
        </w:rPr>
        <w:t xml:space="preserve">y correctamente </w:t>
      </w:r>
      <w:r w:rsidRPr="06D4BFB9">
        <w:rPr>
          <w:i/>
          <w:iCs/>
          <w:lang w:val="es-ES"/>
        </w:rPr>
        <w:t>las liquidaciones de IVA presentadas a la Hacienda Foral</w:t>
      </w:r>
      <w:r w:rsidR="00F07866" w:rsidRPr="06D4BFB9">
        <w:rPr>
          <w:i/>
          <w:iCs/>
          <w:lang w:val="es-ES"/>
        </w:rPr>
        <w:t>, dejando constancia de los importes incluidos en dichas declaraciones</w:t>
      </w:r>
      <w:r w:rsidRPr="06D4BFB9">
        <w:rPr>
          <w:i/>
          <w:iCs/>
          <w:lang w:val="es-ES"/>
        </w:rPr>
        <w:t>.</w:t>
      </w:r>
    </w:p>
    <w:p w14:paraId="4EBCE5AD" w14:textId="3E08B924" w:rsidR="00CA7469" w:rsidRPr="00E47952" w:rsidRDefault="00544E8B" w:rsidP="00CA7469">
      <w:pPr>
        <w:pStyle w:val="atitulo3"/>
        <w:spacing w:before="240"/>
        <w:rPr>
          <w:rFonts w:cs="Arial"/>
        </w:rPr>
      </w:pPr>
      <w:r>
        <w:rPr>
          <w:rFonts w:cs="Arial"/>
        </w:rPr>
        <w:t>5</w:t>
      </w:r>
      <w:r w:rsidR="00CA7469" w:rsidRPr="002051AE">
        <w:rPr>
          <w:rFonts w:cs="Arial"/>
        </w:rPr>
        <w:t>.1</w:t>
      </w:r>
      <w:r w:rsidR="007B4367" w:rsidRPr="002051AE">
        <w:rPr>
          <w:rFonts w:cs="Arial"/>
        </w:rPr>
        <w:t>1</w:t>
      </w:r>
      <w:r w:rsidR="00CA7469" w:rsidRPr="002051AE">
        <w:rPr>
          <w:rFonts w:cs="Arial"/>
        </w:rPr>
        <w:t xml:space="preserve"> Tesorería</w:t>
      </w:r>
      <w:r w:rsidR="00CA7469" w:rsidRPr="00E47952">
        <w:rPr>
          <w:rFonts w:cs="Arial"/>
        </w:rPr>
        <w:t xml:space="preserve"> </w:t>
      </w:r>
    </w:p>
    <w:p w14:paraId="610DAE64" w14:textId="77777777" w:rsidR="0005695B" w:rsidRPr="00675738" w:rsidRDefault="00CA7469" w:rsidP="00CA7469">
      <w:pPr>
        <w:pStyle w:val="texto"/>
        <w:tabs>
          <w:tab w:val="left" w:pos="142"/>
        </w:tabs>
      </w:pPr>
      <w:r>
        <w:t>El saldo a 31 de diciembre de 2023 ascendía a 99.</w:t>
      </w:r>
      <w:r w:rsidR="00975206">
        <w:t>588 euros y se localizaba en tres entidades financieras, una de ellas destinada a los cobros que realiza la agencia ejecutiva</w:t>
      </w:r>
      <w:r>
        <w:t>.</w:t>
      </w:r>
    </w:p>
    <w:p w14:paraId="58EE3A1C" w14:textId="2320A8D9" w:rsidR="0005695B" w:rsidRPr="00682CB3" w:rsidRDefault="0005695B" w:rsidP="2C569507">
      <w:pPr>
        <w:pStyle w:val="texto"/>
        <w:tabs>
          <w:tab w:val="left" w:pos="142"/>
        </w:tabs>
        <w:rPr>
          <w:highlight w:val="yellow"/>
          <w:lang w:val="es-ES"/>
        </w:rPr>
      </w:pPr>
      <w:r>
        <w:t xml:space="preserve">El saldo a 31 de diciembre de 2023 en una de las entidades financieras asciende a </w:t>
      </w:r>
      <w:r w:rsidR="00354F4B">
        <w:t xml:space="preserve">615 euros. Durante el año 2023, solamente se han registrado nueve movimientos en dicha cuenta y </w:t>
      </w:r>
      <w:r>
        <w:t>se han pagado 195 euros de comisiones</w:t>
      </w:r>
      <w:r w:rsidR="00780742">
        <w:t xml:space="preserve"> (90 euros por mantenimiento de la cuenta).</w:t>
      </w:r>
    </w:p>
    <w:p w14:paraId="732D5BF2" w14:textId="6AB61AE2" w:rsidR="00675738" w:rsidRDefault="00675738" w:rsidP="06D4BFB9">
      <w:pPr>
        <w:pStyle w:val="texto"/>
        <w:tabs>
          <w:tab w:val="left" w:pos="142"/>
        </w:tabs>
        <w:rPr>
          <w:lang w:val="es-ES"/>
        </w:rPr>
      </w:pPr>
      <w:r w:rsidRPr="2BF44EB8">
        <w:rPr>
          <w:lang w:val="es-ES"/>
        </w:rPr>
        <w:t xml:space="preserve">Constan en el </w:t>
      </w:r>
      <w:r w:rsidR="00354F4B" w:rsidRPr="2BF44EB8">
        <w:rPr>
          <w:lang w:val="es-ES"/>
        </w:rPr>
        <w:t>E</w:t>
      </w:r>
      <w:r w:rsidRPr="2BF44EB8">
        <w:rPr>
          <w:lang w:val="es-ES"/>
        </w:rPr>
        <w:t xml:space="preserve">stado de </w:t>
      </w:r>
      <w:r w:rsidR="00354F4B" w:rsidRPr="2BF44EB8">
        <w:rPr>
          <w:lang w:val="es-ES"/>
        </w:rPr>
        <w:t>T</w:t>
      </w:r>
      <w:r w:rsidRPr="2BF44EB8">
        <w:rPr>
          <w:lang w:val="es-ES"/>
        </w:rPr>
        <w:t xml:space="preserve">esorería </w:t>
      </w:r>
      <w:r w:rsidR="00354F4B" w:rsidRPr="2BF44EB8">
        <w:rPr>
          <w:lang w:val="es-ES"/>
        </w:rPr>
        <w:t xml:space="preserve">de la cuenta general </w:t>
      </w:r>
      <w:r w:rsidRPr="2BF44EB8">
        <w:rPr>
          <w:lang w:val="es-ES"/>
        </w:rPr>
        <w:t xml:space="preserve">dos cuentas con saldo cero que </w:t>
      </w:r>
      <w:r w:rsidR="004930F3" w:rsidRPr="2BF44EB8">
        <w:rPr>
          <w:lang w:val="es-ES"/>
        </w:rPr>
        <w:t>no han sido confirmadas por las entidades financieras.</w:t>
      </w:r>
    </w:p>
    <w:p w14:paraId="666E1C7C" w14:textId="56B1BF9F" w:rsidR="00354F4B" w:rsidRPr="0088383A" w:rsidRDefault="00354F4B" w:rsidP="00CD73EB">
      <w:pPr>
        <w:pStyle w:val="texto"/>
        <w:keepNext/>
        <w:tabs>
          <w:tab w:val="left" w:pos="142"/>
        </w:tabs>
        <w:spacing w:before="120"/>
        <w:rPr>
          <w:i/>
          <w:szCs w:val="26"/>
        </w:rPr>
      </w:pPr>
      <w:r w:rsidRPr="0088383A">
        <w:rPr>
          <w:i/>
          <w:szCs w:val="26"/>
        </w:rPr>
        <w:lastRenderedPageBreak/>
        <w:t>Se recomienda:</w:t>
      </w:r>
    </w:p>
    <w:p w14:paraId="2947A71A" w14:textId="6567DD0A" w:rsidR="00354F4B" w:rsidRDefault="01CF18D3" w:rsidP="00294534">
      <w:pPr>
        <w:pStyle w:val="texto"/>
        <w:numPr>
          <w:ilvl w:val="0"/>
          <w:numId w:val="18"/>
        </w:numPr>
        <w:tabs>
          <w:tab w:val="num" w:pos="567"/>
          <w:tab w:val="num" w:pos="2770"/>
        </w:tabs>
        <w:ind w:left="0" w:firstLine="290"/>
        <w:rPr>
          <w:i/>
          <w:iCs/>
        </w:rPr>
      </w:pPr>
      <w:r w:rsidRPr="00294534">
        <w:rPr>
          <w:i/>
          <w:lang w:val="es-ES"/>
        </w:rPr>
        <w:t>Establecer</w:t>
      </w:r>
      <w:r w:rsidR="0013096B" w:rsidRPr="37EBD5B8">
        <w:rPr>
          <w:i/>
          <w:iCs/>
        </w:rPr>
        <w:t xml:space="preserve"> la firma mancomunada para la disposición de fondos, incluyendo a la presidenta de la </w:t>
      </w:r>
      <w:r w:rsidR="003C06D0">
        <w:rPr>
          <w:i/>
          <w:iCs/>
        </w:rPr>
        <w:t>Mancomunidad</w:t>
      </w:r>
      <w:r w:rsidR="0013096B" w:rsidRPr="37EBD5B8">
        <w:rPr>
          <w:i/>
          <w:iCs/>
        </w:rPr>
        <w:t xml:space="preserve"> como apoderada en todas las cuentas financieras.</w:t>
      </w:r>
    </w:p>
    <w:p w14:paraId="26E0504B" w14:textId="0483D916" w:rsidR="0013096B" w:rsidRDefault="0013096B" w:rsidP="00294534">
      <w:pPr>
        <w:pStyle w:val="texto"/>
        <w:numPr>
          <w:ilvl w:val="0"/>
          <w:numId w:val="18"/>
        </w:numPr>
        <w:tabs>
          <w:tab w:val="num" w:pos="567"/>
          <w:tab w:val="num" w:pos="2770"/>
        </w:tabs>
        <w:ind w:left="0" w:firstLine="290"/>
        <w:rPr>
          <w:i/>
        </w:rPr>
      </w:pPr>
      <w:r>
        <w:rPr>
          <w:i/>
        </w:rPr>
        <w:t>Analizar la conveniencia de mantener una cuenta financiera sin apenas movimientos de tesorería.</w:t>
      </w:r>
    </w:p>
    <w:p w14:paraId="512BD4D8" w14:textId="797DEE1A" w:rsidR="0013096B" w:rsidRDefault="0013096B" w:rsidP="00294534">
      <w:pPr>
        <w:pStyle w:val="texto"/>
        <w:numPr>
          <w:ilvl w:val="0"/>
          <w:numId w:val="18"/>
        </w:numPr>
        <w:tabs>
          <w:tab w:val="num" w:pos="567"/>
          <w:tab w:val="num" w:pos="2770"/>
        </w:tabs>
        <w:ind w:left="0" w:firstLine="290"/>
        <w:rPr>
          <w:i/>
        </w:rPr>
      </w:pPr>
      <w:r w:rsidRPr="00294534">
        <w:rPr>
          <w:i/>
          <w:lang w:val="es-ES"/>
        </w:rPr>
        <w:t>Negociar</w:t>
      </w:r>
      <w:r>
        <w:rPr>
          <w:i/>
        </w:rPr>
        <w:t xml:space="preserve"> con las entidades financieras las comisiones a pagar por transferencias y otras operaciones financieras.</w:t>
      </w:r>
    </w:p>
    <w:p w14:paraId="152D1AE5" w14:textId="4FA98565" w:rsidR="0013096B" w:rsidRPr="003F629F" w:rsidRDefault="0013096B" w:rsidP="00294534">
      <w:pPr>
        <w:pStyle w:val="texto"/>
        <w:numPr>
          <w:ilvl w:val="0"/>
          <w:numId w:val="18"/>
        </w:numPr>
        <w:tabs>
          <w:tab w:val="num" w:pos="567"/>
          <w:tab w:val="num" w:pos="2770"/>
        </w:tabs>
        <w:ind w:left="0" w:firstLine="290"/>
        <w:rPr>
          <w:i/>
        </w:rPr>
      </w:pPr>
      <w:r w:rsidRPr="003F629F">
        <w:rPr>
          <w:i/>
        </w:rPr>
        <w:t xml:space="preserve">Dar de baja en </w:t>
      </w:r>
      <w:r w:rsidRPr="003F629F">
        <w:rPr>
          <w:i/>
          <w:lang w:val="es-ES"/>
        </w:rPr>
        <w:t>contabilidad</w:t>
      </w:r>
      <w:r w:rsidRPr="003F629F">
        <w:rPr>
          <w:i/>
        </w:rPr>
        <w:t xml:space="preserve"> las cuentas financieras canceladas.</w:t>
      </w:r>
    </w:p>
    <w:p w14:paraId="67323062" w14:textId="77777777" w:rsidR="00354F4B" w:rsidRDefault="00354F4B" w:rsidP="00CA7469">
      <w:pPr>
        <w:pStyle w:val="texto"/>
        <w:tabs>
          <w:tab w:val="left" w:pos="142"/>
        </w:tabs>
        <w:rPr>
          <w:szCs w:val="26"/>
        </w:rPr>
      </w:pPr>
    </w:p>
    <w:p w14:paraId="63518D9A" w14:textId="0BC0A4C4" w:rsidR="00687E52" w:rsidRPr="007A336B" w:rsidRDefault="00687E52" w:rsidP="007A336B">
      <w:pPr>
        <w:spacing w:after="0"/>
        <w:ind w:firstLine="0"/>
        <w:jc w:val="left"/>
        <w:rPr>
          <w:spacing w:val="6"/>
          <w:sz w:val="26"/>
          <w:szCs w:val="26"/>
        </w:rPr>
      </w:pPr>
      <w:r>
        <w:rPr>
          <w:szCs w:val="26"/>
        </w:rPr>
        <w:br w:type="page"/>
      </w:r>
    </w:p>
    <w:p w14:paraId="4AB22DAD" w14:textId="77777777" w:rsidR="00687E52" w:rsidRDefault="00687E52" w:rsidP="00687E52">
      <w:pPr>
        <w:pStyle w:val="atitulo1"/>
        <w:jc w:val="right"/>
        <w:rPr>
          <w:bCs/>
          <w:color w:val="auto"/>
          <w:sz w:val="32"/>
        </w:rPr>
      </w:pPr>
      <w:bookmarkStart w:id="100" w:name="_Toc177557120"/>
      <w:bookmarkStart w:id="101" w:name="_Toc182397306"/>
      <w:r w:rsidRPr="00F555B0">
        <w:rPr>
          <w:bCs/>
          <w:color w:val="auto"/>
          <w:sz w:val="32"/>
        </w:rPr>
        <w:lastRenderedPageBreak/>
        <w:t>Alegaciones formuladas al informe provisional</w:t>
      </w:r>
      <w:bookmarkEnd w:id="100"/>
      <w:bookmarkEnd w:id="101"/>
    </w:p>
    <w:p w14:paraId="69E2C258" w14:textId="77777777" w:rsidR="007A336B" w:rsidRDefault="007A336B" w:rsidP="007A336B">
      <w:pPr>
        <w:pStyle w:val="Ttulo1"/>
        <w:jc w:val="center"/>
        <w:rPr>
          <w:sz w:val="24"/>
          <w:u w:val="single"/>
        </w:rPr>
      </w:pPr>
      <w:r w:rsidRPr="007A336B">
        <w:rPr>
          <w:sz w:val="24"/>
          <w:u w:val="single"/>
        </w:rPr>
        <w:t>A LA CÁMARA DE COMPTOS DE NAVARRA</w:t>
      </w:r>
    </w:p>
    <w:p w14:paraId="251AA654" w14:textId="77777777" w:rsidR="007A336B" w:rsidRPr="007A336B" w:rsidRDefault="007A336B" w:rsidP="007A336B"/>
    <w:p w14:paraId="3B469AE3" w14:textId="77777777" w:rsidR="007A336B" w:rsidRPr="00C444BD" w:rsidRDefault="007A336B" w:rsidP="007A336B">
      <w:pPr>
        <w:spacing w:after="85" w:line="264" w:lineRule="auto"/>
        <w:ind w:right="36" w:firstLine="835"/>
        <w:rPr>
          <w:sz w:val="24"/>
        </w:rPr>
      </w:pPr>
      <w:r w:rsidRPr="00C444BD">
        <w:rPr>
          <w:sz w:val="24"/>
        </w:rPr>
        <w:t>MARÍA JOSE BEAUMONT ARISTU, con D.N.I. 15.806.929 H, en su calidad de PRESIDENTA DE LA MANCOMUNIDAD DE RESIDUOS SÓLIDOS URBANOS IRATI, ante la Cámara de Comptos comparece y DICE:</w:t>
      </w:r>
    </w:p>
    <w:p w14:paraId="1EB0C60B" w14:textId="77777777" w:rsidR="007A336B" w:rsidRPr="00C444BD" w:rsidRDefault="007A336B" w:rsidP="0097470B">
      <w:pPr>
        <w:rPr>
          <w:sz w:val="24"/>
        </w:rPr>
      </w:pPr>
      <w:r w:rsidRPr="00C444BD">
        <w:rPr>
          <w:sz w:val="24"/>
        </w:rPr>
        <w:t>Que, visto el Informe provisional de fiscalización de la Cuenta General 2,023, de noviembre de 2.024, recibido el día 6 de noviembre de 2,024, junto con Resolución de su Presidente aprobándolo y dando traslado para su examen y formulación de alegaciones hasta el día 13 de noviembre, se deducen las siguientes,</w:t>
      </w:r>
    </w:p>
    <w:p w14:paraId="7EAA43B9" w14:textId="77777777" w:rsidR="007A336B" w:rsidRPr="0097470B" w:rsidRDefault="007A336B" w:rsidP="0097470B">
      <w:pPr>
        <w:pStyle w:val="Ttulo2"/>
        <w:ind w:left="2807"/>
        <w:rPr>
          <w:b w:val="0"/>
          <w:bCs w:val="0"/>
          <w:sz w:val="24"/>
          <w:u w:val="single"/>
        </w:rPr>
      </w:pPr>
      <w:r w:rsidRPr="0097470B">
        <w:rPr>
          <w:sz w:val="24"/>
          <w:u w:val="single"/>
        </w:rPr>
        <w:t>ALEGACIONES</w:t>
      </w:r>
    </w:p>
    <w:p w14:paraId="64F50518" w14:textId="77777777" w:rsidR="007A336B" w:rsidRPr="00C444BD" w:rsidRDefault="007A336B" w:rsidP="007A336B">
      <w:pPr>
        <w:spacing w:after="130" w:line="216" w:lineRule="auto"/>
        <w:rPr>
          <w:b/>
          <w:bCs/>
          <w:sz w:val="24"/>
        </w:rPr>
      </w:pPr>
      <w:r w:rsidRPr="00C444BD">
        <w:rPr>
          <w:b/>
          <w:bCs/>
          <w:sz w:val="24"/>
        </w:rPr>
        <w:t>1</w:t>
      </w:r>
      <w:r w:rsidRPr="00C444BD">
        <w:rPr>
          <w:b/>
          <w:bCs/>
          <w:sz w:val="24"/>
          <w:vertAlign w:val="superscript"/>
        </w:rPr>
        <w:t>a</w:t>
      </w:r>
      <w:r w:rsidRPr="00C444BD">
        <w:rPr>
          <w:b/>
          <w:bCs/>
          <w:sz w:val="24"/>
        </w:rPr>
        <w:t>.- De la lectura del Informe se deduce que estuvo más que justificada la solicitud de fiscalización.</w:t>
      </w:r>
    </w:p>
    <w:p w14:paraId="26D15159" w14:textId="77777777" w:rsidR="007A336B" w:rsidRPr="00C444BD" w:rsidRDefault="007A336B" w:rsidP="007A336B">
      <w:pPr>
        <w:ind w:right="10"/>
        <w:rPr>
          <w:sz w:val="24"/>
        </w:rPr>
      </w:pPr>
      <w:r w:rsidRPr="00C444BD">
        <w:rPr>
          <w:b/>
          <w:bCs/>
          <w:sz w:val="24"/>
        </w:rPr>
        <w:t>2ª.- Dicha solicitud se efectuó el 30/10/2023,</w:t>
      </w:r>
      <w:r w:rsidRPr="00C444BD">
        <w:rPr>
          <w:sz w:val="24"/>
        </w:rPr>
        <w:t xml:space="preserve"> esto es, a tan solo 26 días desde que el 04/10/2023 esta presidencia y los integrantes de la comisión permanente asumiéramos nuestros cargos, y solo 21 días después desde el día 09/10/2023 en que esta presidencia se reuniera con el secretario-interventor quien le informó verbalmente y solo en parte de la situación económico-financiera de la entidad, ya que ni en la reunión de constitución de la nueva Asamblea tras las elecciones locales de mayo de 2023, reunión celebrada el día 26/09/2023 (en la que la presidenta saliente dijo que la entidad era pequeña pero puntera y que en lo económico estaba bastante saneada), ni en la de elección de la nueva presidencia y comisión permanente se nos entregó documentación alguna sobre tal situación.</w:t>
      </w:r>
      <w:r w:rsidRPr="00C444BD">
        <w:rPr>
          <w:noProof/>
          <w:sz w:val="24"/>
        </w:rPr>
        <w:drawing>
          <wp:inline distT="0" distB="0" distL="0" distR="0" wp14:anchorId="3B9BCBAE" wp14:editId="62E19D36">
            <wp:extent cx="3232" cy="3232"/>
            <wp:effectExtent l="0" t="0" r="0" b="0"/>
            <wp:docPr id="2029" name="Picture 2029"/>
            <wp:cNvGraphicFramePr/>
            <a:graphic xmlns:a="http://schemas.openxmlformats.org/drawingml/2006/main">
              <a:graphicData uri="http://schemas.openxmlformats.org/drawingml/2006/picture">
                <pic:pic xmlns:pic="http://schemas.openxmlformats.org/drawingml/2006/picture">
                  <pic:nvPicPr>
                    <pic:cNvPr id="2029" name="Picture 2029"/>
                    <pic:cNvPicPr/>
                  </pic:nvPicPr>
                  <pic:blipFill>
                    <a:blip r:embed="rId19"/>
                    <a:stretch>
                      <a:fillRect/>
                    </a:stretch>
                  </pic:blipFill>
                  <pic:spPr>
                    <a:xfrm>
                      <a:off x="0" y="0"/>
                      <a:ext cx="3232" cy="3232"/>
                    </a:xfrm>
                    <a:prstGeom prst="rect">
                      <a:avLst/>
                    </a:prstGeom>
                  </pic:spPr>
                </pic:pic>
              </a:graphicData>
            </a:graphic>
          </wp:inline>
        </w:drawing>
      </w:r>
    </w:p>
    <w:p w14:paraId="7738474A" w14:textId="77777777" w:rsidR="0097470B" w:rsidRDefault="007A336B" w:rsidP="0097470B">
      <w:pPr>
        <w:spacing w:line="216" w:lineRule="auto"/>
        <w:rPr>
          <w:b/>
          <w:bCs/>
          <w:sz w:val="24"/>
        </w:rPr>
      </w:pPr>
      <w:r w:rsidRPr="00C444BD">
        <w:rPr>
          <w:b/>
          <w:bCs/>
          <w:sz w:val="24"/>
        </w:rPr>
        <w:t>3ª.- Esa información parcial de la situación económico-financiera de la entidad no fue facilitada documentalmente hasta el día 17/10/2023.</w:t>
      </w:r>
    </w:p>
    <w:p w14:paraId="74EE3F16" w14:textId="77777777" w:rsidR="0097470B" w:rsidRDefault="007A336B" w:rsidP="0097470B">
      <w:pPr>
        <w:spacing w:line="216" w:lineRule="auto"/>
        <w:rPr>
          <w:b/>
          <w:bCs/>
          <w:sz w:val="24"/>
        </w:rPr>
      </w:pPr>
      <w:r w:rsidRPr="00C444BD">
        <w:rPr>
          <w:sz w:val="24"/>
        </w:rPr>
        <w:t>Ya ese mismo día 17 de octubre se mantuvo reunión de la comisión permanente, reunión en la que se decidió encargar una auditoría externa sobre esa situación, realizándose en días posteriores varias gestiones a tal fin, las que resultaron infructuosas.</w:t>
      </w:r>
    </w:p>
    <w:p w14:paraId="22B754CC" w14:textId="77777777" w:rsidR="0097470B" w:rsidRDefault="007A336B" w:rsidP="0097470B">
      <w:pPr>
        <w:spacing w:line="216" w:lineRule="auto"/>
        <w:rPr>
          <w:b/>
          <w:bCs/>
          <w:sz w:val="24"/>
        </w:rPr>
      </w:pPr>
      <w:r w:rsidRPr="00C444BD">
        <w:rPr>
          <w:sz w:val="24"/>
        </w:rPr>
        <w:t xml:space="preserve">Aún más, a requerimiento de esta presidencia sobre el estado de situación del cobro de tasas-listado de morosidad al 19/10/2023, el que se me entregó el día 20 siguiente, y conocido que el Ayuntamiento de Aoiz (uno de los once mancomunados), era moroso desde hace varios años (deuda de los años 2019 a 2022 que no abonó hasta el día 31 siguiente y solo por principal y recargos </w:t>
      </w:r>
      <w:r>
        <w:rPr>
          <w:sz w:val="24"/>
        </w:rPr>
        <w:t>-</w:t>
      </w:r>
      <w:r w:rsidRPr="00C444BD">
        <w:rPr>
          <w:sz w:val="24"/>
        </w:rPr>
        <w:t>no todos- y sin intereses de demora).</w:t>
      </w:r>
    </w:p>
    <w:p w14:paraId="6855CB56" w14:textId="0F78A750" w:rsidR="007A336B" w:rsidRPr="0097470B" w:rsidRDefault="007A336B" w:rsidP="0097470B">
      <w:pPr>
        <w:spacing w:line="216" w:lineRule="auto"/>
        <w:rPr>
          <w:b/>
          <w:bCs/>
          <w:sz w:val="24"/>
        </w:rPr>
      </w:pPr>
      <w:r w:rsidRPr="00C444BD">
        <w:rPr>
          <w:sz w:val="24"/>
        </w:rPr>
        <w:t>Ante la situación expuesta, en reunión de la comisión permanente mantenida el día 25/10/2023 se decidió solicitar de esa Cámara de Comptos un Informe de fiscalización sobre la situación económico-financiera de la entidad.</w:t>
      </w:r>
    </w:p>
    <w:p w14:paraId="3E669B2D" w14:textId="77777777" w:rsidR="007A336B" w:rsidRPr="00C444BD" w:rsidRDefault="007A336B" w:rsidP="007A336B">
      <w:pPr>
        <w:spacing w:after="54" w:line="216" w:lineRule="auto"/>
        <w:rPr>
          <w:b/>
          <w:bCs/>
          <w:sz w:val="24"/>
        </w:rPr>
      </w:pPr>
      <w:r w:rsidRPr="00C444BD">
        <w:rPr>
          <w:b/>
          <w:bCs/>
          <w:sz w:val="24"/>
        </w:rPr>
        <w:t>4</w:t>
      </w:r>
      <w:r w:rsidRPr="00C444BD">
        <w:rPr>
          <w:b/>
          <w:bCs/>
          <w:sz w:val="24"/>
          <w:vertAlign w:val="superscript"/>
        </w:rPr>
        <w:t>a</w:t>
      </w:r>
      <w:r w:rsidRPr="00C444BD">
        <w:rPr>
          <w:b/>
          <w:bCs/>
          <w:sz w:val="24"/>
        </w:rPr>
        <w:t>.- En Asamblea General de la Mancomunidad celebrada el día 22/05/2024 se acordó por unanimidad no aprobar las cuentas del ejercicio de 2023 presentadas por el secretario-interventor y por el asesor contable.</w:t>
      </w:r>
    </w:p>
    <w:p w14:paraId="015BEDA2" w14:textId="77777777" w:rsidR="007A336B" w:rsidRPr="00C444BD" w:rsidRDefault="007A336B" w:rsidP="007A336B">
      <w:pPr>
        <w:spacing w:after="172" w:line="264" w:lineRule="auto"/>
        <w:ind w:right="17"/>
        <w:rPr>
          <w:sz w:val="24"/>
        </w:rPr>
      </w:pPr>
      <w:r w:rsidRPr="00C444BD">
        <w:rPr>
          <w:b/>
          <w:bCs/>
          <w:sz w:val="24"/>
        </w:rPr>
        <w:t>5</w:t>
      </w:r>
      <w:r w:rsidRPr="00C444BD">
        <w:rPr>
          <w:b/>
          <w:bCs/>
          <w:sz w:val="24"/>
          <w:vertAlign w:val="superscript"/>
        </w:rPr>
        <w:t>a</w:t>
      </w:r>
      <w:r w:rsidRPr="00C444BD">
        <w:rPr>
          <w:b/>
          <w:bCs/>
          <w:sz w:val="24"/>
        </w:rPr>
        <w:t>.- El día 26/06/2024, la comisión permanente decidió prescindir de los servicios de llevanza de la contabilidad del profesional externo,</w:t>
      </w:r>
      <w:r w:rsidRPr="00C444BD">
        <w:rPr>
          <w:sz w:val="24"/>
        </w:rPr>
        <w:t xml:space="preserve"> lo que así le fue comunicado por escrito el día 28/06/2024, sin que opusiera objeción alguna</w:t>
      </w:r>
      <w:r>
        <w:rPr>
          <w:sz w:val="24"/>
        </w:rPr>
        <w:t>.</w:t>
      </w:r>
    </w:p>
    <w:p w14:paraId="3EB822FD" w14:textId="77777777" w:rsidR="007A336B" w:rsidRPr="00C444BD" w:rsidRDefault="007A336B" w:rsidP="007A336B">
      <w:pPr>
        <w:spacing w:after="98" w:line="216" w:lineRule="auto"/>
        <w:ind w:right="17"/>
        <w:rPr>
          <w:b/>
          <w:bCs/>
          <w:sz w:val="24"/>
        </w:rPr>
      </w:pPr>
      <w:r w:rsidRPr="00C444BD">
        <w:rPr>
          <w:b/>
          <w:bCs/>
          <w:sz w:val="24"/>
        </w:rPr>
        <w:lastRenderedPageBreak/>
        <w:t>6</w:t>
      </w:r>
      <w:r w:rsidRPr="00C444BD">
        <w:rPr>
          <w:b/>
          <w:bCs/>
          <w:sz w:val="24"/>
          <w:vertAlign w:val="superscript"/>
        </w:rPr>
        <w:t>a</w:t>
      </w:r>
      <w:r w:rsidRPr="00C444BD">
        <w:rPr>
          <w:b/>
          <w:bCs/>
          <w:sz w:val="24"/>
        </w:rPr>
        <w:t>.- En reunión de la comisión permanente celebrada el día 12/11/2024,</w:t>
      </w:r>
      <w:r>
        <w:rPr>
          <w:b/>
          <w:bCs/>
          <w:sz w:val="24"/>
        </w:rPr>
        <w:t xml:space="preserve"> </w:t>
      </w:r>
      <w:r w:rsidRPr="00C444BD">
        <w:rPr>
          <w:b/>
          <w:bCs/>
          <w:sz w:val="24"/>
        </w:rPr>
        <w:t>se acordó:</w:t>
      </w:r>
    </w:p>
    <w:p w14:paraId="39231429" w14:textId="77777777" w:rsidR="007A336B" w:rsidRPr="00C444BD" w:rsidRDefault="007A336B" w:rsidP="007A336B">
      <w:pPr>
        <w:spacing w:after="0" w:line="264" w:lineRule="auto"/>
        <w:ind w:right="36"/>
        <w:rPr>
          <w:sz w:val="24"/>
        </w:rPr>
      </w:pPr>
      <w:r w:rsidRPr="00C444BD">
        <w:rPr>
          <w:sz w:val="24"/>
        </w:rPr>
        <w:t>1.- Agradecer a esa Institución el trabajo realizado.</w:t>
      </w:r>
    </w:p>
    <w:p w14:paraId="11C93C71" w14:textId="7386C20A" w:rsidR="007A336B" w:rsidRPr="00C444BD" w:rsidRDefault="007A336B" w:rsidP="007A336B">
      <w:pPr>
        <w:spacing w:after="91"/>
        <w:ind w:right="10"/>
        <w:rPr>
          <w:sz w:val="24"/>
        </w:rPr>
      </w:pPr>
      <w:r w:rsidRPr="00C444BD">
        <w:rPr>
          <w:sz w:val="24"/>
        </w:rPr>
        <w:t>2</w:t>
      </w:r>
      <w:r>
        <w:rPr>
          <w:sz w:val="24"/>
        </w:rPr>
        <w:t>.</w:t>
      </w:r>
      <w:r w:rsidRPr="00C444BD">
        <w:rPr>
          <w:sz w:val="24"/>
        </w:rPr>
        <w:t>- Aceptar todas y cada una de las recomendaciones más relevantes contenidas en el epígrafe X (pág. 17 del Informe) y, en el apéndice 5 (págs. 26 a 41).</w:t>
      </w:r>
    </w:p>
    <w:p w14:paraId="2FAD028C" w14:textId="77777777" w:rsidR="00831481" w:rsidRDefault="007A336B" w:rsidP="00831481">
      <w:pPr>
        <w:spacing w:after="142"/>
        <w:ind w:right="10"/>
        <w:rPr>
          <w:sz w:val="24"/>
        </w:rPr>
      </w:pPr>
      <w:r w:rsidRPr="00C444BD">
        <w:rPr>
          <w:sz w:val="24"/>
        </w:rPr>
        <w:t>3.- Informar a la Cámara de Comptos que ya se han materializado algunas de sus recomendaciones, como son:</w:t>
      </w:r>
    </w:p>
    <w:p w14:paraId="66EFD754" w14:textId="09FF9155" w:rsidR="00831481" w:rsidRPr="00831481" w:rsidRDefault="007A336B" w:rsidP="00831481">
      <w:pPr>
        <w:pStyle w:val="Prrafodelista"/>
        <w:numPr>
          <w:ilvl w:val="0"/>
          <w:numId w:val="48"/>
        </w:numPr>
        <w:spacing w:after="142"/>
        <w:ind w:right="10"/>
      </w:pPr>
      <w:r w:rsidRPr="00831481">
        <w:t>se ha cancelado la cuenta de Caixa Bank el día 20/09/2024.</w:t>
      </w:r>
    </w:p>
    <w:p w14:paraId="303B7925" w14:textId="38781D17" w:rsidR="00831481" w:rsidRPr="00831481" w:rsidRDefault="007A336B" w:rsidP="00831481">
      <w:pPr>
        <w:pStyle w:val="Prrafodelista"/>
        <w:numPr>
          <w:ilvl w:val="0"/>
          <w:numId w:val="48"/>
        </w:numPr>
        <w:spacing w:after="142"/>
        <w:ind w:right="10"/>
      </w:pPr>
      <w:r w:rsidRPr="00831481">
        <w:t>se ha solicitado a Caja Rural de Navarra la inclusión de la presidenta firmante como apoderada de las cuentas, la ordinaria y la de recaudación donde se ingresan los pagos provenientes de la recaudación ejecutiva de Geser Local, y ello en fecha de 11/1 1/2024</w:t>
      </w:r>
      <w:r w:rsidR="00831481" w:rsidRPr="00831481">
        <w:t>.</w:t>
      </w:r>
    </w:p>
    <w:p w14:paraId="4839A30F" w14:textId="730F6250" w:rsidR="007A336B" w:rsidRPr="00831481" w:rsidRDefault="007A336B" w:rsidP="00831481">
      <w:pPr>
        <w:pStyle w:val="Prrafodelista"/>
        <w:numPr>
          <w:ilvl w:val="0"/>
          <w:numId w:val="48"/>
        </w:numPr>
        <w:spacing w:after="142"/>
        <w:ind w:right="10"/>
      </w:pPr>
      <w:r w:rsidRPr="00831481">
        <w:t>se han establecido criterios para la realización y disposición de pagos, atendiéndose al pago de las deudas de la mancomunidad del año 2023 y anteriores, y en la medida de lo posible a las de 2024, habiéndose negociado y pactado una calendarización de pagos con entidades acreedoras como Nasuvinsa, Traperos y Consorcio de Residuos.</w:t>
      </w:r>
    </w:p>
    <w:p w14:paraId="663142CD" w14:textId="77777777" w:rsidR="007A336B" w:rsidRDefault="007A336B" w:rsidP="007A336B">
      <w:pPr>
        <w:spacing w:after="0" w:line="259" w:lineRule="auto"/>
        <w:rPr>
          <w:sz w:val="24"/>
        </w:rPr>
      </w:pPr>
      <w:r w:rsidRPr="00C444BD">
        <w:rPr>
          <w:sz w:val="24"/>
        </w:rPr>
        <w:t>4.- Informar asimismo a la Cámara de Comptos que se está en trámite de materializar algunas otras de sus recomendaciones, y así:</w:t>
      </w:r>
    </w:p>
    <w:p w14:paraId="0ADC8FD6" w14:textId="4C8C9950" w:rsidR="007A336B" w:rsidRPr="00D35EBC" w:rsidRDefault="00D35EBC" w:rsidP="00D35EBC">
      <w:pPr>
        <w:pStyle w:val="Prrafodelista"/>
        <w:numPr>
          <w:ilvl w:val="0"/>
          <w:numId w:val="49"/>
        </w:numPr>
        <w:spacing w:line="259" w:lineRule="auto"/>
      </w:pPr>
      <w:r w:rsidRPr="00D35EBC">
        <w:t>f</w:t>
      </w:r>
      <w:r w:rsidR="007A336B" w:rsidRPr="00D35EBC">
        <w:t>ormalización de encargo a Geser Local SL para la reformulación de las cuentas de 2023 y, llevanza de la contabilidad y recaudación en la vía ejecutiva de las deudas con la mancomunidad.</w:t>
      </w:r>
    </w:p>
    <w:p w14:paraId="4A86C4A8" w14:textId="32328481" w:rsidR="007A336B" w:rsidRPr="00D35EBC" w:rsidRDefault="007A336B" w:rsidP="00D35EBC">
      <w:pPr>
        <w:pStyle w:val="Prrafodelista"/>
        <w:numPr>
          <w:ilvl w:val="0"/>
          <w:numId w:val="49"/>
        </w:numPr>
        <w:spacing w:line="259" w:lineRule="auto"/>
      </w:pPr>
      <w:r w:rsidRPr="00D35EBC">
        <w:t>se está negociando ya desde el día 09/10/2024 un nuevo convenio laboral con la representación de los trabajadores, estando próxima su conclusión, convenio que se someterá para su aprobación por la Asamblea General a celebrar en el próximo mes de diciembre.</w:t>
      </w:r>
    </w:p>
    <w:p w14:paraId="2F33388D" w14:textId="6B8B3EED" w:rsidR="007A336B" w:rsidRPr="00D35EBC" w:rsidRDefault="007A336B" w:rsidP="00D35EBC">
      <w:pPr>
        <w:pStyle w:val="Prrafodelista"/>
        <w:numPr>
          <w:ilvl w:val="0"/>
          <w:numId w:val="49"/>
        </w:numPr>
        <w:spacing w:line="259" w:lineRule="auto"/>
      </w:pPr>
      <w:r w:rsidRPr="00D35EBC">
        <w:t>se está trabajando también en la elaboración de unos nuevos Estatutos y Ordenanzas, incluidas las tarifas por la prestación de los servicios.</w:t>
      </w:r>
    </w:p>
    <w:p w14:paraId="5B0D32B1" w14:textId="77777777" w:rsidR="007A336B" w:rsidRPr="00C444BD" w:rsidRDefault="007A336B" w:rsidP="007A336B">
      <w:pPr>
        <w:spacing w:after="0" w:line="259" w:lineRule="auto"/>
        <w:ind w:left="1416" w:firstLine="477"/>
        <w:rPr>
          <w:sz w:val="24"/>
        </w:rPr>
      </w:pPr>
    </w:p>
    <w:p w14:paraId="245E965B" w14:textId="77777777" w:rsidR="007A336B" w:rsidRPr="00C444BD" w:rsidRDefault="007A336B" w:rsidP="007A336B">
      <w:pPr>
        <w:ind w:right="10"/>
        <w:rPr>
          <w:sz w:val="24"/>
        </w:rPr>
      </w:pPr>
      <w:r w:rsidRPr="00C444BD">
        <w:rPr>
          <w:noProof/>
          <w:sz w:val="24"/>
        </w:rPr>
        <w:drawing>
          <wp:anchor distT="0" distB="0" distL="114300" distR="114300" simplePos="0" relativeHeight="251659264" behindDoc="0" locked="0" layoutInCell="1" allowOverlap="0" wp14:anchorId="04591A01" wp14:editId="694755BA">
            <wp:simplePos x="0" y="0"/>
            <wp:positionH relativeFrom="page">
              <wp:posOffset>449201</wp:posOffset>
            </wp:positionH>
            <wp:positionV relativeFrom="page">
              <wp:posOffset>1590028</wp:posOffset>
            </wp:positionV>
            <wp:extent cx="3232" cy="6464"/>
            <wp:effectExtent l="0" t="0" r="0" b="0"/>
            <wp:wrapSquare wrapText="bothSides"/>
            <wp:docPr id="7343" name="Picture 7343"/>
            <wp:cNvGraphicFramePr/>
            <a:graphic xmlns:a="http://schemas.openxmlformats.org/drawingml/2006/main">
              <a:graphicData uri="http://schemas.openxmlformats.org/drawingml/2006/picture">
                <pic:pic xmlns:pic="http://schemas.openxmlformats.org/drawingml/2006/picture">
                  <pic:nvPicPr>
                    <pic:cNvPr id="7343" name="Picture 7343"/>
                    <pic:cNvPicPr/>
                  </pic:nvPicPr>
                  <pic:blipFill>
                    <a:blip r:embed="rId20"/>
                    <a:stretch>
                      <a:fillRect/>
                    </a:stretch>
                  </pic:blipFill>
                  <pic:spPr>
                    <a:xfrm>
                      <a:off x="0" y="0"/>
                      <a:ext cx="3232" cy="6464"/>
                    </a:xfrm>
                    <a:prstGeom prst="rect">
                      <a:avLst/>
                    </a:prstGeom>
                  </pic:spPr>
                </pic:pic>
              </a:graphicData>
            </a:graphic>
          </wp:anchor>
        </w:drawing>
      </w:r>
      <w:r w:rsidRPr="00C444BD">
        <w:rPr>
          <w:noProof/>
          <w:sz w:val="24"/>
        </w:rPr>
        <w:drawing>
          <wp:anchor distT="0" distB="0" distL="114300" distR="114300" simplePos="0" relativeHeight="251660288" behindDoc="0" locked="0" layoutInCell="1" allowOverlap="0" wp14:anchorId="70B0B7B4" wp14:editId="46846D40">
            <wp:simplePos x="0" y="0"/>
            <wp:positionH relativeFrom="page">
              <wp:posOffset>6321130</wp:posOffset>
            </wp:positionH>
            <wp:positionV relativeFrom="page">
              <wp:posOffset>9317176</wp:posOffset>
            </wp:positionV>
            <wp:extent cx="3232" cy="6463"/>
            <wp:effectExtent l="0" t="0" r="0" b="0"/>
            <wp:wrapSquare wrapText="bothSides"/>
            <wp:docPr id="7345" name="Picture 7345"/>
            <wp:cNvGraphicFramePr/>
            <a:graphic xmlns:a="http://schemas.openxmlformats.org/drawingml/2006/main">
              <a:graphicData uri="http://schemas.openxmlformats.org/drawingml/2006/picture">
                <pic:pic xmlns:pic="http://schemas.openxmlformats.org/drawingml/2006/picture">
                  <pic:nvPicPr>
                    <pic:cNvPr id="7345" name="Picture 7345"/>
                    <pic:cNvPicPr/>
                  </pic:nvPicPr>
                  <pic:blipFill>
                    <a:blip r:embed="rId21"/>
                    <a:stretch>
                      <a:fillRect/>
                    </a:stretch>
                  </pic:blipFill>
                  <pic:spPr>
                    <a:xfrm>
                      <a:off x="0" y="0"/>
                      <a:ext cx="3232" cy="6463"/>
                    </a:xfrm>
                    <a:prstGeom prst="rect">
                      <a:avLst/>
                    </a:prstGeom>
                  </pic:spPr>
                </pic:pic>
              </a:graphicData>
            </a:graphic>
          </wp:anchor>
        </w:drawing>
      </w:r>
      <w:r w:rsidRPr="00C444BD">
        <w:rPr>
          <w:sz w:val="24"/>
        </w:rPr>
        <w:t>5.- En el mes de octubre pasado se ha seguido procedimiento a través del Servicio Navarro de Empleo para la contratación temporal de una auxiliar administrativa, que posibilitará una más completa y eficiente atención de la oficina y de la ciudadanía en general, de tal forma que la persona seleccionada comenzó ya a prestar sus servicios el día 4 de noviembre actual.</w:t>
      </w:r>
    </w:p>
    <w:p w14:paraId="5BBAE3AB" w14:textId="77777777" w:rsidR="007A336B" w:rsidRPr="00C444BD" w:rsidRDefault="007A336B" w:rsidP="007A336B">
      <w:pPr>
        <w:spacing w:after="141"/>
        <w:ind w:right="10"/>
        <w:rPr>
          <w:sz w:val="24"/>
        </w:rPr>
      </w:pPr>
      <w:r w:rsidRPr="00C444BD">
        <w:rPr>
          <w:sz w:val="24"/>
        </w:rPr>
        <w:t>6.- Se reclamarán al Ayuntamiento de Aoiz los recargos correspondientes y los intereses de demora a que se hace referencia en las págs. 9 y 10 del Informe de esa Cámara, así como se hará lo propio respecto de los contribuyentes que no abonaron los recargos a que se hace referencia en la pág. 10 del Informe.</w:t>
      </w:r>
    </w:p>
    <w:p w14:paraId="2BBD0352" w14:textId="77777777" w:rsidR="007A336B" w:rsidRPr="00C444BD" w:rsidRDefault="007A336B" w:rsidP="007A336B">
      <w:pPr>
        <w:spacing w:after="138"/>
        <w:ind w:right="10"/>
        <w:rPr>
          <w:sz w:val="24"/>
        </w:rPr>
      </w:pPr>
      <w:r w:rsidRPr="00C444BD">
        <w:rPr>
          <w:sz w:val="24"/>
        </w:rPr>
        <w:t>7.- Se solicitará informe jurídico a la Dirección General de Administración Local del Gobierno de Navarra sobre la situación del secretario-interventor en cuanto que la retribución que se le abona no cotiza a la seguridad social ni está dado de alta en la seguridad social para ei puesto que desempeña en la mancomunidad, cuestión a la que se hace referencia en la pág. 30 del Informe.</w:t>
      </w:r>
    </w:p>
    <w:p w14:paraId="0D351F5C" w14:textId="77777777" w:rsidR="007A336B" w:rsidRPr="00C444BD" w:rsidRDefault="007A336B" w:rsidP="007A336B">
      <w:pPr>
        <w:spacing w:after="165"/>
        <w:ind w:right="10"/>
        <w:rPr>
          <w:sz w:val="24"/>
        </w:rPr>
      </w:pPr>
      <w:r w:rsidRPr="00C444BD">
        <w:rPr>
          <w:sz w:val="24"/>
        </w:rPr>
        <w:lastRenderedPageBreak/>
        <w:t>8.- Ídem. a lo anterior respecto de la no cotización a la seguridad social de las horas extras abonadas a la administrativa, cuestión a la que se hace referencia en la misma pág. 30 del Informe.</w:t>
      </w:r>
    </w:p>
    <w:p w14:paraId="4A00B33C" w14:textId="77777777" w:rsidR="007A336B" w:rsidRPr="00C444BD" w:rsidRDefault="007A336B" w:rsidP="007A336B">
      <w:pPr>
        <w:ind w:right="10"/>
        <w:rPr>
          <w:sz w:val="24"/>
        </w:rPr>
      </w:pPr>
      <w:r w:rsidRPr="00C444BD">
        <w:rPr>
          <w:sz w:val="24"/>
        </w:rPr>
        <w:t>9.- Se propondrá en la primera Asamblea que se celebre la reprobación de la anterior presidenta y de los miembros de la comisión permanente bajo su dirección, sin perjuicio de la exigencia de responsabilidades a que hubiera lugar, a cuyo efecto se solicita informe jurídico de los servicios de esa Cámara.</w:t>
      </w:r>
    </w:p>
    <w:p w14:paraId="17E8E216" w14:textId="77777777" w:rsidR="007A336B" w:rsidRPr="00C444BD" w:rsidRDefault="007A336B" w:rsidP="007A336B">
      <w:pPr>
        <w:ind w:right="10"/>
        <w:rPr>
          <w:sz w:val="24"/>
        </w:rPr>
      </w:pPr>
      <w:r w:rsidRPr="00C444BD">
        <w:rPr>
          <w:sz w:val="24"/>
        </w:rPr>
        <w:t>10.- Se propondrá en la primera Asamblea que se celebre la reprobación del secretario-interventor, sin perjuicio de la exigencia de responsabilidades a que hubiera lugar a cuyo efecto se solicita informe jurídico de los servicios de esa Cámara, y sin perjuicio también de su relevo.</w:t>
      </w:r>
    </w:p>
    <w:p w14:paraId="5C361EF0" w14:textId="77777777" w:rsidR="007A336B" w:rsidRPr="00C444BD" w:rsidRDefault="007A336B" w:rsidP="007A336B">
      <w:pPr>
        <w:spacing w:after="172"/>
        <w:ind w:right="10"/>
        <w:rPr>
          <w:sz w:val="24"/>
        </w:rPr>
      </w:pPr>
      <w:r w:rsidRPr="00C444BD">
        <w:rPr>
          <w:sz w:val="24"/>
        </w:rPr>
        <w:t>11.- Se requerirá a Economías Bioregionales (EBR) la acreditación de los trabajos realizados correspondientes a sus facturas de 2019 a 2023, por importe de 63.489</w:t>
      </w:r>
      <w:r>
        <w:rPr>
          <w:sz w:val="24"/>
        </w:rPr>
        <w:t xml:space="preserve"> </w:t>
      </w:r>
      <w:r w:rsidRPr="00C444BD">
        <w:rPr>
          <w:sz w:val="24"/>
        </w:rPr>
        <w:t>€, cuestión a la que se hace referencia en las págs. 38 y 39 del Informe.</w:t>
      </w:r>
    </w:p>
    <w:p w14:paraId="234DB8D4" w14:textId="0439D09A" w:rsidR="007A336B" w:rsidRPr="00C444BD" w:rsidRDefault="007A336B" w:rsidP="007A336B">
      <w:pPr>
        <w:spacing w:after="136"/>
        <w:ind w:right="10"/>
        <w:rPr>
          <w:sz w:val="24"/>
        </w:rPr>
      </w:pPr>
      <w:r w:rsidRPr="00C444BD">
        <w:rPr>
          <w:sz w:val="24"/>
        </w:rPr>
        <w:t>En todo caso, quedo a disposición de esa Institución para cualquier aclaración</w:t>
      </w:r>
      <w:r>
        <w:rPr>
          <w:sz w:val="24"/>
        </w:rPr>
        <w:t>.</w:t>
      </w:r>
    </w:p>
    <w:p w14:paraId="71160E67" w14:textId="77777777" w:rsidR="007A336B" w:rsidRDefault="007A336B" w:rsidP="007A336B">
      <w:pPr>
        <w:spacing w:after="608"/>
        <w:ind w:right="10"/>
        <w:rPr>
          <w:sz w:val="24"/>
        </w:rPr>
      </w:pPr>
      <w:r w:rsidRPr="00C444BD">
        <w:rPr>
          <w:sz w:val="24"/>
        </w:rPr>
        <w:t>En Aoiz para Iruña-Pamplona, a 13 de noviembre de 2024</w:t>
      </w:r>
    </w:p>
    <w:p w14:paraId="75CC59BE" w14:textId="770AB6DC" w:rsidR="007A336B" w:rsidRPr="00C444BD" w:rsidRDefault="007A336B" w:rsidP="007A336B">
      <w:pPr>
        <w:spacing w:after="608"/>
        <w:ind w:right="10"/>
        <w:rPr>
          <w:sz w:val="24"/>
        </w:rPr>
      </w:pPr>
      <w:r w:rsidRPr="00C444BD">
        <w:rPr>
          <w:sz w:val="24"/>
        </w:rPr>
        <w:t>La Presidenta de la Mancomunidad de Residuos Sólidos Urbanos Irati: María José Beaumont</w:t>
      </w:r>
    </w:p>
    <w:p w14:paraId="0D0CD82F" w14:textId="7633889D" w:rsidR="007A336B" w:rsidRDefault="007A336B">
      <w:pPr>
        <w:spacing w:after="0"/>
        <w:ind w:firstLine="0"/>
        <w:jc w:val="left"/>
        <w:rPr>
          <w:rFonts w:cs="Arial"/>
          <w:iCs/>
          <w:sz w:val="18"/>
          <w:szCs w:val="18"/>
        </w:rPr>
      </w:pPr>
      <w:r>
        <w:rPr>
          <w:rFonts w:cs="Arial"/>
          <w:iCs/>
          <w:sz w:val="18"/>
          <w:szCs w:val="18"/>
        </w:rPr>
        <w:br w:type="page"/>
      </w:r>
    </w:p>
    <w:p w14:paraId="3E3FC7A4" w14:textId="77777777" w:rsidR="007A336B" w:rsidRDefault="007A336B" w:rsidP="007A336B">
      <w:pPr>
        <w:tabs>
          <w:tab w:val="left" w:pos="8647"/>
        </w:tabs>
        <w:spacing w:before="120" w:after="120"/>
        <w:ind w:firstLine="0"/>
        <w:rPr>
          <w:rFonts w:cs="Arial"/>
          <w:iCs/>
          <w:sz w:val="18"/>
          <w:szCs w:val="18"/>
        </w:rPr>
      </w:pPr>
    </w:p>
    <w:p w14:paraId="40CE3DBF" w14:textId="77777777" w:rsidR="00687E52" w:rsidRDefault="00687E52" w:rsidP="00687E52">
      <w:pPr>
        <w:pStyle w:val="atitulo1"/>
        <w:rPr>
          <w:color w:val="auto"/>
          <w:sz w:val="28"/>
        </w:rPr>
      </w:pPr>
      <w:bookmarkStart w:id="102" w:name="_Toc4671439"/>
      <w:bookmarkStart w:id="103" w:name="_Toc60127699"/>
      <w:bookmarkStart w:id="104" w:name="_Toc60127855"/>
      <w:bookmarkStart w:id="105" w:name="_Toc67302673"/>
      <w:bookmarkStart w:id="106" w:name="_Toc67986925"/>
      <w:bookmarkStart w:id="107" w:name="_Toc95376237"/>
      <w:bookmarkStart w:id="108" w:name="_Toc113352962"/>
      <w:bookmarkStart w:id="109" w:name="_Toc121475377"/>
      <w:bookmarkStart w:id="110" w:name="_Toc122079006"/>
      <w:bookmarkStart w:id="111" w:name="_Toc130536968"/>
      <w:bookmarkStart w:id="112" w:name="_Toc146545308"/>
      <w:bookmarkStart w:id="113" w:name="_Toc170290284"/>
      <w:bookmarkStart w:id="114" w:name="_Toc170459687"/>
      <w:bookmarkStart w:id="115" w:name="_Toc177557121"/>
      <w:bookmarkStart w:id="116" w:name="_Toc182397307"/>
      <w:r w:rsidRPr="00F06109">
        <w:rPr>
          <w:color w:val="auto"/>
          <w:sz w:val="28"/>
        </w:rPr>
        <w:t>Contestación de la Cámara de Comptos a las alegaciones presentadas al informe provisional</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6576C32" w14:textId="13EEA1E4" w:rsidR="00687E52" w:rsidRDefault="00687E52" w:rsidP="00687E52">
      <w:pPr>
        <w:pStyle w:val="texto"/>
        <w:rPr>
          <w:szCs w:val="26"/>
        </w:rPr>
      </w:pPr>
      <w:r w:rsidRPr="004B0295">
        <w:rPr>
          <w:szCs w:val="26"/>
        </w:rPr>
        <w:t xml:space="preserve">Agradecemos </w:t>
      </w:r>
      <w:r w:rsidR="004C0745" w:rsidRPr="004C0745">
        <w:rPr>
          <w:szCs w:val="26"/>
        </w:rPr>
        <w:t>a la presidenta de la Mancomunidad de Residuos Sólidos Irati</w:t>
      </w:r>
      <w:r w:rsidRPr="004C0745">
        <w:rPr>
          <w:szCs w:val="26"/>
        </w:rPr>
        <w:t xml:space="preserve"> </w:t>
      </w:r>
      <w:r w:rsidRPr="004B0295">
        <w:rPr>
          <w:szCs w:val="26"/>
        </w:rPr>
        <w:t xml:space="preserve">las alegaciones presentadas. Estas alegaciones se incorporan al </w:t>
      </w:r>
      <w:r>
        <w:rPr>
          <w:szCs w:val="26"/>
        </w:rPr>
        <w:t>i</w:t>
      </w:r>
      <w:r w:rsidRPr="004B0295">
        <w:rPr>
          <w:szCs w:val="26"/>
        </w:rPr>
        <w:t xml:space="preserve">nforme </w:t>
      </w:r>
      <w:r>
        <w:rPr>
          <w:szCs w:val="26"/>
        </w:rPr>
        <w:t>p</w:t>
      </w:r>
      <w:r w:rsidRPr="004B0295">
        <w:rPr>
          <w:szCs w:val="26"/>
        </w:rPr>
        <w:t xml:space="preserve">rovisional y se eleva este a </w:t>
      </w:r>
      <w:r>
        <w:rPr>
          <w:szCs w:val="26"/>
        </w:rPr>
        <w:t>d</w:t>
      </w:r>
      <w:r w:rsidRPr="004B0295">
        <w:rPr>
          <w:szCs w:val="26"/>
        </w:rPr>
        <w:t>efinitivo al considerar que constituyen una explicación de la fiscalización realizada y no alteran su contenido</w:t>
      </w:r>
      <w:r>
        <w:rPr>
          <w:szCs w:val="26"/>
        </w:rPr>
        <w:t>.</w:t>
      </w:r>
    </w:p>
    <w:p w14:paraId="301BBDF4" w14:textId="77777777" w:rsidR="004C0745" w:rsidRDefault="004C0745" w:rsidP="004C0745">
      <w:pPr>
        <w:rPr>
          <w:spacing w:val="6"/>
          <w:sz w:val="26"/>
          <w:szCs w:val="26"/>
        </w:rPr>
      </w:pPr>
      <w:r w:rsidRPr="004C0745">
        <w:rPr>
          <w:spacing w:val="6"/>
          <w:sz w:val="26"/>
          <w:szCs w:val="26"/>
        </w:rPr>
        <w:t>En relación con la solicitud de emisión de informe jurídico de los servicios de esta Cámara sobre diversas cuestiones le comunicamos que no es posible acceder a su petición, dado que nuestros servicios jurídicos son asesores internos de nuestra institución y no tienen entre sus funciones realizar informes para otras entidades.</w:t>
      </w:r>
    </w:p>
    <w:p w14:paraId="720307E0" w14:textId="1D569B37" w:rsidR="004526DC" w:rsidRPr="004C0745" w:rsidRDefault="004526DC" w:rsidP="004526DC">
      <w:pPr>
        <w:ind w:firstLine="284"/>
        <w:rPr>
          <w:spacing w:val="6"/>
          <w:sz w:val="26"/>
          <w:szCs w:val="26"/>
        </w:rPr>
      </w:pPr>
      <w:r>
        <w:rPr>
          <w:spacing w:val="6"/>
          <w:sz w:val="26"/>
          <w:szCs w:val="26"/>
        </w:rPr>
        <w:t>Pamplona, 14 de noviembre de 2024</w:t>
      </w:r>
    </w:p>
    <w:p w14:paraId="44C575C1" w14:textId="409CFE1C" w:rsidR="004C0745" w:rsidRPr="004B0295" w:rsidRDefault="004526DC" w:rsidP="00687E52">
      <w:pPr>
        <w:pStyle w:val="texto"/>
        <w:rPr>
          <w:szCs w:val="26"/>
        </w:rPr>
      </w:pPr>
      <w:r>
        <w:rPr>
          <w:szCs w:val="26"/>
        </w:rPr>
        <w:tab/>
        <w:t>El presidente de la Cámara de Comptos: Ignacio Cabeza del Salvador</w:t>
      </w:r>
    </w:p>
    <w:p w14:paraId="254D7F2D" w14:textId="55853CE4" w:rsidR="00354F4B" w:rsidRPr="00675738" w:rsidRDefault="00354F4B">
      <w:pPr>
        <w:pStyle w:val="texto"/>
        <w:tabs>
          <w:tab w:val="left" w:pos="142"/>
        </w:tabs>
        <w:rPr>
          <w:szCs w:val="26"/>
        </w:rPr>
      </w:pPr>
    </w:p>
    <w:sectPr w:rsidR="00354F4B" w:rsidRPr="00675738" w:rsidSect="00E44CCC">
      <w:headerReference w:type="default" r:id="rId22"/>
      <w:footerReference w:type="default" r:id="rId23"/>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D6E3D" w14:textId="77777777" w:rsidR="00B6338A" w:rsidRDefault="00B6338A">
      <w:r>
        <w:separator/>
      </w:r>
    </w:p>
    <w:p w14:paraId="02DAD9A1" w14:textId="77777777" w:rsidR="00B6338A" w:rsidRDefault="00B6338A"/>
    <w:p w14:paraId="20DBA332" w14:textId="77777777" w:rsidR="00B6338A" w:rsidRDefault="00B6338A"/>
    <w:p w14:paraId="2510875D" w14:textId="77777777" w:rsidR="00B6338A" w:rsidRDefault="00B6338A"/>
  </w:endnote>
  <w:endnote w:type="continuationSeparator" w:id="0">
    <w:p w14:paraId="738BD91B" w14:textId="77777777" w:rsidR="00B6338A" w:rsidRDefault="00B6338A">
      <w:r>
        <w:continuationSeparator/>
      </w:r>
    </w:p>
    <w:p w14:paraId="5714D65F" w14:textId="77777777" w:rsidR="00B6338A" w:rsidRDefault="00B6338A"/>
    <w:p w14:paraId="5570D433" w14:textId="77777777" w:rsidR="00B6338A" w:rsidRDefault="00B6338A"/>
    <w:p w14:paraId="648992A0" w14:textId="77777777" w:rsidR="00B6338A" w:rsidRDefault="00B63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Poppins ExtraBold">
    <w:altName w:val="Poppins ExtraBold"/>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Trajan">
    <w:altName w:val="Cambria"/>
    <w:panose1 w:val="00000000000000000000"/>
    <w:charset w:val="00"/>
    <w:family w:val="roman"/>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C732F6" w:rsidRDefault="00C732F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060428" w14:textId="77777777" w:rsidR="00C732F6" w:rsidRDefault="00C732F6" w:rsidP="0059650E">
    <w:pPr>
      <w:pStyle w:val="Piedepgina"/>
      <w:ind w:right="360"/>
    </w:pPr>
  </w:p>
  <w:p w14:paraId="1D0656FE" w14:textId="77777777" w:rsidR="00C732F6" w:rsidRDefault="00C732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425681"/>
      <w:docPartObj>
        <w:docPartGallery w:val="Page Numbers (Bottom of Page)"/>
        <w:docPartUnique/>
      </w:docPartObj>
    </w:sdtPr>
    <w:sdtContent>
      <w:p w14:paraId="10203EBC" w14:textId="624CB944" w:rsidR="00C732F6" w:rsidRDefault="00000000">
        <w:pPr>
          <w:pStyle w:val="Piedepgina"/>
          <w:jc w:val="center"/>
        </w:pPr>
      </w:p>
    </w:sdtContent>
  </w:sdt>
  <w:p w14:paraId="76BB753C" w14:textId="77777777" w:rsidR="00C732F6" w:rsidRDefault="00C732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b w:val="0"/>
        <w:color w:val="auto"/>
        <w:sz w:val="20"/>
        <w:szCs w:val="20"/>
      </w:rPr>
      <w:id w:val="1498689411"/>
      <w:docPartObj>
        <w:docPartGallery w:val="Page Numbers (Bottom of Page)"/>
        <w:docPartUnique/>
      </w:docPartObj>
    </w:sdtPr>
    <w:sdtContent>
      <w:p w14:paraId="26FF15B8" w14:textId="775CF869" w:rsidR="00C732F6" w:rsidRPr="00C13453" w:rsidRDefault="00C732F6" w:rsidP="00A07906">
        <w:pPr>
          <w:pStyle w:val="BorradorProvisional"/>
          <w:ind w:left="0"/>
          <w:jc w:val="center"/>
        </w:pPr>
        <w:r>
          <w:rPr>
            <w:rFonts w:ascii="GillSans" w:hAnsi="GillSans"/>
            <w:noProof/>
            <w:lang w:val="es-ES" w:eastAsia="es-ES"/>
          </w:rPr>
          <w:drawing>
            <wp:anchor distT="0" distB="0" distL="114300" distR="114300" simplePos="0" relativeHeight="251661312" behindDoc="1" locked="0" layoutInCell="1" allowOverlap="1" wp14:anchorId="22F0F110" wp14:editId="105CB5A7">
              <wp:simplePos x="0" y="0"/>
              <wp:positionH relativeFrom="margin">
                <wp:align>left</wp:align>
              </wp:positionH>
              <wp:positionV relativeFrom="paragraph">
                <wp:posOffset>7620</wp:posOffset>
              </wp:positionV>
              <wp:extent cx="219075" cy="371475"/>
              <wp:effectExtent l="0" t="0" r="9525" b="9525"/>
              <wp:wrapTight wrapText="bothSides">
                <wp:wrapPolygon edited="0">
                  <wp:start x="0" y="0"/>
                  <wp:lineTo x="0" y="21046"/>
                  <wp:lineTo x="20661" y="21046"/>
                  <wp:lineTo x="20661" y="0"/>
                  <wp:lineTo x="0" y="0"/>
                </wp:wrapPolygon>
              </wp:wrapTight>
              <wp:docPr id="5" name="Imagen 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anchor>
          </w:drawing>
        </w:r>
        <w:r w:rsidRPr="00C13453">
          <w:t xml:space="preserve"> </w:t>
        </w:r>
      </w:p>
      <w:p w14:paraId="13DBF624" w14:textId="31B93126" w:rsidR="00C732F6" w:rsidRDefault="00C732F6">
        <w:pPr>
          <w:pStyle w:val="Piedepgina"/>
          <w:jc w:val="center"/>
        </w:pPr>
        <w:r>
          <w:rPr>
            <w:rStyle w:val="Nmerodepgina"/>
            <w:szCs w:val="24"/>
          </w:rPr>
          <w:t>-</w:t>
        </w:r>
        <w:r w:rsidRPr="001D4F09">
          <w:rPr>
            <w:rStyle w:val="Nmerodepgina"/>
            <w:szCs w:val="24"/>
          </w:rPr>
          <w:t xml:space="preserve"> </w:t>
        </w:r>
        <w:r w:rsidRPr="00270C24">
          <w:rPr>
            <w:rStyle w:val="Nmerodepgina"/>
            <w:szCs w:val="24"/>
          </w:rPr>
          <w:fldChar w:fldCharType="begin"/>
        </w:r>
        <w:r w:rsidRPr="00270C24">
          <w:rPr>
            <w:rStyle w:val="Nmerodepgina"/>
            <w:szCs w:val="24"/>
          </w:rPr>
          <w:instrText>PAGE   \* MERGEFORMAT</w:instrText>
        </w:r>
        <w:r w:rsidRPr="00270C24">
          <w:rPr>
            <w:rStyle w:val="Nmerodepgina"/>
            <w:szCs w:val="24"/>
          </w:rPr>
          <w:fldChar w:fldCharType="separate"/>
        </w:r>
        <w:r w:rsidR="009F26EF">
          <w:rPr>
            <w:rStyle w:val="Nmerodepgina"/>
            <w:noProof/>
            <w:szCs w:val="24"/>
          </w:rPr>
          <w:t>35</w:t>
        </w:r>
        <w:r w:rsidRPr="00270C24">
          <w:rPr>
            <w:rStyle w:val="Nmerodepgina"/>
            <w:szCs w:val="24"/>
          </w:rPr>
          <w:fldChar w:fldCharType="end"/>
        </w:r>
        <w:r>
          <w:rPr>
            <w:rStyle w:val="Nmerodepgina"/>
            <w:szCs w:val="24"/>
          </w:rPr>
          <w:t xml:space="preserve"> -</w:t>
        </w:r>
      </w:p>
    </w:sdtContent>
  </w:sdt>
  <w:p w14:paraId="74581811" w14:textId="77777777" w:rsidR="00C732F6" w:rsidRDefault="00C732F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b w:val="0"/>
        <w:color w:val="auto"/>
        <w:sz w:val="20"/>
        <w:szCs w:val="20"/>
      </w:rPr>
      <w:id w:val="-1050602837"/>
      <w:docPartObj>
        <w:docPartGallery w:val="Page Numbers (Bottom of Page)"/>
        <w:docPartUnique/>
      </w:docPartObj>
    </w:sdtPr>
    <w:sdtContent>
      <w:p w14:paraId="40F0E8C8" w14:textId="77777777" w:rsidR="00F87D16" w:rsidRPr="00C13453" w:rsidRDefault="00F87D16" w:rsidP="00A07906">
        <w:pPr>
          <w:pStyle w:val="BorradorProvisional"/>
          <w:ind w:left="0"/>
          <w:jc w:val="center"/>
        </w:pPr>
        <w:r>
          <w:rPr>
            <w:rFonts w:ascii="GillSans" w:hAnsi="GillSans"/>
            <w:noProof/>
            <w:lang w:val="es-ES" w:eastAsia="es-ES"/>
          </w:rPr>
          <w:drawing>
            <wp:anchor distT="0" distB="0" distL="114300" distR="114300" simplePos="0" relativeHeight="251663360" behindDoc="1" locked="0" layoutInCell="1" allowOverlap="1" wp14:anchorId="3ED5E4AD" wp14:editId="2EB28FD3">
              <wp:simplePos x="0" y="0"/>
              <wp:positionH relativeFrom="margin">
                <wp:align>left</wp:align>
              </wp:positionH>
              <wp:positionV relativeFrom="paragraph">
                <wp:posOffset>7620</wp:posOffset>
              </wp:positionV>
              <wp:extent cx="219075" cy="371475"/>
              <wp:effectExtent l="0" t="0" r="9525" b="9525"/>
              <wp:wrapTight wrapText="bothSides">
                <wp:wrapPolygon edited="0">
                  <wp:start x="0" y="0"/>
                  <wp:lineTo x="0" y="21046"/>
                  <wp:lineTo x="20661" y="21046"/>
                  <wp:lineTo x="20661" y="0"/>
                  <wp:lineTo x="0" y="0"/>
                </wp:wrapPolygon>
              </wp:wrapTight>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anchor>
          </w:drawing>
        </w:r>
        <w:r w:rsidRPr="00C13453">
          <w:t xml:space="preserve"> </w:t>
        </w:r>
      </w:p>
      <w:p w14:paraId="751F1193" w14:textId="5B2DD962" w:rsidR="00F87D16" w:rsidRDefault="00000000">
        <w:pPr>
          <w:pStyle w:val="Piedepgina"/>
          <w:jc w:val="center"/>
        </w:pPr>
      </w:p>
    </w:sdtContent>
  </w:sdt>
  <w:p w14:paraId="43F23B33" w14:textId="77777777" w:rsidR="00F87D16" w:rsidRDefault="00F87D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31F32" w14:textId="77777777" w:rsidR="00B6338A" w:rsidRDefault="00B6338A" w:rsidP="00D03154">
      <w:pPr>
        <w:spacing w:after="0"/>
        <w:ind w:firstLine="0"/>
      </w:pPr>
      <w:r>
        <w:separator/>
      </w:r>
    </w:p>
  </w:footnote>
  <w:footnote w:type="continuationSeparator" w:id="0">
    <w:p w14:paraId="6319AEED" w14:textId="77777777" w:rsidR="00B6338A" w:rsidRDefault="00B6338A">
      <w:r>
        <w:continuationSeparator/>
      </w:r>
    </w:p>
    <w:p w14:paraId="6B58ABD6" w14:textId="77777777" w:rsidR="00B6338A" w:rsidRDefault="00B6338A"/>
    <w:p w14:paraId="43C5269B" w14:textId="77777777" w:rsidR="00B6338A" w:rsidRDefault="00B6338A"/>
    <w:p w14:paraId="7D66D781" w14:textId="77777777" w:rsidR="00B6338A" w:rsidRDefault="00B6338A"/>
  </w:footnote>
  <w:footnote w:id="1">
    <w:p w14:paraId="066800D1" w14:textId="4AE3CB98" w:rsidR="00C732F6" w:rsidRPr="00E30BE7" w:rsidRDefault="00C732F6">
      <w:pPr>
        <w:pStyle w:val="Textonotapie"/>
        <w:rPr>
          <w:lang w:val="es-ES_tradnl"/>
        </w:rPr>
      </w:pPr>
      <w:r>
        <w:rPr>
          <w:rStyle w:val="Refdenotaalpie"/>
        </w:rPr>
        <w:footnoteRef/>
      </w:r>
      <w:r>
        <w:t xml:space="preserve"> </w:t>
      </w:r>
      <w:r w:rsidRPr="00C35F1F">
        <w:rPr>
          <w:sz w:val="20"/>
          <w:szCs w:val="20"/>
          <w:lang w:val="es-ES_tradnl"/>
        </w:rPr>
        <w:t>Cuenta General no aprobada</w:t>
      </w:r>
      <w:r>
        <w:rPr>
          <w:sz w:val="20"/>
          <w:szCs w:val="20"/>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83F9" w14:textId="77777777" w:rsidR="00C732F6" w:rsidRDefault="00C732F6">
    <w:pPr>
      <w:pStyle w:val="Encabezado"/>
    </w:pPr>
  </w:p>
  <w:p w14:paraId="68F21D90" w14:textId="77777777" w:rsidR="00C732F6" w:rsidRDefault="00C732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9A571" w14:textId="0159B0E1" w:rsidR="00C732F6" w:rsidRDefault="00C732F6" w:rsidP="00CF7F29">
    <w:pPr>
      <w:pStyle w:val="Encabezado"/>
      <w:pBdr>
        <w:bottom w:val="single" w:sz="4" w:space="1" w:color="auto"/>
      </w:pBdr>
      <w:tabs>
        <w:tab w:val="clear" w:pos="4252"/>
        <w:tab w:val="clear" w:pos="8504"/>
      </w:tabs>
      <w:spacing w:after="40"/>
      <w:ind w:firstLine="0"/>
      <w:jc w:val="left"/>
      <w:rPr>
        <w:lang w:val="es-ES"/>
      </w:rPr>
    </w:pPr>
    <w:r>
      <w:rPr>
        <w:rFonts w:ascii="Helvetica" w:hAnsi="Helvetica"/>
        <w:noProof/>
        <w:color w:val="262626"/>
        <w:shd w:val="clear" w:color="auto" w:fill="E6E6E6"/>
        <w:lang w:val="es-ES" w:eastAsia="es-ES"/>
      </w:rPr>
      <w:drawing>
        <wp:inline distT="0" distB="0" distL="0" distR="0" wp14:anchorId="64AD3947" wp14:editId="1C0AF777">
          <wp:extent cx="685542" cy="676402"/>
          <wp:effectExtent l="0" t="0" r="635" b="0"/>
          <wp:docPr id="3" name="Imagen 3" descr="cid:image001.png@01DAA831.9A6EA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AA831.9A6EAF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5542" cy="676402"/>
                  </a:xfrm>
                  <a:prstGeom prst="rect">
                    <a:avLst/>
                  </a:prstGeom>
                  <a:noFill/>
                  <a:ln>
                    <a:noFill/>
                  </a:ln>
                </pic:spPr>
              </pic:pic>
            </a:graphicData>
          </a:graphic>
        </wp:inline>
      </w:drawing>
    </w:r>
    <w:r>
      <w:rPr>
        <w:lang w:val="es-ES"/>
      </w:rPr>
      <w:t xml:space="preserve">    INforme de fiscalización sobre la cuenta general DE La Mancomunidad de residuos sólidos </w:t>
    </w:r>
  </w:p>
  <w:p w14:paraId="05BE2A75" w14:textId="511D2322" w:rsidR="00C732F6" w:rsidRPr="0059650E" w:rsidRDefault="00C732F6" w:rsidP="00CF7F29">
    <w:pPr>
      <w:pStyle w:val="Encabezado"/>
      <w:pBdr>
        <w:bottom w:val="single" w:sz="4" w:space="1" w:color="auto"/>
      </w:pBdr>
      <w:tabs>
        <w:tab w:val="clear" w:pos="4252"/>
        <w:tab w:val="clear" w:pos="8504"/>
      </w:tabs>
      <w:spacing w:after="40"/>
      <w:ind w:firstLine="0"/>
      <w:rPr>
        <w:lang w:val="es-ES"/>
      </w:rPr>
    </w:pPr>
    <w:r>
      <w:rPr>
        <w:lang w:val="es-ES"/>
      </w:rPr>
      <w:t>urbanos irati,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FD67C" w14:textId="4D19090D" w:rsidR="00C732F6" w:rsidRDefault="00C732F6" w:rsidP="006A2D41">
    <w:pPr>
      <w:pStyle w:val="Encabezado"/>
      <w:ind w:firstLine="0"/>
      <w:jc w:val="left"/>
    </w:pPr>
    <w:r>
      <w:rPr>
        <w:rFonts w:ascii="Helvetica" w:hAnsi="Helvetica"/>
        <w:noProof/>
        <w:color w:val="262626"/>
        <w:shd w:val="clear" w:color="auto" w:fill="E6E6E6"/>
        <w:lang w:val="es-ES" w:eastAsia="es-ES"/>
      </w:rPr>
      <w:drawing>
        <wp:anchor distT="0" distB="0" distL="114300" distR="114300" simplePos="0" relativeHeight="251658240" behindDoc="1" locked="0" layoutInCell="1" allowOverlap="1" wp14:anchorId="08BBF91D" wp14:editId="74E71E37">
          <wp:simplePos x="0" y="0"/>
          <wp:positionH relativeFrom="column">
            <wp:posOffset>108585</wp:posOffset>
          </wp:positionH>
          <wp:positionV relativeFrom="paragraph">
            <wp:posOffset>-69215</wp:posOffset>
          </wp:positionV>
          <wp:extent cx="647700" cy="685297"/>
          <wp:effectExtent l="0" t="0" r="0" b="635"/>
          <wp:wrapTight wrapText="bothSides">
            <wp:wrapPolygon edited="0">
              <wp:start x="7624" y="0"/>
              <wp:lineTo x="3812" y="601"/>
              <wp:lineTo x="0" y="6006"/>
              <wp:lineTo x="0" y="15614"/>
              <wp:lineTo x="3176" y="19218"/>
              <wp:lineTo x="5718" y="21019"/>
              <wp:lineTo x="15247" y="21019"/>
              <wp:lineTo x="17788" y="19218"/>
              <wp:lineTo x="20965" y="15614"/>
              <wp:lineTo x="20965" y="1201"/>
              <wp:lineTo x="13341" y="0"/>
              <wp:lineTo x="7624" y="0"/>
            </wp:wrapPolygon>
          </wp:wrapTight>
          <wp:docPr id="23" name="Imagen 23" descr="cid:image001.png@01DAA831.9A6EA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AA831.9A6EAF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685297"/>
                  </a:xfrm>
                  <a:prstGeom prst="rect">
                    <a:avLst/>
                  </a:prstGeom>
                  <a:noFill/>
                  <a:ln>
                    <a:noFill/>
                  </a:ln>
                </pic:spPr>
              </pic:pic>
            </a:graphicData>
          </a:graphic>
        </wp:anchor>
      </w:drawing>
    </w:r>
  </w:p>
  <w:p w14:paraId="38D6B9B6" w14:textId="01074C8F" w:rsidR="00C732F6" w:rsidRDefault="00C732F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A505" w14:textId="77777777" w:rsidR="00C732F6" w:rsidRDefault="00C732F6"/>
  <w:p w14:paraId="29079D35" w14:textId="77777777" w:rsidR="00C732F6" w:rsidRDefault="00C732F6"/>
  <w:p w14:paraId="17686DC7" w14:textId="77777777" w:rsidR="00C732F6" w:rsidRDefault="00C732F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EDEF" w14:textId="4227D65D" w:rsidR="00C732F6" w:rsidRDefault="00C732F6" w:rsidP="005E3560">
    <w:pPr>
      <w:pStyle w:val="Encabezado"/>
      <w:pBdr>
        <w:bottom w:val="single" w:sz="4" w:space="1" w:color="auto"/>
      </w:pBdr>
      <w:tabs>
        <w:tab w:val="clear" w:pos="4252"/>
        <w:tab w:val="clear" w:pos="8504"/>
      </w:tabs>
      <w:spacing w:after="40"/>
      <w:ind w:left="851" w:hanging="851"/>
      <w:jc w:val="left"/>
      <w:rPr>
        <w:lang w:val="es-ES"/>
      </w:rPr>
    </w:pPr>
    <w:r>
      <w:rPr>
        <w:rFonts w:ascii="Helvetica" w:hAnsi="Helvetica"/>
        <w:noProof/>
        <w:color w:val="262626"/>
        <w:shd w:val="clear" w:color="auto" w:fill="E6E6E6"/>
        <w:lang w:val="es-ES" w:eastAsia="es-ES"/>
      </w:rPr>
      <w:drawing>
        <wp:inline distT="0" distB="0" distL="0" distR="0" wp14:anchorId="04D159C6" wp14:editId="6E6DBBD2">
          <wp:extent cx="685542" cy="676402"/>
          <wp:effectExtent l="0" t="0" r="635" b="0"/>
          <wp:docPr id="1" name="Imagen 1" descr="cid:image001.png@01DAA831.9A6EA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AA831.9A6EAF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5542" cy="676402"/>
                  </a:xfrm>
                  <a:prstGeom prst="rect">
                    <a:avLst/>
                  </a:prstGeom>
                  <a:noFill/>
                  <a:ln>
                    <a:noFill/>
                  </a:ln>
                </pic:spPr>
              </pic:pic>
            </a:graphicData>
          </a:graphic>
        </wp:inline>
      </w:drawing>
    </w:r>
    <w:r>
      <w:rPr>
        <w:lang w:val="es-ES"/>
      </w:rPr>
      <w:t xml:space="preserve">INforme DEFINITIVO DE fiscalización sobre las cuentas generales DE La Mancomunidad </w:t>
    </w:r>
  </w:p>
  <w:p w14:paraId="07C0A6F2" w14:textId="1CAB7493" w:rsidR="00C732F6" w:rsidRPr="0059650E" w:rsidRDefault="00C732F6" w:rsidP="000C20C0">
    <w:pPr>
      <w:pStyle w:val="Encabezado"/>
      <w:pBdr>
        <w:bottom w:val="single" w:sz="4" w:space="1" w:color="auto"/>
      </w:pBdr>
      <w:tabs>
        <w:tab w:val="clear" w:pos="4252"/>
        <w:tab w:val="clear" w:pos="8504"/>
      </w:tabs>
      <w:spacing w:after="40"/>
      <w:ind w:left="851" w:hanging="851"/>
      <w:rPr>
        <w:lang w:val="es-ES"/>
      </w:rPr>
    </w:pPr>
    <w:r>
      <w:rPr>
        <w:lang w:val="es-ES"/>
      </w:rPr>
      <w:t>de residuos sólidos urbanos irati, 2023</w:t>
    </w:r>
  </w:p>
  <w:p w14:paraId="46906CF2" w14:textId="77777777" w:rsidR="00C732F6" w:rsidRPr="000C20C0" w:rsidRDefault="00C732F6">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7.4pt;height:29.4pt;visibility:visible;mso-wrap-style:square" o:bullet="t">
        <v:imagedata r:id="rId1" o:title=""/>
      </v:shape>
    </w:pict>
  </w:numPicBullet>
  <w:abstractNum w:abstractNumId="0" w15:restartNumberingAfterBreak="0">
    <w:nsid w:val="0047565D"/>
    <w:multiLevelType w:val="hybridMultilevel"/>
    <w:tmpl w:val="F51498DA"/>
    <w:lvl w:ilvl="0" w:tplc="0C0A0001">
      <w:start w:val="1"/>
      <w:numFmt w:val="bullet"/>
      <w:lvlText w:val=""/>
      <w:lvlJc w:val="left"/>
      <w:pPr>
        <w:ind w:left="1004" w:hanging="360"/>
      </w:pPr>
      <w:rPr>
        <w:rFonts w:ascii="Symbol" w:hAnsi="Symbol" w:hint="default"/>
        <w:w w:val="131"/>
        <w:sz w:val="24"/>
        <w:szCs w:val="24"/>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15F58"/>
    <w:multiLevelType w:val="hybridMultilevel"/>
    <w:tmpl w:val="553AECF6"/>
    <w:lvl w:ilvl="0" w:tplc="6C08FE60">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03284C2A"/>
    <w:multiLevelType w:val="hybridMultilevel"/>
    <w:tmpl w:val="2BE8A770"/>
    <w:lvl w:ilvl="0" w:tplc="FFFFFFFF">
      <w:start w:val="1"/>
      <w:numFmt w:val="bullet"/>
      <w:lvlText w:val=""/>
      <w:lvlJc w:val="left"/>
      <w:pPr>
        <w:ind w:left="1009" w:hanging="360"/>
      </w:pPr>
      <w:rPr>
        <w:rFonts w:ascii="Symbol" w:hAnsi="Symbol" w:hint="default"/>
        <w:sz w:val="28"/>
        <w:szCs w:val="28"/>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3" w15:restartNumberingAfterBreak="0">
    <w:nsid w:val="0EB32C55"/>
    <w:multiLevelType w:val="hybridMultilevel"/>
    <w:tmpl w:val="2902A7A0"/>
    <w:lvl w:ilvl="0" w:tplc="6A9A1CAA">
      <w:start w:val="22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10F41E1A"/>
    <w:multiLevelType w:val="hybridMultilevel"/>
    <w:tmpl w:val="3BAEE678"/>
    <w:lvl w:ilvl="0" w:tplc="FFFFFFFF">
      <w:start w:val="1"/>
      <w:numFmt w:val="bullet"/>
      <w:lvlText w:val=""/>
      <w:lvlJc w:val="left"/>
      <w:pPr>
        <w:ind w:left="1004" w:hanging="360"/>
      </w:pPr>
      <w:rPr>
        <w:rFonts w:ascii="Symbol" w:hAnsi="Symbol" w:hint="default"/>
        <w:color w:val="auto"/>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1580B6B"/>
    <w:multiLevelType w:val="hybridMultilevel"/>
    <w:tmpl w:val="6F521860"/>
    <w:lvl w:ilvl="0" w:tplc="BDA04AAE">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15:restartNumberingAfterBreak="0">
    <w:nsid w:val="12952104"/>
    <w:multiLevelType w:val="hybridMultilevel"/>
    <w:tmpl w:val="EF96DD1C"/>
    <w:lvl w:ilvl="0" w:tplc="1064509C">
      <w:start w:val="1"/>
      <w:numFmt w:val="bullet"/>
      <w:lvlText w:val=""/>
      <w:lvlJc w:val="left"/>
      <w:pPr>
        <w:ind w:left="720" w:hanging="360"/>
      </w:pPr>
      <w:rPr>
        <w:rFonts w:ascii="Symbol" w:hAnsi="Symbol" w:hint="default"/>
      </w:rPr>
    </w:lvl>
    <w:lvl w:ilvl="1" w:tplc="C28027C8">
      <w:start w:val="1"/>
      <w:numFmt w:val="bullet"/>
      <w:lvlText w:val="o"/>
      <w:lvlJc w:val="left"/>
      <w:pPr>
        <w:ind w:left="1440" w:hanging="360"/>
      </w:pPr>
      <w:rPr>
        <w:rFonts w:ascii="Courier New" w:hAnsi="Courier New" w:hint="default"/>
      </w:rPr>
    </w:lvl>
    <w:lvl w:ilvl="2" w:tplc="A9188E56">
      <w:start w:val="1"/>
      <w:numFmt w:val="bullet"/>
      <w:lvlText w:val=""/>
      <w:lvlJc w:val="left"/>
      <w:pPr>
        <w:ind w:left="2160" w:hanging="360"/>
      </w:pPr>
      <w:rPr>
        <w:rFonts w:ascii="Wingdings" w:hAnsi="Wingdings" w:hint="default"/>
      </w:rPr>
    </w:lvl>
    <w:lvl w:ilvl="3" w:tplc="200EFE30">
      <w:start w:val="1"/>
      <w:numFmt w:val="bullet"/>
      <w:lvlText w:val=""/>
      <w:lvlJc w:val="left"/>
      <w:pPr>
        <w:ind w:left="2880" w:hanging="360"/>
      </w:pPr>
      <w:rPr>
        <w:rFonts w:ascii="Symbol" w:hAnsi="Symbol" w:hint="default"/>
      </w:rPr>
    </w:lvl>
    <w:lvl w:ilvl="4" w:tplc="1E003C78">
      <w:start w:val="1"/>
      <w:numFmt w:val="bullet"/>
      <w:lvlText w:val="o"/>
      <w:lvlJc w:val="left"/>
      <w:pPr>
        <w:ind w:left="3600" w:hanging="360"/>
      </w:pPr>
      <w:rPr>
        <w:rFonts w:ascii="Courier New" w:hAnsi="Courier New" w:hint="default"/>
      </w:rPr>
    </w:lvl>
    <w:lvl w:ilvl="5" w:tplc="4ECA1D6E">
      <w:start w:val="1"/>
      <w:numFmt w:val="bullet"/>
      <w:lvlText w:val=""/>
      <w:lvlJc w:val="left"/>
      <w:pPr>
        <w:ind w:left="4320" w:hanging="360"/>
      </w:pPr>
      <w:rPr>
        <w:rFonts w:ascii="Wingdings" w:hAnsi="Wingdings" w:hint="default"/>
      </w:rPr>
    </w:lvl>
    <w:lvl w:ilvl="6" w:tplc="709C80E8">
      <w:start w:val="1"/>
      <w:numFmt w:val="bullet"/>
      <w:lvlText w:val=""/>
      <w:lvlJc w:val="left"/>
      <w:pPr>
        <w:ind w:left="5040" w:hanging="360"/>
      </w:pPr>
      <w:rPr>
        <w:rFonts w:ascii="Symbol" w:hAnsi="Symbol" w:hint="default"/>
      </w:rPr>
    </w:lvl>
    <w:lvl w:ilvl="7" w:tplc="B0B6A67C">
      <w:start w:val="1"/>
      <w:numFmt w:val="bullet"/>
      <w:lvlText w:val="o"/>
      <w:lvlJc w:val="left"/>
      <w:pPr>
        <w:ind w:left="5760" w:hanging="360"/>
      </w:pPr>
      <w:rPr>
        <w:rFonts w:ascii="Courier New" w:hAnsi="Courier New" w:hint="default"/>
      </w:rPr>
    </w:lvl>
    <w:lvl w:ilvl="8" w:tplc="5ACA7388">
      <w:start w:val="1"/>
      <w:numFmt w:val="bullet"/>
      <w:lvlText w:val=""/>
      <w:lvlJc w:val="left"/>
      <w:pPr>
        <w:ind w:left="6480" w:hanging="360"/>
      </w:pPr>
      <w:rPr>
        <w:rFonts w:ascii="Wingdings" w:hAnsi="Wingdings" w:hint="default"/>
      </w:rPr>
    </w:lvl>
  </w:abstractNum>
  <w:abstractNum w:abstractNumId="8" w15:restartNumberingAfterBreak="0">
    <w:nsid w:val="15487C40"/>
    <w:multiLevelType w:val="hybridMultilevel"/>
    <w:tmpl w:val="AC826714"/>
    <w:lvl w:ilvl="0" w:tplc="D354FC78">
      <w:start w:val="1"/>
      <w:numFmt w:val="bullet"/>
      <w:lvlText w:val="·"/>
      <w:lvlJc w:val="left"/>
      <w:pPr>
        <w:ind w:left="720" w:hanging="360"/>
      </w:pPr>
      <w:rPr>
        <w:rFonts w:ascii="Symbol" w:hAnsi="Symbol" w:hint="default"/>
      </w:rPr>
    </w:lvl>
    <w:lvl w:ilvl="1" w:tplc="4CE8D066">
      <w:start w:val="1"/>
      <w:numFmt w:val="bullet"/>
      <w:lvlText w:val="o"/>
      <w:lvlJc w:val="left"/>
      <w:pPr>
        <w:ind w:left="1440" w:hanging="360"/>
      </w:pPr>
      <w:rPr>
        <w:rFonts w:ascii="Courier New" w:hAnsi="Courier New" w:hint="default"/>
      </w:rPr>
    </w:lvl>
    <w:lvl w:ilvl="2" w:tplc="4F6EBF40">
      <w:start w:val="1"/>
      <w:numFmt w:val="bullet"/>
      <w:lvlText w:val=""/>
      <w:lvlJc w:val="left"/>
      <w:pPr>
        <w:ind w:left="2160" w:hanging="360"/>
      </w:pPr>
      <w:rPr>
        <w:rFonts w:ascii="Wingdings" w:hAnsi="Wingdings" w:hint="default"/>
      </w:rPr>
    </w:lvl>
    <w:lvl w:ilvl="3" w:tplc="B26C4C78">
      <w:start w:val="1"/>
      <w:numFmt w:val="bullet"/>
      <w:lvlText w:val=""/>
      <w:lvlJc w:val="left"/>
      <w:pPr>
        <w:ind w:left="2880" w:hanging="360"/>
      </w:pPr>
      <w:rPr>
        <w:rFonts w:ascii="Symbol" w:hAnsi="Symbol" w:hint="default"/>
      </w:rPr>
    </w:lvl>
    <w:lvl w:ilvl="4" w:tplc="0882A306">
      <w:start w:val="1"/>
      <w:numFmt w:val="bullet"/>
      <w:lvlText w:val="o"/>
      <w:lvlJc w:val="left"/>
      <w:pPr>
        <w:ind w:left="3600" w:hanging="360"/>
      </w:pPr>
      <w:rPr>
        <w:rFonts w:ascii="Courier New" w:hAnsi="Courier New" w:hint="default"/>
      </w:rPr>
    </w:lvl>
    <w:lvl w:ilvl="5" w:tplc="C49412EA">
      <w:start w:val="1"/>
      <w:numFmt w:val="bullet"/>
      <w:lvlText w:val=""/>
      <w:lvlJc w:val="left"/>
      <w:pPr>
        <w:ind w:left="4320" w:hanging="360"/>
      </w:pPr>
      <w:rPr>
        <w:rFonts w:ascii="Wingdings" w:hAnsi="Wingdings" w:hint="default"/>
      </w:rPr>
    </w:lvl>
    <w:lvl w:ilvl="6" w:tplc="FE0A691E">
      <w:start w:val="1"/>
      <w:numFmt w:val="bullet"/>
      <w:lvlText w:val=""/>
      <w:lvlJc w:val="left"/>
      <w:pPr>
        <w:ind w:left="5040" w:hanging="360"/>
      </w:pPr>
      <w:rPr>
        <w:rFonts w:ascii="Symbol" w:hAnsi="Symbol" w:hint="default"/>
      </w:rPr>
    </w:lvl>
    <w:lvl w:ilvl="7" w:tplc="1988D4AA">
      <w:start w:val="1"/>
      <w:numFmt w:val="bullet"/>
      <w:lvlText w:val="o"/>
      <w:lvlJc w:val="left"/>
      <w:pPr>
        <w:ind w:left="5760" w:hanging="360"/>
      </w:pPr>
      <w:rPr>
        <w:rFonts w:ascii="Courier New" w:hAnsi="Courier New" w:hint="default"/>
      </w:rPr>
    </w:lvl>
    <w:lvl w:ilvl="8" w:tplc="20746C54">
      <w:start w:val="1"/>
      <w:numFmt w:val="bullet"/>
      <w:lvlText w:val=""/>
      <w:lvlJc w:val="left"/>
      <w:pPr>
        <w:ind w:left="6480" w:hanging="360"/>
      </w:pPr>
      <w:rPr>
        <w:rFonts w:ascii="Wingdings" w:hAnsi="Wingdings" w:hint="default"/>
      </w:rPr>
    </w:lvl>
  </w:abstractNum>
  <w:abstractNum w:abstractNumId="9" w15:restartNumberingAfterBreak="0">
    <w:nsid w:val="15495210"/>
    <w:multiLevelType w:val="hybridMultilevel"/>
    <w:tmpl w:val="CB561F98"/>
    <w:lvl w:ilvl="0" w:tplc="16984AD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E06C26"/>
    <w:multiLevelType w:val="hybridMultilevel"/>
    <w:tmpl w:val="8982D384"/>
    <w:lvl w:ilvl="0" w:tplc="16984AD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7E410F3"/>
    <w:multiLevelType w:val="hybridMultilevel"/>
    <w:tmpl w:val="005ABE24"/>
    <w:lvl w:ilvl="0" w:tplc="EE720CA8">
      <w:start w:val="1"/>
      <w:numFmt w:val="bullet"/>
      <w:lvlText w:val="·"/>
      <w:lvlJc w:val="left"/>
      <w:pPr>
        <w:ind w:left="720" w:hanging="360"/>
      </w:pPr>
      <w:rPr>
        <w:rFonts w:ascii="Symbol" w:hAnsi="Symbol" w:hint="default"/>
      </w:rPr>
    </w:lvl>
    <w:lvl w:ilvl="1" w:tplc="F96EA7D8">
      <w:start w:val="1"/>
      <w:numFmt w:val="bullet"/>
      <w:lvlText w:val="o"/>
      <w:lvlJc w:val="left"/>
      <w:pPr>
        <w:ind w:left="1440" w:hanging="360"/>
      </w:pPr>
      <w:rPr>
        <w:rFonts w:ascii="Courier New" w:hAnsi="Courier New" w:hint="default"/>
      </w:rPr>
    </w:lvl>
    <w:lvl w:ilvl="2" w:tplc="7FEAB59A">
      <w:start w:val="1"/>
      <w:numFmt w:val="bullet"/>
      <w:lvlText w:val=""/>
      <w:lvlJc w:val="left"/>
      <w:pPr>
        <w:ind w:left="2160" w:hanging="360"/>
      </w:pPr>
      <w:rPr>
        <w:rFonts w:ascii="Wingdings" w:hAnsi="Wingdings" w:hint="default"/>
      </w:rPr>
    </w:lvl>
    <w:lvl w:ilvl="3" w:tplc="871A7F1A">
      <w:start w:val="1"/>
      <w:numFmt w:val="bullet"/>
      <w:lvlText w:val=""/>
      <w:lvlJc w:val="left"/>
      <w:pPr>
        <w:ind w:left="2880" w:hanging="360"/>
      </w:pPr>
      <w:rPr>
        <w:rFonts w:ascii="Symbol" w:hAnsi="Symbol" w:hint="default"/>
      </w:rPr>
    </w:lvl>
    <w:lvl w:ilvl="4" w:tplc="A196A890">
      <w:start w:val="1"/>
      <w:numFmt w:val="bullet"/>
      <w:lvlText w:val="o"/>
      <w:lvlJc w:val="left"/>
      <w:pPr>
        <w:ind w:left="3600" w:hanging="360"/>
      </w:pPr>
      <w:rPr>
        <w:rFonts w:ascii="Courier New" w:hAnsi="Courier New" w:hint="default"/>
      </w:rPr>
    </w:lvl>
    <w:lvl w:ilvl="5" w:tplc="17C2F12E">
      <w:start w:val="1"/>
      <w:numFmt w:val="bullet"/>
      <w:lvlText w:val=""/>
      <w:lvlJc w:val="left"/>
      <w:pPr>
        <w:ind w:left="4320" w:hanging="360"/>
      </w:pPr>
      <w:rPr>
        <w:rFonts w:ascii="Wingdings" w:hAnsi="Wingdings" w:hint="default"/>
      </w:rPr>
    </w:lvl>
    <w:lvl w:ilvl="6" w:tplc="028CF554">
      <w:start w:val="1"/>
      <w:numFmt w:val="bullet"/>
      <w:lvlText w:val=""/>
      <w:lvlJc w:val="left"/>
      <w:pPr>
        <w:ind w:left="5040" w:hanging="360"/>
      </w:pPr>
      <w:rPr>
        <w:rFonts w:ascii="Symbol" w:hAnsi="Symbol" w:hint="default"/>
      </w:rPr>
    </w:lvl>
    <w:lvl w:ilvl="7" w:tplc="4DC034E2">
      <w:start w:val="1"/>
      <w:numFmt w:val="bullet"/>
      <w:lvlText w:val="o"/>
      <w:lvlJc w:val="left"/>
      <w:pPr>
        <w:ind w:left="5760" w:hanging="360"/>
      </w:pPr>
      <w:rPr>
        <w:rFonts w:ascii="Courier New" w:hAnsi="Courier New" w:hint="default"/>
      </w:rPr>
    </w:lvl>
    <w:lvl w:ilvl="8" w:tplc="0EB486A0">
      <w:start w:val="1"/>
      <w:numFmt w:val="bullet"/>
      <w:lvlText w:val=""/>
      <w:lvlJc w:val="left"/>
      <w:pPr>
        <w:ind w:left="6480" w:hanging="360"/>
      </w:pPr>
      <w:rPr>
        <w:rFonts w:ascii="Wingdings" w:hAnsi="Wingdings" w:hint="default"/>
      </w:rPr>
    </w:lvl>
  </w:abstractNum>
  <w:abstractNum w:abstractNumId="12" w15:restartNumberingAfterBreak="0">
    <w:nsid w:val="1D976152"/>
    <w:multiLevelType w:val="hybridMultilevel"/>
    <w:tmpl w:val="87041EC8"/>
    <w:lvl w:ilvl="0" w:tplc="DEC275D8">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23151E02"/>
    <w:multiLevelType w:val="hybridMultilevel"/>
    <w:tmpl w:val="BA12DED8"/>
    <w:lvl w:ilvl="0" w:tplc="9CEA4C10">
      <w:start w:val="1"/>
      <w:numFmt w:val="bullet"/>
      <w:lvlText w:val="·"/>
      <w:lvlJc w:val="left"/>
      <w:pPr>
        <w:ind w:left="720" w:hanging="360"/>
      </w:pPr>
      <w:rPr>
        <w:rFonts w:ascii="Symbol" w:hAnsi="Symbol" w:hint="default"/>
      </w:rPr>
    </w:lvl>
    <w:lvl w:ilvl="1" w:tplc="9A5668A2">
      <w:start w:val="1"/>
      <w:numFmt w:val="bullet"/>
      <w:lvlText w:val="o"/>
      <w:lvlJc w:val="left"/>
      <w:pPr>
        <w:ind w:left="1440" w:hanging="360"/>
      </w:pPr>
      <w:rPr>
        <w:rFonts w:ascii="Courier New" w:hAnsi="Courier New" w:hint="default"/>
      </w:rPr>
    </w:lvl>
    <w:lvl w:ilvl="2" w:tplc="95848D8E">
      <w:start w:val="1"/>
      <w:numFmt w:val="bullet"/>
      <w:lvlText w:val=""/>
      <w:lvlJc w:val="left"/>
      <w:pPr>
        <w:ind w:left="2160" w:hanging="360"/>
      </w:pPr>
      <w:rPr>
        <w:rFonts w:ascii="Wingdings" w:hAnsi="Wingdings" w:hint="default"/>
      </w:rPr>
    </w:lvl>
    <w:lvl w:ilvl="3" w:tplc="0658D4C0">
      <w:start w:val="1"/>
      <w:numFmt w:val="bullet"/>
      <w:lvlText w:val=""/>
      <w:lvlJc w:val="left"/>
      <w:pPr>
        <w:ind w:left="2880" w:hanging="360"/>
      </w:pPr>
      <w:rPr>
        <w:rFonts w:ascii="Symbol" w:hAnsi="Symbol" w:hint="default"/>
      </w:rPr>
    </w:lvl>
    <w:lvl w:ilvl="4" w:tplc="4F387892">
      <w:start w:val="1"/>
      <w:numFmt w:val="bullet"/>
      <w:lvlText w:val="o"/>
      <w:lvlJc w:val="left"/>
      <w:pPr>
        <w:ind w:left="3600" w:hanging="360"/>
      </w:pPr>
      <w:rPr>
        <w:rFonts w:ascii="Courier New" w:hAnsi="Courier New" w:hint="default"/>
      </w:rPr>
    </w:lvl>
    <w:lvl w:ilvl="5" w:tplc="0CD23B34">
      <w:start w:val="1"/>
      <w:numFmt w:val="bullet"/>
      <w:lvlText w:val=""/>
      <w:lvlJc w:val="left"/>
      <w:pPr>
        <w:ind w:left="4320" w:hanging="360"/>
      </w:pPr>
      <w:rPr>
        <w:rFonts w:ascii="Wingdings" w:hAnsi="Wingdings" w:hint="default"/>
      </w:rPr>
    </w:lvl>
    <w:lvl w:ilvl="6" w:tplc="B192D6BC">
      <w:start w:val="1"/>
      <w:numFmt w:val="bullet"/>
      <w:lvlText w:val=""/>
      <w:lvlJc w:val="left"/>
      <w:pPr>
        <w:ind w:left="5040" w:hanging="360"/>
      </w:pPr>
      <w:rPr>
        <w:rFonts w:ascii="Symbol" w:hAnsi="Symbol" w:hint="default"/>
      </w:rPr>
    </w:lvl>
    <w:lvl w:ilvl="7" w:tplc="95CAF85E">
      <w:start w:val="1"/>
      <w:numFmt w:val="bullet"/>
      <w:lvlText w:val="o"/>
      <w:lvlJc w:val="left"/>
      <w:pPr>
        <w:ind w:left="5760" w:hanging="360"/>
      </w:pPr>
      <w:rPr>
        <w:rFonts w:ascii="Courier New" w:hAnsi="Courier New" w:hint="default"/>
      </w:rPr>
    </w:lvl>
    <w:lvl w:ilvl="8" w:tplc="B03C81B0">
      <w:start w:val="1"/>
      <w:numFmt w:val="bullet"/>
      <w:lvlText w:val=""/>
      <w:lvlJc w:val="left"/>
      <w:pPr>
        <w:ind w:left="6480" w:hanging="360"/>
      </w:pPr>
      <w:rPr>
        <w:rFonts w:ascii="Wingdings" w:hAnsi="Wingdings" w:hint="default"/>
      </w:rPr>
    </w:lvl>
  </w:abstractNum>
  <w:abstractNum w:abstractNumId="14" w15:restartNumberingAfterBreak="0">
    <w:nsid w:val="23B6BB1F"/>
    <w:multiLevelType w:val="hybridMultilevel"/>
    <w:tmpl w:val="CCD6E832"/>
    <w:lvl w:ilvl="0" w:tplc="808E57D8">
      <w:start w:val="1"/>
      <w:numFmt w:val="bullet"/>
      <w:lvlText w:val=""/>
      <w:lvlJc w:val="left"/>
      <w:pPr>
        <w:ind w:left="720" w:hanging="360"/>
      </w:pPr>
      <w:rPr>
        <w:rFonts w:ascii="Symbol" w:hAnsi="Symbol" w:hint="default"/>
      </w:rPr>
    </w:lvl>
    <w:lvl w:ilvl="1" w:tplc="809A1AE8">
      <w:start w:val="1"/>
      <w:numFmt w:val="bullet"/>
      <w:lvlText w:val="o"/>
      <w:lvlJc w:val="left"/>
      <w:pPr>
        <w:ind w:left="1440" w:hanging="360"/>
      </w:pPr>
      <w:rPr>
        <w:rFonts w:ascii="Courier New" w:hAnsi="Courier New" w:hint="default"/>
      </w:rPr>
    </w:lvl>
    <w:lvl w:ilvl="2" w:tplc="9DE4D8FA">
      <w:start w:val="1"/>
      <w:numFmt w:val="bullet"/>
      <w:lvlText w:val=""/>
      <w:lvlJc w:val="left"/>
      <w:pPr>
        <w:ind w:left="2160" w:hanging="360"/>
      </w:pPr>
      <w:rPr>
        <w:rFonts w:ascii="Wingdings" w:hAnsi="Wingdings" w:hint="default"/>
      </w:rPr>
    </w:lvl>
    <w:lvl w:ilvl="3" w:tplc="79E01508">
      <w:start w:val="1"/>
      <w:numFmt w:val="bullet"/>
      <w:lvlText w:val=""/>
      <w:lvlJc w:val="left"/>
      <w:pPr>
        <w:ind w:left="2880" w:hanging="360"/>
      </w:pPr>
      <w:rPr>
        <w:rFonts w:ascii="Symbol" w:hAnsi="Symbol" w:hint="default"/>
      </w:rPr>
    </w:lvl>
    <w:lvl w:ilvl="4" w:tplc="321A9666">
      <w:start w:val="1"/>
      <w:numFmt w:val="bullet"/>
      <w:lvlText w:val="o"/>
      <w:lvlJc w:val="left"/>
      <w:pPr>
        <w:ind w:left="3600" w:hanging="360"/>
      </w:pPr>
      <w:rPr>
        <w:rFonts w:ascii="Courier New" w:hAnsi="Courier New" w:hint="default"/>
      </w:rPr>
    </w:lvl>
    <w:lvl w:ilvl="5" w:tplc="52642BFC">
      <w:start w:val="1"/>
      <w:numFmt w:val="bullet"/>
      <w:lvlText w:val=""/>
      <w:lvlJc w:val="left"/>
      <w:pPr>
        <w:ind w:left="4320" w:hanging="360"/>
      </w:pPr>
      <w:rPr>
        <w:rFonts w:ascii="Wingdings" w:hAnsi="Wingdings" w:hint="default"/>
      </w:rPr>
    </w:lvl>
    <w:lvl w:ilvl="6" w:tplc="D6B8DA06">
      <w:start w:val="1"/>
      <w:numFmt w:val="bullet"/>
      <w:lvlText w:val=""/>
      <w:lvlJc w:val="left"/>
      <w:pPr>
        <w:ind w:left="5040" w:hanging="360"/>
      </w:pPr>
      <w:rPr>
        <w:rFonts w:ascii="Symbol" w:hAnsi="Symbol" w:hint="default"/>
      </w:rPr>
    </w:lvl>
    <w:lvl w:ilvl="7" w:tplc="B4C8D1E6">
      <w:start w:val="1"/>
      <w:numFmt w:val="bullet"/>
      <w:lvlText w:val="o"/>
      <w:lvlJc w:val="left"/>
      <w:pPr>
        <w:ind w:left="5760" w:hanging="360"/>
      </w:pPr>
      <w:rPr>
        <w:rFonts w:ascii="Courier New" w:hAnsi="Courier New" w:hint="default"/>
      </w:rPr>
    </w:lvl>
    <w:lvl w:ilvl="8" w:tplc="04D82D64">
      <w:start w:val="1"/>
      <w:numFmt w:val="bullet"/>
      <w:lvlText w:val=""/>
      <w:lvlJc w:val="left"/>
      <w:pPr>
        <w:ind w:left="6480" w:hanging="360"/>
      </w:pPr>
      <w:rPr>
        <w:rFonts w:ascii="Wingdings" w:hAnsi="Wingdings" w:hint="default"/>
      </w:rPr>
    </w:lvl>
  </w:abstractNum>
  <w:abstractNum w:abstractNumId="15" w15:restartNumberingAfterBreak="0">
    <w:nsid w:val="288D825F"/>
    <w:multiLevelType w:val="hybridMultilevel"/>
    <w:tmpl w:val="B2D8AD28"/>
    <w:lvl w:ilvl="0" w:tplc="8ABA8AE8">
      <w:start w:val="1"/>
      <w:numFmt w:val="bullet"/>
      <w:lvlText w:val=""/>
      <w:lvlJc w:val="left"/>
      <w:pPr>
        <w:ind w:left="720" w:hanging="360"/>
      </w:pPr>
      <w:rPr>
        <w:rFonts w:ascii="Symbol" w:hAnsi="Symbol" w:hint="default"/>
      </w:rPr>
    </w:lvl>
    <w:lvl w:ilvl="1" w:tplc="8DCC3F26">
      <w:start w:val="1"/>
      <w:numFmt w:val="bullet"/>
      <w:lvlText w:val="o"/>
      <w:lvlJc w:val="left"/>
      <w:pPr>
        <w:ind w:left="1440" w:hanging="360"/>
      </w:pPr>
      <w:rPr>
        <w:rFonts w:ascii="Courier New" w:hAnsi="Courier New" w:hint="default"/>
      </w:rPr>
    </w:lvl>
    <w:lvl w:ilvl="2" w:tplc="1D080AE8">
      <w:start w:val="1"/>
      <w:numFmt w:val="bullet"/>
      <w:lvlText w:val=""/>
      <w:lvlJc w:val="left"/>
      <w:pPr>
        <w:ind w:left="2160" w:hanging="360"/>
      </w:pPr>
      <w:rPr>
        <w:rFonts w:ascii="Wingdings" w:hAnsi="Wingdings" w:hint="default"/>
      </w:rPr>
    </w:lvl>
    <w:lvl w:ilvl="3" w:tplc="B0B48B8C">
      <w:start w:val="1"/>
      <w:numFmt w:val="bullet"/>
      <w:lvlText w:val=""/>
      <w:lvlJc w:val="left"/>
      <w:pPr>
        <w:ind w:left="2880" w:hanging="360"/>
      </w:pPr>
      <w:rPr>
        <w:rFonts w:ascii="Symbol" w:hAnsi="Symbol" w:hint="default"/>
      </w:rPr>
    </w:lvl>
    <w:lvl w:ilvl="4" w:tplc="228481D6">
      <w:start w:val="1"/>
      <w:numFmt w:val="bullet"/>
      <w:lvlText w:val="o"/>
      <w:lvlJc w:val="left"/>
      <w:pPr>
        <w:ind w:left="3600" w:hanging="360"/>
      </w:pPr>
      <w:rPr>
        <w:rFonts w:ascii="Courier New" w:hAnsi="Courier New" w:hint="default"/>
      </w:rPr>
    </w:lvl>
    <w:lvl w:ilvl="5" w:tplc="60924F14">
      <w:start w:val="1"/>
      <w:numFmt w:val="bullet"/>
      <w:lvlText w:val=""/>
      <w:lvlJc w:val="left"/>
      <w:pPr>
        <w:ind w:left="4320" w:hanging="360"/>
      </w:pPr>
      <w:rPr>
        <w:rFonts w:ascii="Wingdings" w:hAnsi="Wingdings" w:hint="default"/>
      </w:rPr>
    </w:lvl>
    <w:lvl w:ilvl="6" w:tplc="10AE2506">
      <w:start w:val="1"/>
      <w:numFmt w:val="bullet"/>
      <w:lvlText w:val=""/>
      <w:lvlJc w:val="left"/>
      <w:pPr>
        <w:ind w:left="5040" w:hanging="360"/>
      </w:pPr>
      <w:rPr>
        <w:rFonts w:ascii="Symbol" w:hAnsi="Symbol" w:hint="default"/>
      </w:rPr>
    </w:lvl>
    <w:lvl w:ilvl="7" w:tplc="E0C8FF54">
      <w:start w:val="1"/>
      <w:numFmt w:val="bullet"/>
      <w:lvlText w:val="o"/>
      <w:lvlJc w:val="left"/>
      <w:pPr>
        <w:ind w:left="5760" w:hanging="360"/>
      </w:pPr>
      <w:rPr>
        <w:rFonts w:ascii="Courier New" w:hAnsi="Courier New" w:hint="default"/>
      </w:rPr>
    </w:lvl>
    <w:lvl w:ilvl="8" w:tplc="D0DAD5BC">
      <w:start w:val="1"/>
      <w:numFmt w:val="bullet"/>
      <w:lvlText w:val=""/>
      <w:lvlJc w:val="left"/>
      <w:pPr>
        <w:ind w:left="6480" w:hanging="360"/>
      </w:pPr>
      <w:rPr>
        <w:rFonts w:ascii="Wingdings" w:hAnsi="Wingdings" w:hint="default"/>
      </w:rPr>
    </w:lvl>
  </w:abstractNum>
  <w:abstractNum w:abstractNumId="16" w15:restartNumberingAfterBreak="0">
    <w:nsid w:val="29D038E5"/>
    <w:multiLevelType w:val="hybridMultilevel"/>
    <w:tmpl w:val="2B5E23BC"/>
    <w:lvl w:ilvl="0" w:tplc="FFFFFFFF">
      <w:start w:val="1"/>
      <w:numFmt w:val="bullet"/>
      <w:lvlText w:val=""/>
      <w:lvlJc w:val="left"/>
      <w:pPr>
        <w:ind w:left="360" w:hanging="360"/>
      </w:pPr>
      <w:rPr>
        <w:rFonts w:ascii="Symbol" w:hAnsi="Symbol" w:hint="default"/>
      </w:rPr>
    </w:lvl>
    <w:lvl w:ilvl="1" w:tplc="C32268BA">
      <w:start w:val="1"/>
      <w:numFmt w:val="bullet"/>
      <w:lvlText w:val="o"/>
      <w:lvlJc w:val="left"/>
      <w:pPr>
        <w:ind w:left="1440" w:hanging="360"/>
      </w:pPr>
      <w:rPr>
        <w:rFonts w:ascii="Courier New" w:hAnsi="Courier New" w:hint="default"/>
      </w:rPr>
    </w:lvl>
    <w:lvl w:ilvl="2" w:tplc="16984AD8">
      <w:start w:val="1"/>
      <w:numFmt w:val="bullet"/>
      <w:lvlText w:val=""/>
      <w:lvlJc w:val="left"/>
      <w:pPr>
        <w:ind w:left="2160" w:hanging="360"/>
      </w:pPr>
      <w:rPr>
        <w:rFonts w:ascii="Wingdings" w:hAnsi="Wingdings" w:hint="default"/>
      </w:rPr>
    </w:lvl>
    <w:lvl w:ilvl="3" w:tplc="CABAB610">
      <w:start w:val="1"/>
      <w:numFmt w:val="bullet"/>
      <w:lvlText w:val=""/>
      <w:lvlJc w:val="left"/>
      <w:pPr>
        <w:ind w:left="2880" w:hanging="360"/>
      </w:pPr>
      <w:rPr>
        <w:rFonts w:ascii="Symbol" w:hAnsi="Symbol" w:hint="default"/>
      </w:rPr>
    </w:lvl>
    <w:lvl w:ilvl="4" w:tplc="264A7162">
      <w:start w:val="1"/>
      <w:numFmt w:val="bullet"/>
      <w:lvlText w:val="o"/>
      <w:lvlJc w:val="left"/>
      <w:pPr>
        <w:ind w:left="3600" w:hanging="360"/>
      </w:pPr>
      <w:rPr>
        <w:rFonts w:ascii="Courier New" w:hAnsi="Courier New" w:hint="default"/>
      </w:rPr>
    </w:lvl>
    <w:lvl w:ilvl="5" w:tplc="4246D700">
      <w:start w:val="1"/>
      <w:numFmt w:val="bullet"/>
      <w:lvlText w:val=""/>
      <w:lvlJc w:val="left"/>
      <w:pPr>
        <w:ind w:left="4320" w:hanging="360"/>
      </w:pPr>
      <w:rPr>
        <w:rFonts w:ascii="Wingdings" w:hAnsi="Wingdings" w:hint="default"/>
      </w:rPr>
    </w:lvl>
    <w:lvl w:ilvl="6" w:tplc="C770C5E2">
      <w:start w:val="1"/>
      <w:numFmt w:val="bullet"/>
      <w:lvlText w:val=""/>
      <w:lvlJc w:val="left"/>
      <w:pPr>
        <w:ind w:left="5040" w:hanging="360"/>
      </w:pPr>
      <w:rPr>
        <w:rFonts w:ascii="Symbol" w:hAnsi="Symbol" w:hint="default"/>
      </w:rPr>
    </w:lvl>
    <w:lvl w:ilvl="7" w:tplc="F5623B0E">
      <w:start w:val="1"/>
      <w:numFmt w:val="bullet"/>
      <w:lvlText w:val="o"/>
      <w:lvlJc w:val="left"/>
      <w:pPr>
        <w:ind w:left="5760" w:hanging="360"/>
      </w:pPr>
      <w:rPr>
        <w:rFonts w:ascii="Courier New" w:hAnsi="Courier New" w:hint="default"/>
      </w:rPr>
    </w:lvl>
    <w:lvl w:ilvl="8" w:tplc="E0BC103A">
      <w:start w:val="1"/>
      <w:numFmt w:val="bullet"/>
      <w:lvlText w:val=""/>
      <w:lvlJc w:val="left"/>
      <w:pPr>
        <w:ind w:left="6480" w:hanging="360"/>
      </w:pPr>
      <w:rPr>
        <w:rFonts w:ascii="Wingdings" w:hAnsi="Wingdings" w:hint="default"/>
      </w:rPr>
    </w:lvl>
  </w:abstractNum>
  <w:abstractNum w:abstractNumId="17" w15:restartNumberingAfterBreak="0">
    <w:nsid w:val="2A1D3CAE"/>
    <w:multiLevelType w:val="hybridMultilevel"/>
    <w:tmpl w:val="70A85AFC"/>
    <w:lvl w:ilvl="0" w:tplc="F1FABA8E">
      <w:start w:val="1"/>
      <w:numFmt w:val="bullet"/>
      <w:lvlText w:val="·"/>
      <w:lvlJc w:val="left"/>
      <w:pPr>
        <w:ind w:left="720" w:hanging="360"/>
      </w:pPr>
      <w:rPr>
        <w:rFonts w:ascii="Symbol" w:hAnsi="Symbol" w:hint="default"/>
      </w:rPr>
    </w:lvl>
    <w:lvl w:ilvl="1" w:tplc="60F4D85C">
      <w:start w:val="1"/>
      <w:numFmt w:val="bullet"/>
      <w:lvlText w:val="o"/>
      <w:lvlJc w:val="left"/>
      <w:pPr>
        <w:ind w:left="1440" w:hanging="360"/>
      </w:pPr>
      <w:rPr>
        <w:rFonts w:ascii="Courier New" w:hAnsi="Courier New" w:hint="default"/>
      </w:rPr>
    </w:lvl>
    <w:lvl w:ilvl="2" w:tplc="D312D350">
      <w:start w:val="1"/>
      <w:numFmt w:val="bullet"/>
      <w:lvlText w:val=""/>
      <w:lvlJc w:val="left"/>
      <w:pPr>
        <w:ind w:left="2160" w:hanging="360"/>
      </w:pPr>
      <w:rPr>
        <w:rFonts w:ascii="Wingdings" w:hAnsi="Wingdings" w:hint="default"/>
      </w:rPr>
    </w:lvl>
    <w:lvl w:ilvl="3" w:tplc="30ACAD6E">
      <w:start w:val="1"/>
      <w:numFmt w:val="bullet"/>
      <w:lvlText w:val=""/>
      <w:lvlJc w:val="left"/>
      <w:pPr>
        <w:ind w:left="2880" w:hanging="360"/>
      </w:pPr>
      <w:rPr>
        <w:rFonts w:ascii="Symbol" w:hAnsi="Symbol" w:hint="default"/>
      </w:rPr>
    </w:lvl>
    <w:lvl w:ilvl="4" w:tplc="04800828">
      <w:start w:val="1"/>
      <w:numFmt w:val="bullet"/>
      <w:lvlText w:val="o"/>
      <w:lvlJc w:val="left"/>
      <w:pPr>
        <w:ind w:left="3600" w:hanging="360"/>
      </w:pPr>
      <w:rPr>
        <w:rFonts w:ascii="Courier New" w:hAnsi="Courier New" w:hint="default"/>
      </w:rPr>
    </w:lvl>
    <w:lvl w:ilvl="5" w:tplc="59C4057A">
      <w:start w:val="1"/>
      <w:numFmt w:val="bullet"/>
      <w:lvlText w:val=""/>
      <w:lvlJc w:val="left"/>
      <w:pPr>
        <w:ind w:left="4320" w:hanging="360"/>
      </w:pPr>
      <w:rPr>
        <w:rFonts w:ascii="Wingdings" w:hAnsi="Wingdings" w:hint="default"/>
      </w:rPr>
    </w:lvl>
    <w:lvl w:ilvl="6" w:tplc="537E7A58">
      <w:start w:val="1"/>
      <w:numFmt w:val="bullet"/>
      <w:lvlText w:val=""/>
      <w:lvlJc w:val="left"/>
      <w:pPr>
        <w:ind w:left="5040" w:hanging="360"/>
      </w:pPr>
      <w:rPr>
        <w:rFonts w:ascii="Symbol" w:hAnsi="Symbol" w:hint="default"/>
      </w:rPr>
    </w:lvl>
    <w:lvl w:ilvl="7" w:tplc="EF38F38E">
      <w:start w:val="1"/>
      <w:numFmt w:val="bullet"/>
      <w:lvlText w:val="o"/>
      <w:lvlJc w:val="left"/>
      <w:pPr>
        <w:ind w:left="5760" w:hanging="360"/>
      </w:pPr>
      <w:rPr>
        <w:rFonts w:ascii="Courier New" w:hAnsi="Courier New" w:hint="default"/>
      </w:rPr>
    </w:lvl>
    <w:lvl w:ilvl="8" w:tplc="2CD8A09E">
      <w:start w:val="1"/>
      <w:numFmt w:val="bullet"/>
      <w:lvlText w:val=""/>
      <w:lvlJc w:val="left"/>
      <w:pPr>
        <w:ind w:left="6480" w:hanging="360"/>
      </w:pPr>
      <w:rPr>
        <w:rFonts w:ascii="Wingdings" w:hAnsi="Wingdings" w:hint="default"/>
      </w:rPr>
    </w:lvl>
  </w:abstractNum>
  <w:abstractNum w:abstractNumId="18" w15:restartNumberingAfterBreak="0">
    <w:nsid w:val="2D747A33"/>
    <w:multiLevelType w:val="hybridMultilevel"/>
    <w:tmpl w:val="85708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327502"/>
    <w:multiLevelType w:val="hybridMultilevel"/>
    <w:tmpl w:val="23BE73A2"/>
    <w:lvl w:ilvl="0" w:tplc="7F9CE20A">
      <w:start w:val="1"/>
      <w:numFmt w:val="bullet"/>
      <w:lvlText w:val=""/>
      <w:lvlJc w:val="left"/>
      <w:pPr>
        <w:ind w:left="720" w:hanging="360"/>
      </w:pPr>
      <w:rPr>
        <w:rFonts w:ascii="Symbol" w:hAnsi="Symbol" w:hint="default"/>
      </w:rPr>
    </w:lvl>
    <w:lvl w:ilvl="1" w:tplc="268EA25C">
      <w:start w:val="1"/>
      <w:numFmt w:val="bullet"/>
      <w:lvlText w:val="o"/>
      <w:lvlJc w:val="left"/>
      <w:pPr>
        <w:ind w:left="1440" w:hanging="360"/>
      </w:pPr>
      <w:rPr>
        <w:rFonts w:ascii="Courier New" w:hAnsi="Courier New" w:hint="default"/>
      </w:rPr>
    </w:lvl>
    <w:lvl w:ilvl="2" w:tplc="50984642">
      <w:start w:val="1"/>
      <w:numFmt w:val="bullet"/>
      <w:lvlText w:val=""/>
      <w:lvlJc w:val="left"/>
      <w:pPr>
        <w:ind w:left="2160" w:hanging="360"/>
      </w:pPr>
      <w:rPr>
        <w:rFonts w:ascii="Wingdings" w:hAnsi="Wingdings" w:hint="default"/>
      </w:rPr>
    </w:lvl>
    <w:lvl w:ilvl="3" w:tplc="D9925D5A">
      <w:start w:val="1"/>
      <w:numFmt w:val="bullet"/>
      <w:lvlText w:val=""/>
      <w:lvlJc w:val="left"/>
      <w:pPr>
        <w:ind w:left="2880" w:hanging="360"/>
      </w:pPr>
      <w:rPr>
        <w:rFonts w:ascii="Symbol" w:hAnsi="Symbol" w:hint="default"/>
      </w:rPr>
    </w:lvl>
    <w:lvl w:ilvl="4" w:tplc="A8983B94">
      <w:start w:val="1"/>
      <w:numFmt w:val="bullet"/>
      <w:lvlText w:val="o"/>
      <w:lvlJc w:val="left"/>
      <w:pPr>
        <w:ind w:left="3600" w:hanging="360"/>
      </w:pPr>
      <w:rPr>
        <w:rFonts w:ascii="Courier New" w:hAnsi="Courier New" w:hint="default"/>
      </w:rPr>
    </w:lvl>
    <w:lvl w:ilvl="5" w:tplc="FBEAD810">
      <w:start w:val="1"/>
      <w:numFmt w:val="bullet"/>
      <w:lvlText w:val=""/>
      <w:lvlJc w:val="left"/>
      <w:pPr>
        <w:ind w:left="4320" w:hanging="360"/>
      </w:pPr>
      <w:rPr>
        <w:rFonts w:ascii="Wingdings" w:hAnsi="Wingdings" w:hint="default"/>
      </w:rPr>
    </w:lvl>
    <w:lvl w:ilvl="6" w:tplc="9C74AEA4">
      <w:start w:val="1"/>
      <w:numFmt w:val="bullet"/>
      <w:lvlText w:val=""/>
      <w:lvlJc w:val="left"/>
      <w:pPr>
        <w:ind w:left="5040" w:hanging="360"/>
      </w:pPr>
      <w:rPr>
        <w:rFonts w:ascii="Symbol" w:hAnsi="Symbol" w:hint="default"/>
      </w:rPr>
    </w:lvl>
    <w:lvl w:ilvl="7" w:tplc="72B61B88">
      <w:start w:val="1"/>
      <w:numFmt w:val="bullet"/>
      <w:lvlText w:val="o"/>
      <w:lvlJc w:val="left"/>
      <w:pPr>
        <w:ind w:left="5760" w:hanging="360"/>
      </w:pPr>
      <w:rPr>
        <w:rFonts w:ascii="Courier New" w:hAnsi="Courier New" w:hint="default"/>
      </w:rPr>
    </w:lvl>
    <w:lvl w:ilvl="8" w:tplc="8B98E2D8">
      <w:start w:val="1"/>
      <w:numFmt w:val="bullet"/>
      <w:lvlText w:val=""/>
      <w:lvlJc w:val="left"/>
      <w:pPr>
        <w:ind w:left="6480" w:hanging="360"/>
      </w:pPr>
      <w:rPr>
        <w:rFonts w:ascii="Wingdings" w:hAnsi="Wingdings" w:hint="default"/>
      </w:rPr>
    </w:lvl>
  </w:abstractNum>
  <w:abstractNum w:abstractNumId="20" w15:restartNumberingAfterBreak="0">
    <w:nsid w:val="376C720F"/>
    <w:multiLevelType w:val="hybridMultilevel"/>
    <w:tmpl w:val="00123198"/>
    <w:lvl w:ilvl="0" w:tplc="F69C5660">
      <w:start w:val="1"/>
      <w:numFmt w:val="bullet"/>
      <w:lvlText w:val=""/>
      <w:lvlPicBulletId w:val="0"/>
      <w:lvlJc w:val="left"/>
      <w:pPr>
        <w:tabs>
          <w:tab w:val="num" w:pos="720"/>
        </w:tabs>
        <w:ind w:left="720" w:hanging="360"/>
      </w:pPr>
      <w:rPr>
        <w:rFonts w:ascii="Symbol" w:hAnsi="Symbol" w:hint="default"/>
      </w:rPr>
    </w:lvl>
    <w:lvl w:ilvl="1" w:tplc="F7D0A1AE" w:tentative="1">
      <w:start w:val="1"/>
      <w:numFmt w:val="bullet"/>
      <w:lvlText w:val=""/>
      <w:lvlJc w:val="left"/>
      <w:pPr>
        <w:tabs>
          <w:tab w:val="num" w:pos="1440"/>
        </w:tabs>
        <w:ind w:left="1440" w:hanging="360"/>
      </w:pPr>
      <w:rPr>
        <w:rFonts w:ascii="Symbol" w:hAnsi="Symbol" w:hint="default"/>
      </w:rPr>
    </w:lvl>
    <w:lvl w:ilvl="2" w:tplc="00CAAB8E" w:tentative="1">
      <w:start w:val="1"/>
      <w:numFmt w:val="bullet"/>
      <w:lvlText w:val=""/>
      <w:lvlJc w:val="left"/>
      <w:pPr>
        <w:tabs>
          <w:tab w:val="num" w:pos="2160"/>
        </w:tabs>
        <w:ind w:left="2160" w:hanging="360"/>
      </w:pPr>
      <w:rPr>
        <w:rFonts w:ascii="Symbol" w:hAnsi="Symbol" w:hint="default"/>
      </w:rPr>
    </w:lvl>
    <w:lvl w:ilvl="3" w:tplc="0C6CF520" w:tentative="1">
      <w:start w:val="1"/>
      <w:numFmt w:val="bullet"/>
      <w:lvlText w:val=""/>
      <w:lvlJc w:val="left"/>
      <w:pPr>
        <w:tabs>
          <w:tab w:val="num" w:pos="2880"/>
        </w:tabs>
        <w:ind w:left="2880" w:hanging="360"/>
      </w:pPr>
      <w:rPr>
        <w:rFonts w:ascii="Symbol" w:hAnsi="Symbol" w:hint="default"/>
      </w:rPr>
    </w:lvl>
    <w:lvl w:ilvl="4" w:tplc="54BC0E4C" w:tentative="1">
      <w:start w:val="1"/>
      <w:numFmt w:val="bullet"/>
      <w:lvlText w:val=""/>
      <w:lvlJc w:val="left"/>
      <w:pPr>
        <w:tabs>
          <w:tab w:val="num" w:pos="3600"/>
        </w:tabs>
        <w:ind w:left="3600" w:hanging="360"/>
      </w:pPr>
      <w:rPr>
        <w:rFonts w:ascii="Symbol" w:hAnsi="Symbol" w:hint="default"/>
      </w:rPr>
    </w:lvl>
    <w:lvl w:ilvl="5" w:tplc="D1AC44F0" w:tentative="1">
      <w:start w:val="1"/>
      <w:numFmt w:val="bullet"/>
      <w:lvlText w:val=""/>
      <w:lvlJc w:val="left"/>
      <w:pPr>
        <w:tabs>
          <w:tab w:val="num" w:pos="4320"/>
        </w:tabs>
        <w:ind w:left="4320" w:hanging="360"/>
      </w:pPr>
      <w:rPr>
        <w:rFonts w:ascii="Symbol" w:hAnsi="Symbol" w:hint="default"/>
      </w:rPr>
    </w:lvl>
    <w:lvl w:ilvl="6" w:tplc="F6DACA7E" w:tentative="1">
      <w:start w:val="1"/>
      <w:numFmt w:val="bullet"/>
      <w:lvlText w:val=""/>
      <w:lvlJc w:val="left"/>
      <w:pPr>
        <w:tabs>
          <w:tab w:val="num" w:pos="5040"/>
        </w:tabs>
        <w:ind w:left="5040" w:hanging="360"/>
      </w:pPr>
      <w:rPr>
        <w:rFonts w:ascii="Symbol" w:hAnsi="Symbol" w:hint="default"/>
      </w:rPr>
    </w:lvl>
    <w:lvl w:ilvl="7" w:tplc="CEFC271A" w:tentative="1">
      <w:start w:val="1"/>
      <w:numFmt w:val="bullet"/>
      <w:lvlText w:val=""/>
      <w:lvlJc w:val="left"/>
      <w:pPr>
        <w:tabs>
          <w:tab w:val="num" w:pos="5760"/>
        </w:tabs>
        <w:ind w:left="5760" w:hanging="360"/>
      </w:pPr>
      <w:rPr>
        <w:rFonts w:ascii="Symbol" w:hAnsi="Symbol" w:hint="default"/>
      </w:rPr>
    </w:lvl>
    <w:lvl w:ilvl="8" w:tplc="789A475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C4FC02E"/>
    <w:multiLevelType w:val="hybridMultilevel"/>
    <w:tmpl w:val="F186629E"/>
    <w:lvl w:ilvl="0" w:tplc="FFFFFFFF">
      <w:start w:val="1"/>
      <w:numFmt w:val="bullet"/>
      <w:lvlText w:val="·"/>
      <w:lvlJc w:val="left"/>
      <w:pPr>
        <w:ind w:left="1070" w:hanging="360"/>
      </w:pPr>
      <w:rPr>
        <w:rFonts w:ascii="Symbol" w:hAnsi="Symbol" w:hint="default"/>
      </w:rPr>
    </w:lvl>
    <w:lvl w:ilvl="1" w:tplc="B466412C">
      <w:start w:val="1"/>
      <w:numFmt w:val="bullet"/>
      <w:lvlText w:val="o"/>
      <w:lvlJc w:val="left"/>
      <w:pPr>
        <w:ind w:left="1440" w:hanging="360"/>
      </w:pPr>
      <w:rPr>
        <w:rFonts w:ascii="Courier New" w:hAnsi="Courier New"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hint="default"/>
      </w:rPr>
    </w:lvl>
    <w:lvl w:ilvl="8" w:tplc="FE20A838">
      <w:start w:val="1"/>
      <w:numFmt w:val="bullet"/>
      <w:lvlText w:val=""/>
      <w:lvlJc w:val="left"/>
      <w:pPr>
        <w:ind w:left="6480" w:hanging="360"/>
      </w:pPr>
      <w:rPr>
        <w:rFonts w:ascii="Wingdings" w:hAnsi="Wingdings" w:hint="default"/>
      </w:rPr>
    </w:lvl>
  </w:abstractNum>
  <w:abstractNum w:abstractNumId="22" w15:restartNumberingAfterBreak="0">
    <w:nsid w:val="3D140864"/>
    <w:multiLevelType w:val="hybridMultilevel"/>
    <w:tmpl w:val="3F88CC70"/>
    <w:lvl w:ilvl="0" w:tplc="5BC028AA">
      <w:start w:val="1"/>
      <w:numFmt w:val="bullet"/>
      <w:lvlText w:val="·"/>
      <w:lvlJc w:val="left"/>
      <w:pPr>
        <w:ind w:left="720" w:hanging="360"/>
      </w:pPr>
      <w:rPr>
        <w:rFonts w:ascii="Symbol" w:hAnsi="Symbol" w:hint="default"/>
      </w:rPr>
    </w:lvl>
    <w:lvl w:ilvl="1" w:tplc="6AF6C0D2">
      <w:start w:val="1"/>
      <w:numFmt w:val="bullet"/>
      <w:lvlText w:val="o"/>
      <w:lvlJc w:val="left"/>
      <w:pPr>
        <w:ind w:left="1440" w:hanging="360"/>
      </w:pPr>
      <w:rPr>
        <w:rFonts w:ascii="Courier New" w:hAnsi="Courier New" w:hint="default"/>
      </w:rPr>
    </w:lvl>
    <w:lvl w:ilvl="2" w:tplc="BD3086D8">
      <w:start w:val="1"/>
      <w:numFmt w:val="bullet"/>
      <w:lvlText w:val=""/>
      <w:lvlJc w:val="left"/>
      <w:pPr>
        <w:ind w:left="2160" w:hanging="360"/>
      </w:pPr>
      <w:rPr>
        <w:rFonts w:ascii="Wingdings" w:hAnsi="Wingdings" w:hint="default"/>
      </w:rPr>
    </w:lvl>
    <w:lvl w:ilvl="3" w:tplc="B0DC8840">
      <w:start w:val="1"/>
      <w:numFmt w:val="bullet"/>
      <w:lvlText w:val=""/>
      <w:lvlJc w:val="left"/>
      <w:pPr>
        <w:ind w:left="2880" w:hanging="360"/>
      </w:pPr>
      <w:rPr>
        <w:rFonts w:ascii="Symbol" w:hAnsi="Symbol" w:hint="default"/>
      </w:rPr>
    </w:lvl>
    <w:lvl w:ilvl="4" w:tplc="7FF0B60E">
      <w:start w:val="1"/>
      <w:numFmt w:val="bullet"/>
      <w:lvlText w:val="o"/>
      <w:lvlJc w:val="left"/>
      <w:pPr>
        <w:ind w:left="3600" w:hanging="360"/>
      </w:pPr>
      <w:rPr>
        <w:rFonts w:ascii="Courier New" w:hAnsi="Courier New" w:hint="default"/>
      </w:rPr>
    </w:lvl>
    <w:lvl w:ilvl="5" w:tplc="E98E95C4">
      <w:start w:val="1"/>
      <w:numFmt w:val="bullet"/>
      <w:lvlText w:val=""/>
      <w:lvlJc w:val="left"/>
      <w:pPr>
        <w:ind w:left="4320" w:hanging="360"/>
      </w:pPr>
      <w:rPr>
        <w:rFonts w:ascii="Wingdings" w:hAnsi="Wingdings" w:hint="default"/>
      </w:rPr>
    </w:lvl>
    <w:lvl w:ilvl="6" w:tplc="054C7826">
      <w:start w:val="1"/>
      <w:numFmt w:val="bullet"/>
      <w:lvlText w:val=""/>
      <w:lvlJc w:val="left"/>
      <w:pPr>
        <w:ind w:left="5040" w:hanging="360"/>
      </w:pPr>
      <w:rPr>
        <w:rFonts w:ascii="Symbol" w:hAnsi="Symbol" w:hint="default"/>
      </w:rPr>
    </w:lvl>
    <w:lvl w:ilvl="7" w:tplc="A7F041CC">
      <w:start w:val="1"/>
      <w:numFmt w:val="bullet"/>
      <w:lvlText w:val="o"/>
      <w:lvlJc w:val="left"/>
      <w:pPr>
        <w:ind w:left="5760" w:hanging="360"/>
      </w:pPr>
      <w:rPr>
        <w:rFonts w:ascii="Courier New" w:hAnsi="Courier New" w:hint="default"/>
      </w:rPr>
    </w:lvl>
    <w:lvl w:ilvl="8" w:tplc="A4D2AB1C">
      <w:start w:val="1"/>
      <w:numFmt w:val="bullet"/>
      <w:lvlText w:val=""/>
      <w:lvlJc w:val="left"/>
      <w:pPr>
        <w:ind w:left="6480" w:hanging="360"/>
      </w:pPr>
      <w:rPr>
        <w:rFonts w:ascii="Wingdings" w:hAnsi="Wingdings" w:hint="default"/>
      </w:rPr>
    </w:lvl>
  </w:abstractNum>
  <w:abstractNum w:abstractNumId="23" w15:restartNumberingAfterBreak="0">
    <w:nsid w:val="418A156B"/>
    <w:multiLevelType w:val="hybridMultilevel"/>
    <w:tmpl w:val="E28C9836"/>
    <w:lvl w:ilvl="0" w:tplc="16984AD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8F147CF"/>
    <w:multiLevelType w:val="hybridMultilevel"/>
    <w:tmpl w:val="6324EF6C"/>
    <w:lvl w:ilvl="0" w:tplc="BDD2C8FE">
      <w:start w:val="1"/>
      <w:numFmt w:val="bullet"/>
      <w:lvlText w:val=""/>
      <w:lvlJc w:val="left"/>
      <w:pPr>
        <w:ind w:left="720" w:hanging="360"/>
      </w:pPr>
      <w:rPr>
        <w:rFonts w:ascii="Symbol" w:hAnsi="Symbol" w:hint="default"/>
      </w:rPr>
    </w:lvl>
    <w:lvl w:ilvl="1" w:tplc="5DBC5E04">
      <w:start w:val="1"/>
      <w:numFmt w:val="bullet"/>
      <w:lvlText w:val="o"/>
      <w:lvlJc w:val="left"/>
      <w:pPr>
        <w:ind w:left="1440" w:hanging="360"/>
      </w:pPr>
      <w:rPr>
        <w:rFonts w:ascii="Courier New" w:hAnsi="Courier New" w:hint="default"/>
      </w:rPr>
    </w:lvl>
    <w:lvl w:ilvl="2" w:tplc="432EC97C">
      <w:start w:val="1"/>
      <w:numFmt w:val="bullet"/>
      <w:lvlText w:val=""/>
      <w:lvlJc w:val="left"/>
      <w:pPr>
        <w:ind w:left="2160" w:hanging="360"/>
      </w:pPr>
      <w:rPr>
        <w:rFonts w:ascii="Wingdings" w:hAnsi="Wingdings" w:hint="default"/>
      </w:rPr>
    </w:lvl>
    <w:lvl w:ilvl="3" w:tplc="5866D18C">
      <w:start w:val="1"/>
      <w:numFmt w:val="bullet"/>
      <w:lvlText w:val=""/>
      <w:lvlJc w:val="left"/>
      <w:pPr>
        <w:ind w:left="2880" w:hanging="360"/>
      </w:pPr>
      <w:rPr>
        <w:rFonts w:ascii="Symbol" w:hAnsi="Symbol" w:hint="default"/>
      </w:rPr>
    </w:lvl>
    <w:lvl w:ilvl="4" w:tplc="98663156">
      <w:start w:val="1"/>
      <w:numFmt w:val="bullet"/>
      <w:lvlText w:val="o"/>
      <w:lvlJc w:val="left"/>
      <w:pPr>
        <w:ind w:left="3600" w:hanging="360"/>
      </w:pPr>
      <w:rPr>
        <w:rFonts w:ascii="Courier New" w:hAnsi="Courier New" w:hint="default"/>
      </w:rPr>
    </w:lvl>
    <w:lvl w:ilvl="5" w:tplc="41B07D3C">
      <w:start w:val="1"/>
      <w:numFmt w:val="bullet"/>
      <w:lvlText w:val=""/>
      <w:lvlJc w:val="left"/>
      <w:pPr>
        <w:ind w:left="4320" w:hanging="360"/>
      </w:pPr>
      <w:rPr>
        <w:rFonts w:ascii="Wingdings" w:hAnsi="Wingdings" w:hint="default"/>
      </w:rPr>
    </w:lvl>
    <w:lvl w:ilvl="6" w:tplc="0E8EA90E">
      <w:start w:val="1"/>
      <w:numFmt w:val="bullet"/>
      <w:lvlText w:val=""/>
      <w:lvlJc w:val="left"/>
      <w:pPr>
        <w:ind w:left="5040" w:hanging="360"/>
      </w:pPr>
      <w:rPr>
        <w:rFonts w:ascii="Symbol" w:hAnsi="Symbol" w:hint="default"/>
      </w:rPr>
    </w:lvl>
    <w:lvl w:ilvl="7" w:tplc="FF282A6C">
      <w:start w:val="1"/>
      <w:numFmt w:val="bullet"/>
      <w:lvlText w:val="o"/>
      <w:lvlJc w:val="left"/>
      <w:pPr>
        <w:ind w:left="5760" w:hanging="360"/>
      </w:pPr>
      <w:rPr>
        <w:rFonts w:ascii="Courier New" w:hAnsi="Courier New" w:hint="default"/>
      </w:rPr>
    </w:lvl>
    <w:lvl w:ilvl="8" w:tplc="CBBA1B6A">
      <w:start w:val="1"/>
      <w:numFmt w:val="bullet"/>
      <w:lvlText w:val=""/>
      <w:lvlJc w:val="left"/>
      <w:pPr>
        <w:ind w:left="6480" w:hanging="360"/>
      </w:pPr>
      <w:rPr>
        <w:rFonts w:ascii="Wingdings" w:hAnsi="Wingdings" w:hint="default"/>
      </w:rPr>
    </w:lvl>
  </w:abstractNum>
  <w:abstractNum w:abstractNumId="25" w15:restartNumberingAfterBreak="0">
    <w:nsid w:val="4AF55AAA"/>
    <w:multiLevelType w:val="hybridMultilevel"/>
    <w:tmpl w:val="480A36DE"/>
    <w:lvl w:ilvl="0" w:tplc="47C23A62">
      <w:start w:val="57"/>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15:restartNumberingAfterBreak="0">
    <w:nsid w:val="4C41FC4F"/>
    <w:multiLevelType w:val="hybridMultilevel"/>
    <w:tmpl w:val="8AE28776"/>
    <w:lvl w:ilvl="0" w:tplc="3B907978">
      <w:start w:val="1"/>
      <w:numFmt w:val="bullet"/>
      <w:lvlText w:val=""/>
      <w:lvlJc w:val="left"/>
      <w:pPr>
        <w:ind w:left="720" w:hanging="360"/>
      </w:pPr>
      <w:rPr>
        <w:rFonts w:ascii="Symbol" w:hAnsi="Symbol" w:hint="default"/>
      </w:rPr>
    </w:lvl>
    <w:lvl w:ilvl="1" w:tplc="787CB68E">
      <w:start w:val="1"/>
      <w:numFmt w:val="bullet"/>
      <w:lvlText w:val="o"/>
      <w:lvlJc w:val="left"/>
      <w:pPr>
        <w:ind w:left="1440" w:hanging="360"/>
      </w:pPr>
      <w:rPr>
        <w:rFonts w:ascii="Courier New" w:hAnsi="Courier New" w:hint="default"/>
      </w:rPr>
    </w:lvl>
    <w:lvl w:ilvl="2" w:tplc="1B8ADA6A">
      <w:start w:val="1"/>
      <w:numFmt w:val="bullet"/>
      <w:lvlText w:val=""/>
      <w:lvlJc w:val="left"/>
      <w:pPr>
        <w:ind w:left="2160" w:hanging="360"/>
      </w:pPr>
      <w:rPr>
        <w:rFonts w:ascii="Wingdings" w:hAnsi="Wingdings" w:hint="default"/>
      </w:rPr>
    </w:lvl>
    <w:lvl w:ilvl="3" w:tplc="92F439C2">
      <w:start w:val="1"/>
      <w:numFmt w:val="bullet"/>
      <w:lvlText w:val=""/>
      <w:lvlJc w:val="left"/>
      <w:pPr>
        <w:ind w:left="2880" w:hanging="360"/>
      </w:pPr>
      <w:rPr>
        <w:rFonts w:ascii="Symbol" w:hAnsi="Symbol" w:hint="default"/>
      </w:rPr>
    </w:lvl>
    <w:lvl w:ilvl="4" w:tplc="1CF0AC02">
      <w:start w:val="1"/>
      <w:numFmt w:val="bullet"/>
      <w:lvlText w:val="o"/>
      <w:lvlJc w:val="left"/>
      <w:pPr>
        <w:ind w:left="3600" w:hanging="360"/>
      </w:pPr>
      <w:rPr>
        <w:rFonts w:ascii="Courier New" w:hAnsi="Courier New" w:hint="default"/>
      </w:rPr>
    </w:lvl>
    <w:lvl w:ilvl="5" w:tplc="5D54B430">
      <w:start w:val="1"/>
      <w:numFmt w:val="bullet"/>
      <w:lvlText w:val=""/>
      <w:lvlJc w:val="left"/>
      <w:pPr>
        <w:ind w:left="4320" w:hanging="360"/>
      </w:pPr>
      <w:rPr>
        <w:rFonts w:ascii="Wingdings" w:hAnsi="Wingdings" w:hint="default"/>
      </w:rPr>
    </w:lvl>
    <w:lvl w:ilvl="6" w:tplc="4AF27CC6">
      <w:start w:val="1"/>
      <w:numFmt w:val="bullet"/>
      <w:lvlText w:val=""/>
      <w:lvlJc w:val="left"/>
      <w:pPr>
        <w:ind w:left="5040" w:hanging="360"/>
      </w:pPr>
      <w:rPr>
        <w:rFonts w:ascii="Symbol" w:hAnsi="Symbol" w:hint="default"/>
      </w:rPr>
    </w:lvl>
    <w:lvl w:ilvl="7" w:tplc="5EBE3368">
      <w:start w:val="1"/>
      <w:numFmt w:val="bullet"/>
      <w:lvlText w:val="o"/>
      <w:lvlJc w:val="left"/>
      <w:pPr>
        <w:ind w:left="5760" w:hanging="360"/>
      </w:pPr>
      <w:rPr>
        <w:rFonts w:ascii="Courier New" w:hAnsi="Courier New" w:hint="default"/>
      </w:rPr>
    </w:lvl>
    <w:lvl w:ilvl="8" w:tplc="7410EA7C">
      <w:start w:val="1"/>
      <w:numFmt w:val="bullet"/>
      <w:lvlText w:val=""/>
      <w:lvlJc w:val="left"/>
      <w:pPr>
        <w:ind w:left="6480" w:hanging="360"/>
      </w:pPr>
      <w:rPr>
        <w:rFonts w:ascii="Wingdings" w:hAnsi="Wingdings" w:hint="default"/>
      </w:rPr>
    </w:lvl>
  </w:abstractNum>
  <w:abstractNum w:abstractNumId="27" w15:restartNumberingAfterBreak="0">
    <w:nsid w:val="4D354237"/>
    <w:multiLevelType w:val="hybridMultilevel"/>
    <w:tmpl w:val="B180F8B4"/>
    <w:lvl w:ilvl="0" w:tplc="0BD2B0F2">
      <w:numFmt w:val="bullet"/>
      <w:lvlText w:val="-"/>
      <w:lvlJc w:val="left"/>
      <w:pPr>
        <w:ind w:left="649" w:hanging="360"/>
      </w:pPr>
      <w:rPr>
        <w:rFonts w:ascii="Times New Roman" w:eastAsia="Times New Roman" w:hAnsi="Times New Roman" w:cs="Times New Roman" w:hint="default"/>
      </w:rPr>
    </w:lvl>
    <w:lvl w:ilvl="1" w:tplc="0C0A0003" w:tentative="1">
      <w:start w:val="1"/>
      <w:numFmt w:val="bullet"/>
      <w:lvlText w:val="o"/>
      <w:lvlJc w:val="left"/>
      <w:pPr>
        <w:ind w:left="1369" w:hanging="360"/>
      </w:pPr>
      <w:rPr>
        <w:rFonts w:ascii="Courier New" w:hAnsi="Courier New" w:cs="Courier New" w:hint="default"/>
      </w:rPr>
    </w:lvl>
    <w:lvl w:ilvl="2" w:tplc="0C0A0005" w:tentative="1">
      <w:start w:val="1"/>
      <w:numFmt w:val="bullet"/>
      <w:lvlText w:val=""/>
      <w:lvlJc w:val="left"/>
      <w:pPr>
        <w:ind w:left="2089" w:hanging="360"/>
      </w:pPr>
      <w:rPr>
        <w:rFonts w:ascii="Wingdings" w:hAnsi="Wingdings" w:hint="default"/>
      </w:rPr>
    </w:lvl>
    <w:lvl w:ilvl="3" w:tplc="0C0A0001" w:tentative="1">
      <w:start w:val="1"/>
      <w:numFmt w:val="bullet"/>
      <w:lvlText w:val=""/>
      <w:lvlJc w:val="left"/>
      <w:pPr>
        <w:ind w:left="2809" w:hanging="360"/>
      </w:pPr>
      <w:rPr>
        <w:rFonts w:ascii="Symbol" w:hAnsi="Symbol" w:hint="default"/>
      </w:rPr>
    </w:lvl>
    <w:lvl w:ilvl="4" w:tplc="0C0A0003" w:tentative="1">
      <w:start w:val="1"/>
      <w:numFmt w:val="bullet"/>
      <w:lvlText w:val="o"/>
      <w:lvlJc w:val="left"/>
      <w:pPr>
        <w:ind w:left="3529" w:hanging="360"/>
      </w:pPr>
      <w:rPr>
        <w:rFonts w:ascii="Courier New" w:hAnsi="Courier New" w:cs="Courier New" w:hint="default"/>
      </w:rPr>
    </w:lvl>
    <w:lvl w:ilvl="5" w:tplc="0C0A0005" w:tentative="1">
      <w:start w:val="1"/>
      <w:numFmt w:val="bullet"/>
      <w:lvlText w:val=""/>
      <w:lvlJc w:val="left"/>
      <w:pPr>
        <w:ind w:left="4249" w:hanging="360"/>
      </w:pPr>
      <w:rPr>
        <w:rFonts w:ascii="Wingdings" w:hAnsi="Wingdings" w:hint="default"/>
      </w:rPr>
    </w:lvl>
    <w:lvl w:ilvl="6" w:tplc="0C0A0001" w:tentative="1">
      <w:start w:val="1"/>
      <w:numFmt w:val="bullet"/>
      <w:lvlText w:val=""/>
      <w:lvlJc w:val="left"/>
      <w:pPr>
        <w:ind w:left="4969" w:hanging="360"/>
      </w:pPr>
      <w:rPr>
        <w:rFonts w:ascii="Symbol" w:hAnsi="Symbol" w:hint="default"/>
      </w:rPr>
    </w:lvl>
    <w:lvl w:ilvl="7" w:tplc="0C0A0003" w:tentative="1">
      <w:start w:val="1"/>
      <w:numFmt w:val="bullet"/>
      <w:lvlText w:val="o"/>
      <w:lvlJc w:val="left"/>
      <w:pPr>
        <w:ind w:left="5689" w:hanging="360"/>
      </w:pPr>
      <w:rPr>
        <w:rFonts w:ascii="Courier New" w:hAnsi="Courier New" w:cs="Courier New" w:hint="default"/>
      </w:rPr>
    </w:lvl>
    <w:lvl w:ilvl="8" w:tplc="0C0A0005" w:tentative="1">
      <w:start w:val="1"/>
      <w:numFmt w:val="bullet"/>
      <w:lvlText w:val=""/>
      <w:lvlJc w:val="left"/>
      <w:pPr>
        <w:ind w:left="6409" w:hanging="360"/>
      </w:pPr>
      <w:rPr>
        <w:rFonts w:ascii="Wingdings" w:hAnsi="Wingdings" w:hint="default"/>
      </w:rPr>
    </w:lvl>
  </w:abstractNum>
  <w:abstractNum w:abstractNumId="28" w15:restartNumberingAfterBreak="0">
    <w:nsid w:val="4ECD5299"/>
    <w:multiLevelType w:val="hybridMultilevel"/>
    <w:tmpl w:val="EBA25D88"/>
    <w:lvl w:ilvl="0" w:tplc="9C94685A">
      <w:start w:val="1"/>
      <w:numFmt w:val="bullet"/>
      <w:lvlText w:val="-"/>
      <w:lvlJc w:val="left"/>
      <w:pPr>
        <w:ind w:left="12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66A3AA2">
      <w:start w:val="1"/>
      <w:numFmt w:val="bullet"/>
      <w:lvlText w:val="o"/>
      <w:lvlJc w:val="left"/>
      <w:pPr>
        <w:ind w:left="29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48AFCE4">
      <w:start w:val="1"/>
      <w:numFmt w:val="bullet"/>
      <w:lvlText w:val="▪"/>
      <w:lvlJc w:val="left"/>
      <w:pPr>
        <w:ind w:left="36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638CD12">
      <w:start w:val="1"/>
      <w:numFmt w:val="bullet"/>
      <w:lvlText w:val="•"/>
      <w:lvlJc w:val="left"/>
      <w:pPr>
        <w:ind w:left="4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4E2B386">
      <w:start w:val="1"/>
      <w:numFmt w:val="bullet"/>
      <w:lvlText w:val="o"/>
      <w:lvlJc w:val="left"/>
      <w:pPr>
        <w:ind w:left="5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53C4C86">
      <w:start w:val="1"/>
      <w:numFmt w:val="bullet"/>
      <w:lvlText w:val="▪"/>
      <w:lvlJc w:val="left"/>
      <w:pPr>
        <w:ind w:left="5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1280F16">
      <w:start w:val="1"/>
      <w:numFmt w:val="bullet"/>
      <w:lvlText w:val="•"/>
      <w:lvlJc w:val="left"/>
      <w:pPr>
        <w:ind w:left="6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50064B8">
      <w:start w:val="1"/>
      <w:numFmt w:val="bullet"/>
      <w:lvlText w:val="o"/>
      <w:lvlJc w:val="left"/>
      <w:pPr>
        <w:ind w:left="7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3DAC8D0">
      <w:start w:val="1"/>
      <w:numFmt w:val="bullet"/>
      <w:lvlText w:val="▪"/>
      <w:lvlJc w:val="left"/>
      <w:pPr>
        <w:ind w:left="7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50DF4A3E"/>
    <w:multiLevelType w:val="hybridMultilevel"/>
    <w:tmpl w:val="B56EB0B0"/>
    <w:lvl w:ilvl="0" w:tplc="FC98F488">
      <w:start w:val="1"/>
      <w:numFmt w:val="upperRoman"/>
      <w:lvlText w:val="%1."/>
      <w:lvlJc w:val="left"/>
      <w:pPr>
        <w:ind w:left="0" w:hanging="226"/>
      </w:pPr>
      <w:rPr>
        <w:rFonts w:ascii="Cambria" w:eastAsia="Cambria" w:hAnsi="Cambria" w:hint="default"/>
        <w:b/>
        <w:bCs/>
        <w:color w:val="365F91"/>
        <w:sz w:val="28"/>
        <w:szCs w:val="28"/>
      </w:rPr>
    </w:lvl>
    <w:lvl w:ilvl="1" w:tplc="E1BA17A8">
      <w:start w:val="1"/>
      <w:numFmt w:val="bullet"/>
      <w:lvlText w:val="•"/>
      <w:lvlJc w:val="left"/>
      <w:pPr>
        <w:ind w:left="0" w:hanging="190"/>
      </w:pPr>
      <w:rPr>
        <w:rFonts w:ascii="Arial" w:eastAsia="Arial" w:hAnsi="Arial" w:cs="Times New Roman" w:hint="default"/>
        <w:w w:val="131"/>
        <w:sz w:val="28"/>
        <w:szCs w:val="28"/>
      </w:rPr>
    </w:lvl>
    <w:lvl w:ilvl="2" w:tplc="9752C5A6">
      <w:start w:val="1"/>
      <w:numFmt w:val="bullet"/>
      <w:lvlText w:val="•"/>
      <w:lvlJc w:val="left"/>
      <w:pPr>
        <w:ind w:left="0" w:hanging="360"/>
      </w:pPr>
      <w:rPr>
        <w:rFonts w:ascii="Arial" w:eastAsia="Arial" w:hAnsi="Arial" w:cs="Times New Roman" w:hint="default"/>
        <w:w w:val="131"/>
        <w:sz w:val="24"/>
        <w:szCs w:val="24"/>
      </w:rPr>
    </w:lvl>
    <w:lvl w:ilvl="3" w:tplc="26366B10">
      <w:start w:val="1"/>
      <w:numFmt w:val="bullet"/>
      <w:lvlText w:val="•"/>
      <w:lvlJc w:val="left"/>
      <w:pPr>
        <w:ind w:left="0" w:hanging="360"/>
      </w:pPr>
      <w:rPr>
        <w:rFonts w:ascii="Arial" w:eastAsia="Arial" w:hAnsi="Arial" w:cs="Times New Roman" w:hint="default"/>
        <w:w w:val="131"/>
        <w:sz w:val="24"/>
        <w:szCs w:val="24"/>
      </w:rPr>
    </w:lvl>
    <w:lvl w:ilvl="4" w:tplc="BA0CCCC8">
      <w:start w:val="1"/>
      <w:numFmt w:val="bullet"/>
      <w:lvlText w:val="•"/>
      <w:lvlJc w:val="left"/>
      <w:pPr>
        <w:ind w:left="0" w:firstLine="0"/>
      </w:pPr>
    </w:lvl>
    <w:lvl w:ilvl="5" w:tplc="93D83686">
      <w:start w:val="1"/>
      <w:numFmt w:val="bullet"/>
      <w:lvlText w:val="•"/>
      <w:lvlJc w:val="left"/>
      <w:pPr>
        <w:ind w:left="0" w:firstLine="0"/>
      </w:pPr>
    </w:lvl>
    <w:lvl w:ilvl="6" w:tplc="2070B1FA">
      <w:start w:val="1"/>
      <w:numFmt w:val="bullet"/>
      <w:lvlText w:val="•"/>
      <w:lvlJc w:val="left"/>
      <w:pPr>
        <w:ind w:left="0" w:firstLine="0"/>
      </w:pPr>
    </w:lvl>
    <w:lvl w:ilvl="7" w:tplc="4BAA26D2">
      <w:start w:val="1"/>
      <w:numFmt w:val="bullet"/>
      <w:lvlText w:val="•"/>
      <w:lvlJc w:val="left"/>
      <w:pPr>
        <w:ind w:left="0" w:firstLine="0"/>
      </w:pPr>
    </w:lvl>
    <w:lvl w:ilvl="8" w:tplc="C0A897F2">
      <w:start w:val="1"/>
      <w:numFmt w:val="bullet"/>
      <w:lvlText w:val="•"/>
      <w:lvlJc w:val="left"/>
      <w:pPr>
        <w:ind w:left="0" w:firstLine="0"/>
      </w:pPr>
    </w:lvl>
  </w:abstractNum>
  <w:abstractNum w:abstractNumId="30" w15:restartNumberingAfterBreak="0">
    <w:nsid w:val="52EE32FF"/>
    <w:multiLevelType w:val="hybridMultilevel"/>
    <w:tmpl w:val="2CF05F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ED292E"/>
    <w:multiLevelType w:val="hybridMultilevel"/>
    <w:tmpl w:val="0B10C3DA"/>
    <w:lvl w:ilvl="0" w:tplc="C15C5D10">
      <w:start w:val="1"/>
      <w:numFmt w:val="lowerLetter"/>
      <w:lvlText w:val="%1)"/>
      <w:lvlJc w:val="left"/>
      <w:pPr>
        <w:tabs>
          <w:tab w:val="num" w:pos="284"/>
        </w:tabs>
        <w:ind w:left="57" w:firstLine="227"/>
      </w:pPr>
      <w:rPr>
        <w:rFonts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56069F29"/>
    <w:multiLevelType w:val="hybridMultilevel"/>
    <w:tmpl w:val="1892F4DC"/>
    <w:lvl w:ilvl="0" w:tplc="4BA69096">
      <w:start w:val="1"/>
      <w:numFmt w:val="bullet"/>
      <w:lvlText w:val="·"/>
      <w:lvlJc w:val="left"/>
      <w:pPr>
        <w:ind w:left="720" w:hanging="360"/>
      </w:pPr>
      <w:rPr>
        <w:rFonts w:ascii="Symbol" w:hAnsi="Symbol" w:hint="default"/>
      </w:rPr>
    </w:lvl>
    <w:lvl w:ilvl="1" w:tplc="2F8C7536">
      <w:start w:val="1"/>
      <w:numFmt w:val="bullet"/>
      <w:lvlText w:val="o"/>
      <w:lvlJc w:val="left"/>
      <w:pPr>
        <w:ind w:left="1440" w:hanging="360"/>
      </w:pPr>
      <w:rPr>
        <w:rFonts w:ascii="Courier New" w:hAnsi="Courier New" w:hint="default"/>
      </w:rPr>
    </w:lvl>
    <w:lvl w:ilvl="2" w:tplc="39F850B4">
      <w:start w:val="1"/>
      <w:numFmt w:val="bullet"/>
      <w:lvlText w:val=""/>
      <w:lvlJc w:val="left"/>
      <w:pPr>
        <w:ind w:left="2160" w:hanging="360"/>
      </w:pPr>
      <w:rPr>
        <w:rFonts w:ascii="Wingdings" w:hAnsi="Wingdings" w:hint="default"/>
      </w:rPr>
    </w:lvl>
    <w:lvl w:ilvl="3" w:tplc="74148188">
      <w:start w:val="1"/>
      <w:numFmt w:val="bullet"/>
      <w:lvlText w:val=""/>
      <w:lvlJc w:val="left"/>
      <w:pPr>
        <w:ind w:left="2880" w:hanging="360"/>
      </w:pPr>
      <w:rPr>
        <w:rFonts w:ascii="Symbol" w:hAnsi="Symbol" w:hint="default"/>
      </w:rPr>
    </w:lvl>
    <w:lvl w:ilvl="4" w:tplc="A720F066">
      <w:start w:val="1"/>
      <w:numFmt w:val="bullet"/>
      <w:lvlText w:val="o"/>
      <w:lvlJc w:val="left"/>
      <w:pPr>
        <w:ind w:left="3600" w:hanging="360"/>
      </w:pPr>
      <w:rPr>
        <w:rFonts w:ascii="Courier New" w:hAnsi="Courier New" w:hint="default"/>
      </w:rPr>
    </w:lvl>
    <w:lvl w:ilvl="5" w:tplc="34C83BD6">
      <w:start w:val="1"/>
      <w:numFmt w:val="bullet"/>
      <w:lvlText w:val=""/>
      <w:lvlJc w:val="left"/>
      <w:pPr>
        <w:ind w:left="4320" w:hanging="360"/>
      </w:pPr>
      <w:rPr>
        <w:rFonts w:ascii="Wingdings" w:hAnsi="Wingdings" w:hint="default"/>
      </w:rPr>
    </w:lvl>
    <w:lvl w:ilvl="6" w:tplc="D4CAFE80">
      <w:start w:val="1"/>
      <w:numFmt w:val="bullet"/>
      <w:lvlText w:val=""/>
      <w:lvlJc w:val="left"/>
      <w:pPr>
        <w:ind w:left="5040" w:hanging="360"/>
      </w:pPr>
      <w:rPr>
        <w:rFonts w:ascii="Symbol" w:hAnsi="Symbol" w:hint="default"/>
      </w:rPr>
    </w:lvl>
    <w:lvl w:ilvl="7" w:tplc="28743740">
      <w:start w:val="1"/>
      <w:numFmt w:val="bullet"/>
      <w:lvlText w:val="o"/>
      <w:lvlJc w:val="left"/>
      <w:pPr>
        <w:ind w:left="5760" w:hanging="360"/>
      </w:pPr>
      <w:rPr>
        <w:rFonts w:ascii="Courier New" w:hAnsi="Courier New" w:hint="default"/>
      </w:rPr>
    </w:lvl>
    <w:lvl w:ilvl="8" w:tplc="E7EE32D6">
      <w:start w:val="1"/>
      <w:numFmt w:val="bullet"/>
      <w:lvlText w:val=""/>
      <w:lvlJc w:val="left"/>
      <w:pPr>
        <w:ind w:left="6480" w:hanging="360"/>
      </w:pPr>
      <w:rPr>
        <w:rFonts w:ascii="Wingdings" w:hAnsi="Wingdings" w:hint="default"/>
      </w:rPr>
    </w:lvl>
  </w:abstractNum>
  <w:abstractNum w:abstractNumId="33" w15:restartNumberingAfterBreak="0">
    <w:nsid w:val="56AFFE59"/>
    <w:multiLevelType w:val="hybridMultilevel"/>
    <w:tmpl w:val="7458E132"/>
    <w:lvl w:ilvl="0" w:tplc="C6A09C40">
      <w:start w:val="46"/>
      <w:numFmt w:val="bullet"/>
      <w:lvlText w:val=""/>
      <w:lvlJc w:val="left"/>
      <w:pPr>
        <w:ind w:left="720" w:hanging="360"/>
      </w:pPr>
      <w:rPr>
        <w:rFonts w:ascii="Wingdings" w:hAnsi="Wingdings" w:hint="default"/>
      </w:rPr>
    </w:lvl>
    <w:lvl w:ilvl="1" w:tplc="E6E6916C">
      <w:start w:val="1"/>
      <w:numFmt w:val="bullet"/>
      <w:lvlText w:val="o"/>
      <w:lvlJc w:val="left"/>
      <w:pPr>
        <w:ind w:left="1440" w:hanging="360"/>
      </w:pPr>
      <w:rPr>
        <w:rFonts w:ascii="Courier New" w:hAnsi="Courier New" w:hint="default"/>
      </w:rPr>
    </w:lvl>
    <w:lvl w:ilvl="2" w:tplc="7DE660D4">
      <w:start w:val="1"/>
      <w:numFmt w:val="bullet"/>
      <w:lvlText w:val=""/>
      <w:lvlJc w:val="left"/>
      <w:pPr>
        <w:ind w:left="2160" w:hanging="360"/>
      </w:pPr>
      <w:rPr>
        <w:rFonts w:ascii="Wingdings" w:hAnsi="Wingdings" w:hint="default"/>
      </w:rPr>
    </w:lvl>
    <w:lvl w:ilvl="3" w:tplc="101C6DAE">
      <w:start w:val="1"/>
      <w:numFmt w:val="bullet"/>
      <w:lvlText w:val=""/>
      <w:lvlJc w:val="left"/>
      <w:pPr>
        <w:ind w:left="2880" w:hanging="360"/>
      </w:pPr>
      <w:rPr>
        <w:rFonts w:ascii="Symbol" w:hAnsi="Symbol" w:hint="default"/>
      </w:rPr>
    </w:lvl>
    <w:lvl w:ilvl="4" w:tplc="2DE4EA8A">
      <w:start w:val="1"/>
      <w:numFmt w:val="bullet"/>
      <w:lvlText w:val="o"/>
      <w:lvlJc w:val="left"/>
      <w:pPr>
        <w:ind w:left="3600" w:hanging="360"/>
      </w:pPr>
      <w:rPr>
        <w:rFonts w:ascii="Courier New" w:hAnsi="Courier New" w:hint="default"/>
      </w:rPr>
    </w:lvl>
    <w:lvl w:ilvl="5" w:tplc="323A6846">
      <w:start w:val="1"/>
      <w:numFmt w:val="bullet"/>
      <w:lvlText w:val=""/>
      <w:lvlJc w:val="left"/>
      <w:pPr>
        <w:ind w:left="4320" w:hanging="360"/>
      </w:pPr>
      <w:rPr>
        <w:rFonts w:ascii="Wingdings" w:hAnsi="Wingdings" w:hint="default"/>
      </w:rPr>
    </w:lvl>
    <w:lvl w:ilvl="6" w:tplc="E6B8A9C8">
      <w:start w:val="1"/>
      <w:numFmt w:val="bullet"/>
      <w:lvlText w:val=""/>
      <w:lvlJc w:val="left"/>
      <w:pPr>
        <w:ind w:left="5040" w:hanging="360"/>
      </w:pPr>
      <w:rPr>
        <w:rFonts w:ascii="Symbol" w:hAnsi="Symbol" w:hint="default"/>
      </w:rPr>
    </w:lvl>
    <w:lvl w:ilvl="7" w:tplc="CAE2E130">
      <w:start w:val="1"/>
      <w:numFmt w:val="bullet"/>
      <w:lvlText w:val="o"/>
      <w:lvlJc w:val="left"/>
      <w:pPr>
        <w:ind w:left="5760" w:hanging="360"/>
      </w:pPr>
      <w:rPr>
        <w:rFonts w:ascii="Courier New" w:hAnsi="Courier New" w:hint="default"/>
      </w:rPr>
    </w:lvl>
    <w:lvl w:ilvl="8" w:tplc="B12A44D8">
      <w:start w:val="1"/>
      <w:numFmt w:val="bullet"/>
      <w:lvlText w:val=""/>
      <w:lvlJc w:val="left"/>
      <w:pPr>
        <w:ind w:left="6480" w:hanging="360"/>
      </w:pPr>
      <w:rPr>
        <w:rFonts w:ascii="Wingdings" w:hAnsi="Wingdings" w:hint="default"/>
      </w:rPr>
    </w:lvl>
  </w:abstractNum>
  <w:abstractNum w:abstractNumId="34" w15:restartNumberingAfterBreak="0">
    <w:nsid w:val="570F49B8"/>
    <w:multiLevelType w:val="hybridMultilevel"/>
    <w:tmpl w:val="182E0A8C"/>
    <w:lvl w:ilvl="0" w:tplc="E80E01A6">
      <w:start w:val="1"/>
      <w:numFmt w:val="bullet"/>
      <w:lvlText w:val=""/>
      <w:lvlJc w:val="left"/>
      <w:pPr>
        <w:ind w:left="720" w:hanging="360"/>
      </w:pPr>
      <w:rPr>
        <w:rFonts w:ascii="Symbol" w:hAnsi="Symbol" w:hint="default"/>
      </w:rPr>
    </w:lvl>
    <w:lvl w:ilvl="1" w:tplc="7F56AC14">
      <w:start w:val="1"/>
      <w:numFmt w:val="bullet"/>
      <w:lvlText w:val="o"/>
      <w:lvlJc w:val="left"/>
      <w:pPr>
        <w:ind w:left="1440" w:hanging="360"/>
      </w:pPr>
      <w:rPr>
        <w:rFonts w:ascii="Courier New" w:hAnsi="Courier New" w:hint="default"/>
      </w:rPr>
    </w:lvl>
    <w:lvl w:ilvl="2" w:tplc="119AAB6C">
      <w:start w:val="1"/>
      <w:numFmt w:val="bullet"/>
      <w:lvlText w:val=""/>
      <w:lvlJc w:val="left"/>
      <w:pPr>
        <w:ind w:left="2160" w:hanging="360"/>
      </w:pPr>
      <w:rPr>
        <w:rFonts w:ascii="Wingdings" w:hAnsi="Wingdings" w:hint="default"/>
      </w:rPr>
    </w:lvl>
    <w:lvl w:ilvl="3" w:tplc="D0FE3B50">
      <w:start w:val="1"/>
      <w:numFmt w:val="bullet"/>
      <w:lvlText w:val=""/>
      <w:lvlJc w:val="left"/>
      <w:pPr>
        <w:ind w:left="2880" w:hanging="360"/>
      </w:pPr>
      <w:rPr>
        <w:rFonts w:ascii="Symbol" w:hAnsi="Symbol" w:hint="default"/>
      </w:rPr>
    </w:lvl>
    <w:lvl w:ilvl="4" w:tplc="EEF6EB54">
      <w:start w:val="1"/>
      <w:numFmt w:val="bullet"/>
      <w:lvlText w:val="o"/>
      <w:lvlJc w:val="left"/>
      <w:pPr>
        <w:ind w:left="3600" w:hanging="360"/>
      </w:pPr>
      <w:rPr>
        <w:rFonts w:ascii="Courier New" w:hAnsi="Courier New" w:hint="default"/>
      </w:rPr>
    </w:lvl>
    <w:lvl w:ilvl="5" w:tplc="B20E3460">
      <w:start w:val="1"/>
      <w:numFmt w:val="bullet"/>
      <w:lvlText w:val=""/>
      <w:lvlJc w:val="left"/>
      <w:pPr>
        <w:ind w:left="4320" w:hanging="360"/>
      </w:pPr>
      <w:rPr>
        <w:rFonts w:ascii="Wingdings" w:hAnsi="Wingdings" w:hint="default"/>
      </w:rPr>
    </w:lvl>
    <w:lvl w:ilvl="6" w:tplc="BE8203E6">
      <w:start w:val="1"/>
      <w:numFmt w:val="bullet"/>
      <w:lvlText w:val=""/>
      <w:lvlJc w:val="left"/>
      <w:pPr>
        <w:ind w:left="5040" w:hanging="360"/>
      </w:pPr>
      <w:rPr>
        <w:rFonts w:ascii="Symbol" w:hAnsi="Symbol" w:hint="default"/>
      </w:rPr>
    </w:lvl>
    <w:lvl w:ilvl="7" w:tplc="072443E0">
      <w:start w:val="1"/>
      <w:numFmt w:val="bullet"/>
      <w:lvlText w:val="o"/>
      <w:lvlJc w:val="left"/>
      <w:pPr>
        <w:ind w:left="5760" w:hanging="360"/>
      </w:pPr>
      <w:rPr>
        <w:rFonts w:ascii="Courier New" w:hAnsi="Courier New" w:hint="default"/>
      </w:rPr>
    </w:lvl>
    <w:lvl w:ilvl="8" w:tplc="72D6EEF6">
      <w:start w:val="1"/>
      <w:numFmt w:val="bullet"/>
      <w:lvlText w:val=""/>
      <w:lvlJc w:val="left"/>
      <w:pPr>
        <w:ind w:left="6480" w:hanging="360"/>
      </w:pPr>
      <w:rPr>
        <w:rFonts w:ascii="Wingdings" w:hAnsi="Wingdings" w:hint="default"/>
      </w:rPr>
    </w:lvl>
  </w:abstractNum>
  <w:abstractNum w:abstractNumId="35" w15:restartNumberingAfterBreak="0">
    <w:nsid w:val="59194D6B"/>
    <w:multiLevelType w:val="hybridMultilevel"/>
    <w:tmpl w:val="B40E05C6"/>
    <w:lvl w:ilvl="0" w:tplc="BE4E41CC">
      <w:start w:val="1"/>
      <w:numFmt w:val="bullet"/>
      <w:lvlText w:val=""/>
      <w:lvlJc w:val="left"/>
      <w:pPr>
        <w:ind w:left="720" w:hanging="360"/>
      </w:pPr>
      <w:rPr>
        <w:rFonts w:ascii="Symbol" w:hAnsi="Symbol" w:hint="default"/>
      </w:rPr>
    </w:lvl>
    <w:lvl w:ilvl="1" w:tplc="AE94D956">
      <w:start w:val="1"/>
      <w:numFmt w:val="bullet"/>
      <w:lvlText w:val="o"/>
      <w:lvlJc w:val="left"/>
      <w:pPr>
        <w:ind w:left="1440" w:hanging="360"/>
      </w:pPr>
      <w:rPr>
        <w:rFonts w:ascii="Courier New" w:hAnsi="Courier New" w:hint="default"/>
      </w:rPr>
    </w:lvl>
    <w:lvl w:ilvl="2" w:tplc="6A163B32">
      <w:start w:val="1"/>
      <w:numFmt w:val="bullet"/>
      <w:lvlText w:val=""/>
      <w:lvlJc w:val="left"/>
      <w:pPr>
        <w:ind w:left="2160" w:hanging="360"/>
      </w:pPr>
      <w:rPr>
        <w:rFonts w:ascii="Wingdings" w:hAnsi="Wingdings" w:hint="default"/>
      </w:rPr>
    </w:lvl>
    <w:lvl w:ilvl="3" w:tplc="3CDE9A84">
      <w:start w:val="1"/>
      <w:numFmt w:val="bullet"/>
      <w:lvlText w:val=""/>
      <w:lvlJc w:val="left"/>
      <w:pPr>
        <w:ind w:left="2880" w:hanging="360"/>
      </w:pPr>
      <w:rPr>
        <w:rFonts w:ascii="Symbol" w:hAnsi="Symbol" w:hint="default"/>
      </w:rPr>
    </w:lvl>
    <w:lvl w:ilvl="4" w:tplc="2AE2763E">
      <w:start w:val="1"/>
      <w:numFmt w:val="bullet"/>
      <w:lvlText w:val="o"/>
      <w:lvlJc w:val="left"/>
      <w:pPr>
        <w:ind w:left="3600" w:hanging="360"/>
      </w:pPr>
      <w:rPr>
        <w:rFonts w:ascii="Courier New" w:hAnsi="Courier New" w:hint="default"/>
      </w:rPr>
    </w:lvl>
    <w:lvl w:ilvl="5" w:tplc="AD0C51BE">
      <w:start w:val="1"/>
      <w:numFmt w:val="bullet"/>
      <w:lvlText w:val=""/>
      <w:lvlJc w:val="left"/>
      <w:pPr>
        <w:ind w:left="4320" w:hanging="360"/>
      </w:pPr>
      <w:rPr>
        <w:rFonts w:ascii="Wingdings" w:hAnsi="Wingdings" w:hint="default"/>
      </w:rPr>
    </w:lvl>
    <w:lvl w:ilvl="6" w:tplc="6B9A7636">
      <w:start w:val="1"/>
      <w:numFmt w:val="bullet"/>
      <w:lvlText w:val=""/>
      <w:lvlJc w:val="left"/>
      <w:pPr>
        <w:ind w:left="5040" w:hanging="360"/>
      </w:pPr>
      <w:rPr>
        <w:rFonts w:ascii="Symbol" w:hAnsi="Symbol" w:hint="default"/>
      </w:rPr>
    </w:lvl>
    <w:lvl w:ilvl="7" w:tplc="618A80D8">
      <w:start w:val="1"/>
      <w:numFmt w:val="bullet"/>
      <w:lvlText w:val="o"/>
      <w:lvlJc w:val="left"/>
      <w:pPr>
        <w:ind w:left="5760" w:hanging="360"/>
      </w:pPr>
      <w:rPr>
        <w:rFonts w:ascii="Courier New" w:hAnsi="Courier New" w:hint="default"/>
      </w:rPr>
    </w:lvl>
    <w:lvl w:ilvl="8" w:tplc="7108C6B8">
      <w:start w:val="1"/>
      <w:numFmt w:val="bullet"/>
      <w:lvlText w:val=""/>
      <w:lvlJc w:val="left"/>
      <w:pPr>
        <w:ind w:left="6480" w:hanging="360"/>
      </w:pPr>
      <w:rPr>
        <w:rFonts w:ascii="Wingdings" w:hAnsi="Wingdings" w:hint="default"/>
      </w:rPr>
    </w:lvl>
  </w:abstractNum>
  <w:abstractNum w:abstractNumId="36" w15:restartNumberingAfterBreak="0">
    <w:nsid w:val="5EF05CED"/>
    <w:multiLevelType w:val="singleLevel"/>
    <w:tmpl w:val="0C0A0001"/>
    <w:lvl w:ilvl="0">
      <w:start w:val="1"/>
      <w:numFmt w:val="bullet"/>
      <w:lvlText w:val=""/>
      <w:lvlJc w:val="left"/>
      <w:pPr>
        <w:ind w:left="360" w:hanging="360"/>
      </w:pPr>
      <w:rPr>
        <w:rFonts w:ascii="Symbol" w:hAnsi="Symbol" w:hint="default"/>
        <w:color w:val="000000"/>
      </w:rPr>
    </w:lvl>
  </w:abstractNum>
  <w:abstractNum w:abstractNumId="37" w15:restartNumberingAfterBreak="0">
    <w:nsid w:val="62301012"/>
    <w:multiLevelType w:val="hybridMultilevel"/>
    <w:tmpl w:val="7FD80BCE"/>
    <w:lvl w:ilvl="0" w:tplc="DEC275D8">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8" w15:restartNumberingAfterBreak="0">
    <w:nsid w:val="644B5128"/>
    <w:multiLevelType w:val="singleLevel"/>
    <w:tmpl w:val="0C0A0001"/>
    <w:lvl w:ilvl="0">
      <w:start w:val="1"/>
      <w:numFmt w:val="bullet"/>
      <w:lvlText w:val=""/>
      <w:lvlJc w:val="left"/>
      <w:pPr>
        <w:ind w:left="786" w:hanging="360"/>
      </w:pPr>
      <w:rPr>
        <w:rFonts w:ascii="Symbol" w:hAnsi="Symbol" w:hint="default"/>
      </w:rPr>
    </w:lvl>
  </w:abstractNum>
  <w:abstractNum w:abstractNumId="39" w15:restartNumberingAfterBreak="0">
    <w:nsid w:val="6464260B"/>
    <w:multiLevelType w:val="hybridMultilevel"/>
    <w:tmpl w:val="B7C6ADBC"/>
    <w:lvl w:ilvl="0" w:tplc="A8CC1D7E">
      <w:start w:val="57"/>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0" w15:restartNumberingAfterBreak="0">
    <w:nsid w:val="64D30A8E"/>
    <w:multiLevelType w:val="hybridMultilevel"/>
    <w:tmpl w:val="08D062CA"/>
    <w:lvl w:ilvl="0" w:tplc="734216F6">
      <w:start w:val="1"/>
      <w:numFmt w:val="bullet"/>
      <w:lvlText w:val=""/>
      <w:lvlJc w:val="left"/>
      <w:pPr>
        <w:ind w:left="720" w:hanging="360"/>
      </w:pPr>
      <w:rPr>
        <w:rFonts w:ascii="Symbol" w:hAnsi="Symbol" w:hint="default"/>
      </w:rPr>
    </w:lvl>
    <w:lvl w:ilvl="1" w:tplc="56D0CEB4">
      <w:start w:val="1"/>
      <w:numFmt w:val="bullet"/>
      <w:lvlText w:val="o"/>
      <w:lvlJc w:val="left"/>
      <w:pPr>
        <w:ind w:left="1440" w:hanging="360"/>
      </w:pPr>
      <w:rPr>
        <w:rFonts w:ascii="Courier New" w:hAnsi="Courier New" w:hint="default"/>
      </w:rPr>
    </w:lvl>
    <w:lvl w:ilvl="2" w:tplc="51D60F30">
      <w:start w:val="1"/>
      <w:numFmt w:val="bullet"/>
      <w:lvlText w:val=""/>
      <w:lvlJc w:val="left"/>
      <w:pPr>
        <w:ind w:left="2160" w:hanging="360"/>
      </w:pPr>
      <w:rPr>
        <w:rFonts w:ascii="Wingdings" w:hAnsi="Wingdings" w:hint="default"/>
      </w:rPr>
    </w:lvl>
    <w:lvl w:ilvl="3" w:tplc="EFF630F6">
      <w:start w:val="1"/>
      <w:numFmt w:val="bullet"/>
      <w:lvlText w:val=""/>
      <w:lvlJc w:val="left"/>
      <w:pPr>
        <w:ind w:left="2880" w:hanging="360"/>
      </w:pPr>
      <w:rPr>
        <w:rFonts w:ascii="Symbol" w:hAnsi="Symbol" w:hint="default"/>
      </w:rPr>
    </w:lvl>
    <w:lvl w:ilvl="4" w:tplc="DA602E26">
      <w:start w:val="1"/>
      <w:numFmt w:val="bullet"/>
      <w:lvlText w:val="o"/>
      <w:lvlJc w:val="left"/>
      <w:pPr>
        <w:ind w:left="3600" w:hanging="360"/>
      </w:pPr>
      <w:rPr>
        <w:rFonts w:ascii="Courier New" w:hAnsi="Courier New" w:hint="default"/>
      </w:rPr>
    </w:lvl>
    <w:lvl w:ilvl="5" w:tplc="E3B65D5C">
      <w:start w:val="1"/>
      <w:numFmt w:val="bullet"/>
      <w:lvlText w:val=""/>
      <w:lvlJc w:val="left"/>
      <w:pPr>
        <w:ind w:left="4320" w:hanging="360"/>
      </w:pPr>
      <w:rPr>
        <w:rFonts w:ascii="Wingdings" w:hAnsi="Wingdings" w:hint="default"/>
      </w:rPr>
    </w:lvl>
    <w:lvl w:ilvl="6" w:tplc="EB941586">
      <w:start w:val="1"/>
      <w:numFmt w:val="bullet"/>
      <w:lvlText w:val=""/>
      <w:lvlJc w:val="left"/>
      <w:pPr>
        <w:ind w:left="5040" w:hanging="360"/>
      </w:pPr>
      <w:rPr>
        <w:rFonts w:ascii="Symbol" w:hAnsi="Symbol" w:hint="default"/>
      </w:rPr>
    </w:lvl>
    <w:lvl w:ilvl="7" w:tplc="22707D7E">
      <w:start w:val="1"/>
      <w:numFmt w:val="bullet"/>
      <w:lvlText w:val="o"/>
      <w:lvlJc w:val="left"/>
      <w:pPr>
        <w:ind w:left="5760" w:hanging="360"/>
      </w:pPr>
      <w:rPr>
        <w:rFonts w:ascii="Courier New" w:hAnsi="Courier New" w:hint="default"/>
      </w:rPr>
    </w:lvl>
    <w:lvl w:ilvl="8" w:tplc="B86804BE">
      <w:start w:val="1"/>
      <w:numFmt w:val="bullet"/>
      <w:lvlText w:val=""/>
      <w:lvlJc w:val="left"/>
      <w:pPr>
        <w:ind w:left="6480" w:hanging="360"/>
      </w:pPr>
      <w:rPr>
        <w:rFonts w:ascii="Wingdings" w:hAnsi="Wingdings" w:hint="default"/>
      </w:rPr>
    </w:lvl>
  </w:abstractNum>
  <w:abstractNum w:abstractNumId="41" w15:restartNumberingAfterBreak="0">
    <w:nsid w:val="696D4DE3"/>
    <w:multiLevelType w:val="hybridMultilevel"/>
    <w:tmpl w:val="16B0CF78"/>
    <w:lvl w:ilvl="0" w:tplc="0C0A0001">
      <w:start w:val="1"/>
      <w:numFmt w:val="bullet"/>
      <w:lvlText w:val=""/>
      <w:lvlJc w:val="left"/>
      <w:pPr>
        <w:ind w:left="644" w:hanging="360"/>
      </w:pPr>
      <w:rPr>
        <w:rFonts w:ascii="Symbol" w:hAnsi="Symbol" w:hint="default"/>
        <w:color w:val="00000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2" w15:restartNumberingAfterBreak="0">
    <w:nsid w:val="75C01B0B"/>
    <w:multiLevelType w:val="hybridMultilevel"/>
    <w:tmpl w:val="5142B72E"/>
    <w:lvl w:ilvl="0" w:tplc="06788C34">
      <w:start w:val="1"/>
      <w:numFmt w:val="lowerLetter"/>
      <w:lvlText w:val="%1)"/>
      <w:lvlJc w:val="left"/>
      <w:pPr>
        <w:ind w:left="719"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43" w15:restartNumberingAfterBreak="0">
    <w:nsid w:val="75FAB5BC"/>
    <w:multiLevelType w:val="hybridMultilevel"/>
    <w:tmpl w:val="05D63D18"/>
    <w:lvl w:ilvl="0" w:tplc="0F76A1D2">
      <w:start w:val="1"/>
      <w:numFmt w:val="bullet"/>
      <w:lvlText w:val=""/>
      <w:lvlJc w:val="left"/>
      <w:pPr>
        <w:ind w:left="720" w:hanging="360"/>
      </w:pPr>
      <w:rPr>
        <w:rFonts w:ascii="Symbol" w:hAnsi="Symbol" w:hint="default"/>
      </w:rPr>
    </w:lvl>
    <w:lvl w:ilvl="1" w:tplc="8F764398">
      <w:start w:val="1"/>
      <w:numFmt w:val="bullet"/>
      <w:lvlText w:val="o"/>
      <w:lvlJc w:val="left"/>
      <w:pPr>
        <w:ind w:left="1440" w:hanging="360"/>
      </w:pPr>
      <w:rPr>
        <w:rFonts w:ascii="Courier New" w:hAnsi="Courier New" w:hint="default"/>
      </w:rPr>
    </w:lvl>
    <w:lvl w:ilvl="2" w:tplc="9AB821F2">
      <w:start w:val="1"/>
      <w:numFmt w:val="bullet"/>
      <w:lvlText w:val=""/>
      <w:lvlJc w:val="left"/>
      <w:pPr>
        <w:ind w:left="2160" w:hanging="360"/>
      </w:pPr>
      <w:rPr>
        <w:rFonts w:ascii="Wingdings" w:hAnsi="Wingdings" w:hint="default"/>
      </w:rPr>
    </w:lvl>
    <w:lvl w:ilvl="3" w:tplc="CB8C67F0">
      <w:start w:val="1"/>
      <w:numFmt w:val="bullet"/>
      <w:lvlText w:val=""/>
      <w:lvlJc w:val="left"/>
      <w:pPr>
        <w:ind w:left="2880" w:hanging="360"/>
      </w:pPr>
      <w:rPr>
        <w:rFonts w:ascii="Symbol" w:hAnsi="Symbol" w:hint="default"/>
      </w:rPr>
    </w:lvl>
    <w:lvl w:ilvl="4" w:tplc="F01630E2">
      <w:start w:val="1"/>
      <w:numFmt w:val="bullet"/>
      <w:lvlText w:val="o"/>
      <w:lvlJc w:val="left"/>
      <w:pPr>
        <w:ind w:left="3600" w:hanging="360"/>
      </w:pPr>
      <w:rPr>
        <w:rFonts w:ascii="Courier New" w:hAnsi="Courier New" w:hint="default"/>
      </w:rPr>
    </w:lvl>
    <w:lvl w:ilvl="5" w:tplc="995254EE">
      <w:start w:val="1"/>
      <w:numFmt w:val="bullet"/>
      <w:lvlText w:val=""/>
      <w:lvlJc w:val="left"/>
      <w:pPr>
        <w:ind w:left="4320" w:hanging="360"/>
      </w:pPr>
      <w:rPr>
        <w:rFonts w:ascii="Wingdings" w:hAnsi="Wingdings" w:hint="default"/>
      </w:rPr>
    </w:lvl>
    <w:lvl w:ilvl="6" w:tplc="A2760114">
      <w:start w:val="1"/>
      <w:numFmt w:val="bullet"/>
      <w:lvlText w:val=""/>
      <w:lvlJc w:val="left"/>
      <w:pPr>
        <w:ind w:left="5040" w:hanging="360"/>
      </w:pPr>
      <w:rPr>
        <w:rFonts w:ascii="Symbol" w:hAnsi="Symbol" w:hint="default"/>
      </w:rPr>
    </w:lvl>
    <w:lvl w:ilvl="7" w:tplc="D0DE6788">
      <w:start w:val="1"/>
      <w:numFmt w:val="bullet"/>
      <w:lvlText w:val="o"/>
      <w:lvlJc w:val="left"/>
      <w:pPr>
        <w:ind w:left="5760" w:hanging="360"/>
      </w:pPr>
      <w:rPr>
        <w:rFonts w:ascii="Courier New" w:hAnsi="Courier New" w:hint="default"/>
      </w:rPr>
    </w:lvl>
    <w:lvl w:ilvl="8" w:tplc="54106EBE">
      <w:start w:val="1"/>
      <w:numFmt w:val="bullet"/>
      <w:lvlText w:val=""/>
      <w:lvlJc w:val="left"/>
      <w:pPr>
        <w:ind w:left="6480" w:hanging="360"/>
      </w:pPr>
      <w:rPr>
        <w:rFonts w:ascii="Wingdings" w:hAnsi="Wingdings" w:hint="default"/>
      </w:rPr>
    </w:lvl>
  </w:abstractNum>
  <w:abstractNum w:abstractNumId="44" w15:restartNumberingAfterBreak="0">
    <w:nsid w:val="7C02F181"/>
    <w:multiLevelType w:val="hybridMultilevel"/>
    <w:tmpl w:val="015464D0"/>
    <w:lvl w:ilvl="0" w:tplc="06925C40">
      <w:start w:val="1"/>
      <w:numFmt w:val="bullet"/>
      <w:lvlText w:val=""/>
      <w:lvlJc w:val="left"/>
      <w:pPr>
        <w:ind w:left="720" w:hanging="360"/>
      </w:pPr>
      <w:rPr>
        <w:rFonts w:ascii="Symbol" w:hAnsi="Symbol" w:hint="default"/>
      </w:rPr>
    </w:lvl>
    <w:lvl w:ilvl="1" w:tplc="97BCAB54">
      <w:start w:val="1"/>
      <w:numFmt w:val="bullet"/>
      <w:lvlText w:val="o"/>
      <w:lvlJc w:val="left"/>
      <w:pPr>
        <w:ind w:left="1440" w:hanging="360"/>
      </w:pPr>
      <w:rPr>
        <w:rFonts w:ascii="Courier New" w:hAnsi="Courier New" w:hint="default"/>
      </w:rPr>
    </w:lvl>
    <w:lvl w:ilvl="2" w:tplc="2870D96C">
      <w:start w:val="1"/>
      <w:numFmt w:val="bullet"/>
      <w:lvlText w:val=""/>
      <w:lvlJc w:val="left"/>
      <w:pPr>
        <w:ind w:left="2160" w:hanging="360"/>
      </w:pPr>
      <w:rPr>
        <w:rFonts w:ascii="Wingdings" w:hAnsi="Wingdings" w:hint="default"/>
      </w:rPr>
    </w:lvl>
    <w:lvl w:ilvl="3" w:tplc="877651CE">
      <w:start w:val="1"/>
      <w:numFmt w:val="bullet"/>
      <w:lvlText w:val=""/>
      <w:lvlJc w:val="left"/>
      <w:pPr>
        <w:ind w:left="2880" w:hanging="360"/>
      </w:pPr>
      <w:rPr>
        <w:rFonts w:ascii="Symbol" w:hAnsi="Symbol" w:hint="default"/>
      </w:rPr>
    </w:lvl>
    <w:lvl w:ilvl="4" w:tplc="E2AEED2E">
      <w:start w:val="1"/>
      <w:numFmt w:val="bullet"/>
      <w:lvlText w:val="o"/>
      <w:lvlJc w:val="left"/>
      <w:pPr>
        <w:ind w:left="3600" w:hanging="360"/>
      </w:pPr>
      <w:rPr>
        <w:rFonts w:ascii="Courier New" w:hAnsi="Courier New" w:hint="default"/>
      </w:rPr>
    </w:lvl>
    <w:lvl w:ilvl="5" w:tplc="8AFEA2E0">
      <w:start w:val="1"/>
      <w:numFmt w:val="bullet"/>
      <w:lvlText w:val=""/>
      <w:lvlJc w:val="left"/>
      <w:pPr>
        <w:ind w:left="4320" w:hanging="360"/>
      </w:pPr>
      <w:rPr>
        <w:rFonts w:ascii="Wingdings" w:hAnsi="Wingdings" w:hint="default"/>
      </w:rPr>
    </w:lvl>
    <w:lvl w:ilvl="6" w:tplc="FAE0EDC4">
      <w:start w:val="1"/>
      <w:numFmt w:val="bullet"/>
      <w:lvlText w:val=""/>
      <w:lvlJc w:val="left"/>
      <w:pPr>
        <w:ind w:left="5040" w:hanging="360"/>
      </w:pPr>
      <w:rPr>
        <w:rFonts w:ascii="Symbol" w:hAnsi="Symbol" w:hint="default"/>
      </w:rPr>
    </w:lvl>
    <w:lvl w:ilvl="7" w:tplc="23781F78">
      <w:start w:val="1"/>
      <w:numFmt w:val="bullet"/>
      <w:lvlText w:val="o"/>
      <w:lvlJc w:val="left"/>
      <w:pPr>
        <w:ind w:left="5760" w:hanging="360"/>
      </w:pPr>
      <w:rPr>
        <w:rFonts w:ascii="Courier New" w:hAnsi="Courier New" w:hint="default"/>
      </w:rPr>
    </w:lvl>
    <w:lvl w:ilvl="8" w:tplc="A4F6F9D8">
      <w:start w:val="1"/>
      <w:numFmt w:val="bullet"/>
      <w:lvlText w:val=""/>
      <w:lvlJc w:val="left"/>
      <w:pPr>
        <w:ind w:left="6480" w:hanging="360"/>
      </w:pPr>
      <w:rPr>
        <w:rFonts w:ascii="Wingdings" w:hAnsi="Wingdings" w:hint="default"/>
      </w:rPr>
    </w:lvl>
  </w:abstractNum>
  <w:abstractNum w:abstractNumId="45" w15:restartNumberingAfterBreak="0">
    <w:nsid w:val="7C0801CA"/>
    <w:multiLevelType w:val="hybridMultilevel"/>
    <w:tmpl w:val="0C80ED70"/>
    <w:lvl w:ilvl="0" w:tplc="75360084">
      <w:start w:val="1"/>
      <w:numFmt w:val="bullet"/>
      <w:lvlText w:val=""/>
      <w:lvlJc w:val="left"/>
      <w:pPr>
        <w:ind w:left="928" w:hanging="360"/>
      </w:pPr>
      <w:rPr>
        <w:rFonts w:ascii="Symbol" w:hAnsi="Symbol" w:hint="default"/>
      </w:rPr>
    </w:lvl>
    <w:lvl w:ilvl="1" w:tplc="3ABA74AE">
      <w:start w:val="1"/>
      <w:numFmt w:val="bullet"/>
      <w:lvlText w:val="o"/>
      <w:lvlJc w:val="left"/>
      <w:pPr>
        <w:ind w:left="1506" w:hanging="360"/>
      </w:pPr>
      <w:rPr>
        <w:rFonts w:ascii="Courier New" w:hAnsi="Courier New" w:hint="default"/>
      </w:rPr>
    </w:lvl>
    <w:lvl w:ilvl="2" w:tplc="A1281A80">
      <w:start w:val="1"/>
      <w:numFmt w:val="bullet"/>
      <w:lvlText w:val=""/>
      <w:lvlJc w:val="left"/>
      <w:pPr>
        <w:ind w:left="2226" w:hanging="360"/>
      </w:pPr>
      <w:rPr>
        <w:rFonts w:ascii="Wingdings" w:hAnsi="Wingdings" w:hint="default"/>
      </w:rPr>
    </w:lvl>
    <w:lvl w:ilvl="3" w:tplc="E3F0F31E">
      <w:start w:val="1"/>
      <w:numFmt w:val="bullet"/>
      <w:lvlText w:val=""/>
      <w:lvlJc w:val="left"/>
      <w:pPr>
        <w:ind w:left="2946" w:hanging="360"/>
      </w:pPr>
      <w:rPr>
        <w:rFonts w:ascii="Symbol" w:hAnsi="Symbol" w:hint="default"/>
      </w:rPr>
    </w:lvl>
    <w:lvl w:ilvl="4" w:tplc="90DCEEEC">
      <w:start w:val="1"/>
      <w:numFmt w:val="bullet"/>
      <w:lvlText w:val="o"/>
      <w:lvlJc w:val="left"/>
      <w:pPr>
        <w:ind w:left="3666" w:hanging="360"/>
      </w:pPr>
      <w:rPr>
        <w:rFonts w:ascii="Courier New" w:hAnsi="Courier New" w:hint="default"/>
      </w:rPr>
    </w:lvl>
    <w:lvl w:ilvl="5" w:tplc="53601460">
      <w:start w:val="1"/>
      <w:numFmt w:val="bullet"/>
      <w:lvlText w:val=""/>
      <w:lvlJc w:val="left"/>
      <w:pPr>
        <w:ind w:left="4386" w:hanging="360"/>
      </w:pPr>
      <w:rPr>
        <w:rFonts w:ascii="Wingdings" w:hAnsi="Wingdings" w:hint="default"/>
      </w:rPr>
    </w:lvl>
    <w:lvl w:ilvl="6" w:tplc="2D36EA42">
      <w:start w:val="1"/>
      <w:numFmt w:val="bullet"/>
      <w:lvlText w:val=""/>
      <w:lvlJc w:val="left"/>
      <w:pPr>
        <w:ind w:left="5106" w:hanging="360"/>
      </w:pPr>
      <w:rPr>
        <w:rFonts w:ascii="Symbol" w:hAnsi="Symbol" w:hint="default"/>
      </w:rPr>
    </w:lvl>
    <w:lvl w:ilvl="7" w:tplc="A210CBC6">
      <w:start w:val="1"/>
      <w:numFmt w:val="bullet"/>
      <w:lvlText w:val="o"/>
      <w:lvlJc w:val="left"/>
      <w:pPr>
        <w:ind w:left="5826" w:hanging="360"/>
      </w:pPr>
      <w:rPr>
        <w:rFonts w:ascii="Courier New" w:hAnsi="Courier New" w:hint="default"/>
      </w:rPr>
    </w:lvl>
    <w:lvl w:ilvl="8" w:tplc="FFE6B3A2">
      <w:start w:val="1"/>
      <w:numFmt w:val="bullet"/>
      <w:lvlText w:val=""/>
      <w:lvlJc w:val="left"/>
      <w:pPr>
        <w:ind w:left="6546" w:hanging="360"/>
      </w:pPr>
      <w:rPr>
        <w:rFonts w:ascii="Wingdings" w:hAnsi="Wingdings" w:hint="default"/>
      </w:rPr>
    </w:lvl>
  </w:abstractNum>
  <w:abstractNum w:abstractNumId="46" w15:restartNumberingAfterBreak="0">
    <w:nsid w:val="7F1E6A44"/>
    <w:multiLevelType w:val="hybridMultilevel"/>
    <w:tmpl w:val="F760A506"/>
    <w:lvl w:ilvl="0" w:tplc="E26E1708">
      <w:start w:val="83"/>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262109036">
    <w:abstractNumId w:val="24"/>
  </w:num>
  <w:num w:numId="2" w16cid:durableId="894244828">
    <w:abstractNumId w:val="44"/>
  </w:num>
  <w:num w:numId="3" w16cid:durableId="2000038471">
    <w:abstractNumId w:val="26"/>
  </w:num>
  <w:num w:numId="4" w16cid:durableId="1627810754">
    <w:abstractNumId w:val="34"/>
  </w:num>
  <w:num w:numId="5" w16cid:durableId="793253715">
    <w:abstractNumId w:val="7"/>
  </w:num>
  <w:num w:numId="6" w16cid:durableId="2009823726">
    <w:abstractNumId w:val="15"/>
  </w:num>
  <w:num w:numId="7" w16cid:durableId="1014461127">
    <w:abstractNumId w:val="43"/>
  </w:num>
  <w:num w:numId="8" w16cid:durableId="1168643151">
    <w:abstractNumId w:val="40"/>
  </w:num>
  <w:num w:numId="9" w16cid:durableId="326132869">
    <w:abstractNumId w:val="14"/>
  </w:num>
  <w:num w:numId="10" w16cid:durableId="1453598129">
    <w:abstractNumId w:val="8"/>
  </w:num>
  <w:num w:numId="11" w16cid:durableId="2022507125">
    <w:abstractNumId w:val="17"/>
  </w:num>
  <w:num w:numId="12" w16cid:durableId="1201742945">
    <w:abstractNumId w:val="22"/>
  </w:num>
  <w:num w:numId="13" w16cid:durableId="34280297">
    <w:abstractNumId w:val="11"/>
  </w:num>
  <w:num w:numId="14" w16cid:durableId="978267688">
    <w:abstractNumId w:val="19"/>
  </w:num>
  <w:num w:numId="15" w16cid:durableId="1633175056">
    <w:abstractNumId w:val="32"/>
  </w:num>
  <w:num w:numId="16" w16cid:durableId="248664627">
    <w:abstractNumId w:val="13"/>
  </w:num>
  <w:num w:numId="17" w16cid:durableId="1908957983">
    <w:abstractNumId w:val="35"/>
  </w:num>
  <w:num w:numId="18" w16cid:durableId="1190607899">
    <w:abstractNumId w:val="16"/>
  </w:num>
  <w:num w:numId="19" w16cid:durableId="1447038772">
    <w:abstractNumId w:val="21"/>
  </w:num>
  <w:num w:numId="20" w16cid:durableId="919482018">
    <w:abstractNumId w:val="45"/>
  </w:num>
  <w:num w:numId="21" w16cid:durableId="414670519">
    <w:abstractNumId w:val="38"/>
  </w:num>
  <w:num w:numId="22" w16cid:durableId="263467299">
    <w:abstractNumId w:val="6"/>
  </w:num>
  <w:num w:numId="23" w16cid:durableId="583419850">
    <w:abstractNumId w:val="29"/>
    <w:lvlOverride w:ilvl="0">
      <w:startOverride w:val="1"/>
    </w:lvlOverride>
    <w:lvlOverride w:ilvl="1"/>
    <w:lvlOverride w:ilvl="2"/>
    <w:lvlOverride w:ilvl="3"/>
    <w:lvlOverride w:ilvl="4"/>
    <w:lvlOverride w:ilvl="5"/>
    <w:lvlOverride w:ilvl="6"/>
    <w:lvlOverride w:ilvl="7"/>
    <w:lvlOverride w:ilvl="8"/>
  </w:num>
  <w:num w:numId="24" w16cid:durableId="18810890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0399537">
    <w:abstractNumId w:val="42"/>
  </w:num>
  <w:num w:numId="26" w16cid:durableId="831600214">
    <w:abstractNumId w:val="36"/>
  </w:num>
  <w:num w:numId="27" w16cid:durableId="1847012430">
    <w:abstractNumId w:val="41"/>
  </w:num>
  <w:num w:numId="28" w16cid:durableId="808523286">
    <w:abstractNumId w:val="31"/>
  </w:num>
  <w:num w:numId="29" w16cid:durableId="1393654945">
    <w:abstractNumId w:val="18"/>
  </w:num>
  <w:num w:numId="30" w16cid:durableId="406003945">
    <w:abstractNumId w:val="29"/>
  </w:num>
  <w:num w:numId="31" w16cid:durableId="1697001811">
    <w:abstractNumId w:val="30"/>
  </w:num>
  <w:num w:numId="32" w16cid:durableId="63382228">
    <w:abstractNumId w:val="5"/>
  </w:num>
  <w:num w:numId="33" w16cid:durableId="1049722483">
    <w:abstractNumId w:val="0"/>
  </w:num>
  <w:num w:numId="34" w16cid:durableId="716395166">
    <w:abstractNumId w:val="2"/>
  </w:num>
  <w:num w:numId="35" w16cid:durableId="970594348">
    <w:abstractNumId w:val="33"/>
  </w:num>
  <w:num w:numId="36" w16cid:durableId="1271283751">
    <w:abstractNumId w:val="39"/>
  </w:num>
  <w:num w:numId="37" w16cid:durableId="1988319579">
    <w:abstractNumId w:val="3"/>
  </w:num>
  <w:num w:numId="38" w16cid:durableId="473059635">
    <w:abstractNumId w:val="25"/>
  </w:num>
  <w:num w:numId="39" w16cid:durableId="661856008">
    <w:abstractNumId w:val="1"/>
  </w:num>
  <w:num w:numId="40" w16cid:durableId="459736254">
    <w:abstractNumId w:val="27"/>
  </w:num>
  <w:num w:numId="41" w16cid:durableId="1370448016">
    <w:abstractNumId w:val="46"/>
  </w:num>
  <w:num w:numId="42" w16cid:durableId="1884637165">
    <w:abstractNumId w:val="20"/>
  </w:num>
  <w:num w:numId="43" w16cid:durableId="1508911090">
    <w:abstractNumId w:val="10"/>
  </w:num>
  <w:num w:numId="44" w16cid:durableId="1153257112">
    <w:abstractNumId w:val="23"/>
  </w:num>
  <w:num w:numId="45" w16cid:durableId="1238789623">
    <w:abstractNumId w:val="9"/>
  </w:num>
  <w:num w:numId="46" w16cid:durableId="247159752">
    <w:abstractNumId w:val="4"/>
  </w:num>
  <w:num w:numId="47" w16cid:durableId="2007858437">
    <w:abstractNumId w:val="28"/>
  </w:num>
  <w:num w:numId="48" w16cid:durableId="563150884">
    <w:abstractNumId w:val="12"/>
  </w:num>
  <w:num w:numId="49" w16cid:durableId="81429639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autoHyphenation/>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8E"/>
    <w:rsid w:val="000019D8"/>
    <w:rsid w:val="0000317D"/>
    <w:rsid w:val="00003992"/>
    <w:rsid w:val="00005681"/>
    <w:rsid w:val="00006736"/>
    <w:rsid w:val="00006A97"/>
    <w:rsid w:val="0001123B"/>
    <w:rsid w:val="00012A7F"/>
    <w:rsid w:val="00012DAF"/>
    <w:rsid w:val="0001566B"/>
    <w:rsid w:val="000163FB"/>
    <w:rsid w:val="00017A3A"/>
    <w:rsid w:val="000220CE"/>
    <w:rsid w:val="00022F44"/>
    <w:rsid w:val="00022FC6"/>
    <w:rsid w:val="000235BA"/>
    <w:rsid w:val="00024411"/>
    <w:rsid w:val="000244F8"/>
    <w:rsid w:val="00025178"/>
    <w:rsid w:val="00026161"/>
    <w:rsid w:val="0002D318"/>
    <w:rsid w:val="00032047"/>
    <w:rsid w:val="0003635D"/>
    <w:rsid w:val="00036E42"/>
    <w:rsid w:val="00036F84"/>
    <w:rsid w:val="00037F87"/>
    <w:rsid w:val="00041CC3"/>
    <w:rsid w:val="0004373B"/>
    <w:rsid w:val="000448FA"/>
    <w:rsid w:val="000507B0"/>
    <w:rsid w:val="00051404"/>
    <w:rsid w:val="00052F0A"/>
    <w:rsid w:val="00053A42"/>
    <w:rsid w:val="0005517D"/>
    <w:rsid w:val="000564EF"/>
    <w:rsid w:val="0005695B"/>
    <w:rsid w:val="0005E5C0"/>
    <w:rsid w:val="0006133D"/>
    <w:rsid w:val="00062B83"/>
    <w:rsid w:val="00063585"/>
    <w:rsid w:val="000643E6"/>
    <w:rsid w:val="00071CD0"/>
    <w:rsid w:val="000733CF"/>
    <w:rsid w:val="00075677"/>
    <w:rsid w:val="00075692"/>
    <w:rsid w:val="0007570D"/>
    <w:rsid w:val="00077258"/>
    <w:rsid w:val="0007D839"/>
    <w:rsid w:val="00081A1C"/>
    <w:rsid w:val="00083B2D"/>
    <w:rsid w:val="00083E47"/>
    <w:rsid w:val="00083EA2"/>
    <w:rsid w:val="00084811"/>
    <w:rsid w:val="00085F7E"/>
    <w:rsid w:val="000863F4"/>
    <w:rsid w:val="00086FAB"/>
    <w:rsid w:val="00087761"/>
    <w:rsid w:val="00087964"/>
    <w:rsid w:val="00087A98"/>
    <w:rsid w:val="00087B8D"/>
    <w:rsid w:val="00092D89"/>
    <w:rsid w:val="000939B4"/>
    <w:rsid w:val="00093D67"/>
    <w:rsid w:val="00093E60"/>
    <w:rsid w:val="00093FA6"/>
    <w:rsid w:val="00095E67"/>
    <w:rsid w:val="00097EF6"/>
    <w:rsid w:val="000A18B7"/>
    <w:rsid w:val="000A296C"/>
    <w:rsid w:val="000A2C1E"/>
    <w:rsid w:val="000A3596"/>
    <w:rsid w:val="000A4697"/>
    <w:rsid w:val="000A8A9A"/>
    <w:rsid w:val="000B16BE"/>
    <w:rsid w:val="000B2728"/>
    <w:rsid w:val="000B3513"/>
    <w:rsid w:val="000B3943"/>
    <w:rsid w:val="000B4477"/>
    <w:rsid w:val="000B44C0"/>
    <w:rsid w:val="000B5566"/>
    <w:rsid w:val="000B70C4"/>
    <w:rsid w:val="000C00DE"/>
    <w:rsid w:val="000C0704"/>
    <w:rsid w:val="000C20C0"/>
    <w:rsid w:val="000C2205"/>
    <w:rsid w:val="000C2B07"/>
    <w:rsid w:val="000C3074"/>
    <w:rsid w:val="000C39CC"/>
    <w:rsid w:val="000C5019"/>
    <w:rsid w:val="000C7566"/>
    <w:rsid w:val="000D00C9"/>
    <w:rsid w:val="000D188E"/>
    <w:rsid w:val="000D3D71"/>
    <w:rsid w:val="000D4E85"/>
    <w:rsid w:val="000D5335"/>
    <w:rsid w:val="000D5427"/>
    <w:rsid w:val="000D62BA"/>
    <w:rsid w:val="000D6994"/>
    <w:rsid w:val="000D7C3C"/>
    <w:rsid w:val="000E070D"/>
    <w:rsid w:val="000E0988"/>
    <w:rsid w:val="000E18AB"/>
    <w:rsid w:val="000E4A7F"/>
    <w:rsid w:val="000E7128"/>
    <w:rsid w:val="000E7B86"/>
    <w:rsid w:val="000E7EC7"/>
    <w:rsid w:val="000E9638"/>
    <w:rsid w:val="000F07B3"/>
    <w:rsid w:val="000F119D"/>
    <w:rsid w:val="000F21E4"/>
    <w:rsid w:val="000F2B66"/>
    <w:rsid w:val="000F2C78"/>
    <w:rsid w:val="000F2DB4"/>
    <w:rsid w:val="000F3D83"/>
    <w:rsid w:val="000F5F4F"/>
    <w:rsid w:val="000F6934"/>
    <w:rsid w:val="00100720"/>
    <w:rsid w:val="00100F12"/>
    <w:rsid w:val="00103261"/>
    <w:rsid w:val="00103589"/>
    <w:rsid w:val="00103B7F"/>
    <w:rsid w:val="001045C9"/>
    <w:rsid w:val="00106CE8"/>
    <w:rsid w:val="00106D0C"/>
    <w:rsid w:val="00107CC1"/>
    <w:rsid w:val="0010F328"/>
    <w:rsid w:val="0011082A"/>
    <w:rsid w:val="001116A8"/>
    <w:rsid w:val="00111A92"/>
    <w:rsid w:val="001134CB"/>
    <w:rsid w:val="001145C3"/>
    <w:rsid w:val="0011476E"/>
    <w:rsid w:val="001158E2"/>
    <w:rsid w:val="001161D2"/>
    <w:rsid w:val="001165F7"/>
    <w:rsid w:val="00121F4F"/>
    <w:rsid w:val="0012244F"/>
    <w:rsid w:val="00122A84"/>
    <w:rsid w:val="00124A0B"/>
    <w:rsid w:val="00124B2E"/>
    <w:rsid w:val="00124BED"/>
    <w:rsid w:val="00125014"/>
    <w:rsid w:val="00125946"/>
    <w:rsid w:val="00126C11"/>
    <w:rsid w:val="00127432"/>
    <w:rsid w:val="00127AF3"/>
    <w:rsid w:val="0013088D"/>
    <w:rsid w:val="0013096B"/>
    <w:rsid w:val="00131DF1"/>
    <w:rsid w:val="00132C38"/>
    <w:rsid w:val="00132E23"/>
    <w:rsid w:val="00133984"/>
    <w:rsid w:val="0013478D"/>
    <w:rsid w:val="00134B4C"/>
    <w:rsid w:val="00134FAF"/>
    <w:rsid w:val="0013573B"/>
    <w:rsid w:val="00135F3E"/>
    <w:rsid w:val="001365C4"/>
    <w:rsid w:val="00136F33"/>
    <w:rsid w:val="00137805"/>
    <w:rsid w:val="001405FC"/>
    <w:rsid w:val="0014147D"/>
    <w:rsid w:val="00141D29"/>
    <w:rsid w:val="00143DAA"/>
    <w:rsid w:val="001440D5"/>
    <w:rsid w:val="0014506A"/>
    <w:rsid w:val="00146A62"/>
    <w:rsid w:val="00147031"/>
    <w:rsid w:val="0014728F"/>
    <w:rsid w:val="00147C74"/>
    <w:rsid w:val="001521A2"/>
    <w:rsid w:val="00152358"/>
    <w:rsid w:val="00153A3E"/>
    <w:rsid w:val="00154817"/>
    <w:rsid w:val="00155BFF"/>
    <w:rsid w:val="00160313"/>
    <w:rsid w:val="00160F66"/>
    <w:rsid w:val="001633AF"/>
    <w:rsid w:val="001639B2"/>
    <w:rsid w:val="00164F0A"/>
    <w:rsid w:val="0016538B"/>
    <w:rsid w:val="00166A6C"/>
    <w:rsid w:val="00166DB8"/>
    <w:rsid w:val="001673D8"/>
    <w:rsid w:val="00170388"/>
    <w:rsid w:val="001728D0"/>
    <w:rsid w:val="00173EDD"/>
    <w:rsid w:val="0017402B"/>
    <w:rsid w:val="00175BAA"/>
    <w:rsid w:val="00175C82"/>
    <w:rsid w:val="00176681"/>
    <w:rsid w:val="00177B89"/>
    <w:rsid w:val="00181D37"/>
    <w:rsid w:val="00182640"/>
    <w:rsid w:val="00182C9E"/>
    <w:rsid w:val="00182FAD"/>
    <w:rsid w:val="001835B7"/>
    <w:rsid w:val="0018426B"/>
    <w:rsid w:val="00185A37"/>
    <w:rsid w:val="00186D18"/>
    <w:rsid w:val="001877E2"/>
    <w:rsid w:val="00190062"/>
    <w:rsid w:val="0019052A"/>
    <w:rsid w:val="001916CC"/>
    <w:rsid w:val="00192E11"/>
    <w:rsid w:val="00192FA9"/>
    <w:rsid w:val="0019332C"/>
    <w:rsid w:val="00194309"/>
    <w:rsid w:val="0019660E"/>
    <w:rsid w:val="001971E4"/>
    <w:rsid w:val="00197DCE"/>
    <w:rsid w:val="001A149D"/>
    <w:rsid w:val="001A18CD"/>
    <w:rsid w:val="001A1A83"/>
    <w:rsid w:val="001A2D8B"/>
    <w:rsid w:val="001B39E2"/>
    <w:rsid w:val="001B3D8D"/>
    <w:rsid w:val="001B410D"/>
    <w:rsid w:val="001B5B76"/>
    <w:rsid w:val="001B6AE4"/>
    <w:rsid w:val="001B6F2C"/>
    <w:rsid w:val="001C1B85"/>
    <w:rsid w:val="001C216C"/>
    <w:rsid w:val="001C2B26"/>
    <w:rsid w:val="001C3A32"/>
    <w:rsid w:val="001C5C2D"/>
    <w:rsid w:val="001C721A"/>
    <w:rsid w:val="001D1D6A"/>
    <w:rsid w:val="001D1F38"/>
    <w:rsid w:val="001D4F09"/>
    <w:rsid w:val="001D5AF4"/>
    <w:rsid w:val="001D60CC"/>
    <w:rsid w:val="001E0246"/>
    <w:rsid w:val="001E1B02"/>
    <w:rsid w:val="001E3A67"/>
    <w:rsid w:val="001E601E"/>
    <w:rsid w:val="001E6FAD"/>
    <w:rsid w:val="001E72A8"/>
    <w:rsid w:val="001F0CA9"/>
    <w:rsid w:val="001F1482"/>
    <w:rsid w:val="001F1623"/>
    <w:rsid w:val="001F1FB7"/>
    <w:rsid w:val="001F20D7"/>
    <w:rsid w:val="001F3567"/>
    <w:rsid w:val="001F4438"/>
    <w:rsid w:val="001F7744"/>
    <w:rsid w:val="001F78ED"/>
    <w:rsid w:val="001FBFEE"/>
    <w:rsid w:val="002013A1"/>
    <w:rsid w:val="002014EB"/>
    <w:rsid w:val="00202B1A"/>
    <w:rsid w:val="002035BE"/>
    <w:rsid w:val="00204979"/>
    <w:rsid w:val="002051AE"/>
    <w:rsid w:val="00207DDE"/>
    <w:rsid w:val="00210704"/>
    <w:rsid w:val="0021097C"/>
    <w:rsid w:val="00211D69"/>
    <w:rsid w:val="00214D08"/>
    <w:rsid w:val="002179DB"/>
    <w:rsid w:val="00217F29"/>
    <w:rsid w:val="002200AE"/>
    <w:rsid w:val="0022236F"/>
    <w:rsid w:val="002223C3"/>
    <w:rsid w:val="00223CA9"/>
    <w:rsid w:val="00224187"/>
    <w:rsid w:val="00226992"/>
    <w:rsid w:val="00226B2C"/>
    <w:rsid w:val="002272CF"/>
    <w:rsid w:val="00227E48"/>
    <w:rsid w:val="00230577"/>
    <w:rsid w:val="0023159D"/>
    <w:rsid w:val="00231A78"/>
    <w:rsid w:val="0023209D"/>
    <w:rsid w:val="002333F8"/>
    <w:rsid w:val="002336D6"/>
    <w:rsid w:val="00233D79"/>
    <w:rsid w:val="00233EE7"/>
    <w:rsid w:val="002346EA"/>
    <w:rsid w:val="00235383"/>
    <w:rsid w:val="00235E02"/>
    <w:rsid w:val="00237657"/>
    <w:rsid w:val="00242ACB"/>
    <w:rsid w:val="00242BA7"/>
    <w:rsid w:val="002437B5"/>
    <w:rsid w:val="002446A5"/>
    <w:rsid w:val="002448C4"/>
    <w:rsid w:val="00244A58"/>
    <w:rsid w:val="00244EF1"/>
    <w:rsid w:val="002453C9"/>
    <w:rsid w:val="00246F21"/>
    <w:rsid w:val="002504D6"/>
    <w:rsid w:val="002508EE"/>
    <w:rsid w:val="00250AFE"/>
    <w:rsid w:val="00252068"/>
    <w:rsid w:val="0025212B"/>
    <w:rsid w:val="00252A4F"/>
    <w:rsid w:val="00253E78"/>
    <w:rsid w:val="00255BF2"/>
    <w:rsid w:val="00256BED"/>
    <w:rsid w:val="0025740A"/>
    <w:rsid w:val="00260F0B"/>
    <w:rsid w:val="0026211F"/>
    <w:rsid w:val="00262C3C"/>
    <w:rsid w:val="00264713"/>
    <w:rsid w:val="00264C88"/>
    <w:rsid w:val="00265234"/>
    <w:rsid w:val="0026532C"/>
    <w:rsid w:val="0026575D"/>
    <w:rsid w:val="00266E04"/>
    <w:rsid w:val="00267271"/>
    <w:rsid w:val="002675F7"/>
    <w:rsid w:val="002705B0"/>
    <w:rsid w:val="00270C24"/>
    <w:rsid w:val="002717A6"/>
    <w:rsid w:val="00271968"/>
    <w:rsid w:val="00271F9F"/>
    <w:rsid w:val="00272015"/>
    <w:rsid w:val="00273C10"/>
    <w:rsid w:val="00274B4C"/>
    <w:rsid w:val="00274CAE"/>
    <w:rsid w:val="00276264"/>
    <w:rsid w:val="00281DCA"/>
    <w:rsid w:val="00281F66"/>
    <w:rsid w:val="002822AF"/>
    <w:rsid w:val="00283BBC"/>
    <w:rsid w:val="00284977"/>
    <w:rsid w:val="00285EE3"/>
    <w:rsid w:val="002866C1"/>
    <w:rsid w:val="00286BF9"/>
    <w:rsid w:val="0028741B"/>
    <w:rsid w:val="002876E6"/>
    <w:rsid w:val="00287976"/>
    <w:rsid w:val="002911AC"/>
    <w:rsid w:val="00291418"/>
    <w:rsid w:val="00293228"/>
    <w:rsid w:val="0029381A"/>
    <w:rsid w:val="00294534"/>
    <w:rsid w:val="0029526B"/>
    <w:rsid w:val="00295A90"/>
    <w:rsid w:val="00297B04"/>
    <w:rsid w:val="002A056C"/>
    <w:rsid w:val="002A386D"/>
    <w:rsid w:val="002A3916"/>
    <w:rsid w:val="002A398B"/>
    <w:rsid w:val="002A39E5"/>
    <w:rsid w:val="002A66A5"/>
    <w:rsid w:val="002A6800"/>
    <w:rsid w:val="002A6EBB"/>
    <w:rsid w:val="002A79ED"/>
    <w:rsid w:val="002B0816"/>
    <w:rsid w:val="002B21E9"/>
    <w:rsid w:val="002B2208"/>
    <w:rsid w:val="002B2B87"/>
    <w:rsid w:val="002B4E0F"/>
    <w:rsid w:val="002B5754"/>
    <w:rsid w:val="002B7E8E"/>
    <w:rsid w:val="002C2272"/>
    <w:rsid w:val="002C45EB"/>
    <w:rsid w:val="002C7026"/>
    <w:rsid w:val="002C7E08"/>
    <w:rsid w:val="002D057F"/>
    <w:rsid w:val="002D089F"/>
    <w:rsid w:val="002D36D8"/>
    <w:rsid w:val="002D5635"/>
    <w:rsid w:val="002D65E8"/>
    <w:rsid w:val="002D6887"/>
    <w:rsid w:val="002D7D32"/>
    <w:rsid w:val="002E02E5"/>
    <w:rsid w:val="002E0478"/>
    <w:rsid w:val="002E0791"/>
    <w:rsid w:val="002E1B92"/>
    <w:rsid w:val="002E2C6D"/>
    <w:rsid w:val="002E2ECB"/>
    <w:rsid w:val="002E418D"/>
    <w:rsid w:val="002E767F"/>
    <w:rsid w:val="002E7B81"/>
    <w:rsid w:val="002F09FB"/>
    <w:rsid w:val="002F0E28"/>
    <w:rsid w:val="002F0FE3"/>
    <w:rsid w:val="002F1AF0"/>
    <w:rsid w:val="002F2049"/>
    <w:rsid w:val="002F2530"/>
    <w:rsid w:val="002F272A"/>
    <w:rsid w:val="002F3225"/>
    <w:rsid w:val="002F53B4"/>
    <w:rsid w:val="002F6B82"/>
    <w:rsid w:val="002F76D6"/>
    <w:rsid w:val="00300759"/>
    <w:rsid w:val="0030091F"/>
    <w:rsid w:val="00301C02"/>
    <w:rsid w:val="00301DAB"/>
    <w:rsid w:val="00303506"/>
    <w:rsid w:val="00303CA0"/>
    <w:rsid w:val="00304054"/>
    <w:rsid w:val="00304E72"/>
    <w:rsid w:val="00305770"/>
    <w:rsid w:val="00305CAD"/>
    <w:rsid w:val="00306762"/>
    <w:rsid w:val="00307057"/>
    <w:rsid w:val="00310E8C"/>
    <w:rsid w:val="0031123D"/>
    <w:rsid w:val="00311BB3"/>
    <w:rsid w:val="00312452"/>
    <w:rsid w:val="00312819"/>
    <w:rsid w:val="00312E9C"/>
    <w:rsid w:val="00313875"/>
    <w:rsid w:val="00314B43"/>
    <w:rsid w:val="00316A1E"/>
    <w:rsid w:val="003173AC"/>
    <w:rsid w:val="003203BF"/>
    <w:rsid w:val="00321210"/>
    <w:rsid w:val="00321369"/>
    <w:rsid w:val="00321470"/>
    <w:rsid w:val="00322B5C"/>
    <w:rsid w:val="00323361"/>
    <w:rsid w:val="0032722C"/>
    <w:rsid w:val="00330787"/>
    <w:rsid w:val="00331504"/>
    <w:rsid w:val="00331F1B"/>
    <w:rsid w:val="00333574"/>
    <w:rsid w:val="00335718"/>
    <w:rsid w:val="00335C91"/>
    <w:rsid w:val="0033632E"/>
    <w:rsid w:val="003370A3"/>
    <w:rsid w:val="00337493"/>
    <w:rsid w:val="00337932"/>
    <w:rsid w:val="00340CA9"/>
    <w:rsid w:val="00341DB1"/>
    <w:rsid w:val="003423CA"/>
    <w:rsid w:val="0034285F"/>
    <w:rsid w:val="0034552E"/>
    <w:rsid w:val="00345C4A"/>
    <w:rsid w:val="00345DD9"/>
    <w:rsid w:val="003464A4"/>
    <w:rsid w:val="0034676F"/>
    <w:rsid w:val="00347E98"/>
    <w:rsid w:val="00350394"/>
    <w:rsid w:val="0035069B"/>
    <w:rsid w:val="00350EF4"/>
    <w:rsid w:val="00351684"/>
    <w:rsid w:val="003524F4"/>
    <w:rsid w:val="00354458"/>
    <w:rsid w:val="00354F4B"/>
    <w:rsid w:val="00355502"/>
    <w:rsid w:val="00356050"/>
    <w:rsid w:val="003560F6"/>
    <w:rsid w:val="00356F84"/>
    <w:rsid w:val="00357DB1"/>
    <w:rsid w:val="0035892F"/>
    <w:rsid w:val="0035C022"/>
    <w:rsid w:val="0036142B"/>
    <w:rsid w:val="00362D42"/>
    <w:rsid w:val="00363653"/>
    <w:rsid w:val="00364729"/>
    <w:rsid w:val="00364EC2"/>
    <w:rsid w:val="0036509D"/>
    <w:rsid w:val="003650C1"/>
    <w:rsid w:val="00365AEA"/>
    <w:rsid w:val="00365DD7"/>
    <w:rsid w:val="0037129C"/>
    <w:rsid w:val="00371C65"/>
    <w:rsid w:val="0037228C"/>
    <w:rsid w:val="00372D1B"/>
    <w:rsid w:val="003738FD"/>
    <w:rsid w:val="00374A66"/>
    <w:rsid w:val="003753D5"/>
    <w:rsid w:val="00380F1F"/>
    <w:rsid w:val="003810BE"/>
    <w:rsid w:val="003820CA"/>
    <w:rsid w:val="0038210C"/>
    <w:rsid w:val="00382743"/>
    <w:rsid w:val="00384952"/>
    <w:rsid w:val="003852CF"/>
    <w:rsid w:val="00385FAF"/>
    <w:rsid w:val="00386F6C"/>
    <w:rsid w:val="00387709"/>
    <w:rsid w:val="00387794"/>
    <w:rsid w:val="00390FE7"/>
    <w:rsid w:val="00393331"/>
    <w:rsid w:val="003938A7"/>
    <w:rsid w:val="00393C44"/>
    <w:rsid w:val="00397162"/>
    <w:rsid w:val="00397752"/>
    <w:rsid w:val="003A01C6"/>
    <w:rsid w:val="003A335E"/>
    <w:rsid w:val="003A3DD2"/>
    <w:rsid w:val="003A42BF"/>
    <w:rsid w:val="003A44DB"/>
    <w:rsid w:val="003A4C02"/>
    <w:rsid w:val="003AA064"/>
    <w:rsid w:val="003B3573"/>
    <w:rsid w:val="003B5813"/>
    <w:rsid w:val="003B6293"/>
    <w:rsid w:val="003C039D"/>
    <w:rsid w:val="003C03EA"/>
    <w:rsid w:val="003C06D0"/>
    <w:rsid w:val="003C196B"/>
    <w:rsid w:val="003C26AC"/>
    <w:rsid w:val="003C34E3"/>
    <w:rsid w:val="003C5010"/>
    <w:rsid w:val="003C6E1D"/>
    <w:rsid w:val="003D058C"/>
    <w:rsid w:val="003D1959"/>
    <w:rsid w:val="003D52CB"/>
    <w:rsid w:val="003D76B1"/>
    <w:rsid w:val="003E0D07"/>
    <w:rsid w:val="003E0D60"/>
    <w:rsid w:val="003E17A6"/>
    <w:rsid w:val="003E2CBE"/>
    <w:rsid w:val="003E32E0"/>
    <w:rsid w:val="003E405D"/>
    <w:rsid w:val="003E4AA5"/>
    <w:rsid w:val="003E4F9D"/>
    <w:rsid w:val="003E51B4"/>
    <w:rsid w:val="003E7144"/>
    <w:rsid w:val="003F1CEC"/>
    <w:rsid w:val="003F1FBD"/>
    <w:rsid w:val="003F43BF"/>
    <w:rsid w:val="003F56D1"/>
    <w:rsid w:val="003F629F"/>
    <w:rsid w:val="003F634D"/>
    <w:rsid w:val="003F6380"/>
    <w:rsid w:val="003F6BE4"/>
    <w:rsid w:val="00400081"/>
    <w:rsid w:val="00400DDB"/>
    <w:rsid w:val="004014F5"/>
    <w:rsid w:val="00403CF8"/>
    <w:rsid w:val="00406F56"/>
    <w:rsid w:val="00406FFE"/>
    <w:rsid w:val="00407459"/>
    <w:rsid w:val="004116E6"/>
    <w:rsid w:val="0041191A"/>
    <w:rsid w:val="00411CF7"/>
    <w:rsid w:val="00411EDF"/>
    <w:rsid w:val="004121BF"/>
    <w:rsid w:val="00412331"/>
    <w:rsid w:val="00414A01"/>
    <w:rsid w:val="00414D01"/>
    <w:rsid w:val="00416202"/>
    <w:rsid w:val="004166E9"/>
    <w:rsid w:val="004170FE"/>
    <w:rsid w:val="004209E6"/>
    <w:rsid w:val="00421430"/>
    <w:rsid w:val="00422083"/>
    <w:rsid w:val="00422A9D"/>
    <w:rsid w:val="0042324B"/>
    <w:rsid w:val="004234E8"/>
    <w:rsid w:val="00423985"/>
    <w:rsid w:val="004240A7"/>
    <w:rsid w:val="00424EC6"/>
    <w:rsid w:val="00426805"/>
    <w:rsid w:val="004271C0"/>
    <w:rsid w:val="0042789D"/>
    <w:rsid w:val="00430150"/>
    <w:rsid w:val="004302F9"/>
    <w:rsid w:val="0043199C"/>
    <w:rsid w:val="0043229B"/>
    <w:rsid w:val="00432547"/>
    <w:rsid w:val="004333EE"/>
    <w:rsid w:val="00435287"/>
    <w:rsid w:val="00437999"/>
    <w:rsid w:val="00440A22"/>
    <w:rsid w:val="00440D8A"/>
    <w:rsid w:val="00442749"/>
    <w:rsid w:val="00444B42"/>
    <w:rsid w:val="004457AA"/>
    <w:rsid w:val="00452209"/>
    <w:rsid w:val="004526DC"/>
    <w:rsid w:val="004542D6"/>
    <w:rsid w:val="0045550E"/>
    <w:rsid w:val="00456456"/>
    <w:rsid w:val="00456CD8"/>
    <w:rsid w:val="0045788B"/>
    <w:rsid w:val="00460390"/>
    <w:rsid w:val="00460805"/>
    <w:rsid w:val="00460B90"/>
    <w:rsid w:val="00462367"/>
    <w:rsid w:val="00462DDB"/>
    <w:rsid w:val="0046490C"/>
    <w:rsid w:val="00470287"/>
    <w:rsid w:val="004704EF"/>
    <w:rsid w:val="00470733"/>
    <w:rsid w:val="0047178E"/>
    <w:rsid w:val="00473C5A"/>
    <w:rsid w:val="0047411C"/>
    <w:rsid w:val="0047477F"/>
    <w:rsid w:val="00475F29"/>
    <w:rsid w:val="00477C53"/>
    <w:rsid w:val="00480E41"/>
    <w:rsid w:val="0048121C"/>
    <w:rsid w:val="00482D4C"/>
    <w:rsid w:val="00482DAE"/>
    <w:rsid w:val="004832FC"/>
    <w:rsid w:val="00484544"/>
    <w:rsid w:val="00485380"/>
    <w:rsid w:val="00485FC2"/>
    <w:rsid w:val="00486526"/>
    <w:rsid w:val="00490981"/>
    <w:rsid w:val="00491F03"/>
    <w:rsid w:val="004930F3"/>
    <w:rsid w:val="00493D87"/>
    <w:rsid w:val="004942D1"/>
    <w:rsid w:val="00494F3C"/>
    <w:rsid w:val="004950D4"/>
    <w:rsid w:val="004964AB"/>
    <w:rsid w:val="004971E1"/>
    <w:rsid w:val="004A0506"/>
    <w:rsid w:val="004A0532"/>
    <w:rsid w:val="004A0721"/>
    <w:rsid w:val="004A175F"/>
    <w:rsid w:val="004A2342"/>
    <w:rsid w:val="004A2F62"/>
    <w:rsid w:val="004A65D0"/>
    <w:rsid w:val="004A7222"/>
    <w:rsid w:val="004A7A11"/>
    <w:rsid w:val="004A7A9D"/>
    <w:rsid w:val="004B14BE"/>
    <w:rsid w:val="004B1DB8"/>
    <w:rsid w:val="004B1F4C"/>
    <w:rsid w:val="004B2F01"/>
    <w:rsid w:val="004B4182"/>
    <w:rsid w:val="004B4538"/>
    <w:rsid w:val="004B5320"/>
    <w:rsid w:val="004B58E1"/>
    <w:rsid w:val="004B6DF7"/>
    <w:rsid w:val="004B6FB6"/>
    <w:rsid w:val="004C0745"/>
    <w:rsid w:val="004C14DE"/>
    <w:rsid w:val="004C3423"/>
    <w:rsid w:val="004C3995"/>
    <w:rsid w:val="004C571D"/>
    <w:rsid w:val="004C6AB9"/>
    <w:rsid w:val="004D35A2"/>
    <w:rsid w:val="004D5FD1"/>
    <w:rsid w:val="004D79FD"/>
    <w:rsid w:val="004E212F"/>
    <w:rsid w:val="004E30EC"/>
    <w:rsid w:val="004E4284"/>
    <w:rsid w:val="004E45EA"/>
    <w:rsid w:val="004E6D5B"/>
    <w:rsid w:val="004E7EDB"/>
    <w:rsid w:val="004F291C"/>
    <w:rsid w:val="004F5D71"/>
    <w:rsid w:val="004F6142"/>
    <w:rsid w:val="004F79CA"/>
    <w:rsid w:val="004F7C93"/>
    <w:rsid w:val="00500E90"/>
    <w:rsid w:val="005028FE"/>
    <w:rsid w:val="00504E68"/>
    <w:rsid w:val="00506105"/>
    <w:rsid w:val="00506832"/>
    <w:rsid w:val="0050683B"/>
    <w:rsid w:val="00507B12"/>
    <w:rsid w:val="005125AB"/>
    <w:rsid w:val="00512AD1"/>
    <w:rsid w:val="00512EA2"/>
    <w:rsid w:val="00513162"/>
    <w:rsid w:val="00514082"/>
    <w:rsid w:val="00516487"/>
    <w:rsid w:val="00516BCC"/>
    <w:rsid w:val="00520896"/>
    <w:rsid w:val="00520C3F"/>
    <w:rsid w:val="00522AFE"/>
    <w:rsid w:val="0052388E"/>
    <w:rsid w:val="00524678"/>
    <w:rsid w:val="00525809"/>
    <w:rsid w:val="00527CE7"/>
    <w:rsid w:val="005311FA"/>
    <w:rsid w:val="0053189B"/>
    <w:rsid w:val="005336AE"/>
    <w:rsid w:val="00534AB6"/>
    <w:rsid w:val="00534BCC"/>
    <w:rsid w:val="00535130"/>
    <w:rsid w:val="005366FA"/>
    <w:rsid w:val="00537302"/>
    <w:rsid w:val="00544E8B"/>
    <w:rsid w:val="0054509D"/>
    <w:rsid w:val="005478C3"/>
    <w:rsid w:val="00550F63"/>
    <w:rsid w:val="00551C71"/>
    <w:rsid w:val="00553AD1"/>
    <w:rsid w:val="00553EB3"/>
    <w:rsid w:val="00555509"/>
    <w:rsid w:val="00556FA0"/>
    <w:rsid w:val="0056018E"/>
    <w:rsid w:val="00561C5B"/>
    <w:rsid w:val="005625D7"/>
    <w:rsid w:val="00563A71"/>
    <w:rsid w:val="00563C9B"/>
    <w:rsid w:val="00564F2D"/>
    <w:rsid w:val="00566CDA"/>
    <w:rsid w:val="0056727E"/>
    <w:rsid w:val="00567BA6"/>
    <w:rsid w:val="00570033"/>
    <w:rsid w:val="00570147"/>
    <w:rsid w:val="005720A5"/>
    <w:rsid w:val="005721B3"/>
    <w:rsid w:val="0057307E"/>
    <w:rsid w:val="00573A4C"/>
    <w:rsid w:val="00574B79"/>
    <w:rsid w:val="00574D12"/>
    <w:rsid w:val="0057753F"/>
    <w:rsid w:val="00577C49"/>
    <w:rsid w:val="005800B4"/>
    <w:rsid w:val="0058070B"/>
    <w:rsid w:val="00581551"/>
    <w:rsid w:val="0058296F"/>
    <w:rsid w:val="0058397F"/>
    <w:rsid w:val="00585349"/>
    <w:rsid w:val="005862A7"/>
    <w:rsid w:val="005876EB"/>
    <w:rsid w:val="00592313"/>
    <w:rsid w:val="005927AF"/>
    <w:rsid w:val="0059296C"/>
    <w:rsid w:val="00592CC7"/>
    <w:rsid w:val="0059552B"/>
    <w:rsid w:val="00595E80"/>
    <w:rsid w:val="0059618F"/>
    <w:rsid w:val="0059650E"/>
    <w:rsid w:val="00596953"/>
    <w:rsid w:val="00597508"/>
    <w:rsid w:val="005A6030"/>
    <w:rsid w:val="005A61D3"/>
    <w:rsid w:val="005B0BF5"/>
    <w:rsid w:val="005B0E03"/>
    <w:rsid w:val="005B2927"/>
    <w:rsid w:val="005B2A12"/>
    <w:rsid w:val="005B48BA"/>
    <w:rsid w:val="005B57AD"/>
    <w:rsid w:val="005B59D2"/>
    <w:rsid w:val="005B60A9"/>
    <w:rsid w:val="005B722E"/>
    <w:rsid w:val="005C02FE"/>
    <w:rsid w:val="005C1790"/>
    <w:rsid w:val="005C50AC"/>
    <w:rsid w:val="005C6406"/>
    <w:rsid w:val="005C70A4"/>
    <w:rsid w:val="005D0A04"/>
    <w:rsid w:val="005D3B1F"/>
    <w:rsid w:val="005D4DE5"/>
    <w:rsid w:val="005D601A"/>
    <w:rsid w:val="005D69D1"/>
    <w:rsid w:val="005D72DE"/>
    <w:rsid w:val="005E210D"/>
    <w:rsid w:val="005E2D9B"/>
    <w:rsid w:val="005E3560"/>
    <w:rsid w:val="005E37AC"/>
    <w:rsid w:val="005E5774"/>
    <w:rsid w:val="005F1783"/>
    <w:rsid w:val="005F2425"/>
    <w:rsid w:val="005F5EC7"/>
    <w:rsid w:val="005F6E86"/>
    <w:rsid w:val="005F70D1"/>
    <w:rsid w:val="005F7207"/>
    <w:rsid w:val="005F739A"/>
    <w:rsid w:val="005F7FCF"/>
    <w:rsid w:val="00604194"/>
    <w:rsid w:val="00606127"/>
    <w:rsid w:val="00607691"/>
    <w:rsid w:val="0061062C"/>
    <w:rsid w:val="00613183"/>
    <w:rsid w:val="006133F0"/>
    <w:rsid w:val="00614146"/>
    <w:rsid w:val="0061648A"/>
    <w:rsid w:val="00616888"/>
    <w:rsid w:val="006176BE"/>
    <w:rsid w:val="00620B4B"/>
    <w:rsid w:val="00620FFD"/>
    <w:rsid w:val="006212CB"/>
    <w:rsid w:val="00622B49"/>
    <w:rsid w:val="0062300B"/>
    <w:rsid w:val="006279F9"/>
    <w:rsid w:val="00630509"/>
    <w:rsid w:val="0063102F"/>
    <w:rsid w:val="006369EE"/>
    <w:rsid w:val="0064077E"/>
    <w:rsid w:val="00641C40"/>
    <w:rsid w:val="00645E96"/>
    <w:rsid w:val="0064638F"/>
    <w:rsid w:val="00646620"/>
    <w:rsid w:val="0064700E"/>
    <w:rsid w:val="00647747"/>
    <w:rsid w:val="00650183"/>
    <w:rsid w:val="006503E9"/>
    <w:rsid w:val="00650677"/>
    <w:rsid w:val="0065071D"/>
    <w:rsid w:val="00654D95"/>
    <w:rsid w:val="0065681C"/>
    <w:rsid w:val="0066069A"/>
    <w:rsid w:val="00660780"/>
    <w:rsid w:val="00662CA5"/>
    <w:rsid w:val="00663A2C"/>
    <w:rsid w:val="006661B0"/>
    <w:rsid w:val="00672143"/>
    <w:rsid w:val="00672422"/>
    <w:rsid w:val="006736A9"/>
    <w:rsid w:val="006737B4"/>
    <w:rsid w:val="00673BC7"/>
    <w:rsid w:val="00674220"/>
    <w:rsid w:val="00674975"/>
    <w:rsid w:val="00675738"/>
    <w:rsid w:val="00675D39"/>
    <w:rsid w:val="0068182B"/>
    <w:rsid w:val="006823A7"/>
    <w:rsid w:val="00682404"/>
    <w:rsid w:val="00682CB3"/>
    <w:rsid w:val="00682D2D"/>
    <w:rsid w:val="00683621"/>
    <w:rsid w:val="0068560B"/>
    <w:rsid w:val="00687E52"/>
    <w:rsid w:val="00691F7F"/>
    <w:rsid w:val="0069243C"/>
    <w:rsid w:val="00692A5F"/>
    <w:rsid w:val="00693C12"/>
    <w:rsid w:val="00694996"/>
    <w:rsid w:val="00695356"/>
    <w:rsid w:val="00695583"/>
    <w:rsid w:val="006965E7"/>
    <w:rsid w:val="00697272"/>
    <w:rsid w:val="006A0881"/>
    <w:rsid w:val="006A1277"/>
    <w:rsid w:val="006A2559"/>
    <w:rsid w:val="006A2602"/>
    <w:rsid w:val="006A2D41"/>
    <w:rsid w:val="006A2F4F"/>
    <w:rsid w:val="006A4648"/>
    <w:rsid w:val="006A4FAB"/>
    <w:rsid w:val="006A573B"/>
    <w:rsid w:val="006A67E1"/>
    <w:rsid w:val="006A79C7"/>
    <w:rsid w:val="006B0499"/>
    <w:rsid w:val="006B095A"/>
    <w:rsid w:val="006B7F66"/>
    <w:rsid w:val="006C06EC"/>
    <w:rsid w:val="006C13BC"/>
    <w:rsid w:val="006C2C2B"/>
    <w:rsid w:val="006C36FB"/>
    <w:rsid w:val="006C4D22"/>
    <w:rsid w:val="006C50FF"/>
    <w:rsid w:val="006C6BF0"/>
    <w:rsid w:val="006C6FE6"/>
    <w:rsid w:val="006C7D62"/>
    <w:rsid w:val="006D0839"/>
    <w:rsid w:val="006D0B23"/>
    <w:rsid w:val="006D1D35"/>
    <w:rsid w:val="006D1EB0"/>
    <w:rsid w:val="006D2494"/>
    <w:rsid w:val="006D2C4E"/>
    <w:rsid w:val="006D2ED6"/>
    <w:rsid w:val="006D5685"/>
    <w:rsid w:val="006E1987"/>
    <w:rsid w:val="006E23B2"/>
    <w:rsid w:val="006E5207"/>
    <w:rsid w:val="006E5FE7"/>
    <w:rsid w:val="006E732D"/>
    <w:rsid w:val="006E772A"/>
    <w:rsid w:val="006F009F"/>
    <w:rsid w:val="006F267A"/>
    <w:rsid w:val="006F4A04"/>
    <w:rsid w:val="006F59F6"/>
    <w:rsid w:val="006F5C70"/>
    <w:rsid w:val="006F6A20"/>
    <w:rsid w:val="007003AA"/>
    <w:rsid w:val="00700622"/>
    <w:rsid w:val="007032A6"/>
    <w:rsid w:val="00703C47"/>
    <w:rsid w:val="007041E3"/>
    <w:rsid w:val="007047B2"/>
    <w:rsid w:val="00704DE7"/>
    <w:rsid w:val="00706868"/>
    <w:rsid w:val="00707008"/>
    <w:rsid w:val="00707372"/>
    <w:rsid w:val="007078B8"/>
    <w:rsid w:val="00707911"/>
    <w:rsid w:val="00714646"/>
    <w:rsid w:val="00715E32"/>
    <w:rsid w:val="007162D1"/>
    <w:rsid w:val="00716463"/>
    <w:rsid w:val="0071706E"/>
    <w:rsid w:val="007216A9"/>
    <w:rsid w:val="00722354"/>
    <w:rsid w:val="00722FCB"/>
    <w:rsid w:val="00723690"/>
    <w:rsid w:val="00724AB3"/>
    <w:rsid w:val="007255D5"/>
    <w:rsid w:val="00727292"/>
    <w:rsid w:val="0072787B"/>
    <w:rsid w:val="00727D95"/>
    <w:rsid w:val="00731408"/>
    <w:rsid w:val="007353DE"/>
    <w:rsid w:val="0073568E"/>
    <w:rsid w:val="00735DC9"/>
    <w:rsid w:val="00737775"/>
    <w:rsid w:val="0073DF0C"/>
    <w:rsid w:val="00742976"/>
    <w:rsid w:val="00742F6A"/>
    <w:rsid w:val="007434B8"/>
    <w:rsid w:val="0074385D"/>
    <w:rsid w:val="00744693"/>
    <w:rsid w:val="007446E8"/>
    <w:rsid w:val="007455FF"/>
    <w:rsid w:val="007470B6"/>
    <w:rsid w:val="00751553"/>
    <w:rsid w:val="0075165E"/>
    <w:rsid w:val="00751E9E"/>
    <w:rsid w:val="0075269D"/>
    <w:rsid w:val="0075294C"/>
    <w:rsid w:val="007537FD"/>
    <w:rsid w:val="00753B78"/>
    <w:rsid w:val="00754E10"/>
    <w:rsid w:val="0075738A"/>
    <w:rsid w:val="00757F76"/>
    <w:rsid w:val="007629F0"/>
    <w:rsid w:val="00762A29"/>
    <w:rsid w:val="0076327D"/>
    <w:rsid w:val="00763907"/>
    <w:rsid w:val="007657F0"/>
    <w:rsid w:val="007661F6"/>
    <w:rsid w:val="00767745"/>
    <w:rsid w:val="00767BAC"/>
    <w:rsid w:val="007707FC"/>
    <w:rsid w:val="00770BE3"/>
    <w:rsid w:val="0077177A"/>
    <w:rsid w:val="00771F01"/>
    <w:rsid w:val="00772832"/>
    <w:rsid w:val="007728A8"/>
    <w:rsid w:val="007764DB"/>
    <w:rsid w:val="00776B8A"/>
    <w:rsid w:val="00780742"/>
    <w:rsid w:val="00781C91"/>
    <w:rsid w:val="007849A7"/>
    <w:rsid w:val="00785A76"/>
    <w:rsid w:val="007871B2"/>
    <w:rsid w:val="00787852"/>
    <w:rsid w:val="007902B7"/>
    <w:rsid w:val="007915BC"/>
    <w:rsid w:val="00791A8F"/>
    <w:rsid w:val="00792B22"/>
    <w:rsid w:val="00794DDD"/>
    <w:rsid w:val="00795230"/>
    <w:rsid w:val="007967FA"/>
    <w:rsid w:val="00797D93"/>
    <w:rsid w:val="00797E4B"/>
    <w:rsid w:val="00797E7A"/>
    <w:rsid w:val="007A06E9"/>
    <w:rsid w:val="007A0E3E"/>
    <w:rsid w:val="007A0EA6"/>
    <w:rsid w:val="007A288E"/>
    <w:rsid w:val="007A2D9E"/>
    <w:rsid w:val="007A336B"/>
    <w:rsid w:val="007A4598"/>
    <w:rsid w:val="007A4749"/>
    <w:rsid w:val="007A64DF"/>
    <w:rsid w:val="007A6C78"/>
    <w:rsid w:val="007B0381"/>
    <w:rsid w:val="007B0CFF"/>
    <w:rsid w:val="007B0F3D"/>
    <w:rsid w:val="007B148D"/>
    <w:rsid w:val="007B18C8"/>
    <w:rsid w:val="007B28DE"/>
    <w:rsid w:val="007B2F9F"/>
    <w:rsid w:val="007B36AA"/>
    <w:rsid w:val="007B4001"/>
    <w:rsid w:val="007B4367"/>
    <w:rsid w:val="007B5743"/>
    <w:rsid w:val="007B6EE9"/>
    <w:rsid w:val="007B7A5F"/>
    <w:rsid w:val="007BFF43"/>
    <w:rsid w:val="007C2EFE"/>
    <w:rsid w:val="007C36BE"/>
    <w:rsid w:val="007C6D9C"/>
    <w:rsid w:val="007C7974"/>
    <w:rsid w:val="007C7A8D"/>
    <w:rsid w:val="007D2248"/>
    <w:rsid w:val="007D53ED"/>
    <w:rsid w:val="007D5406"/>
    <w:rsid w:val="007D5AE6"/>
    <w:rsid w:val="007D6001"/>
    <w:rsid w:val="007D7BCB"/>
    <w:rsid w:val="007D7D59"/>
    <w:rsid w:val="007D7F44"/>
    <w:rsid w:val="007D7F94"/>
    <w:rsid w:val="007E0405"/>
    <w:rsid w:val="007E0E8A"/>
    <w:rsid w:val="007E1B76"/>
    <w:rsid w:val="007E219A"/>
    <w:rsid w:val="007E37BF"/>
    <w:rsid w:val="007E5DFE"/>
    <w:rsid w:val="007E5FD3"/>
    <w:rsid w:val="007E6593"/>
    <w:rsid w:val="007E7D45"/>
    <w:rsid w:val="007EC316"/>
    <w:rsid w:val="007F0C67"/>
    <w:rsid w:val="007F1101"/>
    <w:rsid w:val="007F2B2C"/>
    <w:rsid w:val="007F2CB1"/>
    <w:rsid w:val="007F3402"/>
    <w:rsid w:val="007F378D"/>
    <w:rsid w:val="007F59FE"/>
    <w:rsid w:val="007F6B15"/>
    <w:rsid w:val="007F7B38"/>
    <w:rsid w:val="00803D20"/>
    <w:rsid w:val="008045F8"/>
    <w:rsid w:val="008112A0"/>
    <w:rsid w:val="008114D4"/>
    <w:rsid w:val="00814117"/>
    <w:rsid w:val="0081439A"/>
    <w:rsid w:val="00816054"/>
    <w:rsid w:val="0081696D"/>
    <w:rsid w:val="00816A03"/>
    <w:rsid w:val="00816E01"/>
    <w:rsid w:val="008173D0"/>
    <w:rsid w:val="00820E8C"/>
    <w:rsid w:val="008221CF"/>
    <w:rsid w:val="00823235"/>
    <w:rsid w:val="00824112"/>
    <w:rsid w:val="008249F1"/>
    <w:rsid w:val="00824AF2"/>
    <w:rsid w:val="00824FB1"/>
    <w:rsid w:val="008258E0"/>
    <w:rsid w:val="00825EEF"/>
    <w:rsid w:val="00826290"/>
    <w:rsid w:val="00826686"/>
    <w:rsid w:val="0082750D"/>
    <w:rsid w:val="008279B4"/>
    <w:rsid w:val="00831481"/>
    <w:rsid w:val="0083276F"/>
    <w:rsid w:val="00833832"/>
    <w:rsid w:val="00835314"/>
    <w:rsid w:val="00835563"/>
    <w:rsid w:val="0083569C"/>
    <w:rsid w:val="00835BA8"/>
    <w:rsid w:val="00836511"/>
    <w:rsid w:val="00836B02"/>
    <w:rsid w:val="00836EC6"/>
    <w:rsid w:val="0083741E"/>
    <w:rsid w:val="00837985"/>
    <w:rsid w:val="00837EAB"/>
    <w:rsid w:val="00840E3D"/>
    <w:rsid w:val="00841D8C"/>
    <w:rsid w:val="00842220"/>
    <w:rsid w:val="00842911"/>
    <w:rsid w:val="00842E79"/>
    <w:rsid w:val="00843678"/>
    <w:rsid w:val="00844111"/>
    <w:rsid w:val="00844F74"/>
    <w:rsid w:val="008450E6"/>
    <w:rsid w:val="00845BCE"/>
    <w:rsid w:val="0084624E"/>
    <w:rsid w:val="00846382"/>
    <w:rsid w:val="00846A07"/>
    <w:rsid w:val="00847343"/>
    <w:rsid w:val="00850F57"/>
    <w:rsid w:val="00851225"/>
    <w:rsid w:val="008536C2"/>
    <w:rsid w:val="008557A1"/>
    <w:rsid w:val="00856889"/>
    <w:rsid w:val="008600C7"/>
    <w:rsid w:val="00860145"/>
    <w:rsid w:val="008617D0"/>
    <w:rsid w:val="00861A60"/>
    <w:rsid w:val="00861F7B"/>
    <w:rsid w:val="00862357"/>
    <w:rsid w:val="00862D02"/>
    <w:rsid w:val="008637B9"/>
    <w:rsid w:val="00864194"/>
    <w:rsid w:val="0086509D"/>
    <w:rsid w:val="008650AD"/>
    <w:rsid w:val="008675A8"/>
    <w:rsid w:val="00870399"/>
    <w:rsid w:val="008711EC"/>
    <w:rsid w:val="008718FE"/>
    <w:rsid w:val="00872536"/>
    <w:rsid w:val="00872946"/>
    <w:rsid w:val="00872ECC"/>
    <w:rsid w:val="00873F6F"/>
    <w:rsid w:val="0087584F"/>
    <w:rsid w:val="00876BBA"/>
    <w:rsid w:val="00877ADF"/>
    <w:rsid w:val="008809B4"/>
    <w:rsid w:val="00880A35"/>
    <w:rsid w:val="00880D89"/>
    <w:rsid w:val="00880EFB"/>
    <w:rsid w:val="00882546"/>
    <w:rsid w:val="00882C98"/>
    <w:rsid w:val="0088383A"/>
    <w:rsid w:val="00883928"/>
    <w:rsid w:val="00883DDE"/>
    <w:rsid w:val="0088432A"/>
    <w:rsid w:val="008844C3"/>
    <w:rsid w:val="00884550"/>
    <w:rsid w:val="00884F3A"/>
    <w:rsid w:val="008851EB"/>
    <w:rsid w:val="00885FF8"/>
    <w:rsid w:val="00886085"/>
    <w:rsid w:val="00886FF1"/>
    <w:rsid w:val="00891D73"/>
    <w:rsid w:val="00892A44"/>
    <w:rsid w:val="008931C0"/>
    <w:rsid w:val="008961F1"/>
    <w:rsid w:val="00897FBF"/>
    <w:rsid w:val="008A2DE8"/>
    <w:rsid w:val="008A312D"/>
    <w:rsid w:val="008A3E09"/>
    <w:rsid w:val="008A3E57"/>
    <w:rsid w:val="008A58AB"/>
    <w:rsid w:val="008A6274"/>
    <w:rsid w:val="008A710A"/>
    <w:rsid w:val="008A77A7"/>
    <w:rsid w:val="008B1EC5"/>
    <w:rsid w:val="008B29A3"/>
    <w:rsid w:val="008B35D0"/>
    <w:rsid w:val="008B3F34"/>
    <w:rsid w:val="008B42DC"/>
    <w:rsid w:val="008C1D6D"/>
    <w:rsid w:val="008C23D5"/>
    <w:rsid w:val="008C2FD4"/>
    <w:rsid w:val="008C56B9"/>
    <w:rsid w:val="008C6FD0"/>
    <w:rsid w:val="008C7494"/>
    <w:rsid w:val="008D05E0"/>
    <w:rsid w:val="008D1716"/>
    <w:rsid w:val="008D2600"/>
    <w:rsid w:val="008D6018"/>
    <w:rsid w:val="008D7EA7"/>
    <w:rsid w:val="008E0549"/>
    <w:rsid w:val="008E0AC0"/>
    <w:rsid w:val="008E1B56"/>
    <w:rsid w:val="008E221A"/>
    <w:rsid w:val="008E3FFE"/>
    <w:rsid w:val="008E4C06"/>
    <w:rsid w:val="008E5C2D"/>
    <w:rsid w:val="008E5F6A"/>
    <w:rsid w:val="008E60BE"/>
    <w:rsid w:val="008E6B74"/>
    <w:rsid w:val="008E7D58"/>
    <w:rsid w:val="008F0CD5"/>
    <w:rsid w:val="008F0FAF"/>
    <w:rsid w:val="008F15BC"/>
    <w:rsid w:val="008F1E32"/>
    <w:rsid w:val="008F2353"/>
    <w:rsid w:val="008F3DBC"/>
    <w:rsid w:val="008F43B7"/>
    <w:rsid w:val="008F46CD"/>
    <w:rsid w:val="008F5DFD"/>
    <w:rsid w:val="008F6480"/>
    <w:rsid w:val="008F6F89"/>
    <w:rsid w:val="008F7740"/>
    <w:rsid w:val="008F77F0"/>
    <w:rsid w:val="00900CA2"/>
    <w:rsid w:val="00901CD5"/>
    <w:rsid w:val="00903653"/>
    <w:rsid w:val="0090536F"/>
    <w:rsid w:val="009059B6"/>
    <w:rsid w:val="009061AC"/>
    <w:rsid w:val="00907D32"/>
    <w:rsid w:val="00910A52"/>
    <w:rsid w:val="00911479"/>
    <w:rsid w:val="00913CAC"/>
    <w:rsid w:val="0091484D"/>
    <w:rsid w:val="00917C03"/>
    <w:rsid w:val="00920CC3"/>
    <w:rsid w:val="00921445"/>
    <w:rsid w:val="00921EE4"/>
    <w:rsid w:val="00923841"/>
    <w:rsid w:val="00925E71"/>
    <w:rsid w:val="00927C00"/>
    <w:rsid w:val="009318BF"/>
    <w:rsid w:val="00932564"/>
    <w:rsid w:val="0093329F"/>
    <w:rsid w:val="009341EB"/>
    <w:rsid w:val="00934A02"/>
    <w:rsid w:val="00935E3F"/>
    <w:rsid w:val="00937043"/>
    <w:rsid w:val="00942938"/>
    <w:rsid w:val="009445D3"/>
    <w:rsid w:val="0094525F"/>
    <w:rsid w:val="00946C97"/>
    <w:rsid w:val="00946E75"/>
    <w:rsid w:val="0094930C"/>
    <w:rsid w:val="00951264"/>
    <w:rsid w:val="00952480"/>
    <w:rsid w:val="00953A7E"/>
    <w:rsid w:val="0095565F"/>
    <w:rsid w:val="009557A8"/>
    <w:rsid w:val="00955A8A"/>
    <w:rsid w:val="009562F2"/>
    <w:rsid w:val="0095695C"/>
    <w:rsid w:val="0095CC08"/>
    <w:rsid w:val="00961E00"/>
    <w:rsid w:val="009620A5"/>
    <w:rsid w:val="00963807"/>
    <w:rsid w:val="0096400D"/>
    <w:rsid w:val="00966600"/>
    <w:rsid w:val="009671D9"/>
    <w:rsid w:val="00967AE4"/>
    <w:rsid w:val="00971352"/>
    <w:rsid w:val="00973A1F"/>
    <w:rsid w:val="009742F9"/>
    <w:rsid w:val="0097470B"/>
    <w:rsid w:val="00974F6C"/>
    <w:rsid w:val="00975206"/>
    <w:rsid w:val="009754C3"/>
    <w:rsid w:val="00975953"/>
    <w:rsid w:val="00975E5B"/>
    <w:rsid w:val="009767CC"/>
    <w:rsid w:val="009775DC"/>
    <w:rsid w:val="00977B89"/>
    <w:rsid w:val="00977C8F"/>
    <w:rsid w:val="00977F94"/>
    <w:rsid w:val="009805C4"/>
    <w:rsid w:val="00980B6E"/>
    <w:rsid w:val="009821A1"/>
    <w:rsid w:val="009863E9"/>
    <w:rsid w:val="009902BA"/>
    <w:rsid w:val="00992E20"/>
    <w:rsid w:val="009936FC"/>
    <w:rsid w:val="00993863"/>
    <w:rsid w:val="00993925"/>
    <w:rsid w:val="00993977"/>
    <w:rsid w:val="00996051"/>
    <w:rsid w:val="00997F75"/>
    <w:rsid w:val="009A05D1"/>
    <w:rsid w:val="009A28AC"/>
    <w:rsid w:val="009A3A5B"/>
    <w:rsid w:val="009A3F2A"/>
    <w:rsid w:val="009A6007"/>
    <w:rsid w:val="009A7BBD"/>
    <w:rsid w:val="009B2AAC"/>
    <w:rsid w:val="009B3521"/>
    <w:rsid w:val="009B3AA4"/>
    <w:rsid w:val="009B4DC5"/>
    <w:rsid w:val="009B541C"/>
    <w:rsid w:val="009B624F"/>
    <w:rsid w:val="009B6B4D"/>
    <w:rsid w:val="009B7DE9"/>
    <w:rsid w:val="009C033B"/>
    <w:rsid w:val="009C1104"/>
    <w:rsid w:val="009C118A"/>
    <w:rsid w:val="009C20F6"/>
    <w:rsid w:val="009C32CE"/>
    <w:rsid w:val="009C4460"/>
    <w:rsid w:val="009C44EA"/>
    <w:rsid w:val="009C4D78"/>
    <w:rsid w:val="009C58B6"/>
    <w:rsid w:val="009CE5A9"/>
    <w:rsid w:val="009D1B43"/>
    <w:rsid w:val="009D1DF8"/>
    <w:rsid w:val="009D1FA5"/>
    <w:rsid w:val="009D2FF6"/>
    <w:rsid w:val="009D4A12"/>
    <w:rsid w:val="009D5D5E"/>
    <w:rsid w:val="009D7192"/>
    <w:rsid w:val="009E0060"/>
    <w:rsid w:val="009E063B"/>
    <w:rsid w:val="009E0E38"/>
    <w:rsid w:val="009E1A35"/>
    <w:rsid w:val="009E1D37"/>
    <w:rsid w:val="009E207A"/>
    <w:rsid w:val="009E418D"/>
    <w:rsid w:val="009E4A1F"/>
    <w:rsid w:val="009E4BFA"/>
    <w:rsid w:val="009E615E"/>
    <w:rsid w:val="009E63F7"/>
    <w:rsid w:val="009F09AA"/>
    <w:rsid w:val="009F235E"/>
    <w:rsid w:val="009F26EF"/>
    <w:rsid w:val="009F2C16"/>
    <w:rsid w:val="009F2C1B"/>
    <w:rsid w:val="009F335C"/>
    <w:rsid w:val="009F5750"/>
    <w:rsid w:val="009F5F05"/>
    <w:rsid w:val="009F71BA"/>
    <w:rsid w:val="009FDE33"/>
    <w:rsid w:val="00A002B5"/>
    <w:rsid w:val="00A003A3"/>
    <w:rsid w:val="00A0070D"/>
    <w:rsid w:val="00A0260C"/>
    <w:rsid w:val="00A041B5"/>
    <w:rsid w:val="00A04F8C"/>
    <w:rsid w:val="00A05158"/>
    <w:rsid w:val="00A07906"/>
    <w:rsid w:val="00A07C01"/>
    <w:rsid w:val="00A120B9"/>
    <w:rsid w:val="00A12248"/>
    <w:rsid w:val="00A1251E"/>
    <w:rsid w:val="00A13BF5"/>
    <w:rsid w:val="00A14837"/>
    <w:rsid w:val="00A15072"/>
    <w:rsid w:val="00A225E3"/>
    <w:rsid w:val="00A23A26"/>
    <w:rsid w:val="00A24A8F"/>
    <w:rsid w:val="00A25708"/>
    <w:rsid w:val="00A25BF0"/>
    <w:rsid w:val="00A26D42"/>
    <w:rsid w:val="00A3026E"/>
    <w:rsid w:val="00A30351"/>
    <w:rsid w:val="00A316C3"/>
    <w:rsid w:val="00A31BE5"/>
    <w:rsid w:val="00A334DC"/>
    <w:rsid w:val="00A33818"/>
    <w:rsid w:val="00A33E2F"/>
    <w:rsid w:val="00A34886"/>
    <w:rsid w:val="00A3570F"/>
    <w:rsid w:val="00A37678"/>
    <w:rsid w:val="00A3D9BC"/>
    <w:rsid w:val="00A406AA"/>
    <w:rsid w:val="00A417F8"/>
    <w:rsid w:val="00A42B14"/>
    <w:rsid w:val="00A43A47"/>
    <w:rsid w:val="00A4576A"/>
    <w:rsid w:val="00A45AD0"/>
    <w:rsid w:val="00A45EE9"/>
    <w:rsid w:val="00A4C9C2"/>
    <w:rsid w:val="00A52843"/>
    <w:rsid w:val="00A53C14"/>
    <w:rsid w:val="00A54386"/>
    <w:rsid w:val="00A5700F"/>
    <w:rsid w:val="00A572B9"/>
    <w:rsid w:val="00A6074C"/>
    <w:rsid w:val="00A60971"/>
    <w:rsid w:val="00A61410"/>
    <w:rsid w:val="00A617CB"/>
    <w:rsid w:val="00A6198A"/>
    <w:rsid w:val="00A624B7"/>
    <w:rsid w:val="00A64A8E"/>
    <w:rsid w:val="00A64D61"/>
    <w:rsid w:val="00A65108"/>
    <w:rsid w:val="00A66507"/>
    <w:rsid w:val="00A676EB"/>
    <w:rsid w:val="00A7067F"/>
    <w:rsid w:val="00A707A7"/>
    <w:rsid w:val="00A718FD"/>
    <w:rsid w:val="00A71F36"/>
    <w:rsid w:val="00A72341"/>
    <w:rsid w:val="00A7327C"/>
    <w:rsid w:val="00A7488A"/>
    <w:rsid w:val="00A750ED"/>
    <w:rsid w:val="00A776ED"/>
    <w:rsid w:val="00A80E50"/>
    <w:rsid w:val="00A8137F"/>
    <w:rsid w:val="00A83365"/>
    <w:rsid w:val="00A8343B"/>
    <w:rsid w:val="00A83663"/>
    <w:rsid w:val="00A83B0F"/>
    <w:rsid w:val="00A84216"/>
    <w:rsid w:val="00A90BFA"/>
    <w:rsid w:val="00A92268"/>
    <w:rsid w:val="00A92BF3"/>
    <w:rsid w:val="00A934D6"/>
    <w:rsid w:val="00A943C8"/>
    <w:rsid w:val="00A950A4"/>
    <w:rsid w:val="00A9520D"/>
    <w:rsid w:val="00A971AB"/>
    <w:rsid w:val="00A9747D"/>
    <w:rsid w:val="00AA00A6"/>
    <w:rsid w:val="00AA1537"/>
    <w:rsid w:val="00AA1F70"/>
    <w:rsid w:val="00AA2280"/>
    <w:rsid w:val="00AA2B1B"/>
    <w:rsid w:val="00AA2EFA"/>
    <w:rsid w:val="00AA4046"/>
    <w:rsid w:val="00AA6BA8"/>
    <w:rsid w:val="00AA7F5A"/>
    <w:rsid w:val="00AB0F3E"/>
    <w:rsid w:val="00AB1703"/>
    <w:rsid w:val="00AB2340"/>
    <w:rsid w:val="00AB2B93"/>
    <w:rsid w:val="00AB3357"/>
    <w:rsid w:val="00AB356F"/>
    <w:rsid w:val="00AB3947"/>
    <w:rsid w:val="00AB40DA"/>
    <w:rsid w:val="00AB490C"/>
    <w:rsid w:val="00AB52DF"/>
    <w:rsid w:val="00AB5651"/>
    <w:rsid w:val="00AB5FE4"/>
    <w:rsid w:val="00AB659D"/>
    <w:rsid w:val="00AC229F"/>
    <w:rsid w:val="00AC4E75"/>
    <w:rsid w:val="00AC6680"/>
    <w:rsid w:val="00AC6E7F"/>
    <w:rsid w:val="00AD0FEF"/>
    <w:rsid w:val="00AD2677"/>
    <w:rsid w:val="00AD4B46"/>
    <w:rsid w:val="00AD5811"/>
    <w:rsid w:val="00AD7291"/>
    <w:rsid w:val="00AD7671"/>
    <w:rsid w:val="00AE03D9"/>
    <w:rsid w:val="00AE106D"/>
    <w:rsid w:val="00AE256D"/>
    <w:rsid w:val="00AE2991"/>
    <w:rsid w:val="00AE453E"/>
    <w:rsid w:val="00AE53E8"/>
    <w:rsid w:val="00AE6FE4"/>
    <w:rsid w:val="00AE754F"/>
    <w:rsid w:val="00AF18CF"/>
    <w:rsid w:val="00AF2059"/>
    <w:rsid w:val="00AF299F"/>
    <w:rsid w:val="00AF3D84"/>
    <w:rsid w:val="00AF4161"/>
    <w:rsid w:val="00AF580B"/>
    <w:rsid w:val="00AF775E"/>
    <w:rsid w:val="00AF7D2C"/>
    <w:rsid w:val="00B007C8"/>
    <w:rsid w:val="00B035EE"/>
    <w:rsid w:val="00B043D1"/>
    <w:rsid w:val="00B04601"/>
    <w:rsid w:val="00B11465"/>
    <w:rsid w:val="00B11D57"/>
    <w:rsid w:val="00B14410"/>
    <w:rsid w:val="00B15E61"/>
    <w:rsid w:val="00B15F96"/>
    <w:rsid w:val="00B16865"/>
    <w:rsid w:val="00B17334"/>
    <w:rsid w:val="00B21916"/>
    <w:rsid w:val="00B2265D"/>
    <w:rsid w:val="00B232F3"/>
    <w:rsid w:val="00B23502"/>
    <w:rsid w:val="00B24F35"/>
    <w:rsid w:val="00B26959"/>
    <w:rsid w:val="00B28B93"/>
    <w:rsid w:val="00B30942"/>
    <w:rsid w:val="00B320F0"/>
    <w:rsid w:val="00B32C88"/>
    <w:rsid w:val="00B32E85"/>
    <w:rsid w:val="00B343C3"/>
    <w:rsid w:val="00B34747"/>
    <w:rsid w:val="00B35A58"/>
    <w:rsid w:val="00B37600"/>
    <w:rsid w:val="00B3FA7F"/>
    <w:rsid w:val="00B4215C"/>
    <w:rsid w:val="00B42E49"/>
    <w:rsid w:val="00B431DB"/>
    <w:rsid w:val="00B43F5E"/>
    <w:rsid w:val="00B45991"/>
    <w:rsid w:val="00B50903"/>
    <w:rsid w:val="00B51649"/>
    <w:rsid w:val="00B526BD"/>
    <w:rsid w:val="00B537C4"/>
    <w:rsid w:val="00B54054"/>
    <w:rsid w:val="00B5458A"/>
    <w:rsid w:val="00B5F625"/>
    <w:rsid w:val="00B601C8"/>
    <w:rsid w:val="00B62FFE"/>
    <w:rsid w:val="00B6338A"/>
    <w:rsid w:val="00B63B6A"/>
    <w:rsid w:val="00B63BE9"/>
    <w:rsid w:val="00B641A9"/>
    <w:rsid w:val="00B65013"/>
    <w:rsid w:val="00B70628"/>
    <w:rsid w:val="00B70828"/>
    <w:rsid w:val="00B7123A"/>
    <w:rsid w:val="00B74043"/>
    <w:rsid w:val="00B7435C"/>
    <w:rsid w:val="00B74516"/>
    <w:rsid w:val="00B75A87"/>
    <w:rsid w:val="00B76131"/>
    <w:rsid w:val="00B76F38"/>
    <w:rsid w:val="00B8085D"/>
    <w:rsid w:val="00B81EFF"/>
    <w:rsid w:val="00B8323D"/>
    <w:rsid w:val="00B836BB"/>
    <w:rsid w:val="00B83C81"/>
    <w:rsid w:val="00B84122"/>
    <w:rsid w:val="00B84D54"/>
    <w:rsid w:val="00B862B0"/>
    <w:rsid w:val="00B86CE6"/>
    <w:rsid w:val="00B87E09"/>
    <w:rsid w:val="00B90BD2"/>
    <w:rsid w:val="00B91686"/>
    <w:rsid w:val="00B91A53"/>
    <w:rsid w:val="00B928DC"/>
    <w:rsid w:val="00B95C24"/>
    <w:rsid w:val="00B963AB"/>
    <w:rsid w:val="00B9772E"/>
    <w:rsid w:val="00BA0B78"/>
    <w:rsid w:val="00BA1036"/>
    <w:rsid w:val="00BA111F"/>
    <w:rsid w:val="00BA2B7C"/>
    <w:rsid w:val="00BA2F61"/>
    <w:rsid w:val="00BB142A"/>
    <w:rsid w:val="00BB1C80"/>
    <w:rsid w:val="00BB25AA"/>
    <w:rsid w:val="00BB3275"/>
    <w:rsid w:val="00BB34B9"/>
    <w:rsid w:val="00BB35C2"/>
    <w:rsid w:val="00BB3B86"/>
    <w:rsid w:val="00BB48D6"/>
    <w:rsid w:val="00BB53A8"/>
    <w:rsid w:val="00BB553B"/>
    <w:rsid w:val="00BC28A1"/>
    <w:rsid w:val="00BC28D7"/>
    <w:rsid w:val="00BC2BE3"/>
    <w:rsid w:val="00BC2F42"/>
    <w:rsid w:val="00BC376C"/>
    <w:rsid w:val="00BC41E9"/>
    <w:rsid w:val="00BC4F51"/>
    <w:rsid w:val="00BC509C"/>
    <w:rsid w:val="00BC599F"/>
    <w:rsid w:val="00BC5CDF"/>
    <w:rsid w:val="00BC6321"/>
    <w:rsid w:val="00BC7817"/>
    <w:rsid w:val="00BC7ED0"/>
    <w:rsid w:val="00BD241F"/>
    <w:rsid w:val="00BD293F"/>
    <w:rsid w:val="00BD3819"/>
    <w:rsid w:val="00BD3E82"/>
    <w:rsid w:val="00BD642D"/>
    <w:rsid w:val="00BD6988"/>
    <w:rsid w:val="00BD78F1"/>
    <w:rsid w:val="00BD7A64"/>
    <w:rsid w:val="00BDDF1E"/>
    <w:rsid w:val="00BE01D4"/>
    <w:rsid w:val="00BE0208"/>
    <w:rsid w:val="00BE1A77"/>
    <w:rsid w:val="00BE4742"/>
    <w:rsid w:val="00BE582F"/>
    <w:rsid w:val="00BE7383"/>
    <w:rsid w:val="00BE754D"/>
    <w:rsid w:val="00BF00BE"/>
    <w:rsid w:val="00BF1DB9"/>
    <w:rsid w:val="00BF2749"/>
    <w:rsid w:val="00BF6D10"/>
    <w:rsid w:val="00BF6E79"/>
    <w:rsid w:val="00BF7415"/>
    <w:rsid w:val="00BF7540"/>
    <w:rsid w:val="00BF7CDC"/>
    <w:rsid w:val="00C01C21"/>
    <w:rsid w:val="00C03641"/>
    <w:rsid w:val="00C03F6C"/>
    <w:rsid w:val="00C0478C"/>
    <w:rsid w:val="00C0627C"/>
    <w:rsid w:val="00C06AFC"/>
    <w:rsid w:val="00C1030E"/>
    <w:rsid w:val="00C12108"/>
    <w:rsid w:val="00C121D9"/>
    <w:rsid w:val="00C13453"/>
    <w:rsid w:val="00C1358C"/>
    <w:rsid w:val="00C143F5"/>
    <w:rsid w:val="00C17B53"/>
    <w:rsid w:val="00C220F9"/>
    <w:rsid w:val="00C230EF"/>
    <w:rsid w:val="00C24915"/>
    <w:rsid w:val="00C2541C"/>
    <w:rsid w:val="00C26353"/>
    <w:rsid w:val="00C2640C"/>
    <w:rsid w:val="00C26862"/>
    <w:rsid w:val="00C30458"/>
    <w:rsid w:val="00C31DA6"/>
    <w:rsid w:val="00C33260"/>
    <w:rsid w:val="00C33EED"/>
    <w:rsid w:val="00C34B4A"/>
    <w:rsid w:val="00C35C71"/>
    <w:rsid w:val="00C35F1F"/>
    <w:rsid w:val="00C41720"/>
    <w:rsid w:val="00C4598F"/>
    <w:rsid w:val="00C50360"/>
    <w:rsid w:val="00C50CE8"/>
    <w:rsid w:val="00C534AE"/>
    <w:rsid w:val="00C54E12"/>
    <w:rsid w:val="00C55468"/>
    <w:rsid w:val="00C5776C"/>
    <w:rsid w:val="00C622C3"/>
    <w:rsid w:val="00C63BD5"/>
    <w:rsid w:val="00C64A64"/>
    <w:rsid w:val="00C64C5D"/>
    <w:rsid w:val="00C66289"/>
    <w:rsid w:val="00C66E2F"/>
    <w:rsid w:val="00C6720F"/>
    <w:rsid w:val="00C70A25"/>
    <w:rsid w:val="00C71AB4"/>
    <w:rsid w:val="00C7258E"/>
    <w:rsid w:val="00C732F6"/>
    <w:rsid w:val="00C73344"/>
    <w:rsid w:val="00C73EC0"/>
    <w:rsid w:val="00C73F50"/>
    <w:rsid w:val="00C743A0"/>
    <w:rsid w:val="00C74906"/>
    <w:rsid w:val="00C7773A"/>
    <w:rsid w:val="00C801C4"/>
    <w:rsid w:val="00C81B40"/>
    <w:rsid w:val="00C81FEA"/>
    <w:rsid w:val="00C82C0D"/>
    <w:rsid w:val="00C83969"/>
    <w:rsid w:val="00C845DD"/>
    <w:rsid w:val="00C86C95"/>
    <w:rsid w:val="00C86F4A"/>
    <w:rsid w:val="00C9169D"/>
    <w:rsid w:val="00C922DD"/>
    <w:rsid w:val="00C92EB5"/>
    <w:rsid w:val="00C93C06"/>
    <w:rsid w:val="00C96C73"/>
    <w:rsid w:val="00CA05EB"/>
    <w:rsid w:val="00CA218E"/>
    <w:rsid w:val="00CA3446"/>
    <w:rsid w:val="00CA3515"/>
    <w:rsid w:val="00CA35CD"/>
    <w:rsid w:val="00CA3A05"/>
    <w:rsid w:val="00CA5E3D"/>
    <w:rsid w:val="00CA6381"/>
    <w:rsid w:val="00CA7469"/>
    <w:rsid w:val="00CB1198"/>
    <w:rsid w:val="00CB14E9"/>
    <w:rsid w:val="00CB1CFB"/>
    <w:rsid w:val="00CB4D74"/>
    <w:rsid w:val="00CB56BA"/>
    <w:rsid w:val="00CB6D90"/>
    <w:rsid w:val="00CB72C3"/>
    <w:rsid w:val="00CB7B2F"/>
    <w:rsid w:val="00CC29A1"/>
    <w:rsid w:val="00CC3013"/>
    <w:rsid w:val="00CC45E4"/>
    <w:rsid w:val="00CC4648"/>
    <w:rsid w:val="00CC5AD8"/>
    <w:rsid w:val="00CC727E"/>
    <w:rsid w:val="00CC7E64"/>
    <w:rsid w:val="00CD019F"/>
    <w:rsid w:val="00CD27C5"/>
    <w:rsid w:val="00CD73EB"/>
    <w:rsid w:val="00CE07DA"/>
    <w:rsid w:val="00CE2B28"/>
    <w:rsid w:val="00CE2B74"/>
    <w:rsid w:val="00CE4169"/>
    <w:rsid w:val="00CE5911"/>
    <w:rsid w:val="00CE6C46"/>
    <w:rsid w:val="00CE7894"/>
    <w:rsid w:val="00CF06A1"/>
    <w:rsid w:val="00CF1467"/>
    <w:rsid w:val="00CF1EA7"/>
    <w:rsid w:val="00CF2CE0"/>
    <w:rsid w:val="00CF2D8B"/>
    <w:rsid w:val="00CF340A"/>
    <w:rsid w:val="00CF48D6"/>
    <w:rsid w:val="00CF57D6"/>
    <w:rsid w:val="00CF6C1B"/>
    <w:rsid w:val="00CF6FCE"/>
    <w:rsid w:val="00CF7F29"/>
    <w:rsid w:val="00D019D5"/>
    <w:rsid w:val="00D01F94"/>
    <w:rsid w:val="00D02CB6"/>
    <w:rsid w:val="00D03154"/>
    <w:rsid w:val="00D040FE"/>
    <w:rsid w:val="00D07986"/>
    <w:rsid w:val="00D0D566"/>
    <w:rsid w:val="00D10C87"/>
    <w:rsid w:val="00D11100"/>
    <w:rsid w:val="00D1444E"/>
    <w:rsid w:val="00D1473C"/>
    <w:rsid w:val="00D156C1"/>
    <w:rsid w:val="00D16628"/>
    <w:rsid w:val="00D168FD"/>
    <w:rsid w:val="00D16F64"/>
    <w:rsid w:val="00D170A9"/>
    <w:rsid w:val="00D2037C"/>
    <w:rsid w:val="00D2129E"/>
    <w:rsid w:val="00D21932"/>
    <w:rsid w:val="00D227D7"/>
    <w:rsid w:val="00D2472C"/>
    <w:rsid w:val="00D257B4"/>
    <w:rsid w:val="00D25FD0"/>
    <w:rsid w:val="00D279BA"/>
    <w:rsid w:val="00D31706"/>
    <w:rsid w:val="00D31BEF"/>
    <w:rsid w:val="00D32A88"/>
    <w:rsid w:val="00D33F44"/>
    <w:rsid w:val="00D346D0"/>
    <w:rsid w:val="00D34AAB"/>
    <w:rsid w:val="00D35EBC"/>
    <w:rsid w:val="00D404B5"/>
    <w:rsid w:val="00D414A4"/>
    <w:rsid w:val="00D435AC"/>
    <w:rsid w:val="00D444DC"/>
    <w:rsid w:val="00D447CB"/>
    <w:rsid w:val="00D44BA0"/>
    <w:rsid w:val="00D453E3"/>
    <w:rsid w:val="00D45A37"/>
    <w:rsid w:val="00D45C99"/>
    <w:rsid w:val="00D46B8E"/>
    <w:rsid w:val="00D46D10"/>
    <w:rsid w:val="00D47D16"/>
    <w:rsid w:val="00D505F4"/>
    <w:rsid w:val="00D50F37"/>
    <w:rsid w:val="00D51503"/>
    <w:rsid w:val="00D51CE1"/>
    <w:rsid w:val="00D52999"/>
    <w:rsid w:val="00D5398B"/>
    <w:rsid w:val="00D53B48"/>
    <w:rsid w:val="00D54350"/>
    <w:rsid w:val="00D562F2"/>
    <w:rsid w:val="00D56F78"/>
    <w:rsid w:val="00D6024D"/>
    <w:rsid w:val="00D61B93"/>
    <w:rsid w:val="00D62D46"/>
    <w:rsid w:val="00D63261"/>
    <w:rsid w:val="00D63578"/>
    <w:rsid w:val="00D64441"/>
    <w:rsid w:val="00D6470A"/>
    <w:rsid w:val="00D66564"/>
    <w:rsid w:val="00D668D0"/>
    <w:rsid w:val="00D67E4A"/>
    <w:rsid w:val="00D700B6"/>
    <w:rsid w:val="00D707EF"/>
    <w:rsid w:val="00D7100C"/>
    <w:rsid w:val="00D73D62"/>
    <w:rsid w:val="00D75C37"/>
    <w:rsid w:val="00D763FD"/>
    <w:rsid w:val="00D76473"/>
    <w:rsid w:val="00D76AF4"/>
    <w:rsid w:val="00D76EC1"/>
    <w:rsid w:val="00D819E9"/>
    <w:rsid w:val="00D8221C"/>
    <w:rsid w:val="00D83AE5"/>
    <w:rsid w:val="00D8448D"/>
    <w:rsid w:val="00D866AF"/>
    <w:rsid w:val="00D86FAB"/>
    <w:rsid w:val="00D905DB"/>
    <w:rsid w:val="00D90AD1"/>
    <w:rsid w:val="00D92949"/>
    <w:rsid w:val="00D93B26"/>
    <w:rsid w:val="00D941F7"/>
    <w:rsid w:val="00D94767"/>
    <w:rsid w:val="00D955EB"/>
    <w:rsid w:val="00D95AAB"/>
    <w:rsid w:val="00D97060"/>
    <w:rsid w:val="00D9779B"/>
    <w:rsid w:val="00D99407"/>
    <w:rsid w:val="00DA2CE8"/>
    <w:rsid w:val="00DA3936"/>
    <w:rsid w:val="00DA4DDF"/>
    <w:rsid w:val="00DA595E"/>
    <w:rsid w:val="00DA5DE6"/>
    <w:rsid w:val="00DA60E0"/>
    <w:rsid w:val="00DB0804"/>
    <w:rsid w:val="00DB0CE4"/>
    <w:rsid w:val="00DB2BD6"/>
    <w:rsid w:val="00DB2FC4"/>
    <w:rsid w:val="00DB6477"/>
    <w:rsid w:val="00DB6E07"/>
    <w:rsid w:val="00DB714C"/>
    <w:rsid w:val="00DC08E1"/>
    <w:rsid w:val="00DC1F8E"/>
    <w:rsid w:val="00DC34E0"/>
    <w:rsid w:val="00DC382A"/>
    <w:rsid w:val="00DD017C"/>
    <w:rsid w:val="00DD3A18"/>
    <w:rsid w:val="00DD669E"/>
    <w:rsid w:val="00DE04BB"/>
    <w:rsid w:val="00DE1923"/>
    <w:rsid w:val="00DE2B33"/>
    <w:rsid w:val="00DE638B"/>
    <w:rsid w:val="00DE65E7"/>
    <w:rsid w:val="00DE72EE"/>
    <w:rsid w:val="00DE75DE"/>
    <w:rsid w:val="00DF08C0"/>
    <w:rsid w:val="00DF1527"/>
    <w:rsid w:val="00DF37E5"/>
    <w:rsid w:val="00DF4311"/>
    <w:rsid w:val="00DF49BB"/>
    <w:rsid w:val="00DF705F"/>
    <w:rsid w:val="00E01DAB"/>
    <w:rsid w:val="00E022C2"/>
    <w:rsid w:val="00E034FE"/>
    <w:rsid w:val="00E03E38"/>
    <w:rsid w:val="00E041E5"/>
    <w:rsid w:val="00E04888"/>
    <w:rsid w:val="00E048FF"/>
    <w:rsid w:val="00E055B3"/>
    <w:rsid w:val="00E056B2"/>
    <w:rsid w:val="00E05838"/>
    <w:rsid w:val="00E05AA7"/>
    <w:rsid w:val="00E07473"/>
    <w:rsid w:val="00E0763B"/>
    <w:rsid w:val="00E10302"/>
    <w:rsid w:val="00E10B4F"/>
    <w:rsid w:val="00E11259"/>
    <w:rsid w:val="00E166A5"/>
    <w:rsid w:val="00E1767C"/>
    <w:rsid w:val="00E17EC5"/>
    <w:rsid w:val="00E206FD"/>
    <w:rsid w:val="00E208AE"/>
    <w:rsid w:val="00E20C58"/>
    <w:rsid w:val="00E23EB1"/>
    <w:rsid w:val="00E246EB"/>
    <w:rsid w:val="00E265FF"/>
    <w:rsid w:val="00E26BFD"/>
    <w:rsid w:val="00E27E90"/>
    <w:rsid w:val="00E30322"/>
    <w:rsid w:val="00E30BE7"/>
    <w:rsid w:val="00E315AE"/>
    <w:rsid w:val="00E3189F"/>
    <w:rsid w:val="00E3318D"/>
    <w:rsid w:val="00E33D02"/>
    <w:rsid w:val="00E34F2C"/>
    <w:rsid w:val="00E35D79"/>
    <w:rsid w:val="00E36872"/>
    <w:rsid w:val="00E36A7B"/>
    <w:rsid w:val="00E36BBA"/>
    <w:rsid w:val="00E37183"/>
    <w:rsid w:val="00E41B53"/>
    <w:rsid w:val="00E42D33"/>
    <w:rsid w:val="00E44CCC"/>
    <w:rsid w:val="00E45B94"/>
    <w:rsid w:val="00E4641E"/>
    <w:rsid w:val="00E465A9"/>
    <w:rsid w:val="00E47952"/>
    <w:rsid w:val="00E47CCA"/>
    <w:rsid w:val="00E500A7"/>
    <w:rsid w:val="00E5194A"/>
    <w:rsid w:val="00E519AE"/>
    <w:rsid w:val="00E51E7E"/>
    <w:rsid w:val="00E52440"/>
    <w:rsid w:val="00E54D4F"/>
    <w:rsid w:val="00E54F3B"/>
    <w:rsid w:val="00E57AF7"/>
    <w:rsid w:val="00E6015F"/>
    <w:rsid w:val="00E60D89"/>
    <w:rsid w:val="00E6136B"/>
    <w:rsid w:val="00E61497"/>
    <w:rsid w:val="00E6241B"/>
    <w:rsid w:val="00E64FCC"/>
    <w:rsid w:val="00E67C44"/>
    <w:rsid w:val="00E67D68"/>
    <w:rsid w:val="00E703B6"/>
    <w:rsid w:val="00E72200"/>
    <w:rsid w:val="00E72B1B"/>
    <w:rsid w:val="00E7319F"/>
    <w:rsid w:val="00E73DBE"/>
    <w:rsid w:val="00E74009"/>
    <w:rsid w:val="00E74747"/>
    <w:rsid w:val="00E75D47"/>
    <w:rsid w:val="00E766F5"/>
    <w:rsid w:val="00E76A60"/>
    <w:rsid w:val="00E81C24"/>
    <w:rsid w:val="00E82948"/>
    <w:rsid w:val="00E82A56"/>
    <w:rsid w:val="00E83CB3"/>
    <w:rsid w:val="00E8437D"/>
    <w:rsid w:val="00E851DD"/>
    <w:rsid w:val="00E855A0"/>
    <w:rsid w:val="00E85EDB"/>
    <w:rsid w:val="00E86CC5"/>
    <w:rsid w:val="00E90218"/>
    <w:rsid w:val="00E913BB"/>
    <w:rsid w:val="00E918BD"/>
    <w:rsid w:val="00E92E92"/>
    <w:rsid w:val="00E93593"/>
    <w:rsid w:val="00E945DF"/>
    <w:rsid w:val="00E95F2E"/>
    <w:rsid w:val="00E96206"/>
    <w:rsid w:val="00E975CD"/>
    <w:rsid w:val="00E97843"/>
    <w:rsid w:val="00EA1508"/>
    <w:rsid w:val="00EA1541"/>
    <w:rsid w:val="00EA32E4"/>
    <w:rsid w:val="00EA38A4"/>
    <w:rsid w:val="00EA6292"/>
    <w:rsid w:val="00EA67C4"/>
    <w:rsid w:val="00EA7E36"/>
    <w:rsid w:val="00EB0898"/>
    <w:rsid w:val="00EB1C6D"/>
    <w:rsid w:val="00EB2734"/>
    <w:rsid w:val="00EB4C21"/>
    <w:rsid w:val="00EB5897"/>
    <w:rsid w:val="00EB627B"/>
    <w:rsid w:val="00EB681D"/>
    <w:rsid w:val="00EB6D94"/>
    <w:rsid w:val="00EC0785"/>
    <w:rsid w:val="00EC17D8"/>
    <w:rsid w:val="00EC1DBC"/>
    <w:rsid w:val="00EC3B2D"/>
    <w:rsid w:val="00EC4183"/>
    <w:rsid w:val="00EC5276"/>
    <w:rsid w:val="00EC6468"/>
    <w:rsid w:val="00EC6708"/>
    <w:rsid w:val="00EC6D1C"/>
    <w:rsid w:val="00ED0647"/>
    <w:rsid w:val="00ED1491"/>
    <w:rsid w:val="00ED15FB"/>
    <w:rsid w:val="00ED207C"/>
    <w:rsid w:val="00ED325A"/>
    <w:rsid w:val="00ED3F41"/>
    <w:rsid w:val="00ED49EA"/>
    <w:rsid w:val="00ED5615"/>
    <w:rsid w:val="00ED599B"/>
    <w:rsid w:val="00ED692E"/>
    <w:rsid w:val="00ED69AF"/>
    <w:rsid w:val="00EE14A6"/>
    <w:rsid w:val="00EE1847"/>
    <w:rsid w:val="00EE21EE"/>
    <w:rsid w:val="00EE240E"/>
    <w:rsid w:val="00EE56F7"/>
    <w:rsid w:val="00EE63CC"/>
    <w:rsid w:val="00EE688E"/>
    <w:rsid w:val="00EE6A6D"/>
    <w:rsid w:val="00EF03E2"/>
    <w:rsid w:val="00EF2487"/>
    <w:rsid w:val="00EF24AD"/>
    <w:rsid w:val="00EF4A6F"/>
    <w:rsid w:val="00EF5824"/>
    <w:rsid w:val="00EF76D5"/>
    <w:rsid w:val="00EF7F8B"/>
    <w:rsid w:val="00F00599"/>
    <w:rsid w:val="00F022F4"/>
    <w:rsid w:val="00F03814"/>
    <w:rsid w:val="00F063DE"/>
    <w:rsid w:val="00F0767F"/>
    <w:rsid w:val="00F07866"/>
    <w:rsid w:val="00F07A09"/>
    <w:rsid w:val="00F1390C"/>
    <w:rsid w:val="00F13BA0"/>
    <w:rsid w:val="00F14D98"/>
    <w:rsid w:val="00F14F70"/>
    <w:rsid w:val="00F20C5E"/>
    <w:rsid w:val="00F23FE7"/>
    <w:rsid w:val="00F248EA"/>
    <w:rsid w:val="00F24970"/>
    <w:rsid w:val="00F25A16"/>
    <w:rsid w:val="00F3093C"/>
    <w:rsid w:val="00F30AE1"/>
    <w:rsid w:val="00F31D71"/>
    <w:rsid w:val="00F35A9B"/>
    <w:rsid w:val="00F36A1D"/>
    <w:rsid w:val="00F36A7E"/>
    <w:rsid w:val="00F40A35"/>
    <w:rsid w:val="00F41013"/>
    <w:rsid w:val="00F44278"/>
    <w:rsid w:val="00F450B2"/>
    <w:rsid w:val="00F51B65"/>
    <w:rsid w:val="00F52AAB"/>
    <w:rsid w:val="00F52EB6"/>
    <w:rsid w:val="00F5390C"/>
    <w:rsid w:val="00F53E39"/>
    <w:rsid w:val="00F53E62"/>
    <w:rsid w:val="00F55260"/>
    <w:rsid w:val="00F567B4"/>
    <w:rsid w:val="00F612B8"/>
    <w:rsid w:val="00F62668"/>
    <w:rsid w:val="00F6316B"/>
    <w:rsid w:val="00F6482A"/>
    <w:rsid w:val="00F65138"/>
    <w:rsid w:val="00F65AE0"/>
    <w:rsid w:val="00F66626"/>
    <w:rsid w:val="00F66834"/>
    <w:rsid w:val="00F67DE9"/>
    <w:rsid w:val="00F700F9"/>
    <w:rsid w:val="00F71E41"/>
    <w:rsid w:val="00F73E59"/>
    <w:rsid w:val="00F740F3"/>
    <w:rsid w:val="00F74E38"/>
    <w:rsid w:val="00F76D6F"/>
    <w:rsid w:val="00F76DB4"/>
    <w:rsid w:val="00F7703C"/>
    <w:rsid w:val="00F778B0"/>
    <w:rsid w:val="00F7ECB1"/>
    <w:rsid w:val="00F8015C"/>
    <w:rsid w:val="00F8138F"/>
    <w:rsid w:val="00F82228"/>
    <w:rsid w:val="00F82A30"/>
    <w:rsid w:val="00F83BC2"/>
    <w:rsid w:val="00F87D16"/>
    <w:rsid w:val="00F90A69"/>
    <w:rsid w:val="00F90DEE"/>
    <w:rsid w:val="00F91E43"/>
    <w:rsid w:val="00F92EC1"/>
    <w:rsid w:val="00F9353A"/>
    <w:rsid w:val="00F94C47"/>
    <w:rsid w:val="00F95C75"/>
    <w:rsid w:val="00FA0421"/>
    <w:rsid w:val="00FA1EAF"/>
    <w:rsid w:val="00FA2CB7"/>
    <w:rsid w:val="00FA2ED0"/>
    <w:rsid w:val="00FA3389"/>
    <w:rsid w:val="00FA3476"/>
    <w:rsid w:val="00FA495F"/>
    <w:rsid w:val="00FA64D9"/>
    <w:rsid w:val="00FA704D"/>
    <w:rsid w:val="00FABA02"/>
    <w:rsid w:val="00FB0816"/>
    <w:rsid w:val="00FB0C10"/>
    <w:rsid w:val="00FB3C36"/>
    <w:rsid w:val="00FB4280"/>
    <w:rsid w:val="00FB4897"/>
    <w:rsid w:val="00FB67E5"/>
    <w:rsid w:val="00FB68C5"/>
    <w:rsid w:val="00FB7CCE"/>
    <w:rsid w:val="00FC01C8"/>
    <w:rsid w:val="00FC0370"/>
    <w:rsid w:val="00FC28DD"/>
    <w:rsid w:val="00FC5027"/>
    <w:rsid w:val="00FC50C7"/>
    <w:rsid w:val="00FC511D"/>
    <w:rsid w:val="00FC68BC"/>
    <w:rsid w:val="00FC75FD"/>
    <w:rsid w:val="00FD053C"/>
    <w:rsid w:val="00FD11D4"/>
    <w:rsid w:val="00FD1F35"/>
    <w:rsid w:val="00FD2048"/>
    <w:rsid w:val="00FD225D"/>
    <w:rsid w:val="00FD2384"/>
    <w:rsid w:val="00FD36BF"/>
    <w:rsid w:val="00FE11D8"/>
    <w:rsid w:val="00FE23D4"/>
    <w:rsid w:val="00FE36AF"/>
    <w:rsid w:val="00FE3DD9"/>
    <w:rsid w:val="00FE452E"/>
    <w:rsid w:val="00FE66AC"/>
    <w:rsid w:val="00FE7BF7"/>
    <w:rsid w:val="00FED168"/>
    <w:rsid w:val="00FF288B"/>
    <w:rsid w:val="00FF3C4D"/>
    <w:rsid w:val="00FF4275"/>
    <w:rsid w:val="00FF4A4C"/>
    <w:rsid w:val="00FF4C15"/>
    <w:rsid w:val="00FF4D9E"/>
    <w:rsid w:val="00FF5600"/>
    <w:rsid w:val="00FF660C"/>
    <w:rsid w:val="00FF71AA"/>
    <w:rsid w:val="00FF7D08"/>
    <w:rsid w:val="010012B7"/>
    <w:rsid w:val="010AF619"/>
    <w:rsid w:val="010DE8D0"/>
    <w:rsid w:val="01239E78"/>
    <w:rsid w:val="012E2E86"/>
    <w:rsid w:val="013D7F3D"/>
    <w:rsid w:val="01446767"/>
    <w:rsid w:val="014CD82B"/>
    <w:rsid w:val="014FBAAC"/>
    <w:rsid w:val="01571456"/>
    <w:rsid w:val="0158725A"/>
    <w:rsid w:val="015B6BB9"/>
    <w:rsid w:val="01652814"/>
    <w:rsid w:val="016645A2"/>
    <w:rsid w:val="01688981"/>
    <w:rsid w:val="0169D68B"/>
    <w:rsid w:val="017E74D8"/>
    <w:rsid w:val="017F3966"/>
    <w:rsid w:val="018309DE"/>
    <w:rsid w:val="01886CEF"/>
    <w:rsid w:val="018C1ACF"/>
    <w:rsid w:val="01988781"/>
    <w:rsid w:val="019E12D2"/>
    <w:rsid w:val="01AE7FB7"/>
    <w:rsid w:val="01B0EA97"/>
    <w:rsid w:val="01B2614F"/>
    <w:rsid w:val="01BB517E"/>
    <w:rsid w:val="01CF18D3"/>
    <w:rsid w:val="01D049EF"/>
    <w:rsid w:val="01D9F5FD"/>
    <w:rsid w:val="01DA0421"/>
    <w:rsid w:val="01E1AA45"/>
    <w:rsid w:val="01E36830"/>
    <w:rsid w:val="01E7BBF2"/>
    <w:rsid w:val="01EFE6AC"/>
    <w:rsid w:val="0205532F"/>
    <w:rsid w:val="020E3C85"/>
    <w:rsid w:val="02112F00"/>
    <w:rsid w:val="02126842"/>
    <w:rsid w:val="0212AD78"/>
    <w:rsid w:val="0212DC07"/>
    <w:rsid w:val="021BB4B5"/>
    <w:rsid w:val="0221AC62"/>
    <w:rsid w:val="0229D2D6"/>
    <w:rsid w:val="0237910E"/>
    <w:rsid w:val="0239AF26"/>
    <w:rsid w:val="023E6F46"/>
    <w:rsid w:val="023F9466"/>
    <w:rsid w:val="02481A0D"/>
    <w:rsid w:val="0250AF5C"/>
    <w:rsid w:val="0250B7D5"/>
    <w:rsid w:val="02530688"/>
    <w:rsid w:val="025D4DB5"/>
    <w:rsid w:val="025D5139"/>
    <w:rsid w:val="0268FE18"/>
    <w:rsid w:val="026F7CE4"/>
    <w:rsid w:val="0275DEF7"/>
    <w:rsid w:val="028794AC"/>
    <w:rsid w:val="0288BFE0"/>
    <w:rsid w:val="028B3E8A"/>
    <w:rsid w:val="028B454C"/>
    <w:rsid w:val="028C59FD"/>
    <w:rsid w:val="029651F1"/>
    <w:rsid w:val="029CB181"/>
    <w:rsid w:val="02A79212"/>
    <w:rsid w:val="02AA1624"/>
    <w:rsid w:val="02AE4340"/>
    <w:rsid w:val="02BDF3F5"/>
    <w:rsid w:val="02BEEFFE"/>
    <w:rsid w:val="02C64C48"/>
    <w:rsid w:val="02C756B9"/>
    <w:rsid w:val="02D0CB82"/>
    <w:rsid w:val="02E216F5"/>
    <w:rsid w:val="02E97B73"/>
    <w:rsid w:val="02EBDD36"/>
    <w:rsid w:val="02F1C308"/>
    <w:rsid w:val="0302CEF1"/>
    <w:rsid w:val="0309E34A"/>
    <w:rsid w:val="031D17A1"/>
    <w:rsid w:val="031F151A"/>
    <w:rsid w:val="03238072"/>
    <w:rsid w:val="0323C2AE"/>
    <w:rsid w:val="032E0EBA"/>
    <w:rsid w:val="03318995"/>
    <w:rsid w:val="0331B735"/>
    <w:rsid w:val="0334A8A8"/>
    <w:rsid w:val="03377374"/>
    <w:rsid w:val="033A0737"/>
    <w:rsid w:val="0341D6B4"/>
    <w:rsid w:val="034893EA"/>
    <w:rsid w:val="034B0AA1"/>
    <w:rsid w:val="0353881E"/>
    <w:rsid w:val="0354A006"/>
    <w:rsid w:val="03706ABC"/>
    <w:rsid w:val="037533C9"/>
    <w:rsid w:val="0375DB74"/>
    <w:rsid w:val="037858F2"/>
    <w:rsid w:val="037C877E"/>
    <w:rsid w:val="03819D3D"/>
    <w:rsid w:val="038BBED8"/>
    <w:rsid w:val="038F3EAF"/>
    <w:rsid w:val="0394EB12"/>
    <w:rsid w:val="03951104"/>
    <w:rsid w:val="03A14ACE"/>
    <w:rsid w:val="03A37030"/>
    <w:rsid w:val="03A67DE6"/>
    <w:rsid w:val="03AB4446"/>
    <w:rsid w:val="03BCD3C0"/>
    <w:rsid w:val="03BF9D63"/>
    <w:rsid w:val="03C491E1"/>
    <w:rsid w:val="03C8313B"/>
    <w:rsid w:val="03CBDE21"/>
    <w:rsid w:val="03CF104C"/>
    <w:rsid w:val="03D53886"/>
    <w:rsid w:val="03D71879"/>
    <w:rsid w:val="03DCD2A4"/>
    <w:rsid w:val="03DEBA38"/>
    <w:rsid w:val="03EE35B5"/>
    <w:rsid w:val="03F345DB"/>
    <w:rsid w:val="03F4DCC1"/>
    <w:rsid w:val="03FE1066"/>
    <w:rsid w:val="03FE3FA9"/>
    <w:rsid w:val="0401D6EE"/>
    <w:rsid w:val="0404829B"/>
    <w:rsid w:val="040B391F"/>
    <w:rsid w:val="040F9859"/>
    <w:rsid w:val="041489F0"/>
    <w:rsid w:val="041C63D6"/>
    <w:rsid w:val="041EEAED"/>
    <w:rsid w:val="0422EA2F"/>
    <w:rsid w:val="042C8DF5"/>
    <w:rsid w:val="042DC39F"/>
    <w:rsid w:val="0431AADC"/>
    <w:rsid w:val="04403C8C"/>
    <w:rsid w:val="0440EC68"/>
    <w:rsid w:val="0446F55E"/>
    <w:rsid w:val="044A63F7"/>
    <w:rsid w:val="044E86EB"/>
    <w:rsid w:val="045A8B17"/>
    <w:rsid w:val="045E6CC6"/>
    <w:rsid w:val="0471DF51"/>
    <w:rsid w:val="04752869"/>
    <w:rsid w:val="047DE558"/>
    <w:rsid w:val="0484A6A6"/>
    <w:rsid w:val="0485266D"/>
    <w:rsid w:val="04879636"/>
    <w:rsid w:val="048A3BDC"/>
    <w:rsid w:val="04911C4A"/>
    <w:rsid w:val="0497FE17"/>
    <w:rsid w:val="049B920C"/>
    <w:rsid w:val="04A1136F"/>
    <w:rsid w:val="04ACBFE0"/>
    <w:rsid w:val="04BAABEB"/>
    <w:rsid w:val="04BAE57B"/>
    <w:rsid w:val="04C996EA"/>
    <w:rsid w:val="04CFC361"/>
    <w:rsid w:val="04DEA8F7"/>
    <w:rsid w:val="04E0BA3E"/>
    <w:rsid w:val="04E77F0F"/>
    <w:rsid w:val="04E96172"/>
    <w:rsid w:val="04EC23FF"/>
    <w:rsid w:val="04F603CD"/>
    <w:rsid w:val="04F8416F"/>
    <w:rsid w:val="0507837F"/>
    <w:rsid w:val="0509109B"/>
    <w:rsid w:val="05122CB5"/>
    <w:rsid w:val="0514100A"/>
    <w:rsid w:val="051A2A7E"/>
    <w:rsid w:val="0520C4BC"/>
    <w:rsid w:val="052A7D1B"/>
    <w:rsid w:val="052EF039"/>
    <w:rsid w:val="052F37E0"/>
    <w:rsid w:val="052FC356"/>
    <w:rsid w:val="0537FF70"/>
    <w:rsid w:val="054002BA"/>
    <w:rsid w:val="05522541"/>
    <w:rsid w:val="05557C54"/>
    <w:rsid w:val="0562D335"/>
    <w:rsid w:val="0563F01A"/>
    <w:rsid w:val="056BB8A9"/>
    <w:rsid w:val="056C0A7B"/>
    <w:rsid w:val="056EF77C"/>
    <w:rsid w:val="0572E8DA"/>
    <w:rsid w:val="0583A32A"/>
    <w:rsid w:val="05983EA2"/>
    <w:rsid w:val="059A42D8"/>
    <w:rsid w:val="05A2A9BD"/>
    <w:rsid w:val="05A3784C"/>
    <w:rsid w:val="05A70980"/>
    <w:rsid w:val="05AE5240"/>
    <w:rsid w:val="05BC6B24"/>
    <w:rsid w:val="05BCB7A6"/>
    <w:rsid w:val="05BCE5DD"/>
    <w:rsid w:val="05BEDBAF"/>
    <w:rsid w:val="05C8CCFE"/>
    <w:rsid w:val="05E3733F"/>
    <w:rsid w:val="05E66E89"/>
    <w:rsid w:val="05E71C19"/>
    <w:rsid w:val="05EA574C"/>
    <w:rsid w:val="0606F027"/>
    <w:rsid w:val="0609E176"/>
    <w:rsid w:val="060BDCC5"/>
    <w:rsid w:val="060C52A2"/>
    <w:rsid w:val="0616A1CE"/>
    <w:rsid w:val="061C494C"/>
    <w:rsid w:val="0621D9BF"/>
    <w:rsid w:val="0630AC2E"/>
    <w:rsid w:val="063112A4"/>
    <w:rsid w:val="0633CE78"/>
    <w:rsid w:val="06343E26"/>
    <w:rsid w:val="0637D3B7"/>
    <w:rsid w:val="063A6112"/>
    <w:rsid w:val="063D25F4"/>
    <w:rsid w:val="063E3A78"/>
    <w:rsid w:val="06494094"/>
    <w:rsid w:val="064B17CE"/>
    <w:rsid w:val="064CFF52"/>
    <w:rsid w:val="06526B65"/>
    <w:rsid w:val="06561B56"/>
    <w:rsid w:val="065DCE67"/>
    <w:rsid w:val="065DFBBA"/>
    <w:rsid w:val="06678796"/>
    <w:rsid w:val="067A598A"/>
    <w:rsid w:val="067ABC60"/>
    <w:rsid w:val="068B709E"/>
    <w:rsid w:val="0691D177"/>
    <w:rsid w:val="069513E6"/>
    <w:rsid w:val="069D4335"/>
    <w:rsid w:val="069FE238"/>
    <w:rsid w:val="06A20366"/>
    <w:rsid w:val="06A4E0FC"/>
    <w:rsid w:val="06A68BB4"/>
    <w:rsid w:val="06B2F329"/>
    <w:rsid w:val="06B3EB0F"/>
    <w:rsid w:val="06B4A95A"/>
    <w:rsid w:val="06D4BFB9"/>
    <w:rsid w:val="06D5BD1F"/>
    <w:rsid w:val="06DE0BE6"/>
    <w:rsid w:val="07094748"/>
    <w:rsid w:val="0716AD56"/>
    <w:rsid w:val="071AADB1"/>
    <w:rsid w:val="071CB3C1"/>
    <w:rsid w:val="07280181"/>
    <w:rsid w:val="073B4243"/>
    <w:rsid w:val="07424F83"/>
    <w:rsid w:val="07495B1E"/>
    <w:rsid w:val="0753DC74"/>
    <w:rsid w:val="07575273"/>
    <w:rsid w:val="0758981F"/>
    <w:rsid w:val="0758CC6C"/>
    <w:rsid w:val="075C8501"/>
    <w:rsid w:val="0760C1C7"/>
    <w:rsid w:val="076B23A3"/>
    <w:rsid w:val="077625D8"/>
    <w:rsid w:val="077BC33D"/>
    <w:rsid w:val="077F7B92"/>
    <w:rsid w:val="07811CC3"/>
    <w:rsid w:val="07848CD2"/>
    <w:rsid w:val="078B8848"/>
    <w:rsid w:val="07909E16"/>
    <w:rsid w:val="079B3C1B"/>
    <w:rsid w:val="079E95DF"/>
    <w:rsid w:val="07A0168B"/>
    <w:rsid w:val="07A7AD26"/>
    <w:rsid w:val="07AB2610"/>
    <w:rsid w:val="07ACF92B"/>
    <w:rsid w:val="07B819AD"/>
    <w:rsid w:val="07B91450"/>
    <w:rsid w:val="07BC18AE"/>
    <w:rsid w:val="07BE0DD0"/>
    <w:rsid w:val="07C46680"/>
    <w:rsid w:val="07CD944D"/>
    <w:rsid w:val="07D0C10E"/>
    <w:rsid w:val="07D5C192"/>
    <w:rsid w:val="07D6DAC8"/>
    <w:rsid w:val="07D7E7EF"/>
    <w:rsid w:val="07DF300A"/>
    <w:rsid w:val="07E1FD18"/>
    <w:rsid w:val="07E29EF0"/>
    <w:rsid w:val="07E7908D"/>
    <w:rsid w:val="07EC3021"/>
    <w:rsid w:val="07F04ECE"/>
    <w:rsid w:val="07F3792A"/>
    <w:rsid w:val="07F3D486"/>
    <w:rsid w:val="07F3F521"/>
    <w:rsid w:val="07FF0231"/>
    <w:rsid w:val="080C3585"/>
    <w:rsid w:val="0816B181"/>
    <w:rsid w:val="081C050D"/>
    <w:rsid w:val="08205003"/>
    <w:rsid w:val="082541E3"/>
    <w:rsid w:val="08257322"/>
    <w:rsid w:val="0826B58A"/>
    <w:rsid w:val="083C4F21"/>
    <w:rsid w:val="08408393"/>
    <w:rsid w:val="084C4044"/>
    <w:rsid w:val="084EC38A"/>
    <w:rsid w:val="084F8DF1"/>
    <w:rsid w:val="08585496"/>
    <w:rsid w:val="085CA98E"/>
    <w:rsid w:val="086014E3"/>
    <w:rsid w:val="08605E26"/>
    <w:rsid w:val="086B2548"/>
    <w:rsid w:val="086C6521"/>
    <w:rsid w:val="086FA032"/>
    <w:rsid w:val="0876431C"/>
    <w:rsid w:val="087728CE"/>
    <w:rsid w:val="0883032A"/>
    <w:rsid w:val="088DD0AE"/>
    <w:rsid w:val="089BA25E"/>
    <w:rsid w:val="089C8703"/>
    <w:rsid w:val="08A1D4A0"/>
    <w:rsid w:val="08A3121C"/>
    <w:rsid w:val="08A90538"/>
    <w:rsid w:val="08ABB873"/>
    <w:rsid w:val="08AEB956"/>
    <w:rsid w:val="08AF3B61"/>
    <w:rsid w:val="08B1FD4B"/>
    <w:rsid w:val="08BF5DF6"/>
    <w:rsid w:val="08C3F4C7"/>
    <w:rsid w:val="08CB1690"/>
    <w:rsid w:val="08D1F6D9"/>
    <w:rsid w:val="08D67CF7"/>
    <w:rsid w:val="08E15826"/>
    <w:rsid w:val="08E1BB02"/>
    <w:rsid w:val="08E5B836"/>
    <w:rsid w:val="08EDCF13"/>
    <w:rsid w:val="08F49CCD"/>
    <w:rsid w:val="091742B7"/>
    <w:rsid w:val="091CED4C"/>
    <w:rsid w:val="0922422F"/>
    <w:rsid w:val="0929E1CE"/>
    <w:rsid w:val="092C1289"/>
    <w:rsid w:val="092F4BC5"/>
    <w:rsid w:val="09334E66"/>
    <w:rsid w:val="09362314"/>
    <w:rsid w:val="093AEE90"/>
    <w:rsid w:val="09486D2E"/>
    <w:rsid w:val="095D49C9"/>
    <w:rsid w:val="09614B04"/>
    <w:rsid w:val="096506F6"/>
    <w:rsid w:val="0969A6BF"/>
    <w:rsid w:val="097493BB"/>
    <w:rsid w:val="0975123A"/>
    <w:rsid w:val="09856883"/>
    <w:rsid w:val="0986E47B"/>
    <w:rsid w:val="0987D90B"/>
    <w:rsid w:val="098F498B"/>
    <w:rsid w:val="098FD0B9"/>
    <w:rsid w:val="09904A6C"/>
    <w:rsid w:val="09936CD8"/>
    <w:rsid w:val="0993A975"/>
    <w:rsid w:val="0994BBDC"/>
    <w:rsid w:val="099BED04"/>
    <w:rsid w:val="09A0D0C9"/>
    <w:rsid w:val="09A2547E"/>
    <w:rsid w:val="09A73BFB"/>
    <w:rsid w:val="09C5EE69"/>
    <w:rsid w:val="09C98D09"/>
    <w:rsid w:val="09CBF49B"/>
    <w:rsid w:val="09D2C192"/>
    <w:rsid w:val="09D59810"/>
    <w:rsid w:val="09DD6E8F"/>
    <w:rsid w:val="09DFCB28"/>
    <w:rsid w:val="09E71DB0"/>
    <w:rsid w:val="09E8D148"/>
    <w:rsid w:val="09FDEE3E"/>
    <w:rsid w:val="09FF2A3D"/>
    <w:rsid w:val="0A060078"/>
    <w:rsid w:val="0A071D59"/>
    <w:rsid w:val="0A1EC4D9"/>
    <w:rsid w:val="0A1FF8B4"/>
    <w:rsid w:val="0A20B055"/>
    <w:rsid w:val="0A210172"/>
    <w:rsid w:val="0A21FCC8"/>
    <w:rsid w:val="0A228337"/>
    <w:rsid w:val="0A2758A5"/>
    <w:rsid w:val="0A2B3D23"/>
    <w:rsid w:val="0A358389"/>
    <w:rsid w:val="0A45F2D9"/>
    <w:rsid w:val="0A4F2469"/>
    <w:rsid w:val="0A502E3D"/>
    <w:rsid w:val="0A5FA6EA"/>
    <w:rsid w:val="0A608860"/>
    <w:rsid w:val="0A63376C"/>
    <w:rsid w:val="0A6B9544"/>
    <w:rsid w:val="0A766E05"/>
    <w:rsid w:val="0A76AFB0"/>
    <w:rsid w:val="0A800B19"/>
    <w:rsid w:val="0A83A611"/>
    <w:rsid w:val="0A85E3AA"/>
    <w:rsid w:val="0A981BB7"/>
    <w:rsid w:val="0A990693"/>
    <w:rsid w:val="0A9CF049"/>
    <w:rsid w:val="0A9EABA7"/>
    <w:rsid w:val="0AA277E3"/>
    <w:rsid w:val="0AAC3CCC"/>
    <w:rsid w:val="0AB157E7"/>
    <w:rsid w:val="0AB1C60F"/>
    <w:rsid w:val="0AB71C54"/>
    <w:rsid w:val="0AB95607"/>
    <w:rsid w:val="0AC0A175"/>
    <w:rsid w:val="0ACDC508"/>
    <w:rsid w:val="0AD07687"/>
    <w:rsid w:val="0AD224FE"/>
    <w:rsid w:val="0AD48511"/>
    <w:rsid w:val="0AD7604E"/>
    <w:rsid w:val="0AE01028"/>
    <w:rsid w:val="0AE0602F"/>
    <w:rsid w:val="0AEA8C1F"/>
    <w:rsid w:val="0AF8A70C"/>
    <w:rsid w:val="0B0CDDB6"/>
    <w:rsid w:val="0B1371CB"/>
    <w:rsid w:val="0B25DC88"/>
    <w:rsid w:val="0B27C859"/>
    <w:rsid w:val="0B2B19EC"/>
    <w:rsid w:val="0B2F3D39"/>
    <w:rsid w:val="0B31C2DD"/>
    <w:rsid w:val="0B31E832"/>
    <w:rsid w:val="0B32B2F5"/>
    <w:rsid w:val="0B3FA1CC"/>
    <w:rsid w:val="0B4587BB"/>
    <w:rsid w:val="0B497D12"/>
    <w:rsid w:val="0B4AE8FB"/>
    <w:rsid w:val="0B4FFBC2"/>
    <w:rsid w:val="0B596109"/>
    <w:rsid w:val="0B5DF8E6"/>
    <w:rsid w:val="0B610914"/>
    <w:rsid w:val="0B62B18D"/>
    <w:rsid w:val="0B6A52B0"/>
    <w:rsid w:val="0B714AEC"/>
    <w:rsid w:val="0B7BB049"/>
    <w:rsid w:val="0B814C2D"/>
    <w:rsid w:val="0B83B42A"/>
    <w:rsid w:val="0B8C27FE"/>
    <w:rsid w:val="0B929C82"/>
    <w:rsid w:val="0BA5E307"/>
    <w:rsid w:val="0BB04488"/>
    <w:rsid w:val="0BB53E5C"/>
    <w:rsid w:val="0BB9DEE9"/>
    <w:rsid w:val="0BBAAC31"/>
    <w:rsid w:val="0BBDD4B9"/>
    <w:rsid w:val="0BD80070"/>
    <w:rsid w:val="0BD9DA77"/>
    <w:rsid w:val="0BDE24FD"/>
    <w:rsid w:val="0BE1A561"/>
    <w:rsid w:val="0BFE4DF1"/>
    <w:rsid w:val="0C10BD4C"/>
    <w:rsid w:val="0C2ED7D4"/>
    <w:rsid w:val="0C330BE4"/>
    <w:rsid w:val="0C338F0E"/>
    <w:rsid w:val="0C52ECB5"/>
    <w:rsid w:val="0C572897"/>
    <w:rsid w:val="0C5E458B"/>
    <w:rsid w:val="0C61FB47"/>
    <w:rsid w:val="0C654356"/>
    <w:rsid w:val="0C6A387F"/>
    <w:rsid w:val="0C6DFE6C"/>
    <w:rsid w:val="0C7330AF"/>
    <w:rsid w:val="0C79971F"/>
    <w:rsid w:val="0C79E921"/>
    <w:rsid w:val="0C7B1E49"/>
    <w:rsid w:val="0C7E6F7E"/>
    <w:rsid w:val="0C855E19"/>
    <w:rsid w:val="0C869D53"/>
    <w:rsid w:val="0C88E224"/>
    <w:rsid w:val="0C8ACA59"/>
    <w:rsid w:val="0C96908B"/>
    <w:rsid w:val="0C98E373"/>
    <w:rsid w:val="0CA9A316"/>
    <w:rsid w:val="0CAC04AC"/>
    <w:rsid w:val="0CB75333"/>
    <w:rsid w:val="0CB765EB"/>
    <w:rsid w:val="0CD3FBC8"/>
    <w:rsid w:val="0CDF9D1A"/>
    <w:rsid w:val="0CE1D5F8"/>
    <w:rsid w:val="0CEA6780"/>
    <w:rsid w:val="0CEC3A90"/>
    <w:rsid w:val="0CF3CC0D"/>
    <w:rsid w:val="0CF96D07"/>
    <w:rsid w:val="0CFF2D35"/>
    <w:rsid w:val="0D06C5FB"/>
    <w:rsid w:val="0D08D753"/>
    <w:rsid w:val="0D0BA628"/>
    <w:rsid w:val="0D113B54"/>
    <w:rsid w:val="0D150353"/>
    <w:rsid w:val="0D176BEA"/>
    <w:rsid w:val="0D17C3AD"/>
    <w:rsid w:val="0D1A0733"/>
    <w:rsid w:val="0D230E2C"/>
    <w:rsid w:val="0D2E659F"/>
    <w:rsid w:val="0D2F9422"/>
    <w:rsid w:val="0D30ACC0"/>
    <w:rsid w:val="0D38A04B"/>
    <w:rsid w:val="0D3C473E"/>
    <w:rsid w:val="0D460C64"/>
    <w:rsid w:val="0D47C322"/>
    <w:rsid w:val="0D5178BE"/>
    <w:rsid w:val="0D5EA1F8"/>
    <w:rsid w:val="0D5FE4FF"/>
    <w:rsid w:val="0D68011F"/>
    <w:rsid w:val="0D6ED178"/>
    <w:rsid w:val="0D74BA32"/>
    <w:rsid w:val="0D7EE512"/>
    <w:rsid w:val="0D7F9A85"/>
    <w:rsid w:val="0D827ACD"/>
    <w:rsid w:val="0D8436E3"/>
    <w:rsid w:val="0D88A466"/>
    <w:rsid w:val="0D908A33"/>
    <w:rsid w:val="0D93D991"/>
    <w:rsid w:val="0D98FC36"/>
    <w:rsid w:val="0D9C5907"/>
    <w:rsid w:val="0D9D7A2C"/>
    <w:rsid w:val="0D9E97CD"/>
    <w:rsid w:val="0DAA6943"/>
    <w:rsid w:val="0DB129E8"/>
    <w:rsid w:val="0DC29058"/>
    <w:rsid w:val="0DC962A2"/>
    <w:rsid w:val="0DDD7609"/>
    <w:rsid w:val="0DDF089D"/>
    <w:rsid w:val="0DF08785"/>
    <w:rsid w:val="0DF14234"/>
    <w:rsid w:val="0DF7562E"/>
    <w:rsid w:val="0DF9D386"/>
    <w:rsid w:val="0E015D8C"/>
    <w:rsid w:val="0E05D496"/>
    <w:rsid w:val="0E0BD4B8"/>
    <w:rsid w:val="0E151557"/>
    <w:rsid w:val="0E1692B0"/>
    <w:rsid w:val="0E1BE19D"/>
    <w:rsid w:val="0E1DA181"/>
    <w:rsid w:val="0E27802C"/>
    <w:rsid w:val="0E3BE123"/>
    <w:rsid w:val="0E3D712C"/>
    <w:rsid w:val="0E45BE4D"/>
    <w:rsid w:val="0E483726"/>
    <w:rsid w:val="0E4DC147"/>
    <w:rsid w:val="0E5F854C"/>
    <w:rsid w:val="0E69A815"/>
    <w:rsid w:val="0E6D9FCB"/>
    <w:rsid w:val="0E785FC7"/>
    <w:rsid w:val="0E78D0FC"/>
    <w:rsid w:val="0E7A58BA"/>
    <w:rsid w:val="0E81CDC0"/>
    <w:rsid w:val="0E83EB7C"/>
    <w:rsid w:val="0E8AE86E"/>
    <w:rsid w:val="0E9E7493"/>
    <w:rsid w:val="0E9F1241"/>
    <w:rsid w:val="0EA8D7B4"/>
    <w:rsid w:val="0EBB7869"/>
    <w:rsid w:val="0EC8B1FE"/>
    <w:rsid w:val="0ED04411"/>
    <w:rsid w:val="0ED20624"/>
    <w:rsid w:val="0ED3E086"/>
    <w:rsid w:val="0EDB9579"/>
    <w:rsid w:val="0EFB1CC8"/>
    <w:rsid w:val="0F0162FE"/>
    <w:rsid w:val="0F02AD74"/>
    <w:rsid w:val="0F10B07F"/>
    <w:rsid w:val="0F115405"/>
    <w:rsid w:val="0F26C955"/>
    <w:rsid w:val="0F2D6DEA"/>
    <w:rsid w:val="0F2F8836"/>
    <w:rsid w:val="0F2FA9F2"/>
    <w:rsid w:val="0F43FE35"/>
    <w:rsid w:val="0F457C32"/>
    <w:rsid w:val="0F4CBEC4"/>
    <w:rsid w:val="0F58A91D"/>
    <w:rsid w:val="0F595509"/>
    <w:rsid w:val="0F5B0679"/>
    <w:rsid w:val="0F63DC9A"/>
    <w:rsid w:val="0F65B1A9"/>
    <w:rsid w:val="0F6A9C9E"/>
    <w:rsid w:val="0F6B3B6D"/>
    <w:rsid w:val="0F75A0DF"/>
    <w:rsid w:val="0F76765A"/>
    <w:rsid w:val="0F794936"/>
    <w:rsid w:val="0F7C54BF"/>
    <w:rsid w:val="0F7D5E93"/>
    <w:rsid w:val="0F948381"/>
    <w:rsid w:val="0F950EBA"/>
    <w:rsid w:val="0F963EFA"/>
    <w:rsid w:val="0FA27D42"/>
    <w:rsid w:val="0FA6E2F7"/>
    <w:rsid w:val="0FA91185"/>
    <w:rsid w:val="0FAC9C52"/>
    <w:rsid w:val="0FB525D4"/>
    <w:rsid w:val="0FB71BBA"/>
    <w:rsid w:val="0FB8F0DB"/>
    <w:rsid w:val="0FB985F1"/>
    <w:rsid w:val="0FC32B92"/>
    <w:rsid w:val="0FC70EAB"/>
    <w:rsid w:val="0FC9CA80"/>
    <w:rsid w:val="0FCC8B4D"/>
    <w:rsid w:val="0FD0E9A6"/>
    <w:rsid w:val="0FDB3E3B"/>
    <w:rsid w:val="0FE8175B"/>
    <w:rsid w:val="0FEAB105"/>
    <w:rsid w:val="0FF3F929"/>
    <w:rsid w:val="0FF4DC33"/>
    <w:rsid w:val="0FF58AE8"/>
    <w:rsid w:val="0FF7BB66"/>
    <w:rsid w:val="0FFF6653"/>
    <w:rsid w:val="0FFFB6CC"/>
    <w:rsid w:val="100D58FC"/>
    <w:rsid w:val="10192A87"/>
    <w:rsid w:val="101A495A"/>
    <w:rsid w:val="102DD8B2"/>
    <w:rsid w:val="102E8883"/>
    <w:rsid w:val="1035C213"/>
    <w:rsid w:val="1038B042"/>
    <w:rsid w:val="103BED4B"/>
    <w:rsid w:val="103E8F58"/>
    <w:rsid w:val="10420F7D"/>
    <w:rsid w:val="10481C97"/>
    <w:rsid w:val="105834B3"/>
    <w:rsid w:val="106B19BF"/>
    <w:rsid w:val="10701CE4"/>
    <w:rsid w:val="10738353"/>
    <w:rsid w:val="108D8BE6"/>
    <w:rsid w:val="10923BC6"/>
    <w:rsid w:val="10A12755"/>
    <w:rsid w:val="10AD64DD"/>
    <w:rsid w:val="10B1A76B"/>
    <w:rsid w:val="10C412D8"/>
    <w:rsid w:val="10C9E10A"/>
    <w:rsid w:val="10CADEDA"/>
    <w:rsid w:val="10DC2DE1"/>
    <w:rsid w:val="10DD15CA"/>
    <w:rsid w:val="10E88F25"/>
    <w:rsid w:val="10E94DDB"/>
    <w:rsid w:val="10EBD39C"/>
    <w:rsid w:val="10ED7A47"/>
    <w:rsid w:val="1104B670"/>
    <w:rsid w:val="110CBFA8"/>
    <w:rsid w:val="11100B03"/>
    <w:rsid w:val="11112DF8"/>
    <w:rsid w:val="111C1DD3"/>
    <w:rsid w:val="112099E5"/>
    <w:rsid w:val="1121FDC9"/>
    <w:rsid w:val="11265DD8"/>
    <w:rsid w:val="112A7CF3"/>
    <w:rsid w:val="112BB8D1"/>
    <w:rsid w:val="112BDDE4"/>
    <w:rsid w:val="112C573D"/>
    <w:rsid w:val="1139B103"/>
    <w:rsid w:val="113D1EF7"/>
    <w:rsid w:val="1144FA8E"/>
    <w:rsid w:val="1152EC1B"/>
    <w:rsid w:val="1158BD31"/>
    <w:rsid w:val="115A0119"/>
    <w:rsid w:val="1163F97A"/>
    <w:rsid w:val="116654B3"/>
    <w:rsid w:val="117E42A9"/>
    <w:rsid w:val="11807E9E"/>
    <w:rsid w:val="11887CE6"/>
    <w:rsid w:val="118A2F06"/>
    <w:rsid w:val="118EC006"/>
    <w:rsid w:val="118FB00E"/>
    <w:rsid w:val="119E1AD0"/>
    <w:rsid w:val="11A20D21"/>
    <w:rsid w:val="11AB6B95"/>
    <w:rsid w:val="11AC3E2D"/>
    <w:rsid w:val="11ACD92F"/>
    <w:rsid w:val="11ACEAD9"/>
    <w:rsid w:val="11B12761"/>
    <w:rsid w:val="11BB6773"/>
    <w:rsid w:val="11C316D3"/>
    <w:rsid w:val="11CAD4D9"/>
    <w:rsid w:val="11CBF7B0"/>
    <w:rsid w:val="11D26F98"/>
    <w:rsid w:val="11D6E52A"/>
    <w:rsid w:val="11E15CA8"/>
    <w:rsid w:val="11E2AA00"/>
    <w:rsid w:val="11E6F8C1"/>
    <w:rsid w:val="11E77069"/>
    <w:rsid w:val="11ED3BA3"/>
    <w:rsid w:val="11F5AD67"/>
    <w:rsid w:val="11FF6F8E"/>
    <w:rsid w:val="1202BA3B"/>
    <w:rsid w:val="120B70B6"/>
    <w:rsid w:val="12140334"/>
    <w:rsid w:val="121B3C1B"/>
    <w:rsid w:val="121D83DF"/>
    <w:rsid w:val="1221F42F"/>
    <w:rsid w:val="1234DBC4"/>
    <w:rsid w:val="123B5A66"/>
    <w:rsid w:val="124AA9D1"/>
    <w:rsid w:val="124F881B"/>
    <w:rsid w:val="1254311B"/>
    <w:rsid w:val="1257ABC0"/>
    <w:rsid w:val="12604D4B"/>
    <w:rsid w:val="1260CCED"/>
    <w:rsid w:val="1260FEF6"/>
    <w:rsid w:val="1263834E"/>
    <w:rsid w:val="126531CB"/>
    <w:rsid w:val="126859DD"/>
    <w:rsid w:val="126F3338"/>
    <w:rsid w:val="1277B73B"/>
    <w:rsid w:val="12827C08"/>
    <w:rsid w:val="1284501C"/>
    <w:rsid w:val="12856CC8"/>
    <w:rsid w:val="12870174"/>
    <w:rsid w:val="128BF08B"/>
    <w:rsid w:val="12902234"/>
    <w:rsid w:val="1296ADDB"/>
    <w:rsid w:val="129CA2A3"/>
    <w:rsid w:val="12A7A909"/>
    <w:rsid w:val="12B37BCB"/>
    <w:rsid w:val="12BAA97F"/>
    <w:rsid w:val="12BB13EA"/>
    <w:rsid w:val="12BDBEFB"/>
    <w:rsid w:val="12C0E180"/>
    <w:rsid w:val="12C3A4A4"/>
    <w:rsid w:val="12C9F6B0"/>
    <w:rsid w:val="12CE2579"/>
    <w:rsid w:val="12D05919"/>
    <w:rsid w:val="12D15C80"/>
    <w:rsid w:val="12D82B79"/>
    <w:rsid w:val="12DEA000"/>
    <w:rsid w:val="12DF37C7"/>
    <w:rsid w:val="12E59E1E"/>
    <w:rsid w:val="12E66F4E"/>
    <w:rsid w:val="12E9B658"/>
    <w:rsid w:val="12F6118F"/>
    <w:rsid w:val="12F6469D"/>
    <w:rsid w:val="13022514"/>
    <w:rsid w:val="130F6560"/>
    <w:rsid w:val="1312DEFD"/>
    <w:rsid w:val="13199BB8"/>
    <w:rsid w:val="131E1B30"/>
    <w:rsid w:val="131E4445"/>
    <w:rsid w:val="131F2BC4"/>
    <w:rsid w:val="132057D3"/>
    <w:rsid w:val="1327360E"/>
    <w:rsid w:val="13286C1F"/>
    <w:rsid w:val="1329DC32"/>
    <w:rsid w:val="132B99EB"/>
    <w:rsid w:val="133BB104"/>
    <w:rsid w:val="13413804"/>
    <w:rsid w:val="1341ABA4"/>
    <w:rsid w:val="1354804D"/>
    <w:rsid w:val="13579656"/>
    <w:rsid w:val="13582680"/>
    <w:rsid w:val="135CDAF7"/>
    <w:rsid w:val="135D6E1C"/>
    <w:rsid w:val="13614954"/>
    <w:rsid w:val="136490F0"/>
    <w:rsid w:val="1369B4C7"/>
    <w:rsid w:val="13705CA0"/>
    <w:rsid w:val="1373C5CA"/>
    <w:rsid w:val="1375F57C"/>
    <w:rsid w:val="13769DEC"/>
    <w:rsid w:val="1382CBA8"/>
    <w:rsid w:val="13850EBC"/>
    <w:rsid w:val="138AC9A1"/>
    <w:rsid w:val="1393A160"/>
    <w:rsid w:val="139E4A71"/>
    <w:rsid w:val="13A19B11"/>
    <w:rsid w:val="13B99C74"/>
    <w:rsid w:val="13C1B394"/>
    <w:rsid w:val="13C44FF1"/>
    <w:rsid w:val="13CA6837"/>
    <w:rsid w:val="13CEF277"/>
    <w:rsid w:val="13CF0239"/>
    <w:rsid w:val="13E066F1"/>
    <w:rsid w:val="13FE45DF"/>
    <w:rsid w:val="14027BCA"/>
    <w:rsid w:val="14042086"/>
    <w:rsid w:val="140E6CFD"/>
    <w:rsid w:val="1412A31D"/>
    <w:rsid w:val="14229C48"/>
    <w:rsid w:val="1424D414"/>
    <w:rsid w:val="1428597E"/>
    <w:rsid w:val="1429FEB7"/>
    <w:rsid w:val="142DCCE0"/>
    <w:rsid w:val="14373463"/>
    <w:rsid w:val="143ED9C1"/>
    <w:rsid w:val="1448632B"/>
    <w:rsid w:val="1450B52F"/>
    <w:rsid w:val="1468B2AB"/>
    <w:rsid w:val="146C5FC6"/>
    <w:rsid w:val="1471B0E3"/>
    <w:rsid w:val="147E0D9B"/>
    <w:rsid w:val="1480CC90"/>
    <w:rsid w:val="1483D318"/>
    <w:rsid w:val="1487E916"/>
    <w:rsid w:val="1491DD34"/>
    <w:rsid w:val="1491E1F0"/>
    <w:rsid w:val="149FFC70"/>
    <w:rsid w:val="14A39555"/>
    <w:rsid w:val="14AEAF5E"/>
    <w:rsid w:val="14B7D6BA"/>
    <w:rsid w:val="14BF66E3"/>
    <w:rsid w:val="14C42718"/>
    <w:rsid w:val="14C76A4C"/>
    <w:rsid w:val="14D1C63C"/>
    <w:rsid w:val="14D1F16E"/>
    <w:rsid w:val="14E2E91F"/>
    <w:rsid w:val="14E5C32A"/>
    <w:rsid w:val="14EB98E6"/>
    <w:rsid w:val="14F22B26"/>
    <w:rsid w:val="14F3F6E1"/>
    <w:rsid w:val="14F5EB05"/>
    <w:rsid w:val="15094C8B"/>
    <w:rsid w:val="15241FCA"/>
    <w:rsid w:val="152A6B55"/>
    <w:rsid w:val="152D1334"/>
    <w:rsid w:val="153302FA"/>
    <w:rsid w:val="1536B98A"/>
    <w:rsid w:val="1539EE28"/>
    <w:rsid w:val="153A0E6C"/>
    <w:rsid w:val="1540F28C"/>
    <w:rsid w:val="15481978"/>
    <w:rsid w:val="1549B284"/>
    <w:rsid w:val="1551E930"/>
    <w:rsid w:val="15619D87"/>
    <w:rsid w:val="156CB459"/>
    <w:rsid w:val="1571F092"/>
    <w:rsid w:val="15761A34"/>
    <w:rsid w:val="1582966D"/>
    <w:rsid w:val="15860C4F"/>
    <w:rsid w:val="158993E3"/>
    <w:rsid w:val="158A1A32"/>
    <w:rsid w:val="158BAE29"/>
    <w:rsid w:val="158EDC98"/>
    <w:rsid w:val="159298D8"/>
    <w:rsid w:val="1593BF63"/>
    <w:rsid w:val="1594C884"/>
    <w:rsid w:val="1596610E"/>
    <w:rsid w:val="15A36664"/>
    <w:rsid w:val="15A77192"/>
    <w:rsid w:val="15AC2EFA"/>
    <w:rsid w:val="15B21DA4"/>
    <w:rsid w:val="15B80794"/>
    <w:rsid w:val="15BE7839"/>
    <w:rsid w:val="15BF5BC3"/>
    <w:rsid w:val="15C1D521"/>
    <w:rsid w:val="15C2A570"/>
    <w:rsid w:val="15C41425"/>
    <w:rsid w:val="15D12BB4"/>
    <w:rsid w:val="15EDA1F5"/>
    <w:rsid w:val="15EE4325"/>
    <w:rsid w:val="15F0AC23"/>
    <w:rsid w:val="15F605BD"/>
    <w:rsid w:val="15F9CEFB"/>
    <w:rsid w:val="15FA5AF8"/>
    <w:rsid w:val="1604AE95"/>
    <w:rsid w:val="1605F828"/>
    <w:rsid w:val="16091D53"/>
    <w:rsid w:val="160C8894"/>
    <w:rsid w:val="16108A2F"/>
    <w:rsid w:val="1613D494"/>
    <w:rsid w:val="1619AF5A"/>
    <w:rsid w:val="161DA1AE"/>
    <w:rsid w:val="161E59D9"/>
    <w:rsid w:val="161FF640"/>
    <w:rsid w:val="16203C75"/>
    <w:rsid w:val="16236D7B"/>
    <w:rsid w:val="162CD2B5"/>
    <w:rsid w:val="162DD98F"/>
    <w:rsid w:val="1636517E"/>
    <w:rsid w:val="1639E41E"/>
    <w:rsid w:val="163FC0D3"/>
    <w:rsid w:val="16448C68"/>
    <w:rsid w:val="1645A5D0"/>
    <w:rsid w:val="1647B836"/>
    <w:rsid w:val="1649E7D7"/>
    <w:rsid w:val="164C20BC"/>
    <w:rsid w:val="164F17A6"/>
    <w:rsid w:val="16588103"/>
    <w:rsid w:val="16588F95"/>
    <w:rsid w:val="1671AA4F"/>
    <w:rsid w:val="1671AD29"/>
    <w:rsid w:val="167FD5F9"/>
    <w:rsid w:val="168666AB"/>
    <w:rsid w:val="168AEE73"/>
    <w:rsid w:val="168FC742"/>
    <w:rsid w:val="1691B540"/>
    <w:rsid w:val="1692AE69"/>
    <w:rsid w:val="16933184"/>
    <w:rsid w:val="169C6EFB"/>
    <w:rsid w:val="16A21E4B"/>
    <w:rsid w:val="16A405A3"/>
    <w:rsid w:val="16AFD7A2"/>
    <w:rsid w:val="16BA1BAB"/>
    <w:rsid w:val="16C62D11"/>
    <w:rsid w:val="16D47954"/>
    <w:rsid w:val="16D7A0C8"/>
    <w:rsid w:val="16D88110"/>
    <w:rsid w:val="16E91991"/>
    <w:rsid w:val="16EB3C4C"/>
    <w:rsid w:val="16F0A81A"/>
    <w:rsid w:val="16F12653"/>
    <w:rsid w:val="16F88704"/>
    <w:rsid w:val="16FC573E"/>
    <w:rsid w:val="16FD26F6"/>
    <w:rsid w:val="17045D33"/>
    <w:rsid w:val="17068C0E"/>
    <w:rsid w:val="17190044"/>
    <w:rsid w:val="172C923A"/>
    <w:rsid w:val="172EA655"/>
    <w:rsid w:val="1733D8DB"/>
    <w:rsid w:val="173E4B85"/>
    <w:rsid w:val="17527AD8"/>
    <w:rsid w:val="175647BE"/>
    <w:rsid w:val="175C0C1F"/>
    <w:rsid w:val="175D5343"/>
    <w:rsid w:val="177763E1"/>
    <w:rsid w:val="17798D3A"/>
    <w:rsid w:val="1788FAD3"/>
    <w:rsid w:val="178B16B6"/>
    <w:rsid w:val="178DADCF"/>
    <w:rsid w:val="17959F5C"/>
    <w:rsid w:val="17968106"/>
    <w:rsid w:val="1799CD43"/>
    <w:rsid w:val="179D08E1"/>
    <w:rsid w:val="17A03CD5"/>
    <w:rsid w:val="17A124E4"/>
    <w:rsid w:val="17A2F94E"/>
    <w:rsid w:val="17A4E07D"/>
    <w:rsid w:val="17ABD300"/>
    <w:rsid w:val="17B2A846"/>
    <w:rsid w:val="17B5026F"/>
    <w:rsid w:val="17B8B339"/>
    <w:rsid w:val="17B9720F"/>
    <w:rsid w:val="17BA309E"/>
    <w:rsid w:val="17C607C9"/>
    <w:rsid w:val="17CA0AB6"/>
    <w:rsid w:val="17E5C52E"/>
    <w:rsid w:val="17E5C935"/>
    <w:rsid w:val="17EEECBF"/>
    <w:rsid w:val="17F1995D"/>
    <w:rsid w:val="17F707A5"/>
    <w:rsid w:val="17F742DD"/>
    <w:rsid w:val="1809541B"/>
    <w:rsid w:val="18203D67"/>
    <w:rsid w:val="182180BC"/>
    <w:rsid w:val="1823BB8C"/>
    <w:rsid w:val="18297D8E"/>
    <w:rsid w:val="182B97A3"/>
    <w:rsid w:val="18342F0C"/>
    <w:rsid w:val="18344018"/>
    <w:rsid w:val="183D3360"/>
    <w:rsid w:val="183F6018"/>
    <w:rsid w:val="1847B043"/>
    <w:rsid w:val="184B89FA"/>
    <w:rsid w:val="184BA7A4"/>
    <w:rsid w:val="1863BDD3"/>
    <w:rsid w:val="1875030F"/>
    <w:rsid w:val="187BDA9F"/>
    <w:rsid w:val="1881FB90"/>
    <w:rsid w:val="188C28DA"/>
    <w:rsid w:val="1893AE5E"/>
    <w:rsid w:val="18AB7BC8"/>
    <w:rsid w:val="18AC867C"/>
    <w:rsid w:val="18B0639E"/>
    <w:rsid w:val="18B13411"/>
    <w:rsid w:val="18B2AB2A"/>
    <w:rsid w:val="18B355EF"/>
    <w:rsid w:val="18B56451"/>
    <w:rsid w:val="18BAEE6F"/>
    <w:rsid w:val="18BE52AD"/>
    <w:rsid w:val="18C1D3D8"/>
    <w:rsid w:val="18C3729F"/>
    <w:rsid w:val="18C46710"/>
    <w:rsid w:val="18D1F1D5"/>
    <w:rsid w:val="18DF96CE"/>
    <w:rsid w:val="18DFEBAD"/>
    <w:rsid w:val="18E72447"/>
    <w:rsid w:val="18F18740"/>
    <w:rsid w:val="18F7C745"/>
    <w:rsid w:val="18FA25A3"/>
    <w:rsid w:val="18FE6052"/>
    <w:rsid w:val="1900A3C3"/>
    <w:rsid w:val="1901FF2B"/>
    <w:rsid w:val="19020A2C"/>
    <w:rsid w:val="190EA334"/>
    <w:rsid w:val="19155A1D"/>
    <w:rsid w:val="191A5DEE"/>
    <w:rsid w:val="191CCE7A"/>
    <w:rsid w:val="191FFE4D"/>
    <w:rsid w:val="192187C3"/>
    <w:rsid w:val="19230CE3"/>
    <w:rsid w:val="192974BD"/>
    <w:rsid w:val="19316FBD"/>
    <w:rsid w:val="1939634C"/>
    <w:rsid w:val="19411DAE"/>
    <w:rsid w:val="1947B1BE"/>
    <w:rsid w:val="194D0234"/>
    <w:rsid w:val="195335E5"/>
    <w:rsid w:val="1954C2B8"/>
    <w:rsid w:val="19554270"/>
    <w:rsid w:val="1956FA37"/>
    <w:rsid w:val="195B998C"/>
    <w:rsid w:val="195C9464"/>
    <w:rsid w:val="19605E92"/>
    <w:rsid w:val="19639529"/>
    <w:rsid w:val="19658F46"/>
    <w:rsid w:val="1967EDE0"/>
    <w:rsid w:val="196E1C77"/>
    <w:rsid w:val="19755FDF"/>
    <w:rsid w:val="1976787A"/>
    <w:rsid w:val="197EFD8C"/>
    <w:rsid w:val="197F7ED6"/>
    <w:rsid w:val="198C2705"/>
    <w:rsid w:val="198D85C9"/>
    <w:rsid w:val="199FF3CC"/>
    <w:rsid w:val="19A22C11"/>
    <w:rsid w:val="19A28EF2"/>
    <w:rsid w:val="19A7632F"/>
    <w:rsid w:val="19AE9356"/>
    <w:rsid w:val="19B58D7E"/>
    <w:rsid w:val="19BB96C2"/>
    <w:rsid w:val="19BEBE6F"/>
    <w:rsid w:val="19CAF247"/>
    <w:rsid w:val="19CC4941"/>
    <w:rsid w:val="19D3509B"/>
    <w:rsid w:val="19E3D72D"/>
    <w:rsid w:val="19EB1073"/>
    <w:rsid w:val="19F4FE66"/>
    <w:rsid w:val="1A202725"/>
    <w:rsid w:val="1A2848DC"/>
    <w:rsid w:val="1A2A8C4B"/>
    <w:rsid w:val="1A2D8160"/>
    <w:rsid w:val="1A364A4D"/>
    <w:rsid w:val="1A3FDF2B"/>
    <w:rsid w:val="1A46B45A"/>
    <w:rsid w:val="1A4A95FB"/>
    <w:rsid w:val="1A4B277C"/>
    <w:rsid w:val="1A52FA1F"/>
    <w:rsid w:val="1A587C5D"/>
    <w:rsid w:val="1A5AF88B"/>
    <w:rsid w:val="1A5C2D9A"/>
    <w:rsid w:val="1A7534AA"/>
    <w:rsid w:val="1A7B3430"/>
    <w:rsid w:val="1A81F84B"/>
    <w:rsid w:val="1A84A2DC"/>
    <w:rsid w:val="1A8ABD69"/>
    <w:rsid w:val="1A8F02C1"/>
    <w:rsid w:val="1A92C428"/>
    <w:rsid w:val="1A9534CF"/>
    <w:rsid w:val="1A99A167"/>
    <w:rsid w:val="1AA68829"/>
    <w:rsid w:val="1AB0E32C"/>
    <w:rsid w:val="1AB3D72E"/>
    <w:rsid w:val="1AC1C9D1"/>
    <w:rsid w:val="1AC76344"/>
    <w:rsid w:val="1AC8EAAC"/>
    <w:rsid w:val="1AD69D7B"/>
    <w:rsid w:val="1AD7F42F"/>
    <w:rsid w:val="1AE008E3"/>
    <w:rsid w:val="1AFF6D9E"/>
    <w:rsid w:val="1B00F39C"/>
    <w:rsid w:val="1B089D26"/>
    <w:rsid w:val="1B14AFD6"/>
    <w:rsid w:val="1B19D51C"/>
    <w:rsid w:val="1B1D251D"/>
    <w:rsid w:val="1B201451"/>
    <w:rsid w:val="1B24380F"/>
    <w:rsid w:val="1B2EE63D"/>
    <w:rsid w:val="1B2F69FC"/>
    <w:rsid w:val="1B40E17B"/>
    <w:rsid w:val="1B48AF18"/>
    <w:rsid w:val="1B516F91"/>
    <w:rsid w:val="1B5572BA"/>
    <w:rsid w:val="1B5CAE91"/>
    <w:rsid w:val="1B6B3903"/>
    <w:rsid w:val="1B782031"/>
    <w:rsid w:val="1B7AEB7A"/>
    <w:rsid w:val="1B7B00FD"/>
    <w:rsid w:val="1B7D004A"/>
    <w:rsid w:val="1B896E8C"/>
    <w:rsid w:val="1B93A998"/>
    <w:rsid w:val="1B953D85"/>
    <w:rsid w:val="1B959EBC"/>
    <w:rsid w:val="1B974D5A"/>
    <w:rsid w:val="1BA3A266"/>
    <w:rsid w:val="1BB3430E"/>
    <w:rsid w:val="1BC17BB2"/>
    <w:rsid w:val="1BC18111"/>
    <w:rsid w:val="1BC3A87D"/>
    <w:rsid w:val="1BCC06C3"/>
    <w:rsid w:val="1BD1022A"/>
    <w:rsid w:val="1BD5B539"/>
    <w:rsid w:val="1BD910B8"/>
    <w:rsid w:val="1BDBAB8F"/>
    <w:rsid w:val="1BE078CF"/>
    <w:rsid w:val="1BE08C20"/>
    <w:rsid w:val="1BE1DD65"/>
    <w:rsid w:val="1BF145E3"/>
    <w:rsid w:val="1BFF9D32"/>
    <w:rsid w:val="1C02A0B7"/>
    <w:rsid w:val="1C040C0F"/>
    <w:rsid w:val="1C0CBFC4"/>
    <w:rsid w:val="1C14EB87"/>
    <w:rsid w:val="1C19CAC6"/>
    <w:rsid w:val="1C1B5E14"/>
    <w:rsid w:val="1C1DC8AC"/>
    <w:rsid w:val="1C214F74"/>
    <w:rsid w:val="1C21D6C1"/>
    <w:rsid w:val="1C232C2E"/>
    <w:rsid w:val="1C2440AE"/>
    <w:rsid w:val="1C27C89C"/>
    <w:rsid w:val="1C2939E2"/>
    <w:rsid w:val="1C2EA695"/>
    <w:rsid w:val="1C360114"/>
    <w:rsid w:val="1C443D14"/>
    <w:rsid w:val="1C47B732"/>
    <w:rsid w:val="1C66E18F"/>
    <w:rsid w:val="1C6B9233"/>
    <w:rsid w:val="1C6D5571"/>
    <w:rsid w:val="1C702771"/>
    <w:rsid w:val="1C79FE53"/>
    <w:rsid w:val="1C7B7A46"/>
    <w:rsid w:val="1C80930D"/>
    <w:rsid w:val="1C8E3E6E"/>
    <w:rsid w:val="1C8F1C99"/>
    <w:rsid w:val="1C94B317"/>
    <w:rsid w:val="1C9934F4"/>
    <w:rsid w:val="1C9BA105"/>
    <w:rsid w:val="1CA3A55C"/>
    <w:rsid w:val="1CA5E0BD"/>
    <w:rsid w:val="1CB281D6"/>
    <w:rsid w:val="1CB53240"/>
    <w:rsid w:val="1CBC674E"/>
    <w:rsid w:val="1CC6556B"/>
    <w:rsid w:val="1CC7AE47"/>
    <w:rsid w:val="1CCFC365"/>
    <w:rsid w:val="1CD24FAA"/>
    <w:rsid w:val="1CD71FF3"/>
    <w:rsid w:val="1CDFA541"/>
    <w:rsid w:val="1CE47F79"/>
    <w:rsid w:val="1CF46711"/>
    <w:rsid w:val="1CF98D4C"/>
    <w:rsid w:val="1CFA8C38"/>
    <w:rsid w:val="1CFA8CF4"/>
    <w:rsid w:val="1CFBA36F"/>
    <w:rsid w:val="1CFF08C6"/>
    <w:rsid w:val="1D00D49D"/>
    <w:rsid w:val="1D069B18"/>
    <w:rsid w:val="1D071D8A"/>
    <w:rsid w:val="1D0CBD1F"/>
    <w:rsid w:val="1D10829C"/>
    <w:rsid w:val="1D16FD8C"/>
    <w:rsid w:val="1D18C0A9"/>
    <w:rsid w:val="1D2477BF"/>
    <w:rsid w:val="1D32547A"/>
    <w:rsid w:val="1D345227"/>
    <w:rsid w:val="1D3F6849"/>
    <w:rsid w:val="1D467E52"/>
    <w:rsid w:val="1D4D1525"/>
    <w:rsid w:val="1D4D6618"/>
    <w:rsid w:val="1D53401D"/>
    <w:rsid w:val="1D62F819"/>
    <w:rsid w:val="1D67D724"/>
    <w:rsid w:val="1D68DCA5"/>
    <w:rsid w:val="1D828E67"/>
    <w:rsid w:val="1D8948AF"/>
    <w:rsid w:val="1D8B4F0B"/>
    <w:rsid w:val="1D8E18E2"/>
    <w:rsid w:val="1D8E9831"/>
    <w:rsid w:val="1D9A2A39"/>
    <w:rsid w:val="1D9B6482"/>
    <w:rsid w:val="1D9C8337"/>
    <w:rsid w:val="1D9CD517"/>
    <w:rsid w:val="1DAD98A1"/>
    <w:rsid w:val="1DB4923B"/>
    <w:rsid w:val="1DB4B979"/>
    <w:rsid w:val="1DB57E99"/>
    <w:rsid w:val="1DBA0194"/>
    <w:rsid w:val="1DC30FE9"/>
    <w:rsid w:val="1DD2573E"/>
    <w:rsid w:val="1DD4BDCA"/>
    <w:rsid w:val="1DE05E3F"/>
    <w:rsid w:val="1DE115CB"/>
    <w:rsid w:val="1DF244BE"/>
    <w:rsid w:val="1DFB6FE5"/>
    <w:rsid w:val="1E04A618"/>
    <w:rsid w:val="1E082797"/>
    <w:rsid w:val="1E0CBD7F"/>
    <w:rsid w:val="1E0F69ED"/>
    <w:rsid w:val="1E11E82A"/>
    <w:rsid w:val="1E1B994E"/>
    <w:rsid w:val="1E1FFBF6"/>
    <w:rsid w:val="1E2DF811"/>
    <w:rsid w:val="1E3378D0"/>
    <w:rsid w:val="1E4C819D"/>
    <w:rsid w:val="1E4E92C1"/>
    <w:rsid w:val="1E530BD1"/>
    <w:rsid w:val="1E5C7117"/>
    <w:rsid w:val="1E61E0D3"/>
    <w:rsid w:val="1E67B8D7"/>
    <w:rsid w:val="1E6F24EC"/>
    <w:rsid w:val="1E6FE7F6"/>
    <w:rsid w:val="1E820D4F"/>
    <w:rsid w:val="1E89C6F6"/>
    <w:rsid w:val="1E8B721F"/>
    <w:rsid w:val="1E8D2086"/>
    <w:rsid w:val="1E9AD927"/>
    <w:rsid w:val="1E9B39CD"/>
    <w:rsid w:val="1E9D0240"/>
    <w:rsid w:val="1E9E28FB"/>
    <w:rsid w:val="1EA1A321"/>
    <w:rsid w:val="1EA9CBC6"/>
    <w:rsid w:val="1EA9D477"/>
    <w:rsid w:val="1EB38A05"/>
    <w:rsid w:val="1EB52D07"/>
    <w:rsid w:val="1EB71E87"/>
    <w:rsid w:val="1EBB0726"/>
    <w:rsid w:val="1EBE754B"/>
    <w:rsid w:val="1EC006B2"/>
    <w:rsid w:val="1EC94B82"/>
    <w:rsid w:val="1ECCFF20"/>
    <w:rsid w:val="1ED043F2"/>
    <w:rsid w:val="1ED905E5"/>
    <w:rsid w:val="1EE33E7D"/>
    <w:rsid w:val="1EE48E9E"/>
    <w:rsid w:val="1EE632AA"/>
    <w:rsid w:val="1EEA16D0"/>
    <w:rsid w:val="1EECA901"/>
    <w:rsid w:val="1EED67B7"/>
    <w:rsid w:val="1EF538C4"/>
    <w:rsid w:val="1EFA0838"/>
    <w:rsid w:val="1EFEEC5E"/>
    <w:rsid w:val="1F00A521"/>
    <w:rsid w:val="1F0357E4"/>
    <w:rsid w:val="1F06EAE5"/>
    <w:rsid w:val="1F0B74CC"/>
    <w:rsid w:val="1F1285E4"/>
    <w:rsid w:val="1F16E925"/>
    <w:rsid w:val="1F234562"/>
    <w:rsid w:val="1F2C0AAF"/>
    <w:rsid w:val="1F2D9431"/>
    <w:rsid w:val="1F3CFAD0"/>
    <w:rsid w:val="1F43887B"/>
    <w:rsid w:val="1F518B57"/>
    <w:rsid w:val="1F59F029"/>
    <w:rsid w:val="1F5D95C3"/>
    <w:rsid w:val="1F5F695E"/>
    <w:rsid w:val="1F6482AB"/>
    <w:rsid w:val="1F680ABD"/>
    <w:rsid w:val="1F6D543A"/>
    <w:rsid w:val="1F7F91C1"/>
    <w:rsid w:val="1F886A8E"/>
    <w:rsid w:val="1FA1CE23"/>
    <w:rsid w:val="1FA27684"/>
    <w:rsid w:val="1FA57508"/>
    <w:rsid w:val="1FA8A4D0"/>
    <w:rsid w:val="1FAAA173"/>
    <w:rsid w:val="1FB10F28"/>
    <w:rsid w:val="1FB7A7FE"/>
    <w:rsid w:val="1FB8CA81"/>
    <w:rsid w:val="1FC1E7CE"/>
    <w:rsid w:val="1FC80776"/>
    <w:rsid w:val="1FCC4240"/>
    <w:rsid w:val="1FD7A1C0"/>
    <w:rsid w:val="1FD9DE5B"/>
    <w:rsid w:val="1FDC7D61"/>
    <w:rsid w:val="1FE31369"/>
    <w:rsid w:val="1FE89445"/>
    <w:rsid w:val="1FF40810"/>
    <w:rsid w:val="1FFE0D1E"/>
    <w:rsid w:val="2002F163"/>
    <w:rsid w:val="200A1CF3"/>
    <w:rsid w:val="200BA6A5"/>
    <w:rsid w:val="20164AFA"/>
    <w:rsid w:val="201C42A8"/>
    <w:rsid w:val="202C7018"/>
    <w:rsid w:val="202EC362"/>
    <w:rsid w:val="2031BFE5"/>
    <w:rsid w:val="2038D064"/>
    <w:rsid w:val="2038F441"/>
    <w:rsid w:val="20422151"/>
    <w:rsid w:val="205AB92C"/>
    <w:rsid w:val="205D938F"/>
    <w:rsid w:val="206B672E"/>
    <w:rsid w:val="206D3295"/>
    <w:rsid w:val="207A058B"/>
    <w:rsid w:val="20836772"/>
    <w:rsid w:val="2084D0F8"/>
    <w:rsid w:val="20870E3F"/>
    <w:rsid w:val="20903707"/>
    <w:rsid w:val="20904F66"/>
    <w:rsid w:val="20961B99"/>
    <w:rsid w:val="209BA183"/>
    <w:rsid w:val="209C40B6"/>
    <w:rsid w:val="209D7C75"/>
    <w:rsid w:val="209E3A28"/>
    <w:rsid w:val="20A19B6B"/>
    <w:rsid w:val="20A90D0E"/>
    <w:rsid w:val="20B2B986"/>
    <w:rsid w:val="20C04502"/>
    <w:rsid w:val="20CA9230"/>
    <w:rsid w:val="20D5BAC5"/>
    <w:rsid w:val="20EC5CDB"/>
    <w:rsid w:val="20F33089"/>
    <w:rsid w:val="20F3A8A6"/>
    <w:rsid w:val="20FB3228"/>
    <w:rsid w:val="210481FA"/>
    <w:rsid w:val="210773A5"/>
    <w:rsid w:val="21094076"/>
    <w:rsid w:val="2109B73E"/>
    <w:rsid w:val="210F1ABD"/>
    <w:rsid w:val="2116B62E"/>
    <w:rsid w:val="211A2D2A"/>
    <w:rsid w:val="2122D513"/>
    <w:rsid w:val="21258757"/>
    <w:rsid w:val="21270B7E"/>
    <w:rsid w:val="21298EBD"/>
    <w:rsid w:val="212BA9B5"/>
    <w:rsid w:val="21314904"/>
    <w:rsid w:val="2133985D"/>
    <w:rsid w:val="213831D5"/>
    <w:rsid w:val="21448782"/>
    <w:rsid w:val="2144D9AB"/>
    <w:rsid w:val="21479A5A"/>
    <w:rsid w:val="215365BF"/>
    <w:rsid w:val="216018FA"/>
    <w:rsid w:val="216282D1"/>
    <w:rsid w:val="216812A1"/>
    <w:rsid w:val="2168724A"/>
    <w:rsid w:val="21735148"/>
    <w:rsid w:val="2175D904"/>
    <w:rsid w:val="217D6CAD"/>
    <w:rsid w:val="217EE336"/>
    <w:rsid w:val="2181FCAC"/>
    <w:rsid w:val="218482EF"/>
    <w:rsid w:val="218CAB27"/>
    <w:rsid w:val="2196C998"/>
    <w:rsid w:val="219AB528"/>
    <w:rsid w:val="21B870DD"/>
    <w:rsid w:val="21BDC843"/>
    <w:rsid w:val="21BF13D9"/>
    <w:rsid w:val="21C87F83"/>
    <w:rsid w:val="21CDD794"/>
    <w:rsid w:val="21D943E3"/>
    <w:rsid w:val="21DF2D9F"/>
    <w:rsid w:val="21F01805"/>
    <w:rsid w:val="21FDBC15"/>
    <w:rsid w:val="21FE7C26"/>
    <w:rsid w:val="21FE830D"/>
    <w:rsid w:val="2207C34A"/>
    <w:rsid w:val="22081465"/>
    <w:rsid w:val="2211E19E"/>
    <w:rsid w:val="2214069E"/>
    <w:rsid w:val="221847D7"/>
    <w:rsid w:val="221E54CF"/>
    <w:rsid w:val="2221D3D8"/>
    <w:rsid w:val="22250DA2"/>
    <w:rsid w:val="222D4BA9"/>
    <w:rsid w:val="2230766B"/>
    <w:rsid w:val="2236343F"/>
    <w:rsid w:val="223B4847"/>
    <w:rsid w:val="223C6DC2"/>
    <w:rsid w:val="223D7479"/>
    <w:rsid w:val="224346B3"/>
    <w:rsid w:val="22444D81"/>
    <w:rsid w:val="2249D84C"/>
    <w:rsid w:val="224FBA53"/>
    <w:rsid w:val="22539D6C"/>
    <w:rsid w:val="225886E2"/>
    <w:rsid w:val="226B9641"/>
    <w:rsid w:val="22715D1F"/>
    <w:rsid w:val="22726963"/>
    <w:rsid w:val="2286B4FD"/>
    <w:rsid w:val="228AE271"/>
    <w:rsid w:val="228B8751"/>
    <w:rsid w:val="228B95C7"/>
    <w:rsid w:val="229633A2"/>
    <w:rsid w:val="229BE216"/>
    <w:rsid w:val="22A5039D"/>
    <w:rsid w:val="22A7603C"/>
    <w:rsid w:val="22AD5B07"/>
    <w:rsid w:val="22BBAD89"/>
    <w:rsid w:val="22BD09A4"/>
    <w:rsid w:val="22D2D1F4"/>
    <w:rsid w:val="22DA79EB"/>
    <w:rsid w:val="22DE07A6"/>
    <w:rsid w:val="22E2DB10"/>
    <w:rsid w:val="22E76C39"/>
    <w:rsid w:val="22F7ED83"/>
    <w:rsid w:val="22FB43B2"/>
    <w:rsid w:val="2302D1D2"/>
    <w:rsid w:val="2303F49B"/>
    <w:rsid w:val="2306FC01"/>
    <w:rsid w:val="23081D40"/>
    <w:rsid w:val="230A5C76"/>
    <w:rsid w:val="230C60CD"/>
    <w:rsid w:val="230FB973"/>
    <w:rsid w:val="2310446C"/>
    <w:rsid w:val="23114F7C"/>
    <w:rsid w:val="231248D7"/>
    <w:rsid w:val="23143059"/>
    <w:rsid w:val="23175380"/>
    <w:rsid w:val="231F0544"/>
    <w:rsid w:val="232851E5"/>
    <w:rsid w:val="232B0C67"/>
    <w:rsid w:val="232D6B52"/>
    <w:rsid w:val="233A1EF3"/>
    <w:rsid w:val="233CF760"/>
    <w:rsid w:val="23405EBC"/>
    <w:rsid w:val="234C5ED5"/>
    <w:rsid w:val="234EFFBD"/>
    <w:rsid w:val="235FAA8D"/>
    <w:rsid w:val="235FD0DA"/>
    <w:rsid w:val="2363D924"/>
    <w:rsid w:val="2364A695"/>
    <w:rsid w:val="23674779"/>
    <w:rsid w:val="236E4A4A"/>
    <w:rsid w:val="2374E420"/>
    <w:rsid w:val="2375B311"/>
    <w:rsid w:val="2379C213"/>
    <w:rsid w:val="237E1FAB"/>
    <w:rsid w:val="237E5503"/>
    <w:rsid w:val="23855435"/>
    <w:rsid w:val="238D7056"/>
    <w:rsid w:val="23A3BF8D"/>
    <w:rsid w:val="23A41790"/>
    <w:rsid w:val="23A94CC3"/>
    <w:rsid w:val="23AA7BF8"/>
    <w:rsid w:val="23AC32A8"/>
    <w:rsid w:val="23B3C08E"/>
    <w:rsid w:val="23BE5D79"/>
    <w:rsid w:val="23CDAF2D"/>
    <w:rsid w:val="23CDCFF8"/>
    <w:rsid w:val="23D028F2"/>
    <w:rsid w:val="23D4ED99"/>
    <w:rsid w:val="23D64C04"/>
    <w:rsid w:val="23D6C0E1"/>
    <w:rsid w:val="23D718A8"/>
    <w:rsid w:val="23D944DA"/>
    <w:rsid w:val="23D97904"/>
    <w:rsid w:val="23E6CFEF"/>
    <w:rsid w:val="23E6DE23"/>
    <w:rsid w:val="23E81061"/>
    <w:rsid w:val="23E89B56"/>
    <w:rsid w:val="23EB8AB4"/>
    <w:rsid w:val="23F17ED7"/>
    <w:rsid w:val="23FE9ED4"/>
    <w:rsid w:val="2408DD55"/>
    <w:rsid w:val="240D0DEB"/>
    <w:rsid w:val="240E36E3"/>
    <w:rsid w:val="240EC2C8"/>
    <w:rsid w:val="240FC955"/>
    <w:rsid w:val="2412DFF6"/>
    <w:rsid w:val="24145C70"/>
    <w:rsid w:val="2422ADEE"/>
    <w:rsid w:val="24271726"/>
    <w:rsid w:val="2436F205"/>
    <w:rsid w:val="24398D17"/>
    <w:rsid w:val="243B0E76"/>
    <w:rsid w:val="244B8EA0"/>
    <w:rsid w:val="245498CD"/>
    <w:rsid w:val="2455BD0D"/>
    <w:rsid w:val="245D5E79"/>
    <w:rsid w:val="2460F353"/>
    <w:rsid w:val="246494D8"/>
    <w:rsid w:val="2466B3DC"/>
    <w:rsid w:val="24776F9A"/>
    <w:rsid w:val="247D6AAD"/>
    <w:rsid w:val="247E6BAA"/>
    <w:rsid w:val="24847A2C"/>
    <w:rsid w:val="248C479F"/>
    <w:rsid w:val="249A336D"/>
    <w:rsid w:val="249FF78E"/>
    <w:rsid w:val="24AAF20A"/>
    <w:rsid w:val="24B97CD2"/>
    <w:rsid w:val="24C0C068"/>
    <w:rsid w:val="24E11569"/>
    <w:rsid w:val="24E16572"/>
    <w:rsid w:val="24E7EF31"/>
    <w:rsid w:val="24E99BE9"/>
    <w:rsid w:val="24EF7410"/>
    <w:rsid w:val="24F8BEF5"/>
    <w:rsid w:val="24FBF33F"/>
    <w:rsid w:val="24FE5398"/>
    <w:rsid w:val="24FFF0D9"/>
    <w:rsid w:val="25002A4F"/>
    <w:rsid w:val="25014395"/>
    <w:rsid w:val="2501BF0B"/>
    <w:rsid w:val="25061633"/>
    <w:rsid w:val="250A7B51"/>
    <w:rsid w:val="250F35FD"/>
    <w:rsid w:val="25118BAE"/>
    <w:rsid w:val="25120831"/>
    <w:rsid w:val="2519BE4B"/>
    <w:rsid w:val="251C3F1A"/>
    <w:rsid w:val="251CEC19"/>
    <w:rsid w:val="2528EAC1"/>
    <w:rsid w:val="252A493D"/>
    <w:rsid w:val="252B10EE"/>
    <w:rsid w:val="252FD72D"/>
    <w:rsid w:val="25388A44"/>
    <w:rsid w:val="25604ED2"/>
    <w:rsid w:val="25680601"/>
    <w:rsid w:val="2569A059"/>
    <w:rsid w:val="256E9D5C"/>
    <w:rsid w:val="25747D25"/>
    <w:rsid w:val="257501DA"/>
    <w:rsid w:val="25757DC3"/>
    <w:rsid w:val="25785460"/>
    <w:rsid w:val="2584816E"/>
    <w:rsid w:val="2589DCC7"/>
    <w:rsid w:val="258DE53C"/>
    <w:rsid w:val="2591BE0A"/>
    <w:rsid w:val="25A5D1A9"/>
    <w:rsid w:val="25A69295"/>
    <w:rsid w:val="25ADED05"/>
    <w:rsid w:val="25B30269"/>
    <w:rsid w:val="25B36348"/>
    <w:rsid w:val="25BA791C"/>
    <w:rsid w:val="25BCE501"/>
    <w:rsid w:val="25C4DE3B"/>
    <w:rsid w:val="25CB8E4C"/>
    <w:rsid w:val="25CD1F6E"/>
    <w:rsid w:val="25D22412"/>
    <w:rsid w:val="25D66AAD"/>
    <w:rsid w:val="25DED921"/>
    <w:rsid w:val="25E42529"/>
    <w:rsid w:val="25FCBA12"/>
    <w:rsid w:val="260872F1"/>
    <w:rsid w:val="26110AEC"/>
    <w:rsid w:val="26128F26"/>
    <w:rsid w:val="261A4FC6"/>
    <w:rsid w:val="26259B1B"/>
    <w:rsid w:val="262C7925"/>
    <w:rsid w:val="262D79B7"/>
    <w:rsid w:val="26315F45"/>
    <w:rsid w:val="2639F2B8"/>
    <w:rsid w:val="263A6ED8"/>
    <w:rsid w:val="263E0790"/>
    <w:rsid w:val="263F1EA6"/>
    <w:rsid w:val="263FF6C8"/>
    <w:rsid w:val="2640811B"/>
    <w:rsid w:val="2643EC3E"/>
    <w:rsid w:val="2648C704"/>
    <w:rsid w:val="264CEEEC"/>
    <w:rsid w:val="264EC826"/>
    <w:rsid w:val="2662D44E"/>
    <w:rsid w:val="2671C299"/>
    <w:rsid w:val="26862AC1"/>
    <w:rsid w:val="268F9520"/>
    <w:rsid w:val="2694E1E1"/>
    <w:rsid w:val="269C445E"/>
    <w:rsid w:val="269FB881"/>
    <w:rsid w:val="26A4D167"/>
    <w:rsid w:val="26A5E2E9"/>
    <w:rsid w:val="26A6083E"/>
    <w:rsid w:val="26BD5783"/>
    <w:rsid w:val="26C3DE35"/>
    <w:rsid w:val="26C6A5BB"/>
    <w:rsid w:val="26CAD7BD"/>
    <w:rsid w:val="26CBA78E"/>
    <w:rsid w:val="26D7240B"/>
    <w:rsid w:val="26DCEA22"/>
    <w:rsid w:val="26DE9289"/>
    <w:rsid w:val="26E07FA5"/>
    <w:rsid w:val="26E70954"/>
    <w:rsid w:val="26EAB7E1"/>
    <w:rsid w:val="26EBFD21"/>
    <w:rsid w:val="26F0834C"/>
    <w:rsid w:val="2700FFBA"/>
    <w:rsid w:val="27111FB1"/>
    <w:rsid w:val="27137C48"/>
    <w:rsid w:val="271651BC"/>
    <w:rsid w:val="27173143"/>
    <w:rsid w:val="2721B367"/>
    <w:rsid w:val="2724D1A4"/>
    <w:rsid w:val="272544E7"/>
    <w:rsid w:val="27275E63"/>
    <w:rsid w:val="273A8A01"/>
    <w:rsid w:val="273B7DE3"/>
    <w:rsid w:val="27404EE6"/>
    <w:rsid w:val="27476E3C"/>
    <w:rsid w:val="27538D58"/>
    <w:rsid w:val="2756D4E9"/>
    <w:rsid w:val="27577BF8"/>
    <w:rsid w:val="27657933"/>
    <w:rsid w:val="276FFA01"/>
    <w:rsid w:val="2772AF38"/>
    <w:rsid w:val="2773B822"/>
    <w:rsid w:val="278E4AFC"/>
    <w:rsid w:val="278FA15F"/>
    <w:rsid w:val="27929AA0"/>
    <w:rsid w:val="27963EF8"/>
    <w:rsid w:val="279A9A31"/>
    <w:rsid w:val="27A7235A"/>
    <w:rsid w:val="27AD4283"/>
    <w:rsid w:val="27ADECB9"/>
    <w:rsid w:val="27B49AEF"/>
    <w:rsid w:val="27D5E1FE"/>
    <w:rsid w:val="27D94D88"/>
    <w:rsid w:val="27DE934A"/>
    <w:rsid w:val="27EA5DCE"/>
    <w:rsid w:val="27EB5888"/>
    <w:rsid w:val="27EF64DA"/>
    <w:rsid w:val="27F2C759"/>
    <w:rsid w:val="27FB4C40"/>
    <w:rsid w:val="28052D95"/>
    <w:rsid w:val="280C5AD8"/>
    <w:rsid w:val="280DD172"/>
    <w:rsid w:val="2818A893"/>
    <w:rsid w:val="2819D924"/>
    <w:rsid w:val="28205C10"/>
    <w:rsid w:val="28256C84"/>
    <w:rsid w:val="282CADE3"/>
    <w:rsid w:val="283EAC7F"/>
    <w:rsid w:val="283F920C"/>
    <w:rsid w:val="28401264"/>
    <w:rsid w:val="28494DBF"/>
    <w:rsid w:val="284D6A86"/>
    <w:rsid w:val="284FF9E0"/>
    <w:rsid w:val="2851C81D"/>
    <w:rsid w:val="2851EA92"/>
    <w:rsid w:val="285D2D6B"/>
    <w:rsid w:val="2861B6B9"/>
    <w:rsid w:val="2863B1A9"/>
    <w:rsid w:val="2865D4BB"/>
    <w:rsid w:val="286D74B9"/>
    <w:rsid w:val="286E97FD"/>
    <w:rsid w:val="2871FE8A"/>
    <w:rsid w:val="2884682F"/>
    <w:rsid w:val="28869957"/>
    <w:rsid w:val="2888E2DA"/>
    <w:rsid w:val="288FA29D"/>
    <w:rsid w:val="289632CB"/>
    <w:rsid w:val="289CD01B"/>
    <w:rsid w:val="289EA07D"/>
    <w:rsid w:val="28A1DE49"/>
    <w:rsid w:val="28AA3204"/>
    <w:rsid w:val="28B073ED"/>
    <w:rsid w:val="28B0EEC7"/>
    <w:rsid w:val="28B1BF2E"/>
    <w:rsid w:val="28B7972A"/>
    <w:rsid w:val="28BC55CC"/>
    <w:rsid w:val="28CA19D4"/>
    <w:rsid w:val="28CCFB43"/>
    <w:rsid w:val="28CFCCFB"/>
    <w:rsid w:val="28D88CA1"/>
    <w:rsid w:val="28E2AC08"/>
    <w:rsid w:val="28ECBC1E"/>
    <w:rsid w:val="28F66040"/>
    <w:rsid w:val="2908F1CB"/>
    <w:rsid w:val="2910EF93"/>
    <w:rsid w:val="292209BA"/>
    <w:rsid w:val="2937B976"/>
    <w:rsid w:val="2937BE1E"/>
    <w:rsid w:val="293AEA29"/>
    <w:rsid w:val="293C485A"/>
    <w:rsid w:val="29440351"/>
    <w:rsid w:val="294E2F93"/>
    <w:rsid w:val="295F8BCF"/>
    <w:rsid w:val="2961BE5C"/>
    <w:rsid w:val="29630691"/>
    <w:rsid w:val="2963CDB3"/>
    <w:rsid w:val="2966A7A6"/>
    <w:rsid w:val="296D30D2"/>
    <w:rsid w:val="296EDD2D"/>
    <w:rsid w:val="2970B19A"/>
    <w:rsid w:val="29870568"/>
    <w:rsid w:val="298F8E6D"/>
    <w:rsid w:val="29913489"/>
    <w:rsid w:val="2996C073"/>
    <w:rsid w:val="299EA12D"/>
    <w:rsid w:val="29A1F589"/>
    <w:rsid w:val="29A6E75E"/>
    <w:rsid w:val="29A9A1D3"/>
    <w:rsid w:val="29AD9AA2"/>
    <w:rsid w:val="29C55A3D"/>
    <w:rsid w:val="29C5F969"/>
    <w:rsid w:val="29E1D321"/>
    <w:rsid w:val="29E3F476"/>
    <w:rsid w:val="29E8496B"/>
    <w:rsid w:val="29F55CDB"/>
    <w:rsid w:val="29F5C8F3"/>
    <w:rsid w:val="29F61D20"/>
    <w:rsid w:val="29FD87C7"/>
    <w:rsid w:val="2A04D7EE"/>
    <w:rsid w:val="2A0B7069"/>
    <w:rsid w:val="2A0DC2CE"/>
    <w:rsid w:val="2A0EF967"/>
    <w:rsid w:val="2A10939E"/>
    <w:rsid w:val="2A1565D5"/>
    <w:rsid w:val="2A15DA1A"/>
    <w:rsid w:val="2A1B6BD2"/>
    <w:rsid w:val="2A1D3056"/>
    <w:rsid w:val="2A24B33B"/>
    <w:rsid w:val="2A29238B"/>
    <w:rsid w:val="2A3058FD"/>
    <w:rsid w:val="2A3A3090"/>
    <w:rsid w:val="2A3B1BB2"/>
    <w:rsid w:val="2A3B3F17"/>
    <w:rsid w:val="2A3D1185"/>
    <w:rsid w:val="2A42EE5D"/>
    <w:rsid w:val="2A557F89"/>
    <w:rsid w:val="2A56C69D"/>
    <w:rsid w:val="2A617608"/>
    <w:rsid w:val="2A72122E"/>
    <w:rsid w:val="2A767559"/>
    <w:rsid w:val="2A88D3F7"/>
    <w:rsid w:val="2A9A44E1"/>
    <w:rsid w:val="2AA775F9"/>
    <w:rsid w:val="2AB3A981"/>
    <w:rsid w:val="2AB82664"/>
    <w:rsid w:val="2ABB3985"/>
    <w:rsid w:val="2ACD375E"/>
    <w:rsid w:val="2AE14A56"/>
    <w:rsid w:val="2AE6C1EB"/>
    <w:rsid w:val="2AEDFB53"/>
    <w:rsid w:val="2AFED6F2"/>
    <w:rsid w:val="2B0F2042"/>
    <w:rsid w:val="2B17B8C3"/>
    <w:rsid w:val="2B2663CF"/>
    <w:rsid w:val="2B30E3DC"/>
    <w:rsid w:val="2B38CAA4"/>
    <w:rsid w:val="2B4C8F0A"/>
    <w:rsid w:val="2B4E973C"/>
    <w:rsid w:val="2B526D29"/>
    <w:rsid w:val="2B55CA4E"/>
    <w:rsid w:val="2B5A6193"/>
    <w:rsid w:val="2B612A9E"/>
    <w:rsid w:val="2B6429ED"/>
    <w:rsid w:val="2B64628B"/>
    <w:rsid w:val="2B674011"/>
    <w:rsid w:val="2B6B343E"/>
    <w:rsid w:val="2B6E8C84"/>
    <w:rsid w:val="2B70CF88"/>
    <w:rsid w:val="2B7C447B"/>
    <w:rsid w:val="2B8D5A86"/>
    <w:rsid w:val="2B9232FD"/>
    <w:rsid w:val="2B9BB6E5"/>
    <w:rsid w:val="2BA06157"/>
    <w:rsid w:val="2BA48C00"/>
    <w:rsid w:val="2BA9C441"/>
    <w:rsid w:val="2BBEAFF5"/>
    <w:rsid w:val="2BC38A90"/>
    <w:rsid w:val="2BCD0B9F"/>
    <w:rsid w:val="2BD66067"/>
    <w:rsid w:val="2BE1DAEC"/>
    <w:rsid w:val="2BE8E32A"/>
    <w:rsid w:val="2BECE837"/>
    <w:rsid w:val="2BEEA402"/>
    <w:rsid w:val="2BF44EB8"/>
    <w:rsid w:val="2BFE282A"/>
    <w:rsid w:val="2C0F2A01"/>
    <w:rsid w:val="2C114959"/>
    <w:rsid w:val="2C2D789F"/>
    <w:rsid w:val="2C2EE1B0"/>
    <w:rsid w:val="2C440C6A"/>
    <w:rsid w:val="2C536204"/>
    <w:rsid w:val="2C569507"/>
    <w:rsid w:val="2C56C727"/>
    <w:rsid w:val="2C589AF0"/>
    <w:rsid w:val="2C59CE20"/>
    <w:rsid w:val="2C5DB8E2"/>
    <w:rsid w:val="2C6538FC"/>
    <w:rsid w:val="2C68E07A"/>
    <w:rsid w:val="2C6DBEAA"/>
    <w:rsid w:val="2C77A7C2"/>
    <w:rsid w:val="2C81B931"/>
    <w:rsid w:val="2C82924C"/>
    <w:rsid w:val="2C967261"/>
    <w:rsid w:val="2C990EB7"/>
    <w:rsid w:val="2C9994DF"/>
    <w:rsid w:val="2C9F2F76"/>
    <w:rsid w:val="2CA058CB"/>
    <w:rsid w:val="2CA13A3D"/>
    <w:rsid w:val="2CAA3E3E"/>
    <w:rsid w:val="2CABEC33"/>
    <w:rsid w:val="2CAD4914"/>
    <w:rsid w:val="2CADBF40"/>
    <w:rsid w:val="2CAE231E"/>
    <w:rsid w:val="2CB2A31B"/>
    <w:rsid w:val="2CCC6039"/>
    <w:rsid w:val="2CCCB43D"/>
    <w:rsid w:val="2CCCE602"/>
    <w:rsid w:val="2CCCEF15"/>
    <w:rsid w:val="2CCD5D94"/>
    <w:rsid w:val="2CD7869A"/>
    <w:rsid w:val="2CE03A1A"/>
    <w:rsid w:val="2CE735CD"/>
    <w:rsid w:val="2CF7E425"/>
    <w:rsid w:val="2CFBE1CD"/>
    <w:rsid w:val="2D00CEE0"/>
    <w:rsid w:val="2D068353"/>
    <w:rsid w:val="2D078F4A"/>
    <w:rsid w:val="2D0B8D5E"/>
    <w:rsid w:val="2D229C57"/>
    <w:rsid w:val="2D2CB608"/>
    <w:rsid w:val="2D3139B2"/>
    <w:rsid w:val="2D31F828"/>
    <w:rsid w:val="2D39AA02"/>
    <w:rsid w:val="2D3A9148"/>
    <w:rsid w:val="2D3A942F"/>
    <w:rsid w:val="2D3B0D3F"/>
    <w:rsid w:val="2D3C0A81"/>
    <w:rsid w:val="2D42E035"/>
    <w:rsid w:val="2D5029A5"/>
    <w:rsid w:val="2D5328E8"/>
    <w:rsid w:val="2D54D47D"/>
    <w:rsid w:val="2D5E6AC9"/>
    <w:rsid w:val="2D5F5F1C"/>
    <w:rsid w:val="2D6D772D"/>
    <w:rsid w:val="2D7066FA"/>
    <w:rsid w:val="2D70EBBE"/>
    <w:rsid w:val="2D732912"/>
    <w:rsid w:val="2D7578F0"/>
    <w:rsid w:val="2D76553F"/>
    <w:rsid w:val="2D7E8977"/>
    <w:rsid w:val="2D7F38C0"/>
    <w:rsid w:val="2D7F63EA"/>
    <w:rsid w:val="2D85C511"/>
    <w:rsid w:val="2D86D84A"/>
    <w:rsid w:val="2D8EB187"/>
    <w:rsid w:val="2D900B13"/>
    <w:rsid w:val="2D90602B"/>
    <w:rsid w:val="2D9463BC"/>
    <w:rsid w:val="2D949375"/>
    <w:rsid w:val="2D9824ED"/>
    <w:rsid w:val="2D9E7888"/>
    <w:rsid w:val="2DA4881D"/>
    <w:rsid w:val="2DB071B8"/>
    <w:rsid w:val="2DBE6AF3"/>
    <w:rsid w:val="2DC2F56E"/>
    <w:rsid w:val="2DC32115"/>
    <w:rsid w:val="2DC40D9A"/>
    <w:rsid w:val="2DC903F3"/>
    <w:rsid w:val="2DC9C88B"/>
    <w:rsid w:val="2DCA36DA"/>
    <w:rsid w:val="2DCB7FAA"/>
    <w:rsid w:val="2DD75F47"/>
    <w:rsid w:val="2DF172ED"/>
    <w:rsid w:val="2DF1F090"/>
    <w:rsid w:val="2DF64205"/>
    <w:rsid w:val="2DF9F63D"/>
    <w:rsid w:val="2E03E613"/>
    <w:rsid w:val="2E096F3E"/>
    <w:rsid w:val="2E121D48"/>
    <w:rsid w:val="2E122304"/>
    <w:rsid w:val="2E137823"/>
    <w:rsid w:val="2E1B7EBE"/>
    <w:rsid w:val="2E1CAF62"/>
    <w:rsid w:val="2E1D2E3D"/>
    <w:rsid w:val="2E1FC46E"/>
    <w:rsid w:val="2E21CC46"/>
    <w:rsid w:val="2E36369B"/>
    <w:rsid w:val="2E3FE680"/>
    <w:rsid w:val="2E491975"/>
    <w:rsid w:val="2E569497"/>
    <w:rsid w:val="2E58A994"/>
    <w:rsid w:val="2E59C725"/>
    <w:rsid w:val="2E5F3D5D"/>
    <w:rsid w:val="2E60C9C5"/>
    <w:rsid w:val="2E60DD0F"/>
    <w:rsid w:val="2E6208DD"/>
    <w:rsid w:val="2E62FF90"/>
    <w:rsid w:val="2E66A2DF"/>
    <w:rsid w:val="2E69E561"/>
    <w:rsid w:val="2E6C9E0C"/>
    <w:rsid w:val="2E6EDB90"/>
    <w:rsid w:val="2E7813AE"/>
    <w:rsid w:val="2E809C40"/>
    <w:rsid w:val="2E809E09"/>
    <w:rsid w:val="2E8DFA09"/>
    <w:rsid w:val="2E8E503D"/>
    <w:rsid w:val="2E9C661C"/>
    <w:rsid w:val="2EB0857B"/>
    <w:rsid w:val="2EB9F6E3"/>
    <w:rsid w:val="2EC07CC9"/>
    <w:rsid w:val="2EC262B7"/>
    <w:rsid w:val="2ECD5C6F"/>
    <w:rsid w:val="2ED46CEE"/>
    <w:rsid w:val="2ED661A9"/>
    <w:rsid w:val="2ED6DDA0"/>
    <w:rsid w:val="2ED709E9"/>
    <w:rsid w:val="2EF5BB33"/>
    <w:rsid w:val="2EFFC597"/>
    <w:rsid w:val="2F0EBB48"/>
    <w:rsid w:val="2F105E9F"/>
    <w:rsid w:val="2F1575ED"/>
    <w:rsid w:val="2F17D985"/>
    <w:rsid w:val="2F17F1D9"/>
    <w:rsid w:val="2F189035"/>
    <w:rsid w:val="2F1C6381"/>
    <w:rsid w:val="2F21135C"/>
    <w:rsid w:val="2F23CD30"/>
    <w:rsid w:val="2F2B2C2E"/>
    <w:rsid w:val="2F2CC8E1"/>
    <w:rsid w:val="2F31701C"/>
    <w:rsid w:val="2F324E70"/>
    <w:rsid w:val="2F33C4BA"/>
    <w:rsid w:val="2F424E55"/>
    <w:rsid w:val="2F46ECF4"/>
    <w:rsid w:val="2F4D77A2"/>
    <w:rsid w:val="2F5CEE3C"/>
    <w:rsid w:val="2F63BE75"/>
    <w:rsid w:val="2F6A591C"/>
    <w:rsid w:val="2F7B39C4"/>
    <w:rsid w:val="2F7E018F"/>
    <w:rsid w:val="2F83520E"/>
    <w:rsid w:val="2F8B5EBE"/>
    <w:rsid w:val="2F91F825"/>
    <w:rsid w:val="2F9811BB"/>
    <w:rsid w:val="2F98657E"/>
    <w:rsid w:val="2F9A1641"/>
    <w:rsid w:val="2F9BD833"/>
    <w:rsid w:val="2F9CE753"/>
    <w:rsid w:val="2FA3090E"/>
    <w:rsid w:val="2FA31486"/>
    <w:rsid w:val="2FA55F6C"/>
    <w:rsid w:val="2FA67BDE"/>
    <w:rsid w:val="2FA6F6F3"/>
    <w:rsid w:val="2FA7B027"/>
    <w:rsid w:val="2FA7DF72"/>
    <w:rsid w:val="2FA8E307"/>
    <w:rsid w:val="2FA96683"/>
    <w:rsid w:val="2FAFC034"/>
    <w:rsid w:val="2FBB0B78"/>
    <w:rsid w:val="2FBCE70D"/>
    <w:rsid w:val="2FC01BB7"/>
    <w:rsid w:val="2FC167BD"/>
    <w:rsid w:val="2FC20BFB"/>
    <w:rsid w:val="2FC2CC78"/>
    <w:rsid w:val="2FCA3406"/>
    <w:rsid w:val="2FD0C31F"/>
    <w:rsid w:val="2FD7F98D"/>
    <w:rsid w:val="2FE1C9E9"/>
    <w:rsid w:val="2FE4B274"/>
    <w:rsid w:val="2FE531D7"/>
    <w:rsid w:val="2FEDBFD9"/>
    <w:rsid w:val="2FEFA3C6"/>
    <w:rsid w:val="2FF8B6D1"/>
    <w:rsid w:val="2FFEB96C"/>
    <w:rsid w:val="30025CBE"/>
    <w:rsid w:val="300F90FD"/>
    <w:rsid w:val="30104937"/>
    <w:rsid w:val="301202FB"/>
    <w:rsid w:val="301D744D"/>
    <w:rsid w:val="302BED13"/>
    <w:rsid w:val="302DECDB"/>
    <w:rsid w:val="30358BF6"/>
    <w:rsid w:val="303E79A2"/>
    <w:rsid w:val="304401AA"/>
    <w:rsid w:val="304D519F"/>
    <w:rsid w:val="304DEF36"/>
    <w:rsid w:val="30520EA9"/>
    <w:rsid w:val="30544D18"/>
    <w:rsid w:val="305AB757"/>
    <w:rsid w:val="3072AE01"/>
    <w:rsid w:val="3072EE5B"/>
    <w:rsid w:val="307E7EF4"/>
    <w:rsid w:val="3085F970"/>
    <w:rsid w:val="308F4AE3"/>
    <w:rsid w:val="3096FBB3"/>
    <w:rsid w:val="30975F4B"/>
    <w:rsid w:val="30A25D75"/>
    <w:rsid w:val="30A742C9"/>
    <w:rsid w:val="30AC7EE7"/>
    <w:rsid w:val="30B54C0F"/>
    <w:rsid w:val="30BBAF9B"/>
    <w:rsid w:val="30CA50A2"/>
    <w:rsid w:val="30CFCEEE"/>
    <w:rsid w:val="30D00FA8"/>
    <w:rsid w:val="30D0B6C2"/>
    <w:rsid w:val="30D30E26"/>
    <w:rsid w:val="30D36D77"/>
    <w:rsid w:val="30D462A5"/>
    <w:rsid w:val="30D628FD"/>
    <w:rsid w:val="30E7B99A"/>
    <w:rsid w:val="30EB1755"/>
    <w:rsid w:val="30EE36E5"/>
    <w:rsid w:val="30EE4538"/>
    <w:rsid w:val="31081D5B"/>
    <w:rsid w:val="31158D62"/>
    <w:rsid w:val="312BA8DB"/>
    <w:rsid w:val="312DCE4A"/>
    <w:rsid w:val="3137A482"/>
    <w:rsid w:val="31411A85"/>
    <w:rsid w:val="31412294"/>
    <w:rsid w:val="31488744"/>
    <w:rsid w:val="3152D762"/>
    <w:rsid w:val="31556915"/>
    <w:rsid w:val="315598AE"/>
    <w:rsid w:val="315AC4C8"/>
    <w:rsid w:val="315DAF43"/>
    <w:rsid w:val="315DE30A"/>
    <w:rsid w:val="315F0F1B"/>
    <w:rsid w:val="315F1EF9"/>
    <w:rsid w:val="3162EAFB"/>
    <w:rsid w:val="316457C3"/>
    <w:rsid w:val="316A1B64"/>
    <w:rsid w:val="316C679C"/>
    <w:rsid w:val="316E5525"/>
    <w:rsid w:val="317078A4"/>
    <w:rsid w:val="31787DBB"/>
    <w:rsid w:val="3180BA37"/>
    <w:rsid w:val="318A22D1"/>
    <w:rsid w:val="318ED20A"/>
    <w:rsid w:val="31913BC7"/>
    <w:rsid w:val="31980D8B"/>
    <w:rsid w:val="31A19725"/>
    <w:rsid w:val="31A67F6F"/>
    <w:rsid w:val="31A7D7EC"/>
    <w:rsid w:val="31AC906C"/>
    <w:rsid w:val="31B6B781"/>
    <w:rsid w:val="31BC111E"/>
    <w:rsid w:val="31C9539C"/>
    <w:rsid w:val="31D3076B"/>
    <w:rsid w:val="31D6ECA7"/>
    <w:rsid w:val="31D851EF"/>
    <w:rsid w:val="31D926E2"/>
    <w:rsid w:val="31E590C4"/>
    <w:rsid w:val="31EAC39F"/>
    <w:rsid w:val="31EE9B62"/>
    <w:rsid w:val="31FAD141"/>
    <w:rsid w:val="31FC86D8"/>
    <w:rsid w:val="31FEDC83"/>
    <w:rsid w:val="320B31EB"/>
    <w:rsid w:val="320C8122"/>
    <w:rsid w:val="320DE9E8"/>
    <w:rsid w:val="320E7E62"/>
    <w:rsid w:val="3224100F"/>
    <w:rsid w:val="3225A97D"/>
    <w:rsid w:val="322A7E8A"/>
    <w:rsid w:val="322C3E8C"/>
    <w:rsid w:val="322DBB94"/>
    <w:rsid w:val="3237F413"/>
    <w:rsid w:val="324916F6"/>
    <w:rsid w:val="3249DC8D"/>
    <w:rsid w:val="324B05B4"/>
    <w:rsid w:val="324ECE86"/>
    <w:rsid w:val="3250899E"/>
    <w:rsid w:val="3250AF3E"/>
    <w:rsid w:val="32611FC4"/>
    <w:rsid w:val="32612358"/>
    <w:rsid w:val="3262EEBF"/>
    <w:rsid w:val="326D8456"/>
    <w:rsid w:val="326EF37A"/>
    <w:rsid w:val="327F9235"/>
    <w:rsid w:val="3281AFF9"/>
    <w:rsid w:val="328760C8"/>
    <w:rsid w:val="329260E1"/>
    <w:rsid w:val="32962E50"/>
    <w:rsid w:val="3296ABB4"/>
    <w:rsid w:val="3299572F"/>
    <w:rsid w:val="32A1F9DE"/>
    <w:rsid w:val="32A5EE9D"/>
    <w:rsid w:val="32C0C92C"/>
    <w:rsid w:val="32C7FD7D"/>
    <w:rsid w:val="32C8DDE2"/>
    <w:rsid w:val="32CC9668"/>
    <w:rsid w:val="32DE202B"/>
    <w:rsid w:val="32E223B1"/>
    <w:rsid w:val="32E8C07E"/>
    <w:rsid w:val="32F0E344"/>
    <w:rsid w:val="32FAEA86"/>
    <w:rsid w:val="3303623B"/>
    <w:rsid w:val="330C17F9"/>
    <w:rsid w:val="330C29CB"/>
    <w:rsid w:val="330F9A4F"/>
    <w:rsid w:val="331B0C77"/>
    <w:rsid w:val="332067F2"/>
    <w:rsid w:val="3320BACE"/>
    <w:rsid w:val="3323F9C2"/>
    <w:rsid w:val="3326A75E"/>
    <w:rsid w:val="3332DBD5"/>
    <w:rsid w:val="33330C19"/>
    <w:rsid w:val="3349BA22"/>
    <w:rsid w:val="33548A34"/>
    <w:rsid w:val="335611A4"/>
    <w:rsid w:val="335852F5"/>
    <w:rsid w:val="336282D2"/>
    <w:rsid w:val="336DB89D"/>
    <w:rsid w:val="3371201F"/>
    <w:rsid w:val="33752761"/>
    <w:rsid w:val="337A3EBD"/>
    <w:rsid w:val="338F7673"/>
    <w:rsid w:val="338FC329"/>
    <w:rsid w:val="3391774E"/>
    <w:rsid w:val="33919200"/>
    <w:rsid w:val="339EC58B"/>
    <w:rsid w:val="33A40B8C"/>
    <w:rsid w:val="33B7B682"/>
    <w:rsid w:val="33BF4664"/>
    <w:rsid w:val="33C4D137"/>
    <w:rsid w:val="33DAD8A9"/>
    <w:rsid w:val="33E596C3"/>
    <w:rsid w:val="33E6D659"/>
    <w:rsid w:val="33E8F0C2"/>
    <w:rsid w:val="33E9427E"/>
    <w:rsid w:val="33EE4218"/>
    <w:rsid w:val="33F27F29"/>
    <w:rsid w:val="33F3A7DC"/>
    <w:rsid w:val="33FF1622"/>
    <w:rsid w:val="340B3708"/>
    <w:rsid w:val="341067B8"/>
    <w:rsid w:val="3412E8C2"/>
    <w:rsid w:val="341A6525"/>
    <w:rsid w:val="342B5085"/>
    <w:rsid w:val="342BD2F5"/>
    <w:rsid w:val="34334F1E"/>
    <w:rsid w:val="34342FE9"/>
    <w:rsid w:val="343BC737"/>
    <w:rsid w:val="343D583A"/>
    <w:rsid w:val="343FF0E5"/>
    <w:rsid w:val="344941C4"/>
    <w:rsid w:val="34536CC5"/>
    <w:rsid w:val="3456AAAF"/>
    <w:rsid w:val="3456AFD8"/>
    <w:rsid w:val="345C66BF"/>
    <w:rsid w:val="346490C5"/>
    <w:rsid w:val="3474F0FC"/>
    <w:rsid w:val="347EDC65"/>
    <w:rsid w:val="347F04A3"/>
    <w:rsid w:val="3482446E"/>
    <w:rsid w:val="349162D7"/>
    <w:rsid w:val="34924253"/>
    <w:rsid w:val="34944EB0"/>
    <w:rsid w:val="349BC661"/>
    <w:rsid w:val="34A002E6"/>
    <w:rsid w:val="34A06B3A"/>
    <w:rsid w:val="34A8BC39"/>
    <w:rsid w:val="34ABE05C"/>
    <w:rsid w:val="34B21138"/>
    <w:rsid w:val="34B54A74"/>
    <w:rsid w:val="34BB2D44"/>
    <w:rsid w:val="34BDD64C"/>
    <w:rsid w:val="34C277BF"/>
    <w:rsid w:val="34C858DE"/>
    <w:rsid w:val="34C8DC89"/>
    <w:rsid w:val="34D1F2DB"/>
    <w:rsid w:val="34D99D36"/>
    <w:rsid w:val="34E36C99"/>
    <w:rsid w:val="34EF42EB"/>
    <w:rsid w:val="34F0DF07"/>
    <w:rsid w:val="34FCE71D"/>
    <w:rsid w:val="3501DDD4"/>
    <w:rsid w:val="3514F3D1"/>
    <w:rsid w:val="3515652B"/>
    <w:rsid w:val="35161B1E"/>
    <w:rsid w:val="3521B91A"/>
    <w:rsid w:val="352AE15D"/>
    <w:rsid w:val="352BB003"/>
    <w:rsid w:val="35412CD2"/>
    <w:rsid w:val="354822A9"/>
    <w:rsid w:val="35687ACD"/>
    <w:rsid w:val="356960EF"/>
    <w:rsid w:val="35764BDD"/>
    <w:rsid w:val="3577D6DC"/>
    <w:rsid w:val="35800029"/>
    <w:rsid w:val="3580EB1C"/>
    <w:rsid w:val="3581528B"/>
    <w:rsid w:val="35894011"/>
    <w:rsid w:val="358A05D8"/>
    <w:rsid w:val="358DF7F5"/>
    <w:rsid w:val="358F50A4"/>
    <w:rsid w:val="3598C7A0"/>
    <w:rsid w:val="35A29D42"/>
    <w:rsid w:val="35A6DE9A"/>
    <w:rsid w:val="35AD82A5"/>
    <w:rsid w:val="35BE5BA1"/>
    <w:rsid w:val="35C28FAC"/>
    <w:rsid w:val="35C59D88"/>
    <w:rsid w:val="35C720E6"/>
    <w:rsid w:val="35C7A03E"/>
    <w:rsid w:val="35D0CCD7"/>
    <w:rsid w:val="35D1BAE0"/>
    <w:rsid w:val="35D6FD9B"/>
    <w:rsid w:val="35DAA09B"/>
    <w:rsid w:val="35ED9A19"/>
    <w:rsid w:val="35EF8ED6"/>
    <w:rsid w:val="35F0C92E"/>
    <w:rsid w:val="35F18F54"/>
    <w:rsid w:val="35FC6F03"/>
    <w:rsid w:val="3602A057"/>
    <w:rsid w:val="360561AB"/>
    <w:rsid w:val="360A0CD9"/>
    <w:rsid w:val="3614A0F0"/>
    <w:rsid w:val="361F7931"/>
    <w:rsid w:val="361F8FC9"/>
    <w:rsid w:val="3621A19F"/>
    <w:rsid w:val="362B97E2"/>
    <w:rsid w:val="362C5FE9"/>
    <w:rsid w:val="36324B2C"/>
    <w:rsid w:val="363640D9"/>
    <w:rsid w:val="3639032E"/>
    <w:rsid w:val="363A3638"/>
    <w:rsid w:val="363A5E6A"/>
    <w:rsid w:val="3640EDEA"/>
    <w:rsid w:val="36418CED"/>
    <w:rsid w:val="3645177D"/>
    <w:rsid w:val="364B56E0"/>
    <w:rsid w:val="3659A6AD"/>
    <w:rsid w:val="3663373B"/>
    <w:rsid w:val="366594FB"/>
    <w:rsid w:val="367AA219"/>
    <w:rsid w:val="367D5B9F"/>
    <w:rsid w:val="36817512"/>
    <w:rsid w:val="36881162"/>
    <w:rsid w:val="368C86E3"/>
    <w:rsid w:val="368FD54F"/>
    <w:rsid w:val="369142E1"/>
    <w:rsid w:val="3697EA40"/>
    <w:rsid w:val="36A27B2D"/>
    <w:rsid w:val="36B1EB7F"/>
    <w:rsid w:val="36C3FC5C"/>
    <w:rsid w:val="36C88549"/>
    <w:rsid w:val="36CB8EAE"/>
    <w:rsid w:val="36D3733B"/>
    <w:rsid w:val="36E0776F"/>
    <w:rsid w:val="36F13B70"/>
    <w:rsid w:val="36F5A096"/>
    <w:rsid w:val="370078BB"/>
    <w:rsid w:val="3702DAB8"/>
    <w:rsid w:val="37094C5F"/>
    <w:rsid w:val="3712898B"/>
    <w:rsid w:val="37265300"/>
    <w:rsid w:val="372BB8DC"/>
    <w:rsid w:val="372C4224"/>
    <w:rsid w:val="373057B2"/>
    <w:rsid w:val="3732840D"/>
    <w:rsid w:val="3734947B"/>
    <w:rsid w:val="37353BFE"/>
    <w:rsid w:val="373945EB"/>
    <w:rsid w:val="373D9CB1"/>
    <w:rsid w:val="37407101"/>
    <w:rsid w:val="374226AD"/>
    <w:rsid w:val="3750791E"/>
    <w:rsid w:val="3758959F"/>
    <w:rsid w:val="375BB76C"/>
    <w:rsid w:val="375BF2E6"/>
    <w:rsid w:val="375CE2A8"/>
    <w:rsid w:val="375E600D"/>
    <w:rsid w:val="376DA1A1"/>
    <w:rsid w:val="376EA95D"/>
    <w:rsid w:val="37703AE2"/>
    <w:rsid w:val="377F3BB3"/>
    <w:rsid w:val="378C09CC"/>
    <w:rsid w:val="3795CDE6"/>
    <w:rsid w:val="37A84FFF"/>
    <w:rsid w:val="37B1985B"/>
    <w:rsid w:val="37B319E1"/>
    <w:rsid w:val="37B9E424"/>
    <w:rsid w:val="37CCFF1F"/>
    <w:rsid w:val="37CE7610"/>
    <w:rsid w:val="37DC961B"/>
    <w:rsid w:val="37DD7072"/>
    <w:rsid w:val="37E21892"/>
    <w:rsid w:val="37E9E66F"/>
    <w:rsid w:val="37EBD5B8"/>
    <w:rsid w:val="37FAE836"/>
    <w:rsid w:val="37FEDF1C"/>
    <w:rsid w:val="37FF77CA"/>
    <w:rsid w:val="381DAB86"/>
    <w:rsid w:val="381EB412"/>
    <w:rsid w:val="3824489F"/>
    <w:rsid w:val="382982C7"/>
    <w:rsid w:val="382D1233"/>
    <w:rsid w:val="382F7027"/>
    <w:rsid w:val="3830B529"/>
    <w:rsid w:val="383241EE"/>
    <w:rsid w:val="383E13AD"/>
    <w:rsid w:val="38408AA1"/>
    <w:rsid w:val="38409174"/>
    <w:rsid w:val="3850D377"/>
    <w:rsid w:val="3853FC1B"/>
    <w:rsid w:val="3859B339"/>
    <w:rsid w:val="386354BE"/>
    <w:rsid w:val="386A7CB1"/>
    <w:rsid w:val="386BB691"/>
    <w:rsid w:val="38768933"/>
    <w:rsid w:val="38787A61"/>
    <w:rsid w:val="387DBFE6"/>
    <w:rsid w:val="38851165"/>
    <w:rsid w:val="388643E9"/>
    <w:rsid w:val="388990D9"/>
    <w:rsid w:val="3896A49A"/>
    <w:rsid w:val="38998CCD"/>
    <w:rsid w:val="389B2800"/>
    <w:rsid w:val="38A3DE75"/>
    <w:rsid w:val="38A48210"/>
    <w:rsid w:val="38A5CFD2"/>
    <w:rsid w:val="38A60E76"/>
    <w:rsid w:val="38AB88CC"/>
    <w:rsid w:val="38AEA546"/>
    <w:rsid w:val="38AFC02E"/>
    <w:rsid w:val="38B03174"/>
    <w:rsid w:val="38B30124"/>
    <w:rsid w:val="38B4043E"/>
    <w:rsid w:val="38B6BB08"/>
    <w:rsid w:val="38B8D5F4"/>
    <w:rsid w:val="38B8F34D"/>
    <w:rsid w:val="38C00652"/>
    <w:rsid w:val="38C49E11"/>
    <w:rsid w:val="38CB1976"/>
    <w:rsid w:val="38D064DC"/>
    <w:rsid w:val="38D9A38E"/>
    <w:rsid w:val="38E05DC4"/>
    <w:rsid w:val="38E9E04A"/>
    <w:rsid w:val="38EDFCE6"/>
    <w:rsid w:val="38F82D62"/>
    <w:rsid w:val="38FAE8A9"/>
    <w:rsid w:val="38FD2B44"/>
    <w:rsid w:val="3908E36F"/>
    <w:rsid w:val="390C3387"/>
    <w:rsid w:val="391B1A39"/>
    <w:rsid w:val="391B638F"/>
    <w:rsid w:val="39249B2B"/>
    <w:rsid w:val="3926A5F6"/>
    <w:rsid w:val="392C74E6"/>
    <w:rsid w:val="393279CD"/>
    <w:rsid w:val="3933088B"/>
    <w:rsid w:val="393943C7"/>
    <w:rsid w:val="393C2FC7"/>
    <w:rsid w:val="394C379D"/>
    <w:rsid w:val="394E682D"/>
    <w:rsid w:val="39526C24"/>
    <w:rsid w:val="3953ABA0"/>
    <w:rsid w:val="395A7A4A"/>
    <w:rsid w:val="395D8E81"/>
    <w:rsid w:val="395E859E"/>
    <w:rsid w:val="39640732"/>
    <w:rsid w:val="396B4684"/>
    <w:rsid w:val="3970047B"/>
    <w:rsid w:val="397ED02C"/>
    <w:rsid w:val="3980CEBB"/>
    <w:rsid w:val="398BEF7F"/>
    <w:rsid w:val="3991476F"/>
    <w:rsid w:val="39A5DD12"/>
    <w:rsid w:val="39A6CE8A"/>
    <w:rsid w:val="39AAF871"/>
    <w:rsid w:val="39AE7E45"/>
    <w:rsid w:val="39AFD38C"/>
    <w:rsid w:val="39B8CBF3"/>
    <w:rsid w:val="39B91FA8"/>
    <w:rsid w:val="39BA8473"/>
    <w:rsid w:val="39D345A9"/>
    <w:rsid w:val="39E6437E"/>
    <w:rsid w:val="39FDFA99"/>
    <w:rsid w:val="39FEFE8B"/>
    <w:rsid w:val="39FF7A56"/>
    <w:rsid w:val="3A04B916"/>
    <w:rsid w:val="3A05ECCA"/>
    <w:rsid w:val="3A0A22FF"/>
    <w:rsid w:val="3A0F2903"/>
    <w:rsid w:val="3A10B304"/>
    <w:rsid w:val="3A11610E"/>
    <w:rsid w:val="3A199047"/>
    <w:rsid w:val="3A1E89A0"/>
    <w:rsid w:val="3A32BE3A"/>
    <w:rsid w:val="3A355D2E"/>
    <w:rsid w:val="3A381A0C"/>
    <w:rsid w:val="3A4873B5"/>
    <w:rsid w:val="3A49FAA5"/>
    <w:rsid w:val="3A4ED5A0"/>
    <w:rsid w:val="3A54C3AE"/>
    <w:rsid w:val="3A70E679"/>
    <w:rsid w:val="3A78DD88"/>
    <w:rsid w:val="3A78F529"/>
    <w:rsid w:val="3A7B3F96"/>
    <w:rsid w:val="3A851891"/>
    <w:rsid w:val="3A87AFFA"/>
    <w:rsid w:val="3A9310A3"/>
    <w:rsid w:val="3AA00A82"/>
    <w:rsid w:val="3AACC3D6"/>
    <w:rsid w:val="3AB86052"/>
    <w:rsid w:val="3AC0A0D3"/>
    <w:rsid w:val="3ACA26B7"/>
    <w:rsid w:val="3AD19803"/>
    <w:rsid w:val="3AD7BBD6"/>
    <w:rsid w:val="3AEAB22B"/>
    <w:rsid w:val="3AF406B0"/>
    <w:rsid w:val="3B06F1AB"/>
    <w:rsid w:val="3B1D9034"/>
    <w:rsid w:val="3B1E85AD"/>
    <w:rsid w:val="3B230F58"/>
    <w:rsid w:val="3B25DB47"/>
    <w:rsid w:val="3B36B253"/>
    <w:rsid w:val="3B3844DE"/>
    <w:rsid w:val="3B442281"/>
    <w:rsid w:val="3B5163B0"/>
    <w:rsid w:val="3B57465B"/>
    <w:rsid w:val="3B57DAAB"/>
    <w:rsid w:val="3B59C2CC"/>
    <w:rsid w:val="3B5EBEFF"/>
    <w:rsid w:val="3B610538"/>
    <w:rsid w:val="3B61AD87"/>
    <w:rsid w:val="3B6FAF07"/>
    <w:rsid w:val="3B7484F9"/>
    <w:rsid w:val="3B81D270"/>
    <w:rsid w:val="3B887439"/>
    <w:rsid w:val="3B90BD1B"/>
    <w:rsid w:val="3B9481A0"/>
    <w:rsid w:val="3B997273"/>
    <w:rsid w:val="3B9EB7E0"/>
    <w:rsid w:val="3B9EB9A3"/>
    <w:rsid w:val="3B9EFFD1"/>
    <w:rsid w:val="3BA11500"/>
    <w:rsid w:val="3BB62A8D"/>
    <w:rsid w:val="3BBF1239"/>
    <w:rsid w:val="3BC16A10"/>
    <w:rsid w:val="3BCFD27B"/>
    <w:rsid w:val="3BEAA93B"/>
    <w:rsid w:val="3BF0A8A8"/>
    <w:rsid w:val="3BF3EC0F"/>
    <w:rsid w:val="3C00E2CA"/>
    <w:rsid w:val="3C064FC8"/>
    <w:rsid w:val="3C066E00"/>
    <w:rsid w:val="3C0D4998"/>
    <w:rsid w:val="3C1158EC"/>
    <w:rsid w:val="3C173FE1"/>
    <w:rsid w:val="3C1C397A"/>
    <w:rsid w:val="3C20B977"/>
    <w:rsid w:val="3C2354BE"/>
    <w:rsid w:val="3C254610"/>
    <w:rsid w:val="3C2ABA0C"/>
    <w:rsid w:val="3C2BA01D"/>
    <w:rsid w:val="3C2E7F14"/>
    <w:rsid w:val="3C2F2F29"/>
    <w:rsid w:val="3C3D8DFA"/>
    <w:rsid w:val="3C459B7D"/>
    <w:rsid w:val="3C493DBD"/>
    <w:rsid w:val="3C4F7819"/>
    <w:rsid w:val="3C50BBF6"/>
    <w:rsid w:val="3C546384"/>
    <w:rsid w:val="3C69B073"/>
    <w:rsid w:val="3C6C8D75"/>
    <w:rsid w:val="3C7135E4"/>
    <w:rsid w:val="3C713727"/>
    <w:rsid w:val="3C71ACE1"/>
    <w:rsid w:val="3C7CB895"/>
    <w:rsid w:val="3C7F75EB"/>
    <w:rsid w:val="3C817B5B"/>
    <w:rsid w:val="3C8FE2B3"/>
    <w:rsid w:val="3C94142E"/>
    <w:rsid w:val="3C975BE4"/>
    <w:rsid w:val="3CA3A793"/>
    <w:rsid w:val="3CA52667"/>
    <w:rsid w:val="3CA80177"/>
    <w:rsid w:val="3CADBDF4"/>
    <w:rsid w:val="3CB42200"/>
    <w:rsid w:val="3CBD836B"/>
    <w:rsid w:val="3CBE8474"/>
    <w:rsid w:val="3CD5B8E9"/>
    <w:rsid w:val="3CE40C98"/>
    <w:rsid w:val="3CEEBADF"/>
    <w:rsid w:val="3D05C7F7"/>
    <w:rsid w:val="3D088325"/>
    <w:rsid w:val="3D090DC0"/>
    <w:rsid w:val="3D14BB39"/>
    <w:rsid w:val="3D18D7E1"/>
    <w:rsid w:val="3D261FE4"/>
    <w:rsid w:val="3D3223F6"/>
    <w:rsid w:val="3D32D183"/>
    <w:rsid w:val="3D37D45F"/>
    <w:rsid w:val="3D3AE442"/>
    <w:rsid w:val="3D47ABE5"/>
    <w:rsid w:val="3D50027D"/>
    <w:rsid w:val="3D51E6FF"/>
    <w:rsid w:val="3D52FBC4"/>
    <w:rsid w:val="3D53C69B"/>
    <w:rsid w:val="3D55ECD5"/>
    <w:rsid w:val="3D5D84DB"/>
    <w:rsid w:val="3D6155D1"/>
    <w:rsid w:val="3D641D13"/>
    <w:rsid w:val="3D67E948"/>
    <w:rsid w:val="3D7A89E7"/>
    <w:rsid w:val="3D7C8D84"/>
    <w:rsid w:val="3D7F1D9B"/>
    <w:rsid w:val="3D81AA5A"/>
    <w:rsid w:val="3D8B120E"/>
    <w:rsid w:val="3D912936"/>
    <w:rsid w:val="3D91AA49"/>
    <w:rsid w:val="3D979FF1"/>
    <w:rsid w:val="3D9BA67B"/>
    <w:rsid w:val="3DA7D79E"/>
    <w:rsid w:val="3DA7EE48"/>
    <w:rsid w:val="3DAE6532"/>
    <w:rsid w:val="3DB647F3"/>
    <w:rsid w:val="3DB90F41"/>
    <w:rsid w:val="3DBA52F9"/>
    <w:rsid w:val="3DC2440E"/>
    <w:rsid w:val="3DC9A241"/>
    <w:rsid w:val="3DD5D0FC"/>
    <w:rsid w:val="3DDC00B2"/>
    <w:rsid w:val="3DDD02B9"/>
    <w:rsid w:val="3DE13265"/>
    <w:rsid w:val="3DE31BF3"/>
    <w:rsid w:val="3DE6FB37"/>
    <w:rsid w:val="3DEA5349"/>
    <w:rsid w:val="3DF18987"/>
    <w:rsid w:val="3DF55A03"/>
    <w:rsid w:val="3DFCB0D0"/>
    <w:rsid w:val="3E00AD23"/>
    <w:rsid w:val="3E09D18A"/>
    <w:rsid w:val="3E0CB4EA"/>
    <w:rsid w:val="3E10F484"/>
    <w:rsid w:val="3E14EFDD"/>
    <w:rsid w:val="3E18ED97"/>
    <w:rsid w:val="3E1CC6C6"/>
    <w:rsid w:val="3E1E9489"/>
    <w:rsid w:val="3E1F10F5"/>
    <w:rsid w:val="3E2DFFCA"/>
    <w:rsid w:val="3E36AD96"/>
    <w:rsid w:val="3E387B18"/>
    <w:rsid w:val="3E46D4EA"/>
    <w:rsid w:val="3E4743D2"/>
    <w:rsid w:val="3E4CB718"/>
    <w:rsid w:val="3E4D201F"/>
    <w:rsid w:val="3E4E8C98"/>
    <w:rsid w:val="3E59AD31"/>
    <w:rsid w:val="3E5A827A"/>
    <w:rsid w:val="3E5B7ED4"/>
    <w:rsid w:val="3E5DC83C"/>
    <w:rsid w:val="3E5FF190"/>
    <w:rsid w:val="3E78D452"/>
    <w:rsid w:val="3E7C0D1C"/>
    <w:rsid w:val="3E7FD288"/>
    <w:rsid w:val="3E801A2D"/>
    <w:rsid w:val="3E870E73"/>
    <w:rsid w:val="3E899F16"/>
    <w:rsid w:val="3E92B124"/>
    <w:rsid w:val="3E946C22"/>
    <w:rsid w:val="3E94A2DD"/>
    <w:rsid w:val="3E956D8F"/>
    <w:rsid w:val="3E9CA1F4"/>
    <w:rsid w:val="3E9D484F"/>
    <w:rsid w:val="3EA244C9"/>
    <w:rsid w:val="3EA2ADBA"/>
    <w:rsid w:val="3EA3127A"/>
    <w:rsid w:val="3EAA809C"/>
    <w:rsid w:val="3EB6064D"/>
    <w:rsid w:val="3EBE55DA"/>
    <w:rsid w:val="3ECC58A0"/>
    <w:rsid w:val="3EE152D1"/>
    <w:rsid w:val="3EE41A19"/>
    <w:rsid w:val="3EE70306"/>
    <w:rsid w:val="3EE9F010"/>
    <w:rsid w:val="3EEBC909"/>
    <w:rsid w:val="3EEC0952"/>
    <w:rsid w:val="3EECB00F"/>
    <w:rsid w:val="3EF13BCE"/>
    <w:rsid w:val="3EF4DC8D"/>
    <w:rsid w:val="3F03E395"/>
    <w:rsid w:val="3F058D09"/>
    <w:rsid w:val="3F0D6DC2"/>
    <w:rsid w:val="3F1B1B7A"/>
    <w:rsid w:val="3F1F9E0F"/>
    <w:rsid w:val="3F243FB5"/>
    <w:rsid w:val="3F37DA6E"/>
    <w:rsid w:val="3F3ED97B"/>
    <w:rsid w:val="3F473B3B"/>
    <w:rsid w:val="3F4DE595"/>
    <w:rsid w:val="3F580D78"/>
    <w:rsid w:val="3F58610E"/>
    <w:rsid w:val="3F5B8BB3"/>
    <w:rsid w:val="3F617BEF"/>
    <w:rsid w:val="3F63FC9E"/>
    <w:rsid w:val="3F6838CB"/>
    <w:rsid w:val="3F6B6F59"/>
    <w:rsid w:val="3F6D732A"/>
    <w:rsid w:val="3F70ED58"/>
    <w:rsid w:val="3F752EBC"/>
    <w:rsid w:val="3F7AAC1D"/>
    <w:rsid w:val="3F911BD4"/>
    <w:rsid w:val="3FA21BF7"/>
    <w:rsid w:val="3FA42E37"/>
    <w:rsid w:val="3FAB9CFB"/>
    <w:rsid w:val="3FAEA297"/>
    <w:rsid w:val="3FBB7BC6"/>
    <w:rsid w:val="3FBDAA5F"/>
    <w:rsid w:val="3FC43375"/>
    <w:rsid w:val="3FD69113"/>
    <w:rsid w:val="3FDA0EC5"/>
    <w:rsid w:val="3FDB6E86"/>
    <w:rsid w:val="3FE7BA5F"/>
    <w:rsid w:val="3FF3B067"/>
    <w:rsid w:val="3FF86F5F"/>
    <w:rsid w:val="3FFD6936"/>
    <w:rsid w:val="4002B320"/>
    <w:rsid w:val="40047617"/>
    <w:rsid w:val="400555AF"/>
    <w:rsid w:val="4008CDE2"/>
    <w:rsid w:val="400A89AF"/>
    <w:rsid w:val="400AADA0"/>
    <w:rsid w:val="40160539"/>
    <w:rsid w:val="4016AEFF"/>
    <w:rsid w:val="4018BDF1"/>
    <w:rsid w:val="401B3F60"/>
    <w:rsid w:val="401BEA8E"/>
    <w:rsid w:val="4023FDA4"/>
    <w:rsid w:val="4028CDE5"/>
    <w:rsid w:val="402DDAD5"/>
    <w:rsid w:val="403A1ADA"/>
    <w:rsid w:val="403AC024"/>
    <w:rsid w:val="404A69C2"/>
    <w:rsid w:val="404FABCF"/>
    <w:rsid w:val="4056E6B7"/>
    <w:rsid w:val="4059274C"/>
    <w:rsid w:val="407270F4"/>
    <w:rsid w:val="4079C224"/>
    <w:rsid w:val="4086FFA6"/>
    <w:rsid w:val="408EC263"/>
    <w:rsid w:val="4095ADC8"/>
    <w:rsid w:val="409C483E"/>
    <w:rsid w:val="40AA5B47"/>
    <w:rsid w:val="40ADE4A6"/>
    <w:rsid w:val="40B6765F"/>
    <w:rsid w:val="40C60893"/>
    <w:rsid w:val="40D8F7C0"/>
    <w:rsid w:val="40DC8BCC"/>
    <w:rsid w:val="40DD8182"/>
    <w:rsid w:val="40E5BD25"/>
    <w:rsid w:val="40F3CA41"/>
    <w:rsid w:val="40FA6599"/>
    <w:rsid w:val="40FAB3C1"/>
    <w:rsid w:val="40FC5501"/>
    <w:rsid w:val="410623E7"/>
    <w:rsid w:val="41094ED1"/>
    <w:rsid w:val="41096626"/>
    <w:rsid w:val="410DE6D6"/>
    <w:rsid w:val="4111D4EA"/>
    <w:rsid w:val="41145747"/>
    <w:rsid w:val="4118D327"/>
    <w:rsid w:val="411E7A71"/>
    <w:rsid w:val="41201AA5"/>
    <w:rsid w:val="41263079"/>
    <w:rsid w:val="412839BB"/>
    <w:rsid w:val="412AEB9C"/>
    <w:rsid w:val="412C4F0B"/>
    <w:rsid w:val="413178C3"/>
    <w:rsid w:val="41337CB1"/>
    <w:rsid w:val="413F47AC"/>
    <w:rsid w:val="4144ECD1"/>
    <w:rsid w:val="4149CE1D"/>
    <w:rsid w:val="414BF454"/>
    <w:rsid w:val="414EC27E"/>
    <w:rsid w:val="41520E50"/>
    <w:rsid w:val="415A1013"/>
    <w:rsid w:val="415FF486"/>
    <w:rsid w:val="4166A895"/>
    <w:rsid w:val="417038EA"/>
    <w:rsid w:val="4174B5F9"/>
    <w:rsid w:val="4176AA0A"/>
    <w:rsid w:val="418AE6E8"/>
    <w:rsid w:val="418AF3B4"/>
    <w:rsid w:val="418DE77A"/>
    <w:rsid w:val="41911555"/>
    <w:rsid w:val="4197493C"/>
    <w:rsid w:val="419C3808"/>
    <w:rsid w:val="419F599A"/>
    <w:rsid w:val="41A518E8"/>
    <w:rsid w:val="41A657DF"/>
    <w:rsid w:val="41AA4EE8"/>
    <w:rsid w:val="41B5AAE5"/>
    <w:rsid w:val="41BB72E1"/>
    <w:rsid w:val="41BDF9DB"/>
    <w:rsid w:val="41C9AA79"/>
    <w:rsid w:val="41CA4533"/>
    <w:rsid w:val="41D16C00"/>
    <w:rsid w:val="41D7B509"/>
    <w:rsid w:val="41E2D882"/>
    <w:rsid w:val="41F7B5BD"/>
    <w:rsid w:val="41FCF9DF"/>
    <w:rsid w:val="420B7509"/>
    <w:rsid w:val="42332322"/>
    <w:rsid w:val="42374179"/>
    <w:rsid w:val="4237B507"/>
    <w:rsid w:val="42454A7A"/>
    <w:rsid w:val="42458D5F"/>
    <w:rsid w:val="4248E165"/>
    <w:rsid w:val="425DF733"/>
    <w:rsid w:val="425EE507"/>
    <w:rsid w:val="42602E67"/>
    <w:rsid w:val="42636C8E"/>
    <w:rsid w:val="4264D4B1"/>
    <w:rsid w:val="42660C4B"/>
    <w:rsid w:val="426F9B2A"/>
    <w:rsid w:val="427252A1"/>
    <w:rsid w:val="42748E6C"/>
    <w:rsid w:val="42772B8B"/>
    <w:rsid w:val="427AB2CC"/>
    <w:rsid w:val="427D3CD8"/>
    <w:rsid w:val="42816F4E"/>
    <w:rsid w:val="4282A984"/>
    <w:rsid w:val="4288C5D0"/>
    <w:rsid w:val="428C49BB"/>
    <w:rsid w:val="429C5846"/>
    <w:rsid w:val="429F29D4"/>
    <w:rsid w:val="42A86B13"/>
    <w:rsid w:val="42A870F8"/>
    <w:rsid w:val="42B85D2C"/>
    <w:rsid w:val="42B967D5"/>
    <w:rsid w:val="42BAD57E"/>
    <w:rsid w:val="42C2A922"/>
    <w:rsid w:val="42C4D709"/>
    <w:rsid w:val="42CB0863"/>
    <w:rsid w:val="42D2114B"/>
    <w:rsid w:val="42D56129"/>
    <w:rsid w:val="42D60EF9"/>
    <w:rsid w:val="42D732B2"/>
    <w:rsid w:val="42FCD996"/>
    <w:rsid w:val="42FD21DF"/>
    <w:rsid w:val="431A31CB"/>
    <w:rsid w:val="43216623"/>
    <w:rsid w:val="4328E451"/>
    <w:rsid w:val="432B52CB"/>
    <w:rsid w:val="43381F74"/>
    <w:rsid w:val="4343F555"/>
    <w:rsid w:val="4345BCAA"/>
    <w:rsid w:val="434A1888"/>
    <w:rsid w:val="434DC829"/>
    <w:rsid w:val="4351AD0C"/>
    <w:rsid w:val="435307E1"/>
    <w:rsid w:val="43539C63"/>
    <w:rsid w:val="4359CF3E"/>
    <w:rsid w:val="435AE8A2"/>
    <w:rsid w:val="43633C4E"/>
    <w:rsid w:val="4372C403"/>
    <w:rsid w:val="4375EC5D"/>
    <w:rsid w:val="43768D80"/>
    <w:rsid w:val="438399AB"/>
    <w:rsid w:val="43894836"/>
    <w:rsid w:val="438C62E8"/>
    <w:rsid w:val="438CA88D"/>
    <w:rsid w:val="4393861E"/>
    <w:rsid w:val="4393E314"/>
    <w:rsid w:val="4399F4E7"/>
    <w:rsid w:val="43A1657A"/>
    <w:rsid w:val="43AA11B6"/>
    <w:rsid w:val="43AD0284"/>
    <w:rsid w:val="43ADD04A"/>
    <w:rsid w:val="43BC0CD5"/>
    <w:rsid w:val="43C6200F"/>
    <w:rsid w:val="43C69F41"/>
    <w:rsid w:val="43CDBE8E"/>
    <w:rsid w:val="43D7F3B3"/>
    <w:rsid w:val="43DA07BC"/>
    <w:rsid w:val="43E504EC"/>
    <w:rsid w:val="43F1FC8D"/>
    <w:rsid w:val="43FA5E2A"/>
    <w:rsid w:val="43FB2A9F"/>
    <w:rsid w:val="43FCC4B0"/>
    <w:rsid w:val="44001966"/>
    <w:rsid w:val="4401A8A0"/>
    <w:rsid w:val="44021D2A"/>
    <w:rsid w:val="44072005"/>
    <w:rsid w:val="4408617A"/>
    <w:rsid w:val="44128050"/>
    <w:rsid w:val="4413A559"/>
    <w:rsid w:val="441487D5"/>
    <w:rsid w:val="44172167"/>
    <w:rsid w:val="44193A58"/>
    <w:rsid w:val="441C9388"/>
    <w:rsid w:val="441FBFCE"/>
    <w:rsid w:val="44207DD0"/>
    <w:rsid w:val="4420DD93"/>
    <w:rsid w:val="4421D066"/>
    <w:rsid w:val="44227187"/>
    <w:rsid w:val="44289244"/>
    <w:rsid w:val="4431D759"/>
    <w:rsid w:val="44474E43"/>
    <w:rsid w:val="4459BA41"/>
    <w:rsid w:val="4462B573"/>
    <w:rsid w:val="4465A020"/>
    <w:rsid w:val="4466859F"/>
    <w:rsid w:val="44689D98"/>
    <w:rsid w:val="4475BD8C"/>
    <w:rsid w:val="447C6E38"/>
    <w:rsid w:val="447F6421"/>
    <w:rsid w:val="447FA03B"/>
    <w:rsid w:val="447FA42E"/>
    <w:rsid w:val="44851A98"/>
    <w:rsid w:val="4487FF1B"/>
    <w:rsid w:val="44940243"/>
    <w:rsid w:val="449507AD"/>
    <w:rsid w:val="44A6BCFC"/>
    <w:rsid w:val="44AA22A0"/>
    <w:rsid w:val="44B4E4A5"/>
    <w:rsid w:val="44CE33E4"/>
    <w:rsid w:val="44D50A55"/>
    <w:rsid w:val="44D5B89C"/>
    <w:rsid w:val="44DFDE09"/>
    <w:rsid w:val="44E866C5"/>
    <w:rsid w:val="44ECF7DC"/>
    <w:rsid w:val="44EF5BB1"/>
    <w:rsid w:val="44FE786C"/>
    <w:rsid w:val="450ABBBF"/>
    <w:rsid w:val="450E3E4D"/>
    <w:rsid w:val="45144E9A"/>
    <w:rsid w:val="451C0CA0"/>
    <w:rsid w:val="45212E60"/>
    <w:rsid w:val="452AC825"/>
    <w:rsid w:val="452E889F"/>
    <w:rsid w:val="452F567F"/>
    <w:rsid w:val="45320E78"/>
    <w:rsid w:val="45394CF3"/>
    <w:rsid w:val="454488B8"/>
    <w:rsid w:val="45448D9A"/>
    <w:rsid w:val="45555DA1"/>
    <w:rsid w:val="455E45C4"/>
    <w:rsid w:val="4561B2B2"/>
    <w:rsid w:val="45628AE0"/>
    <w:rsid w:val="4566205C"/>
    <w:rsid w:val="456D128A"/>
    <w:rsid w:val="45861F37"/>
    <w:rsid w:val="4591263D"/>
    <w:rsid w:val="4597DC9E"/>
    <w:rsid w:val="459E6CE3"/>
    <w:rsid w:val="45A00EA1"/>
    <w:rsid w:val="45A21796"/>
    <w:rsid w:val="45ACEE12"/>
    <w:rsid w:val="45B1934A"/>
    <w:rsid w:val="45B6947B"/>
    <w:rsid w:val="45B9C65D"/>
    <w:rsid w:val="45BB902F"/>
    <w:rsid w:val="45BDF23D"/>
    <w:rsid w:val="45C3EA7D"/>
    <w:rsid w:val="45C7774A"/>
    <w:rsid w:val="45C79BBD"/>
    <w:rsid w:val="45CA8296"/>
    <w:rsid w:val="45CBC6B7"/>
    <w:rsid w:val="45D0168F"/>
    <w:rsid w:val="45D7DE4F"/>
    <w:rsid w:val="45D9F507"/>
    <w:rsid w:val="45DD8E83"/>
    <w:rsid w:val="45DE4346"/>
    <w:rsid w:val="45E4242E"/>
    <w:rsid w:val="45E47040"/>
    <w:rsid w:val="45E4B58F"/>
    <w:rsid w:val="45E6AC0E"/>
    <w:rsid w:val="45E8216A"/>
    <w:rsid w:val="45EA6B63"/>
    <w:rsid w:val="45EAD8FF"/>
    <w:rsid w:val="45F5E8F7"/>
    <w:rsid w:val="45FED47B"/>
    <w:rsid w:val="460E84BC"/>
    <w:rsid w:val="4612B752"/>
    <w:rsid w:val="461400B8"/>
    <w:rsid w:val="46188F27"/>
    <w:rsid w:val="46194762"/>
    <w:rsid w:val="461C725C"/>
    <w:rsid w:val="461F0F48"/>
    <w:rsid w:val="46320DB4"/>
    <w:rsid w:val="4632F311"/>
    <w:rsid w:val="4632F548"/>
    <w:rsid w:val="46375028"/>
    <w:rsid w:val="4649FC5F"/>
    <w:rsid w:val="464A115E"/>
    <w:rsid w:val="46534569"/>
    <w:rsid w:val="465A1D36"/>
    <w:rsid w:val="46606BBE"/>
    <w:rsid w:val="466124AC"/>
    <w:rsid w:val="46661BBA"/>
    <w:rsid w:val="46706851"/>
    <w:rsid w:val="4670F6C3"/>
    <w:rsid w:val="467430E5"/>
    <w:rsid w:val="46787310"/>
    <w:rsid w:val="467ABBF4"/>
    <w:rsid w:val="468F6EE3"/>
    <w:rsid w:val="469902C7"/>
    <w:rsid w:val="46A0D1F4"/>
    <w:rsid w:val="46B10026"/>
    <w:rsid w:val="46B415E2"/>
    <w:rsid w:val="46BE45C0"/>
    <w:rsid w:val="46C171E4"/>
    <w:rsid w:val="46C728D1"/>
    <w:rsid w:val="46C79745"/>
    <w:rsid w:val="46CB11BC"/>
    <w:rsid w:val="46D0D5CD"/>
    <w:rsid w:val="46D9CE97"/>
    <w:rsid w:val="46DD7A92"/>
    <w:rsid w:val="46DE8D59"/>
    <w:rsid w:val="46E6132E"/>
    <w:rsid w:val="46EBC8F9"/>
    <w:rsid w:val="46ED2701"/>
    <w:rsid w:val="46F83F73"/>
    <w:rsid w:val="46FB2056"/>
    <w:rsid w:val="470E8C3D"/>
    <w:rsid w:val="470F8EC0"/>
    <w:rsid w:val="4718CBF7"/>
    <w:rsid w:val="47199B4A"/>
    <w:rsid w:val="471EF44B"/>
    <w:rsid w:val="472115DE"/>
    <w:rsid w:val="47271A7E"/>
    <w:rsid w:val="472FB049"/>
    <w:rsid w:val="47306943"/>
    <w:rsid w:val="4733D5EC"/>
    <w:rsid w:val="4733EEF0"/>
    <w:rsid w:val="4736D01C"/>
    <w:rsid w:val="47372D52"/>
    <w:rsid w:val="4737D1C8"/>
    <w:rsid w:val="473978B2"/>
    <w:rsid w:val="473B343C"/>
    <w:rsid w:val="473B6F58"/>
    <w:rsid w:val="474165F2"/>
    <w:rsid w:val="47418B31"/>
    <w:rsid w:val="474719F5"/>
    <w:rsid w:val="474BA2B8"/>
    <w:rsid w:val="47522CE5"/>
    <w:rsid w:val="475741DD"/>
    <w:rsid w:val="475B71A5"/>
    <w:rsid w:val="47643CC8"/>
    <w:rsid w:val="47652FB9"/>
    <w:rsid w:val="476A50CD"/>
    <w:rsid w:val="476C906B"/>
    <w:rsid w:val="4779772A"/>
    <w:rsid w:val="47798A36"/>
    <w:rsid w:val="477ADDC8"/>
    <w:rsid w:val="477BD2E8"/>
    <w:rsid w:val="477CF1CB"/>
    <w:rsid w:val="478A6AB9"/>
    <w:rsid w:val="479188C4"/>
    <w:rsid w:val="47923875"/>
    <w:rsid w:val="47924A7D"/>
    <w:rsid w:val="47955B3D"/>
    <w:rsid w:val="4797F367"/>
    <w:rsid w:val="4798239D"/>
    <w:rsid w:val="479DFB7B"/>
    <w:rsid w:val="47B3D042"/>
    <w:rsid w:val="47B482BE"/>
    <w:rsid w:val="47B4BABC"/>
    <w:rsid w:val="47B650B4"/>
    <w:rsid w:val="47B68693"/>
    <w:rsid w:val="47B75A87"/>
    <w:rsid w:val="47B75D54"/>
    <w:rsid w:val="47B8796F"/>
    <w:rsid w:val="47CCC92F"/>
    <w:rsid w:val="47D3F0E8"/>
    <w:rsid w:val="47D40B65"/>
    <w:rsid w:val="47D9FA1C"/>
    <w:rsid w:val="47E466D5"/>
    <w:rsid w:val="47EAC98E"/>
    <w:rsid w:val="47ECE0EC"/>
    <w:rsid w:val="47ED34BA"/>
    <w:rsid w:val="47EF15CA"/>
    <w:rsid w:val="47EF2B24"/>
    <w:rsid w:val="47F4C0BB"/>
    <w:rsid w:val="47FD8B1B"/>
    <w:rsid w:val="48019F9E"/>
    <w:rsid w:val="48058E17"/>
    <w:rsid w:val="481AF46A"/>
    <w:rsid w:val="481DA95C"/>
    <w:rsid w:val="48292C69"/>
    <w:rsid w:val="48391E46"/>
    <w:rsid w:val="48418ED1"/>
    <w:rsid w:val="4842621D"/>
    <w:rsid w:val="4846B3E9"/>
    <w:rsid w:val="484775C6"/>
    <w:rsid w:val="484BC18A"/>
    <w:rsid w:val="484F066A"/>
    <w:rsid w:val="4852FE46"/>
    <w:rsid w:val="485335BA"/>
    <w:rsid w:val="485C2A64"/>
    <w:rsid w:val="485C719E"/>
    <w:rsid w:val="48670AD9"/>
    <w:rsid w:val="4871890A"/>
    <w:rsid w:val="4871A414"/>
    <w:rsid w:val="4879390E"/>
    <w:rsid w:val="48868300"/>
    <w:rsid w:val="48892F21"/>
    <w:rsid w:val="488CAB71"/>
    <w:rsid w:val="48955D13"/>
    <w:rsid w:val="489AC482"/>
    <w:rsid w:val="48A63460"/>
    <w:rsid w:val="48A966B5"/>
    <w:rsid w:val="48A9C3AA"/>
    <w:rsid w:val="48B870CD"/>
    <w:rsid w:val="48BA580E"/>
    <w:rsid w:val="48C48E5A"/>
    <w:rsid w:val="48D54DCF"/>
    <w:rsid w:val="48DDC1EF"/>
    <w:rsid w:val="48E0EC5E"/>
    <w:rsid w:val="48E31334"/>
    <w:rsid w:val="48E504A6"/>
    <w:rsid w:val="48E6DADB"/>
    <w:rsid w:val="48E96284"/>
    <w:rsid w:val="48EA4B4E"/>
    <w:rsid w:val="491838CF"/>
    <w:rsid w:val="4920A2B8"/>
    <w:rsid w:val="4921D586"/>
    <w:rsid w:val="4922CA82"/>
    <w:rsid w:val="492A95C3"/>
    <w:rsid w:val="492B7AE9"/>
    <w:rsid w:val="493C8739"/>
    <w:rsid w:val="493F96CE"/>
    <w:rsid w:val="494BD478"/>
    <w:rsid w:val="494D11F0"/>
    <w:rsid w:val="49510AD8"/>
    <w:rsid w:val="495256F4"/>
    <w:rsid w:val="4952F4E2"/>
    <w:rsid w:val="4965FE47"/>
    <w:rsid w:val="497AA948"/>
    <w:rsid w:val="497AAA3A"/>
    <w:rsid w:val="497EFD78"/>
    <w:rsid w:val="49816A50"/>
    <w:rsid w:val="49850615"/>
    <w:rsid w:val="498699EF"/>
    <w:rsid w:val="49948B5C"/>
    <w:rsid w:val="49959BA6"/>
    <w:rsid w:val="49A4EA1A"/>
    <w:rsid w:val="49AA024C"/>
    <w:rsid w:val="49AEEB5D"/>
    <w:rsid w:val="49B768B4"/>
    <w:rsid w:val="49BCB563"/>
    <w:rsid w:val="49C19814"/>
    <w:rsid w:val="49C93928"/>
    <w:rsid w:val="49D72B42"/>
    <w:rsid w:val="49EAD6CB"/>
    <w:rsid w:val="49EBCAAA"/>
    <w:rsid w:val="49EBD4AB"/>
    <w:rsid w:val="49F0D0CA"/>
    <w:rsid w:val="49F1CA1B"/>
    <w:rsid w:val="49F42D96"/>
    <w:rsid w:val="49F5BD5C"/>
    <w:rsid w:val="4A0FECE2"/>
    <w:rsid w:val="4A116F59"/>
    <w:rsid w:val="4A23BA29"/>
    <w:rsid w:val="4A36CCB1"/>
    <w:rsid w:val="4A4E694E"/>
    <w:rsid w:val="4A543088"/>
    <w:rsid w:val="4A601906"/>
    <w:rsid w:val="4A61B8B6"/>
    <w:rsid w:val="4A6C29AF"/>
    <w:rsid w:val="4A760657"/>
    <w:rsid w:val="4A81E483"/>
    <w:rsid w:val="4A81F436"/>
    <w:rsid w:val="4A85520C"/>
    <w:rsid w:val="4A8A468D"/>
    <w:rsid w:val="4A8B1F71"/>
    <w:rsid w:val="4A8F2714"/>
    <w:rsid w:val="4A901006"/>
    <w:rsid w:val="4AA5B0BE"/>
    <w:rsid w:val="4AA9D465"/>
    <w:rsid w:val="4AAC345A"/>
    <w:rsid w:val="4AB1A9E5"/>
    <w:rsid w:val="4AB5EB8B"/>
    <w:rsid w:val="4ABAF114"/>
    <w:rsid w:val="4ABFCEE9"/>
    <w:rsid w:val="4AC78581"/>
    <w:rsid w:val="4AC8E401"/>
    <w:rsid w:val="4ACC8D16"/>
    <w:rsid w:val="4ACE3513"/>
    <w:rsid w:val="4AD04BAF"/>
    <w:rsid w:val="4AD2BC06"/>
    <w:rsid w:val="4AD399DE"/>
    <w:rsid w:val="4AD63F5C"/>
    <w:rsid w:val="4ADA4AA1"/>
    <w:rsid w:val="4ADEA2DD"/>
    <w:rsid w:val="4AE44823"/>
    <w:rsid w:val="4AE8E251"/>
    <w:rsid w:val="4AEB4194"/>
    <w:rsid w:val="4AEB6F66"/>
    <w:rsid w:val="4AF3BA8B"/>
    <w:rsid w:val="4B09D2B0"/>
    <w:rsid w:val="4B0A876E"/>
    <w:rsid w:val="4B0CE0FE"/>
    <w:rsid w:val="4B16E9DA"/>
    <w:rsid w:val="4B1775C8"/>
    <w:rsid w:val="4B2CA913"/>
    <w:rsid w:val="4B3EF241"/>
    <w:rsid w:val="4B4773D7"/>
    <w:rsid w:val="4B4A8D54"/>
    <w:rsid w:val="4B4B37BF"/>
    <w:rsid w:val="4B4B79E7"/>
    <w:rsid w:val="4B4E5EED"/>
    <w:rsid w:val="4B51704B"/>
    <w:rsid w:val="4B53AB4B"/>
    <w:rsid w:val="4B7CABC5"/>
    <w:rsid w:val="4B81CAF3"/>
    <w:rsid w:val="4B86A72C"/>
    <w:rsid w:val="4B8B2ECC"/>
    <w:rsid w:val="4B8BA2F9"/>
    <w:rsid w:val="4B8E74C9"/>
    <w:rsid w:val="4B8FD6EA"/>
    <w:rsid w:val="4B99B091"/>
    <w:rsid w:val="4B9D7381"/>
    <w:rsid w:val="4BA0BAA8"/>
    <w:rsid w:val="4BA3B8BC"/>
    <w:rsid w:val="4BA3D568"/>
    <w:rsid w:val="4BA55F92"/>
    <w:rsid w:val="4BAADE24"/>
    <w:rsid w:val="4BB4504C"/>
    <w:rsid w:val="4BD49109"/>
    <w:rsid w:val="4BD6124F"/>
    <w:rsid w:val="4BD84D39"/>
    <w:rsid w:val="4BD8821F"/>
    <w:rsid w:val="4BDA347F"/>
    <w:rsid w:val="4BE134B0"/>
    <w:rsid w:val="4BE521A4"/>
    <w:rsid w:val="4BF21984"/>
    <w:rsid w:val="4BF25442"/>
    <w:rsid w:val="4BFCDDEE"/>
    <w:rsid w:val="4C0ABF7B"/>
    <w:rsid w:val="4C0CE9D5"/>
    <w:rsid w:val="4C11A956"/>
    <w:rsid w:val="4C13B1FF"/>
    <w:rsid w:val="4C15B95F"/>
    <w:rsid w:val="4C1FFC1B"/>
    <w:rsid w:val="4C23CA43"/>
    <w:rsid w:val="4C31F2BF"/>
    <w:rsid w:val="4C3235BE"/>
    <w:rsid w:val="4C33BA2D"/>
    <w:rsid w:val="4C3563F2"/>
    <w:rsid w:val="4C365266"/>
    <w:rsid w:val="4C435428"/>
    <w:rsid w:val="4C460AA8"/>
    <w:rsid w:val="4C4D4870"/>
    <w:rsid w:val="4C4D7FC8"/>
    <w:rsid w:val="4C51BB5B"/>
    <w:rsid w:val="4C53B8B1"/>
    <w:rsid w:val="4C5473BA"/>
    <w:rsid w:val="4C597C81"/>
    <w:rsid w:val="4C66A587"/>
    <w:rsid w:val="4C675CE0"/>
    <w:rsid w:val="4C68A81D"/>
    <w:rsid w:val="4C6FE1C5"/>
    <w:rsid w:val="4C7139D4"/>
    <w:rsid w:val="4C71FE01"/>
    <w:rsid w:val="4C757E61"/>
    <w:rsid w:val="4C770CB2"/>
    <w:rsid w:val="4C795584"/>
    <w:rsid w:val="4C7CEDEE"/>
    <w:rsid w:val="4C82A23E"/>
    <w:rsid w:val="4C8C4F99"/>
    <w:rsid w:val="4C8C9E31"/>
    <w:rsid w:val="4C8F2D41"/>
    <w:rsid w:val="4C906AD9"/>
    <w:rsid w:val="4C9105D6"/>
    <w:rsid w:val="4C952F80"/>
    <w:rsid w:val="4C9E8508"/>
    <w:rsid w:val="4CA2C2D6"/>
    <w:rsid w:val="4CA4D55A"/>
    <w:rsid w:val="4CB6BEBF"/>
    <w:rsid w:val="4CC2CBA1"/>
    <w:rsid w:val="4CC67927"/>
    <w:rsid w:val="4CDE240D"/>
    <w:rsid w:val="4CE0D7A0"/>
    <w:rsid w:val="4CED4A4F"/>
    <w:rsid w:val="4CF12B19"/>
    <w:rsid w:val="4CF370D1"/>
    <w:rsid w:val="4CFC74F6"/>
    <w:rsid w:val="4CFC85FA"/>
    <w:rsid w:val="4CFF964D"/>
    <w:rsid w:val="4D22778D"/>
    <w:rsid w:val="4D2569A2"/>
    <w:rsid w:val="4D259D6C"/>
    <w:rsid w:val="4D316420"/>
    <w:rsid w:val="4D3DEF50"/>
    <w:rsid w:val="4D40CBC6"/>
    <w:rsid w:val="4D40D4DF"/>
    <w:rsid w:val="4D461DF4"/>
    <w:rsid w:val="4D479F7B"/>
    <w:rsid w:val="4D513799"/>
    <w:rsid w:val="4D53BC1C"/>
    <w:rsid w:val="4D5B502D"/>
    <w:rsid w:val="4D5D8CAB"/>
    <w:rsid w:val="4D602975"/>
    <w:rsid w:val="4D63C540"/>
    <w:rsid w:val="4D65D2A5"/>
    <w:rsid w:val="4D6E2B3E"/>
    <w:rsid w:val="4D71BD36"/>
    <w:rsid w:val="4D7C3CB2"/>
    <w:rsid w:val="4D7DB413"/>
    <w:rsid w:val="4D81894C"/>
    <w:rsid w:val="4D89C53C"/>
    <w:rsid w:val="4D8E3402"/>
    <w:rsid w:val="4D8F3CEB"/>
    <w:rsid w:val="4D9AAF3C"/>
    <w:rsid w:val="4DA06C00"/>
    <w:rsid w:val="4DA98816"/>
    <w:rsid w:val="4DAA8976"/>
    <w:rsid w:val="4DAEF415"/>
    <w:rsid w:val="4DBAC621"/>
    <w:rsid w:val="4DC4D39F"/>
    <w:rsid w:val="4DC6DA10"/>
    <w:rsid w:val="4DCB9CF7"/>
    <w:rsid w:val="4DDEB5D8"/>
    <w:rsid w:val="4DED93F9"/>
    <w:rsid w:val="4DEF8225"/>
    <w:rsid w:val="4DF36E8F"/>
    <w:rsid w:val="4DF55910"/>
    <w:rsid w:val="4DF5FED5"/>
    <w:rsid w:val="4DF7F770"/>
    <w:rsid w:val="4DFBD04F"/>
    <w:rsid w:val="4DFD68E4"/>
    <w:rsid w:val="4E028FD1"/>
    <w:rsid w:val="4E0B5EAB"/>
    <w:rsid w:val="4E0BFDD7"/>
    <w:rsid w:val="4E0DBB0A"/>
    <w:rsid w:val="4E11446A"/>
    <w:rsid w:val="4E155C83"/>
    <w:rsid w:val="4E220F4D"/>
    <w:rsid w:val="4E27D111"/>
    <w:rsid w:val="4E33BDF5"/>
    <w:rsid w:val="4E357685"/>
    <w:rsid w:val="4E36680C"/>
    <w:rsid w:val="4E37F34F"/>
    <w:rsid w:val="4E3C2369"/>
    <w:rsid w:val="4E3CE0E6"/>
    <w:rsid w:val="4E46CF6E"/>
    <w:rsid w:val="4E47D408"/>
    <w:rsid w:val="4E54291F"/>
    <w:rsid w:val="4E5489D0"/>
    <w:rsid w:val="4E561CC8"/>
    <w:rsid w:val="4E5A0B05"/>
    <w:rsid w:val="4E5CA3BD"/>
    <w:rsid w:val="4E5CFC45"/>
    <w:rsid w:val="4E666147"/>
    <w:rsid w:val="4E6870BD"/>
    <w:rsid w:val="4E6BB4BB"/>
    <w:rsid w:val="4E7434AA"/>
    <w:rsid w:val="4E7FFDFD"/>
    <w:rsid w:val="4E82D2D4"/>
    <w:rsid w:val="4E8D9AF0"/>
    <w:rsid w:val="4E8F81BC"/>
    <w:rsid w:val="4E9491A6"/>
    <w:rsid w:val="4EA35448"/>
    <w:rsid w:val="4EB4C852"/>
    <w:rsid w:val="4EB714CD"/>
    <w:rsid w:val="4EB9D20F"/>
    <w:rsid w:val="4EBCC2FB"/>
    <w:rsid w:val="4EBF4129"/>
    <w:rsid w:val="4ECA0A20"/>
    <w:rsid w:val="4ECAF982"/>
    <w:rsid w:val="4EE396D4"/>
    <w:rsid w:val="4EEC56CD"/>
    <w:rsid w:val="4EF43A33"/>
    <w:rsid w:val="4EF8A7D6"/>
    <w:rsid w:val="4EFD4D1B"/>
    <w:rsid w:val="4EFFDCD1"/>
    <w:rsid w:val="4F0FFEF0"/>
    <w:rsid w:val="4F13B216"/>
    <w:rsid w:val="4F13D78E"/>
    <w:rsid w:val="4F153920"/>
    <w:rsid w:val="4F166CE7"/>
    <w:rsid w:val="4F169BA7"/>
    <w:rsid w:val="4F22EAAC"/>
    <w:rsid w:val="4F2953F3"/>
    <w:rsid w:val="4F2EB42D"/>
    <w:rsid w:val="4F32023F"/>
    <w:rsid w:val="4F406EF3"/>
    <w:rsid w:val="4F4A3A6C"/>
    <w:rsid w:val="4F501210"/>
    <w:rsid w:val="4F539088"/>
    <w:rsid w:val="4F57342E"/>
    <w:rsid w:val="4F597278"/>
    <w:rsid w:val="4F5DCB5B"/>
    <w:rsid w:val="4F5E65F1"/>
    <w:rsid w:val="4F5EE57B"/>
    <w:rsid w:val="4F5F280D"/>
    <w:rsid w:val="4F615CC1"/>
    <w:rsid w:val="4F63CC3A"/>
    <w:rsid w:val="4F68EAB1"/>
    <w:rsid w:val="4F7BB313"/>
    <w:rsid w:val="4F800620"/>
    <w:rsid w:val="4F82C8D4"/>
    <w:rsid w:val="4F8D1EA9"/>
    <w:rsid w:val="4F91F29E"/>
    <w:rsid w:val="4F9DA4A9"/>
    <w:rsid w:val="4FA29F07"/>
    <w:rsid w:val="4FA70A50"/>
    <w:rsid w:val="4FA86D0D"/>
    <w:rsid w:val="4FABAE48"/>
    <w:rsid w:val="4FBAE2FE"/>
    <w:rsid w:val="4FBBBFEC"/>
    <w:rsid w:val="4FBD6A7A"/>
    <w:rsid w:val="4FBF151D"/>
    <w:rsid w:val="4FC316A1"/>
    <w:rsid w:val="4FCB359D"/>
    <w:rsid w:val="4FE1D19C"/>
    <w:rsid w:val="4FE2028A"/>
    <w:rsid w:val="4FE5636E"/>
    <w:rsid w:val="4FE990BD"/>
    <w:rsid w:val="4FED5FF8"/>
    <w:rsid w:val="4FF541FC"/>
    <w:rsid w:val="4FF8319D"/>
    <w:rsid w:val="4FFFC8C4"/>
    <w:rsid w:val="5000B69B"/>
    <w:rsid w:val="50046EF0"/>
    <w:rsid w:val="50076CAF"/>
    <w:rsid w:val="50137827"/>
    <w:rsid w:val="5014B53A"/>
    <w:rsid w:val="501884A8"/>
    <w:rsid w:val="501DA32D"/>
    <w:rsid w:val="5022B124"/>
    <w:rsid w:val="50230A05"/>
    <w:rsid w:val="50271513"/>
    <w:rsid w:val="502D8E85"/>
    <w:rsid w:val="5045EECD"/>
    <w:rsid w:val="5048262D"/>
    <w:rsid w:val="5049975A"/>
    <w:rsid w:val="504BCBBF"/>
    <w:rsid w:val="505AB4F0"/>
    <w:rsid w:val="50732F24"/>
    <w:rsid w:val="507709AE"/>
    <w:rsid w:val="507ABC98"/>
    <w:rsid w:val="50861823"/>
    <w:rsid w:val="50985050"/>
    <w:rsid w:val="509A479A"/>
    <w:rsid w:val="509FA018"/>
    <w:rsid w:val="50A0B36D"/>
    <w:rsid w:val="50ABFD53"/>
    <w:rsid w:val="50AE0EAE"/>
    <w:rsid w:val="50B8B320"/>
    <w:rsid w:val="50B9D217"/>
    <w:rsid w:val="50BCECFC"/>
    <w:rsid w:val="50C001C5"/>
    <w:rsid w:val="50C9C336"/>
    <w:rsid w:val="50CC5C34"/>
    <w:rsid w:val="50CD30AF"/>
    <w:rsid w:val="50CD984A"/>
    <w:rsid w:val="50CE0093"/>
    <w:rsid w:val="50DE309E"/>
    <w:rsid w:val="50E05FB4"/>
    <w:rsid w:val="50E3D3C3"/>
    <w:rsid w:val="50E5830D"/>
    <w:rsid w:val="5100B67A"/>
    <w:rsid w:val="51069D24"/>
    <w:rsid w:val="5106BFEB"/>
    <w:rsid w:val="510CA8EE"/>
    <w:rsid w:val="5116972F"/>
    <w:rsid w:val="51207475"/>
    <w:rsid w:val="51251531"/>
    <w:rsid w:val="5130D5BC"/>
    <w:rsid w:val="513EFB78"/>
    <w:rsid w:val="514392FC"/>
    <w:rsid w:val="5148EF84"/>
    <w:rsid w:val="514D4952"/>
    <w:rsid w:val="514DE461"/>
    <w:rsid w:val="515237C2"/>
    <w:rsid w:val="51663D46"/>
    <w:rsid w:val="51667EA1"/>
    <w:rsid w:val="517436A7"/>
    <w:rsid w:val="5179084A"/>
    <w:rsid w:val="518878CA"/>
    <w:rsid w:val="5194447F"/>
    <w:rsid w:val="51962126"/>
    <w:rsid w:val="519C86FC"/>
    <w:rsid w:val="519CA0FE"/>
    <w:rsid w:val="519F7E3B"/>
    <w:rsid w:val="51A3B971"/>
    <w:rsid w:val="51A5EC62"/>
    <w:rsid w:val="51AAB7BD"/>
    <w:rsid w:val="51B0294A"/>
    <w:rsid w:val="51B22FCB"/>
    <w:rsid w:val="51D03BD1"/>
    <w:rsid w:val="51D32539"/>
    <w:rsid w:val="51DAD02D"/>
    <w:rsid w:val="51DCC085"/>
    <w:rsid w:val="51EF4702"/>
    <w:rsid w:val="51F24A44"/>
    <w:rsid w:val="51F467D7"/>
    <w:rsid w:val="5210C7EC"/>
    <w:rsid w:val="521FCB1D"/>
    <w:rsid w:val="522AEBED"/>
    <w:rsid w:val="5234B074"/>
    <w:rsid w:val="523E0A5F"/>
    <w:rsid w:val="52462CBD"/>
    <w:rsid w:val="52643311"/>
    <w:rsid w:val="526CFAA4"/>
    <w:rsid w:val="526D0CFD"/>
    <w:rsid w:val="526D1747"/>
    <w:rsid w:val="5280EADA"/>
    <w:rsid w:val="528776E9"/>
    <w:rsid w:val="528CF668"/>
    <w:rsid w:val="529E5F54"/>
    <w:rsid w:val="52A0F3AA"/>
    <w:rsid w:val="52A6F81D"/>
    <w:rsid w:val="52B54C2C"/>
    <w:rsid w:val="52BD0CBD"/>
    <w:rsid w:val="52BD949B"/>
    <w:rsid w:val="52C6A895"/>
    <w:rsid w:val="52C7E59A"/>
    <w:rsid w:val="52CC0798"/>
    <w:rsid w:val="52E645A4"/>
    <w:rsid w:val="52E77E09"/>
    <w:rsid w:val="52E9B4C2"/>
    <w:rsid w:val="52EF31F9"/>
    <w:rsid w:val="53044941"/>
    <w:rsid w:val="53127A77"/>
    <w:rsid w:val="5319639F"/>
    <w:rsid w:val="531E57B0"/>
    <w:rsid w:val="53206613"/>
    <w:rsid w:val="532C8F97"/>
    <w:rsid w:val="532E4259"/>
    <w:rsid w:val="533132B0"/>
    <w:rsid w:val="53328810"/>
    <w:rsid w:val="5333A57B"/>
    <w:rsid w:val="533AB3A7"/>
    <w:rsid w:val="534594D3"/>
    <w:rsid w:val="534D9E88"/>
    <w:rsid w:val="53502CA9"/>
    <w:rsid w:val="5351A2B3"/>
    <w:rsid w:val="535A8C67"/>
    <w:rsid w:val="535C3EB7"/>
    <w:rsid w:val="53634357"/>
    <w:rsid w:val="5367BFCB"/>
    <w:rsid w:val="536FB4C6"/>
    <w:rsid w:val="536FC0F1"/>
    <w:rsid w:val="537300FD"/>
    <w:rsid w:val="537739D1"/>
    <w:rsid w:val="537850C3"/>
    <w:rsid w:val="537AA1F0"/>
    <w:rsid w:val="537BC540"/>
    <w:rsid w:val="5383690F"/>
    <w:rsid w:val="538ACD8E"/>
    <w:rsid w:val="538C3622"/>
    <w:rsid w:val="538F2F0D"/>
    <w:rsid w:val="5395F200"/>
    <w:rsid w:val="53B46368"/>
    <w:rsid w:val="53B6E429"/>
    <w:rsid w:val="53C3B09C"/>
    <w:rsid w:val="53D24F30"/>
    <w:rsid w:val="53D2B230"/>
    <w:rsid w:val="53DB538A"/>
    <w:rsid w:val="53E41D20"/>
    <w:rsid w:val="53E53F47"/>
    <w:rsid w:val="53E69405"/>
    <w:rsid w:val="53EA166C"/>
    <w:rsid w:val="53F4D574"/>
    <w:rsid w:val="53FA5A8B"/>
    <w:rsid w:val="5403A6DD"/>
    <w:rsid w:val="54086D5F"/>
    <w:rsid w:val="54087C6D"/>
    <w:rsid w:val="540B7355"/>
    <w:rsid w:val="540FE5E6"/>
    <w:rsid w:val="541255FB"/>
    <w:rsid w:val="54138EBC"/>
    <w:rsid w:val="541C7863"/>
    <w:rsid w:val="54274CE1"/>
    <w:rsid w:val="542BC9CD"/>
    <w:rsid w:val="542FE7AB"/>
    <w:rsid w:val="5430465D"/>
    <w:rsid w:val="5430BDC2"/>
    <w:rsid w:val="5431EC15"/>
    <w:rsid w:val="54340C77"/>
    <w:rsid w:val="5439CC65"/>
    <w:rsid w:val="543CB395"/>
    <w:rsid w:val="54411D13"/>
    <w:rsid w:val="5441A09C"/>
    <w:rsid w:val="54437803"/>
    <w:rsid w:val="54505FAC"/>
    <w:rsid w:val="54522519"/>
    <w:rsid w:val="545639F7"/>
    <w:rsid w:val="54634C98"/>
    <w:rsid w:val="5464B937"/>
    <w:rsid w:val="5464F697"/>
    <w:rsid w:val="546741FD"/>
    <w:rsid w:val="546B9979"/>
    <w:rsid w:val="546D8780"/>
    <w:rsid w:val="546E9ECE"/>
    <w:rsid w:val="54753957"/>
    <w:rsid w:val="54898B2D"/>
    <w:rsid w:val="54959E2B"/>
    <w:rsid w:val="54AFD8EA"/>
    <w:rsid w:val="54BB3FAB"/>
    <w:rsid w:val="54C24FCB"/>
    <w:rsid w:val="54C41CF7"/>
    <w:rsid w:val="54C42A8C"/>
    <w:rsid w:val="54CD2E18"/>
    <w:rsid w:val="54D174BE"/>
    <w:rsid w:val="54D56242"/>
    <w:rsid w:val="54D7CC73"/>
    <w:rsid w:val="54D9517D"/>
    <w:rsid w:val="54D95BE4"/>
    <w:rsid w:val="54DFFFB5"/>
    <w:rsid w:val="54E33135"/>
    <w:rsid w:val="54E6E94A"/>
    <w:rsid w:val="54FE021C"/>
    <w:rsid w:val="54FEE162"/>
    <w:rsid w:val="550E1D0F"/>
    <w:rsid w:val="55107E2E"/>
    <w:rsid w:val="55236360"/>
    <w:rsid w:val="55278FC7"/>
    <w:rsid w:val="55285561"/>
    <w:rsid w:val="552883C6"/>
    <w:rsid w:val="552B4989"/>
    <w:rsid w:val="552BA639"/>
    <w:rsid w:val="5530FF4B"/>
    <w:rsid w:val="553677C9"/>
    <w:rsid w:val="553DE77B"/>
    <w:rsid w:val="55465700"/>
    <w:rsid w:val="554B1B68"/>
    <w:rsid w:val="554BA8AE"/>
    <w:rsid w:val="555573F8"/>
    <w:rsid w:val="5563C173"/>
    <w:rsid w:val="55664B7A"/>
    <w:rsid w:val="5571569B"/>
    <w:rsid w:val="5574EFDA"/>
    <w:rsid w:val="55819839"/>
    <w:rsid w:val="55885FF7"/>
    <w:rsid w:val="5589E7DE"/>
    <w:rsid w:val="558BA756"/>
    <w:rsid w:val="55956C57"/>
    <w:rsid w:val="559AC096"/>
    <w:rsid w:val="559B95FA"/>
    <w:rsid w:val="559CF74C"/>
    <w:rsid w:val="55A1451F"/>
    <w:rsid w:val="55A2885C"/>
    <w:rsid w:val="55B07008"/>
    <w:rsid w:val="55B10E26"/>
    <w:rsid w:val="55B488E8"/>
    <w:rsid w:val="55B59EBE"/>
    <w:rsid w:val="55B88795"/>
    <w:rsid w:val="55C9C229"/>
    <w:rsid w:val="55CED663"/>
    <w:rsid w:val="55DD839D"/>
    <w:rsid w:val="55E5EE59"/>
    <w:rsid w:val="55F390B3"/>
    <w:rsid w:val="5603125E"/>
    <w:rsid w:val="5603C0E0"/>
    <w:rsid w:val="5604EA81"/>
    <w:rsid w:val="5605BDD4"/>
    <w:rsid w:val="56084593"/>
    <w:rsid w:val="5616DC94"/>
    <w:rsid w:val="561B33EB"/>
    <w:rsid w:val="561FB4BE"/>
    <w:rsid w:val="5629FF16"/>
    <w:rsid w:val="562BFB9C"/>
    <w:rsid w:val="56339D5D"/>
    <w:rsid w:val="56479F77"/>
    <w:rsid w:val="565292AF"/>
    <w:rsid w:val="565399DF"/>
    <w:rsid w:val="565893CC"/>
    <w:rsid w:val="565A1244"/>
    <w:rsid w:val="566689A7"/>
    <w:rsid w:val="5666A2F0"/>
    <w:rsid w:val="567046FB"/>
    <w:rsid w:val="5671F9A3"/>
    <w:rsid w:val="568E93D3"/>
    <w:rsid w:val="56932632"/>
    <w:rsid w:val="569530DA"/>
    <w:rsid w:val="569A4D6A"/>
    <w:rsid w:val="569A5ADE"/>
    <w:rsid w:val="569AB1C3"/>
    <w:rsid w:val="56A47A25"/>
    <w:rsid w:val="56A8A0D2"/>
    <w:rsid w:val="56AB9693"/>
    <w:rsid w:val="56CB9545"/>
    <w:rsid w:val="56CE8E1B"/>
    <w:rsid w:val="56F878D6"/>
    <w:rsid w:val="5709CFE6"/>
    <w:rsid w:val="57178B9F"/>
    <w:rsid w:val="57179898"/>
    <w:rsid w:val="571A0353"/>
    <w:rsid w:val="571CD122"/>
    <w:rsid w:val="5725AE14"/>
    <w:rsid w:val="5727436A"/>
    <w:rsid w:val="572CDEEB"/>
    <w:rsid w:val="572D97AE"/>
    <w:rsid w:val="5733FEA3"/>
    <w:rsid w:val="57383386"/>
    <w:rsid w:val="573F7DAA"/>
    <w:rsid w:val="5747CBC7"/>
    <w:rsid w:val="574EB6B5"/>
    <w:rsid w:val="574FC2C2"/>
    <w:rsid w:val="5757CA7A"/>
    <w:rsid w:val="57689DEC"/>
    <w:rsid w:val="576A03DD"/>
    <w:rsid w:val="576A39F2"/>
    <w:rsid w:val="5777B1A4"/>
    <w:rsid w:val="57792CCF"/>
    <w:rsid w:val="577B8277"/>
    <w:rsid w:val="5782ADA8"/>
    <w:rsid w:val="578E6FF0"/>
    <w:rsid w:val="579512CF"/>
    <w:rsid w:val="579C3511"/>
    <w:rsid w:val="579DE919"/>
    <w:rsid w:val="579EB089"/>
    <w:rsid w:val="57A17A4A"/>
    <w:rsid w:val="57A2503B"/>
    <w:rsid w:val="57A2DE8F"/>
    <w:rsid w:val="57A564A3"/>
    <w:rsid w:val="57B01893"/>
    <w:rsid w:val="57B1CB77"/>
    <w:rsid w:val="57B5CD1B"/>
    <w:rsid w:val="57B9CAED"/>
    <w:rsid w:val="57C421F5"/>
    <w:rsid w:val="57CFA952"/>
    <w:rsid w:val="57D0716A"/>
    <w:rsid w:val="57D483E4"/>
    <w:rsid w:val="57E140EF"/>
    <w:rsid w:val="57E4CB9F"/>
    <w:rsid w:val="57E6A1B3"/>
    <w:rsid w:val="57F0433E"/>
    <w:rsid w:val="57F924F0"/>
    <w:rsid w:val="57FB69B8"/>
    <w:rsid w:val="5805C1FD"/>
    <w:rsid w:val="580952EB"/>
    <w:rsid w:val="580F460D"/>
    <w:rsid w:val="581EBB8A"/>
    <w:rsid w:val="5828C9DC"/>
    <w:rsid w:val="583309FF"/>
    <w:rsid w:val="58368224"/>
    <w:rsid w:val="5842A9EE"/>
    <w:rsid w:val="58447173"/>
    <w:rsid w:val="585A1CD1"/>
    <w:rsid w:val="586DDB59"/>
    <w:rsid w:val="586FAD5F"/>
    <w:rsid w:val="5874E6D7"/>
    <w:rsid w:val="5877430E"/>
    <w:rsid w:val="587DD9B8"/>
    <w:rsid w:val="58825EAB"/>
    <w:rsid w:val="58847ED8"/>
    <w:rsid w:val="588C3DAD"/>
    <w:rsid w:val="588CAC68"/>
    <w:rsid w:val="589A63C6"/>
    <w:rsid w:val="589B6235"/>
    <w:rsid w:val="58B33E76"/>
    <w:rsid w:val="58B5B2AC"/>
    <w:rsid w:val="58B7CA32"/>
    <w:rsid w:val="58BBF54A"/>
    <w:rsid w:val="58C0297D"/>
    <w:rsid w:val="58C27988"/>
    <w:rsid w:val="58C291F5"/>
    <w:rsid w:val="58C313CB"/>
    <w:rsid w:val="58D3F59C"/>
    <w:rsid w:val="58DB99E0"/>
    <w:rsid w:val="58E6A9C5"/>
    <w:rsid w:val="58F2ABD3"/>
    <w:rsid w:val="58FC37EC"/>
    <w:rsid w:val="590109FF"/>
    <w:rsid w:val="590F0630"/>
    <w:rsid w:val="5915D1DD"/>
    <w:rsid w:val="591A19DB"/>
    <w:rsid w:val="591D2D8D"/>
    <w:rsid w:val="5925963C"/>
    <w:rsid w:val="592D3D97"/>
    <w:rsid w:val="593F32DA"/>
    <w:rsid w:val="5956A178"/>
    <w:rsid w:val="5957B5A1"/>
    <w:rsid w:val="595B02EF"/>
    <w:rsid w:val="5967DA6A"/>
    <w:rsid w:val="596A0AEB"/>
    <w:rsid w:val="596E05BB"/>
    <w:rsid w:val="596E3AEB"/>
    <w:rsid w:val="596F97D1"/>
    <w:rsid w:val="5975337F"/>
    <w:rsid w:val="5976DF87"/>
    <w:rsid w:val="59775153"/>
    <w:rsid w:val="59797C49"/>
    <w:rsid w:val="5982A0C5"/>
    <w:rsid w:val="59870A6C"/>
    <w:rsid w:val="598742C9"/>
    <w:rsid w:val="5989D735"/>
    <w:rsid w:val="59905A7C"/>
    <w:rsid w:val="5997B4E3"/>
    <w:rsid w:val="59A35A75"/>
    <w:rsid w:val="59B28EA2"/>
    <w:rsid w:val="59B3EB3B"/>
    <w:rsid w:val="59B610BF"/>
    <w:rsid w:val="59C30838"/>
    <w:rsid w:val="59C4DF65"/>
    <w:rsid w:val="59C62C9E"/>
    <w:rsid w:val="59CD2A84"/>
    <w:rsid w:val="59CDC4D7"/>
    <w:rsid w:val="59D25285"/>
    <w:rsid w:val="59DC06B6"/>
    <w:rsid w:val="59EAD1A1"/>
    <w:rsid w:val="59FB496D"/>
    <w:rsid w:val="59FF2846"/>
    <w:rsid w:val="5A013297"/>
    <w:rsid w:val="5A01C19E"/>
    <w:rsid w:val="5A0A249B"/>
    <w:rsid w:val="5A0EB92D"/>
    <w:rsid w:val="5A0F2264"/>
    <w:rsid w:val="5A12C72C"/>
    <w:rsid w:val="5A2112A9"/>
    <w:rsid w:val="5A2B871F"/>
    <w:rsid w:val="5A2C75A3"/>
    <w:rsid w:val="5A335C09"/>
    <w:rsid w:val="5A35F2B8"/>
    <w:rsid w:val="5A3FC259"/>
    <w:rsid w:val="5A40D6FA"/>
    <w:rsid w:val="5A4430A4"/>
    <w:rsid w:val="5A4F224E"/>
    <w:rsid w:val="5A4FC416"/>
    <w:rsid w:val="5A5D85FE"/>
    <w:rsid w:val="5A659118"/>
    <w:rsid w:val="5A6A102D"/>
    <w:rsid w:val="5A7830B6"/>
    <w:rsid w:val="5A78DCFA"/>
    <w:rsid w:val="5A7ED2AC"/>
    <w:rsid w:val="5A827A26"/>
    <w:rsid w:val="5A87B78A"/>
    <w:rsid w:val="5A8F2AC4"/>
    <w:rsid w:val="5A965933"/>
    <w:rsid w:val="5AA22A55"/>
    <w:rsid w:val="5AA2AC2B"/>
    <w:rsid w:val="5AB06FAA"/>
    <w:rsid w:val="5AB1ADF6"/>
    <w:rsid w:val="5ABE5408"/>
    <w:rsid w:val="5AC54408"/>
    <w:rsid w:val="5AC5BD5F"/>
    <w:rsid w:val="5ACC951B"/>
    <w:rsid w:val="5ACE62D3"/>
    <w:rsid w:val="5AD0B37A"/>
    <w:rsid w:val="5ADBF54B"/>
    <w:rsid w:val="5AE1192D"/>
    <w:rsid w:val="5AF2B822"/>
    <w:rsid w:val="5AF6A98B"/>
    <w:rsid w:val="5AFAA882"/>
    <w:rsid w:val="5B038B6E"/>
    <w:rsid w:val="5B0562F8"/>
    <w:rsid w:val="5B0C1303"/>
    <w:rsid w:val="5B10F344"/>
    <w:rsid w:val="5B1693F4"/>
    <w:rsid w:val="5B17466E"/>
    <w:rsid w:val="5B17DF8A"/>
    <w:rsid w:val="5B183C48"/>
    <w:rsid w:val="5B1F424C"/>
    <w:rsid w:val="5B28E9A1"/>
    <w:rsid w:val="5B2CCCE4"/>
    <w:rsid w:val="5B35BA6A"/>
    <w:rsid w:val="5B3A6AA5"/>
    <w:rsid w:val="5B40251B"/>
    <w:rsid w:val="5B4508F1"/>
    <w:rsid w:val="5B4E0269"/>
    <w:rsid w:val="5B4F62DE"/>
    <w:rsid w:val="5B51CD82"/>
    <w:rsid w:val="5B5303ED"/>
    <w:rsid w:val="5B629002"/>
    <w:rsid w:val="5B6307E9"/>
    <w:rsid w:val="5B63935E"/>
    <w:rsid w:val="5B6566E9"/>
    <w:rsid w:val="5B6A0C7E"/>
    <w:rsid w:val="5B71767D"/>
    <w:rsid w:val="5B75C181"/>
    <w:rsid w:val="5B7CF80C"/>
    <w:rsid w:val="5B7FBFB2"/>
    <w:rsid w:val="5B871872"/>
    <w:rsid w:val="5B8874B1"/>
    <w:rsid w:val="5B9F6221"/>
    <w:rsid w:val="5B9F7169"/>
    <w:rsid w:val="5BA74E27"/>
    <w:rsid w:val="5BAF4874"/>
    <w:rsid w:val="5BBB5705"/>
    <w:rsid w:val="5BBD5385"/>
    <w:rsid w:val="5BC73333"/>
    <w:rsid w:val="5BC7AB99"/>
    <w:rsid w:val="5BCBF238"/>
    <w:rsid w:val="5BCC1314"/>
    <w:rsid w:val="5BCFA695"/>
    <w:rsid w:val="5BD36FB8"/>
    <w:rsid w:val="5BE6B52D"/>
    <w:rsid w:val="5BE99B58"/>
    <w:rsid w:val="5BEF667C"/>
    <w:rsid w:val="5BF71C8B"/>
    <w:rsid w:val="5BFAE8DA"/>
    <w:rsid w:val="5BFC8628"/>
    <w:rsid w:val="5C00E27F"/>
    <w:rsid w:val="5C013DC7"/>
    <w:rsid w:val="5C0224CF"/>
    <w:rsid w:val="5C024DE0"/>
    <w:rsid w:val="5C186303"/>
    <w:rsid w:val="5C1C74A7"/>
    <w:rsid w:val="5C1F5AB9"/>
    <w:rsid w:val="5C25CD6E"/>
    <w:rsid w:val="5C297BE4"/>
    <w:rsid w:val="5C2A82CC"/>
    <w:rsid w:val="5C2C260B"/>
    <w:rsid w:val="5C313DCE"/>
    <w:rsid w:val="5C38D662"/>
    <w:rsid w:val="5C4B4511"/>
    <w:rsid w:val="5C4D628B"/>
    <w:rsid w:val="5C4DB0F7"/>
    <w:rsid w:val="5C517132"/>
    <w:rsid w:val="5C54C788"/>
    <w:rsid w:val="5C55FFF6"/>
    <w:rsid w:val="5C577FA8"/>
    <w:rsid w:val="5C5CC3B6"/>
    <w:rsid w:val="5C6B78CB"/>
    <w:rsid w:val="5C6D88D3"/>
    <w:rsid w:val="5C6F4B10"/>
    <w:rsid w:val="5C71C314"/>
    <w:rsid w:val="5C7234DC"/>
    <w:rsid w:val="5C745F18"/>
    <w:rsid w:val="5C74671D"/>
    <w:rsid w:val="5C864B22"/>
    <w:rsid w:val="5C9BDC3C"/>
    <w:rsid w:val="5CA01CD6"/>
    <w:rsid w:val="5CA39100"/>
    <w:rsid w:val="5CABE5E8"/>
    <w:rsid w:val="5CB70D7B"/>
    <w:rsid w:val="5CB78179"/>
    <w:rsid w:val="5CC2DEA6"/>
    <w:rsid w:val="5CC34823"/>
    <w:rsid w:val="5CE0CD3A"/>
    <w:rsid w:val="5CF1FB2F"/>
    <w:rsid w:val="5CFF63BF"/>
    <w:rsid w:val="5D0042CC"/>
    <w:rsid w:val="5D01E76D"/>
    <w:rsid w:val="5D0881B0"/>
    <w:rsid w:val="5D08C05A"/>
    <w:rsid w:val="5D22E8D3"/>
    <w:rsid w:val="5D23D946"/>
    <w:rsid w:val="5D3159FB"/>
    <w:rsid w:val="5D3772FB"/>
    <w:rsid w:val="5D3D12BE"/>
    <w:rsid w:val="5D4843E0"/>
    <w:rsid w:val="5D4C0E4F"/>
    <w:rsid w:val="5D4E827A"/>
    <w:rsid w:val="5D520701"/>
    <w:rsid w:val="5D548D33"/>
    <w:rsid w:val="5D705BDF"/>
    <w:rsid w:val="5D7C9A17"/>
    <w:rsid w:val="5D7E35C8"/>
    <w:rsid w:val="5D82858E"/>
    <w:rsid w:val="5D87B074"/>
    <w:rsid w:val="5D8D274E"/>
    <w:rsid w:val="5D996CF4"/>
    <w:rsid w:val="5D9D855D"/>
    <w:rsid w:val="5DA5D27B"/>
    <w:rsid w:val="5DAD7F75"/>
    <w:rsid w:val="5DB3DA43"/>
    <w:rsid w:val="5DB44016"/>
    <w:rsid w:val="5DBC2084"/>
    <w:rsid w:val="5DC5E3BA"/>
    <w:rsid w:val="5DC6CB86"/>
    <w:rsid w:val="5DCDB869"/>
    <w:rsid w:val="5DDB641D"/>
    <w:rsid w:val="5E00272D"/>
    <w:rsid w:val="5E042A9E"/>
    <w:rsid w:val="5E08E69F"/>
    <w:rsid w:val="5E12CD73"/>
    <w:rsid w:val="5E156A68"/>
    <w:rsid w:val="5E1AC466"/>
    <w:rsid w:val="5E2AD957"/>
    <w:rsid w:val="5E3F8AA7"/>
    <w:rsid w:val="5E401DB9"/>
    <w:rsid w:val="5E4A7D54"/>
    <w:rsid w:val="5E5370C8"/>
    <w:rsid w:val="5E582FF6"/>
    <w:rsid w:val="5E5F84C2"/>
    <w:rsid w:val="5E6B260E"/>
    <w:rsid w:val="5E7E8791"/>
    <w:rsid w:val="5E868515"/>
    <w:rsid w:val="5E871A62"/>
    <w:rsid w:val="5E95989F"/>
    <w:rsid w:val="5E96685B"/>
    <w:rsid w:val="5E9B48B9"/>
    <w:rsid w:val="5EAD7CA2"/>
    <w:rsid w:val="5EAEDF26"/>
    <w:rsid w:val="5EB0C155"/>
    <w:rsid w:val="5EB0DBB3"/>
    <w:rsid w:val="5EB65D54"/>
    <w:rsid w:val="5EBB5B5E"/>
    <w:rsid w:val="5EC79051"/>
    <w:rsid w:val="5ED05B92"/>
    <w:rsid w:val="5ED134F0"/>
    <w:rsid w:val="5EE6C2FE"/>
    <w:rsid w:val="5EE97D38"/>
    <w:rsid w:val="5EE9C96F"/>
    <w:rsid w:val="5EF94065"/>
    <w:rsid w:val="5F06B5AF"/>
    <w:rsid w:val="5F07C5E3"/>
    <w:rsid w:val="5F0B09CB"/>
    <w:rsid w:val="5F1512F1"/>
    <w:rsid w:val="5F15E47B"/>
    <w:rsid w:val="5F160A87"/>
    <w:rsid w:val="5F1D480C"/>
    <w:rsid w:val="5F2D0D80"/>
    <w:rsid w:val="5F2E62B8"/>
    <w:rsid w:val="5F38426E"/>
    <w:rsid w:val="5F390E04"/>
    <w:rsid w:val="5F396478"/>
    <w:rsid w:val="5F3CAC56"/>
    <w:rsid w:val="5F4A3057"/>
    <w:rsid w:val="5F4A5E10"/>
    <w:rsid w:val="5F4B2F14"/>
    <w:rsid w:val="5F4EC3C2"/>
    <w:rsid w:val="5F527EDF"/>
    <w:rsid w:val="5F5EC230"/>
    <w:rsid w:val="5F6393B4"/>
    <w:rsid w:val="5F7D12D5"/>
    <w:rsid w:val="5F7F8207"/>
    <w:rsid w:val="5F941E14"/>
    <w:rsid w:val="5F957CA3"/>
    <w:rsid w:val="5F9981B8"/>
    <w:rsid w:val="5FA0898E"/>
    <w:rsid w:val="5FAD32BB"/>
    <w:rsid w:val="5FAD8575"/>
    <w:rsid w:val="5FB9F8D7"/>
    <w:rsid w:val="5FBBF386"/>
    <w:rsid w:val="5FBD21F9"/>
    <w:rsid w:val="5FC6F725"/>
    <w:rsid w:val="5FC812B3"/>
    <w:rsid w:val="5FD57221"/>
    <w:rsid w:val="5FD87F88"/>
    <w:rsid w:val="5FD94FF0"/>
    <w:rsid w:val="5FDA72B0"/>
    <w:rsid w:val="5FE2C1FB"/>
    <w:rsid w:val="5FED2F90"/>
    <w:rsid w:val="5FF63364"/>
    <w:rsid w:val="60012F95"/>
    <w:rsid w:val="600C1E6E"/>
    <w:rsid w:val="6015C04B"/>
    <w:rsid w:val="601A819F"/>
    <w:rsid w:val="601C45C5"/>
    <w:rsid w:val="601C944C"/>
    <w:rsid w:val="60224D39"/>
    <w:rsid w:val="602C97DA"/>
    <w:rsid w:val="603ED3CF"/>
    <w:rsid w:val="604603DD"/>
    <w:rsid w:val="6052224E"/>
    <w:rsid w:val="60527533"/>
    <w:rsid w:val="60579624"/>
    <w:rsid w:val="6058ED98"/>
    <w:rsid w:val="60614668"/>
    <w:rsid w:val="60647DD0"/>
    <w:rsid w:val="60695476"/>
    <w:rsid w:val="606ABC93"/>
    <w:rsid w:val="606ED7FE"/>
    <w:rsid w:val="606FE290"/>
    <w:rsid w:val="6072A495"/>
    <w:rsid w:val="607AA6C8"/>
    <w:rsid w:val="607B4F7E"/>
    <w:rsid w:val="608599D0"/>
    <w:rsid w:val="6089D3B7"/>
    <w:rsid w:val="60955169"/>
    <w:rsid w:val="60A35B74"/>
    <w:rsid w:val="60B2C617"/>
    <w:rsid w:val="60B43AD9"/>
    <w:rsid w:val="60B46167"/>
    <w:rsid w:val="60BF09BB"/>
    <w:rsid w:val="60D4DE65"/>
    <w:rsid w:val="60E16E6D"/>
    <w:rsid w:val="60E6A725"/>
    <w:rsid w:val="60E826AE"/>
    <w:rsid w:val="60FA9291"/>
    <w:rsid w:val="60FAA026"/>
    <w:rsid w:val="6101C097"/>
    <w:rsid w:val="610677BE"/>
    <w:rsid w:val="6106825E"/>
    <w:rsid w:val="611CDAC6"/>
    <w:rsid w:val="611D1928"/>
    <w:rsid w:val="611E4D1F"/>
    <w:rsid w:val="612F29C2"/>
    <w:rsid w:val="612FBF75"/>
    <w:rsid w:val="6138888D"/>
    <w:rsid w:val="613D27E2"/>
    <w:rsid w:val="613D5C70"/>
    <w:rsid w:val="614A7EE7"/>
    <w:rsid w:val="614C18B0"/>
    <w:rsid w:val="614CA3AB"/>
    <w:rsid w:val="615829D6"/>
    <w:rsid w:val="6161AFE9"/>
    <w:rsid w:val="61630E64"/>
    <w:rsid w:val="61660C33"/>
    <w:rsid w:val="616AB50C"/>
    <w:rsid w:val="616B3269"/>
    <w:rsid w:val="616D9C20"/>
    <w:rsid w:val="61768B98"/>
    <w:rsid w:val="61770223"/>
    <w:rsid w:val="61789468"/>
    <w:rsid w:val="6179E163"/>
    <w:rsid w:val="61805DA5"/>
    <w:rsid w:val="619282FC"/>
    <w:rsid w:val="619360E3"/>
    <w:rsid w:val="61950612"/>
    <w:rsid w:val="619C23B7"/>
    <w:rsid w:val="619CC114"/>
    <w:rsid w:val="61A15A1F"/>
    <w:rsid w:val="61AA96A3"/>
    <w:rsid w:val="61AE69B0"/>
    <w:rsid w:val="61BBC348"/>
    <w:rsid w:val="61BC5D1A"/>
    <w:rsid w:val="61BD2E14"/>
    <w:rsid w:val="61D2C8EC"/>
    <w:rsid w:val="61DEEA6A"/>
    <w:rsid w:val="61E164C5"/>
    <w:rsid w:val="61E1E467"/>
    <w:rsid w:val="61F3DDB4"/>
    <w:rsid w:val="61F860F1"/>
    <w:rsid w:val="61F950CA"/>
    <w:rsid w:val="61FD1CAC"/>
    <w:rsid w:val="62012AF4"/>
    <w:rsid w:val="6211EB25"/>
    <w:rsid w:val="62158FBB"/>
    <w:rsid w:val="62185518"/>
    <w:rsid w:val="6219C951"/>
    <w:rsid w:val="621CEEBC"/>
    <w:rsid w:val="62249D5F"/>
    <w:rsid w:val="622AC70F"/>
    <w:rsid w:val="6234C89F"/>
    <w:rsid w:val="623E761B"/>
    <w:rsid w:val="6242F909"/>
    <w:rsid w:val="6249E6AE"/>
    <w:rsid w:val="625514F2"/>
    <w:rsid w:val="62558EE3"/>
    <w:rsid w:val="6256E402"/>
    <w:rsid w:val="625798BC"/>
    <w:rsid w:val="62601B41"/>
    <w:rsid w:val="6269A779"/>
    <w:rsid w:val="628FAC80"/>
    <w:rsid w:val="6291FE09"/>
    <w:rsid w:val="62AB37A3"/>
    <w:rsid w:val="62AB654A"/>
    <w:rsid w:val="62AC96ED"/>
    <w:rsid w:val="62B1833F"/>
    <w:rsid w:val="62B2374C"/>
    <w:rsid w:val="62B3BCAF"/>
    <w:rsid w:val="62B68CA4"/>
    <w:rsid w:val="62B7746D"/>
    <w:rsid w:val="62BEFEB5"/>
    <w:rsid w:val="62C19436"/>
    <w:rsid w:val="62C1A1CB"/>
    <w:rsid w:val="62C4A35C"/>
    <w:rsid w:val="62DA3F2B"/>
    <w:rsid w:val="62DFDA14"/>
    <w:rsid w:val="62E0788C"/>
    <w:rsid w:val="62F24538"/>
    <w:rsid w:val="62F381B7"/>
    <w:rsid w:val="62FE97E7"/>
    <w:rsid w:val="630EAD5F"/>
    <w:rsid w:val="63101ECB"/>
    <w:rsid w:val="63121C42"/>
    <w:rsid w:val="6320DC30"/>
    <w:rsid w:val="63221FEF"/>
    <w:rsid w:val="632F19A8"/>
    <w:rsid w:val="633E132E"/>
    <w:rsid w:val="6349C47F"/>
    <w:rsid w:val="634AD36A"/>
    <w:rsid w:val="635DFE4F"/>
    <w:rsid w:val="63633CA5"/>
    <w:rsid w:val="636F291B"/>
    <w:rsid w:val="63708461"/>
    <w:rsid w:val="63796E5D"/>
    <w:rsid w:val="637A90DD"/>
    <w:rsid w:val="637B08F5"/>
    <w:rsid w:val="63881672"/>
    <w:rsid w:val="6389BBE3"/>
    <w:rsid w:val="639564F4"/>
    <w:rsid w:val="63AA86C8"/>
    <w:rsid w:val="63AAAA3B"/>
    <w:rsid w:val="63AE4988"/>
    <w:rsid w:val="63AE52FB"/>
    <w:rsid w:val="63AEDEF9"/>
    <w:rsid w:val="63B249E1"/>
    <w:rsid w:val="63B5B88D"/>
    <w:rsid w:val="63BD4924"/>
    <w:rsid w:val="63C03B75"/>
    <w:rsid w:val="63C10B1B"/>
    <w:rsid w:val="63C8B6F8"/>
    <w:rsid w:val="63C8E136"/>
    <w:rsid w:val="63C95B82"/>
    <w:rsid w:val="63CCA64F"/>
    <w:rsid w:val="63D1D5EC"/>
    <w:rsid w:val="63D2B2A5"/>
    <w:rsid w:val="63D4F399"/>
    <w:rsid w:val="63ECF551"/>
    <w:rsid w:val="63EEF5BD"/>
    <w:rsid w:val="63F89AD8"/>
    <w:rsid w:val="640B83C6"/>
    <w:rsid w:val="640C55A1"/>
    <w:rsid w:val="6411EFDF"/>
    <w:rsid w:val="6412FCBE"/>
    <w:rsid w:val="641B656C"/>
    <w:rsid w:val="641B88A3"/>
    <w:rsid w:val="641B9A02"/>
    <w:rsid w:val="641DCC65"/>
    <w:rsid w:val="64220AAE"/>
    <w:rsid w:val="64297090"/>
    <w:rsid w:val="642DAFBC"/>
    <w:rsid w:val="642EC1F8"/>
    <w:rsid w:val="6433366D"/>
    <w:rsid w:val="64360D0A"/>
    <w:rsid w:val="643BF7F5"/>
    <w:rsid w:val="6447B633"/>
    <w:rsid w:val="6463E579"/>
    <w:rsid w:val="6466CA84"/>
    <w:rsid w:val="646DBF09"/>
    <w:rsid w:val="646ECBE8"/>
    <w:rsid w:val="647110B9"/>
    <w:rsid w:val="6473970D"/>
    <w:rsid w:val="64741BC4"/>
    <w:rsid w:val="6475D1E4"/>
    <w:rsid w:val="64763941"/>
    <w:rsid w:val="647B71D2"/>
    <w:rsid w:val="648E3C47"/>
    <w:rsid w:val="648F2DF0"/>
    <w:rsid w:val="6492E4CC"/>
    <w:rsid w:val="649A6848"/>
    <w:rsid w:val="64B28A81"/>
    <w:rsid w:val="64B4EFEF"/>
    <w:rsid w:val="64C58773"/>
    <w:rsid w:val="64D4DB80"/>
    <w:rsid w:val="64D6D92D"/>
    <w:rsid w:val="64E26843"/>
    <w:rsid w:val="64E826F1"/>
    <w:rsid w:val="64F65BE6"/>
    <w:rsid w:val="64FD0E0C"/>
    <w:rsid w:val="64FEF1B1"/>
    <w:rsid w:val="65006DA4"/>
    <w:rsid w:val="650169C3"/>
    <w:rsid w:val="650DA6FD"/>
    <w:rsid w:val="65111A07"/>
    <w:rsid w:val="6515A1A2"/>
    <w:rsid w:val="6519A675"/>
    <w:rsid w:val="6529C08F"/>
    <w:rsid w:val="652B7E3B"/>
    <w:rsid w:val="652EE418"/>
    <w:rsid w:val="6533CC86"/>
    <w:rsid w:val="65411ACF"/>
    <w:rsid w:val="65475B55"/>
    <w:rsid w:val="654AAF5A"/>
    <w:rsid w:val="654B7074"/>
    <w:rsid w:val="65576F8F"/>
    <w:rsid w:val="65584298"/>
    <w:rsid w:val="655BC96E"/>
    <w:rsid w:val="6573D040"/>
    <w:rsid w:val="65756609"/>
    <w:rsid w:val="657CA0EB"/>
    <w:rsid w:val="65847BDF"/>
    <w:rsid w:val="6587D28A"/>
    <w:rsid w:val="658A7B92"/>
    <w:rsid w:val="658F4B31"/>
    <w:rsid w:val="65927ADE"/>
    <w:rsid w:val="65944255"/>
    <w:rsid w:val="65983ADE"/>
    <w:rsid w:val="659E30A7"/>
    <w:rsid w:val="65A1BDEC"/>
    <w:rsid w:val="65A4F269"/>
    <w:rsid w:val="65AF166E"/>
    <w:rsid w:val="65B18455"/>
    <w:rsid w:val="65B43375"/>
    <w:rsid w:val="65B6932B"/>
    <w:rsid w:val="65C8C412"/>
    <w:rsid w:val="65CCF97A"/>
    <w:rsid w:val="65D05FA3"/>
    <w:rsid w:val="65D8337B"/>
    <w:rsid w:val="65D9785A"/>
    <w:rsid w:val="65E538A7"/>
    <w:rsid w:val="660070C9"/>
    <w:rsid w:val="6602BFD3"/>
    <w:rsid w:val="66065DA7"/>
    <w:rsid w:val="660B3A24"/>
    <w:rsid w:val="661422EE"/>
    <w:rsid w:val="6621E63B"/>
    <w:rsid w:val="6626A77E"/>
    <w:rsid w:val="66275C0F"/>
    <w:rsid w:val="663638A9"/>
    <w:rsid w:val="6636AC17"/>
    <w:rsid w:val="663D4664"/>
    <w:rsid w:val="663FAC37"/>
    <w:rsid w:val="66457572"/>
    <w:rsid w:val="665A7F9A"/>
    <w:rsid w:val="665C94C4"/>
    <w:rsid w:val="665DBB34"/>
    <w:rsid w:val="6665256C"/>
    <w:rsid w:val="666B85DD"/>
    <w:rsid w:val="666C0909"/>
    <w:rsid w:val="6670ABE1"/>
    <w:rsid w:val="667B09F9"/>
    <w:rsid w:val="6685BB33"/>
    <w:rsid w:val="668818A5"/>
    <w:rsid w:val="6689C9FD"/>
    <w:rsid w:val="668A49B7"/>
    <w:rsid w:val="668BD1CE"/>
    <w:rsid w:val="668CF5B1"/>
    <w:rsid w:val="66954078"/>
    <w:rsid w:val="66975746"/>
    <w:rsid w:val="66A0CC30"/>
    <w:rsid w:val="66A5D77C"/>
    <w:rsid w:val="66B01628"/>
    <w:rsid w:val="66B0564A"/>
    <w:rsid w:val="66B7E7E1"/>
    <w:rsid w:val="66B97ACB"/>
    <w:rsid w:val="66BDE308"/>
    <w:rsid w:val="66C110B2"/>
    <w:rsid w:val="66C2F795"/>
    <w:rsid w:val="66CF923D"/>
    <w:rsid w:val="66D8D29A"/>
    <w:rsid w:val="66DA8531"/>
    <w:rsid w:val="66E7ABCF"/>
    <w:rsid w:val="66E7C344"/>
    <w:rsid w:val="66E807C4"/>
    <w:rsid w:val="66F8D3C6"/>
    <w:rsid w:val="66FA8460"/>
    <w:rsid w:val="66FDA8BD"/>
    <w:rsid w:val="670C4D91"/>
    <w:rsid w:val="6713D9D4"/>
    <w:rsid w:val="671C9864"/>
    <w:rsid w:val="671D0B89"/>
    <w:rsid w:val="671D425F"/>
    <w:rsid w:val="671DEC32"/>
    <w:rsid w:val="6726CB7C"/>
    <w:rsid w:val="67275ED7"/>
    <w:rsid w:val="672CF647"/>
    <w:rsid w:val="67429A40"/>
    <w:rsid w:val="6743073D"/>
    <w:rsid w:val="67562238"/>
    <w:rsid w:val="6765B0A3"/>
    <w:rsid w:val="676C4299"/>
    <w:rsid w:val="676DD9C6"/>
    <w:rsid w:val="6774A3F2"/>
    <w:rsid w:val="677E1096"/>
    <w:rsid w:val="6781D3DA"/>
    <w:rsid w:val="6782DE24"/>
    <w:rsid w:val="6786BABC"/>
    <w:rsid w:val="67884B42"/>
    <w:rsid w:val="6789BB03"/>
    <w:rsid w:val="678FE795"/>
    <w:rsid w:val="6791C112"/>
    <w:rsid w:val="679C0F54"/>
    <w:rsid w:val="67A15E0B"/>
    <w:rsid w:val="67B06655"/>
    <w:rsid w:val="67B4F109"/>
    <w:rsid w:val="67B6D385"/>
    <w:rsid w:val="67BBD924"/>
    <w:rsid w:val="67BCF40F"/>
    <w:rsid w:val="67C0416E"/>
    <w:rsid w:val="67C14EAC"/>
    <w:rsid w:val="67C45338"/>
    <w:rsid w:val="67C89ACA"/>
    <w:rsid w:val="67CEAD8F"/>
    <w:rsid w:val="67D521B0"/>
    <w:rsid w:val="67DFA9FD"/>
    <w:rsid w:val="67E44AC3"/>
    <w:rsid w:val="67EB9A06"/>
    <w:rsid w:val="67F0A72A"/>
    <w:rsid w:val="67F7BA10"/>
    <w:rsid w:val="67FD9EE6"/>
    <w:rsid w:val="6800B911"/>
    <w:rsid w:val="680F28ED"/>
    <w:rsid w:val="68117BA8"/>
    <w:rsid w:val="68140521"/>
    <w:rsid w:val="6815DCE4"/>
    <w:rsid w:val="6829D13A"/>
    <w:rsid w:val="6829D786"/>
    <w:rsid w:val="6830499A"/>
    <w:rsid w:val="68308FE4"/>
    <w:rsid w:val="68324FE2"/>
    <w:rsid w:val="6836CC59"/>
    <w:rsid w:val="683EFBAB"/>
    <w:rsid w:val="68405C04"/>
    <w:rsid w:val="68431D61"/>
    <w:rsid w:val="68440E61"/>
    <w:rsid w:val="68441997"/>
    <w:rsid w:val="684B3049"/>
    <w:rsid w:val="684F2F25"/>
    <w:rsid w:val="68550137"/>
    <w:rsid w:val="685EEC86"/>
    <w:rsid w:val="68625600"/>
    <w:rsid w:val="6867A275"/>
    <w:rsid w:val="686C0094"/>
    <w:rsid w:val="686DE48B"/>
    <w:rsid w:val="687CB9DC"/>
    <w:rsid w:val="68812D50"/>
    <w:rsid w:val="6884682A"/>
    <w:rsid w:val="68893682"/>
    <w:rsid w:val="688F1051"/>
    <w:rsid w:val="68943DF1"/>
    <w:rsid w:val="689C89BD"/>
    <w:rsid w:val="68A5AF4E"/>
    <w:rsid w:val="68ABFB6C"/>
    <w:rsid w:val="68ACA3A0"/>
    <w:rsid w:val="68ADE445"/>
    <w:rsid w:val="68B76833"/>
    <w:rsid w:val="68C17F86"/>
    <w:rsid w:val="68C62586"/>
    <w:rsid w:val="68C714AF"/>
    <w:rsid w:val="68C73472"/>
    <w:rsid w:val="68CD0A1E"/>
    <w:rsid w:val="68D8897F"/>
    <w:rsid w:val="68DD9322"/>
    <w:rsid w:val="68DE3ACD"/>
    <w:rsid w:val="68E07688"/>
    <w:rsid w:val="68E2BD04"/>
    <w:rsid w:val="68E9FC96"/>
    <w:rsid w:val="68EA9632"/>
    <w:rsid w:val="68EDEE90"/>
    <w:rsid w:val="68F1787A"/>
    <w:rsid w:val="68F4D544"/>
    <w:rsid w:val="68F639E6"/>
    <w:rsid w:val="68F6D52F"/>
    <w:rsid w:val="6904BF1C"/>
    <w:rsid w:val="6909AA27"/>
    <w:rsid w:val="6915DA12"/>
    <w:rsid w:val="69190A4C"/>
    <w:rsid w:val="692D828C"/>
    <w:rsid w:val="693E481E"/>
    <w:rsid w:val="694E7B92"/>
    <w:rsid w:val="694FB7C3"/>
    <w:rsid w:val="69554390"/>
    <w:rsid w:val="695A9DB0"/>
    <w:rsid w:val="697D6036"/>
    <w:rsid w:val="69944122"/>
    <w:rsid w:val="699A85A6"/>
    <w:rsid w:val="699DC318"/>
    <w:rsid w:val="69A5C27F"/>
    <w:rsid w:val="69B5B131"/>
    <w:rsid w:val="69C759B3"/>
    <w:rsid w:val="69CCABF0"/>
    <w:rsid w:val="69D6EA85"/>
    <w:rsid w:val="69DD92F9"/>
    <w:rsid w:val="69E0F5F5"/>
    <w:rsid w:val="69E475E0"/>
    <w:rsid w:val="69E81542"/>
    <w:rsid w:val="69EDBA4F"/>
    <w:rsid w:val="69EE3E7B"/>
    <w:rsid w:val="69F4172E"/>
    <w:rsid w:val="69F844A6"/>
    <w:rsid w:val="69FA1EB1"/>
    <w:rsid w:val="69FAFBF6"/>
    <w:rsid w:val="6A02D17A"/>
    <w:rsid w:val="6A0462AF"/>
    <w:rsid w:val="6A0645BD"/>
    <w:rsid w:val="6A09DA9A"/>
    <w:rsid w:val="6A11B855"/>
    <w:rsid w:val="6A13C92B"/>
    <w:rsid w:val="6A14B17B"/>
    <w:rsid w:val="6A1B220D"/>
    <w:rsid w:val="6A1ED476"/>
    <w:rsid w:val="6A206B01"/>
    <w:rsid w:val="6A220CB2"/>
    <w:rsid w:val="6A26A08C"/>
    <w:rsid w:val="6A32C364"/>
    <w:rsid w:val="6A35EC18"/>
    <w:rsid w:val="6A38C0AD"/>
    <w:rsid w:val="6A3EC050"/>
    <w:rsid w:val="6A3FDAE2"/>
    <w:rsid w:val="6A4C3A31"/>
    <w:rsid w:val="6A5709A2"/>
    <w:rsid w:val="6A570B21"/>
    <w:rsid w:val="6A6C6078"/>
    <w:rsid w:val="6A6FE2D8"/>
    <w:rsid w:val="6A798A63"/>
    <w:rsid w:val="6A8D48DB"/>
    <w:rsid w:val="6A99D899"/>
    <w:rsid w:val="6AC28652"/>
    <w:rsid w:val="6AD11EB9"/>
    <w:rsid w:val="6AD37D45"/>
    <w:rsid w:val="6AE8766C"/>
    <w:rsid w:val="6AF29099"/>
    <w:rsid w:val="6AF8E539"/>
    <w:rsid w:val="6AF96B96"/>
    <w:rsid w:val="6B01E3DD"/>
    <w:rsid w:val="6B1C6EF8"/>
    <w:rsid w:val="6B1F4D26"/>
    <w:rsid w:val="6B23E8B5"/>
    <w:rsid w:val="6B2A7D95"/>
    <w:rsid w:val="6B2FDCC8"/>
    <w:rsid w:val="6B43E23C"/>
    <w:rsid w:val="6B45C0BE"/>
    <w:rsid w:val="6B482B6F"/>
    <w:rsid w:val="6B49A916"/>
    <w:rsid w:val="6B517C53"/>
    <w:rsid w:val="6B53CBBA"/>
    <w:rsid w:val="6B553B39"/>
    <w:rsid w:val="6B55B8DA"/>
    <w:rsid w:val="6B58EE30"/>
    <w:rsid w:val="6B5D4E6D"/>
    <w:rsid w:val="6B5EF019"/>
    <w:rsid w:val="6B63A6C1"/>
    <w:rsid w:val="6B67DCCC"/>
    <w:rsid w:val="6B708409"/>
    <w:rsid w:val="6B764A84"/>
    <w:rsid w:val="6B7DB6FE"/>
    <w:rsid w:val="6B88595A"/>
    <w:rsid w:val="6B9D4043"/>
    <w:rsid w:val="6BA5854D"/>
    <w:rsid w:val="6BBF5E45"/>
    <w:rsid w:val="6BC7A5EB"/>
    <w:rsid w:val="6BC92777"/>
    <w:rsid w:val="6BC93522"/>
    <w:rsid w:val="6BCBF872"/>
    <w:rsid w:val="6BCDB0E5"/>
    <w:rsid w:val="6BD47FD4"/>
    <w:rsid w:val="6BDD1829"/>
    <w:rsid w:val="6BE07BAD"/>
    <w:rsid w:val="6BE44462"/>
    <w:rsid w:val="6BE44504"/>
    <w:rsid w:val="6BEED650"/>
    <w:rsid w:val="6BF19986"/>
    <w:rsid w:val="6BF3BD63"/>
    <w:rsid w:val="6BF3DD30"/>
    <w:rsid w:val="6BFDC9B5"/>
    <w:rsid w:val="6BFEB571"/>
    <w:rsid w:val="6C0C1A6B"/>
    <w:rsid w:val="6C0EEB0D"/>
    <w:rsid w:val="6C264578"/>
    <w:rsid w:val="6C275AEE"/>
    <w:rsid w:val="6C2A9338"/>
    <w:rsid w:val="6C2BE525"/>
    <w:rsid w:val="6C2E88F5"/>
    <w:rsid w:val="6C313578"/>
    <w:rsid w:val="6C31C820"/>
    <w:rsid w:val="6C3D1FFC"/>
    <w:rsid w:val="6C3E2BBE"/>
    <w:rsid w:val="6C414AE9"/>
    <w:rsid w:val="6C43E92A"/>
    <w:rsid w:val="6C44518C"/>
    <w:rsid w:val="6C536A77"/>
    <w:rsid w:val="6C59E0F7"/>
    <w:rsid w:val="6C5C0C06"/>
    <w:rsid w:val="6C6123D2"/>
    <w:rsid w:val="6C6849D3"/>
    <w:rsid w:val="6C68DDF9"/>
    <w:rsid w:val="6C6A25DC"/>
    <w:rsid w:val="6C6BCCF0"/>
    <w:rsid w:val="6C6F4DA6"/>
    <w:rsid w:val="6C71F34B"/>
    <w:rsid w:val="6C744538"/>
    <w:rsid w:val="6C765F29"/>
    <w:rsid w:val="6C7784B4"/>
    <w:rsid w:val="6C78A4D0"/>
    <w:rsid w:val="6C871652"/>
    <w:rsid w:val="6C8E0DB6"/>
    <w:rsid w:val="6C8E2986"/>
    <w:rsid w:val="6C90FF2F"/>
    <w:rsid w:val="6C9359EF"/>
    <w:rsid w:val="6C9E2A2D"/>
    <w:rsid w:val="6CA16A94"/>
    <w:rsid w:val="6CAA5F28"/>
    <w:rsid w:val="6CAC954E"/>
    <w:rsid w:val="6CAD67B3"/>
    <w:rsid w:val="6CAF9874"/>
    <w:rsid w:val="6CB07CD3"/>
    <w:rsid w:val="6CB31647"/>
    <w:rsid w:val="6CBDA6A9"/>
    <w:rsid w:val="6CC0EF48"/>
    <w:rsid w:val="6CC176D9"/>
    <w:rsid w:val="6CD1F813"/>
    <w:rsid w:val="6CD799DC"/>
    <w:rsid w:val="6CD881FD"/>
    <w:rsid w:val="6CDAA9B9"/>
    <w:rsid w:val="6CE11DEA"/>
    <w:rsid w:val="6CE7DAEB"/>
    <w:rsid w:val="6CFE3E4A"/>
    <w:rsid w:val="6D01A246"/>
    <w:rsid w:val="6D042E7A"/>
    <w:rsid w:val="6D04698A"/>
    <w:rsid w:val="6D0756BA"/>
    <w:rsid w:val="6D0E34E9"/>
    <w:rsid w:val="6D0E6666"/>
    <w:rsid w:val="6D143FA6"/>
    <w:rsid w:val="6D146EF1"/>
    <w:rsid w:val="6D15581E"/>
    <w:rsid w:val="6D157C1F"/>
    <w:rsid w:val="6D19CAC3"/>
    <w:rsid w:val="6D1EDD9F"/>
    <w:rsid w:val="6D21BB66"/>
    <w:rsid w:val="6D237B63"/>
    <w:rsid w:val="6D24A32A"/>
    <w:rsid w:val="6D26ABBA"/>
    <w:rsid w:val="6D29D8C1"/>
    <w:rsid w:val="6D315119"/>
    <w:rsid w:val="6D32C5E0"/>
    <w:rsid w:val="6D366864"/>
    <w:rsid w:val="6D4019F5"/>
    <w:rsid w:val="6D4AF47B"/>
    <w:rsid w:val="6D4B8DF9"/>
    <w:rsid w:val="6D4DCE8D"/>
    <w:rsid w:val="6D4F244D"/>
    <w:rsid w:val="6D50F238"/>
    <w:rsid w:val="6D56A454"/>
    <w:rsid w:val="6D56B4C3"/>
    <w:rsid w:val="6D5778D8"/>
    <w:rsid w:val="6D58472E"/>
    <w:rsid w:val="6D5A7E6D"/>
    <w:rsid w:val="6D719CFC"/>
    <w:rsid w:val="6D7A7038"/>
    <w:rsid w:val="6D7C608B"/>
    <w:rsid w:val="6D7CDB0C"/>
    <w:rsid w:val="6D85D3E9"/>
    <w:rsid w:val="6D862B12"/>
    <w:rsid w:val="6D87CD39"/>
    <w:rsid w:val="6D938CCD"/>
    <w:rsid w:val="6D979C7D"/>
    <w:rsid w:val="6D9CCE2B"/>
    <w:rsid w:val="6DADE956"/>
    <w:rsid w:val="6DB399C3"/>
    <w:rsid w:val="6DBD3CE5"/>
    <w:rsid w:val="6DCEB291"/>
    <w:rsid w:val="6DCF3426"/>
    <w:rsid w:val="6DDD3579"/>
    <w:rsid w:val="6DE7CD2A"/>
    <w:rsid w:val="6DF85E3D"/>
    <w:rsid w:val="6DF956E4"/>
    <w:rsid w:val="6DFC49EA"/>
    <w:rsid w:val="6DFDE497"/>
    <w:rsid w:val="6DFFD40C"/>
    <w:rsid w:val="6E045764"/>
    <w:rsid w:val="6E04AD13"/>
    <w:rsid w:val="6E0831E4"/>
    <w:rsid w:val="6E0A8C81"/>
    <w:rsid w:val="6E0DFC40"/>
    <w:rsid w:val="6E12F2B5"/>
    <w:rsid w:val="6E164C7B"/>
    <w:rsid w:val="6E1AB471"/>
    <w:rsid w:val="6E2A1044"/>
    <w:rsid w:val="6E2BED4C"/>
    <w:rsid w:val="6E2C3593"/>
    <w:rsid w:val="6E3072E2"/>
    <w:rsid w:val="6E31505C"/>
    <w:rsid w:val="6E3BCE92"/>
    <w:rsid w:val="6E3EE5B8"/>
    <w:rsid w:val="6E41382C"/>
    <w:rsid w:val="6E4860BF"/>
    <w:rsid w:val="6E579394"/>
    <w:rsid w:val="6E6250DD"/>
    <w:rsid w:val="6E65B055"/>
    <w:rsid w:val="6E67FFD9"/>
    <w:rsid w:val="6E68CD19"/>
    <w:rsid w:val="6E69FA34"/>
    <w:rsid w:val="6E6ED222"/>
    <w:rsid w:val="6E6FBA16"/>
    <w:rsid w:val="6E78C025"/>
    <w:rsid w:val="6E7BBDC6"/>
    <w:rsid w:val="6E81E4E4"/>
    <w:rsid w:val="6E8B6C7C"/>
    <w:rsid w:val="6E8D599C"/>
    <w:rsid w:val="6E8FD699"/>
    <w:rsid w:val="6E905BF0"/>
    <w:rsid w:val="6E919F64"/>
    <w:rsid w:val="6E96EEE5"/>
    <w:rsid w:val="6E9DDE18"/>
    <w:rsid w:val="6E9FEAC7"/>
    <w:rsid w:val="6EA1FB7C"/>
    <w:rsid w:val="6EABD1E9"/>
    <w:rsid w:val="6EACEF27"/>
    <w:rsid w:val="6EAD55EA"/>
    <w:rsid w:val="6EB120FF"/>
    <w:rsid w:val="6EB1B176"/>
    <w:rsid w:val="6EB2347E"/>
    <w:rsid w:val="6EB4F86C"/>
    <w:rsid w:val="6EDA58DA"/>
    <w:rsid w:val="6EDD260F"/>
    <w:rsid w:val="6EDD9CB5"/>
    <w:rsid w:val="6EDE72E6"/>
    <w:rsid w:val="6EE18427"/>
    <w:rsid w:val="6EE6C4DC"/>
    <w:rsid w:val="6EFAED3E"/>
    <w:rsid w:val="6EFBDD17"/>
    <w:rsid w:val="6EFD0D6F"/>
    <w:rsid w:val="6EFE51D5"/>
    <w:rsid w:val="6F030B93"/>
    <w:rsid w:val="6F1559A2"/>
    <w:rsid w:val="6F1A234E"/>
    <w:rsid w:val="6F1BE524"/>
    <w:rsid w:val="6F2B3801"/>
    <w:rsid w:val="6F2D6FF8"/>
    <w:rsid w:val="6F31DFD8"/>
    <w:rsid w:val="6F3A5A39"/>
    <w:rsid w:val="6F4CAC87"/>
    <w:rsid w:val="6F4D7C51"/>
    <w:rsid w:val="6F56EA3B"/>
    <w:rsid w:val="6F590CE1"/>
    <w:rsid w:val="6F6385E7"/>
    <w:rsid w:val="6F647A9A"/>
    <w:rsid w:val="6F664D97"/>
    <w:rsid w:val="6F6C374C"/>
    <w:rsid w:val="6F6F8B27"/>
    <w:rsid w:val="6F716845"/>
    <w:rsid w:val="6F759BF3"/>
    <w:rsid w:val="6F7D2C6A"/>
    <w:rsid w:val="6F8E646B"/>
    <w:rsid w:val="6F9F33F9"/>
    <w:rsid w:val="6FAB25E4"/>
    <w:rsid w:val="6FAC63F0"/>
    <w:rsid w:val="6FB78C5B"/>
    <w:rsid w:val="6FB94718"/>
    <w:rsid w:val="6FBD8C57"/>
    <w:rsid w:val="6FC35239"/>
    <w:rsid w:val="6FC8D7D8"/>
    <w:rsid w:val="6FD77720"/>
    <w:rsid w:val="6FD81F49"/>
    <w:rsid w:val="6FD8ABDB"/>
    <w:rsid w:val="6FE73936"/>
    <w:rsid w:val="6FE91D33"/>
    <w:rsid w:val="6FEA392B"/>
    <w:rsid w:val="6FEFC0A3"/>
    <w:rsid w:val="6FFC2EE7"/>
    <w:rsid w:val="700D338B"/>
    <w:rsid w:val="701BD319"/>
    <w:rsid w:val="702CD9AD"/>
    <w:rsid w:val="702D2332"/>
    <w:rsid w:val="702ECCEB"/>
    <w:rsid w:val="70377A87"/>
    <w:rsid w:val="7040E102"/>
    <w:rsid w:val="7042B139"/>
    <w:rsid w:val="7047AD41"/>
    <w:rsid w:val="70496505"/>
    <w:rsid w:val="7049C1B5"/>
    <w:rsid w:val="7050283B"/>
    <w:rsid w:val="70532638"/>
    <w:rsid w:val="705527F2"/>
    <w:rsid w:val="7056C78D"/>
    <w:rsid w:val="705E40E6"/>
    <w:rsid w:val="706209B9"/>
    <w:rsid w:val="707352BD"/>
    <w:rsid w:val="708EAB84"/>
    <w:rsid w:val="7094B945"/>
    <w:rsid w:val="709958A2"/>
    <w:rsid w:val="70A54CD7"/>
    <w:rsid w:val="70B55C49"/>
    <w:rsid w:val="70B608F8"/>
    <w:rsid w:val="70B7A639"/>
    <w:rsid w:val="70BCF24D"/>
    <w:rsid w:val="70C61950"/>
    <w:rsid w:val="70C7A336"/>
    <w:rsid w:val="70CDB039"/>
    <w:rsid w:val="70D090A0"/>
    <w:rsid w:val="70D4B96D"/>
    <w:rsid w:val="70D69CEF"/>
    <w:rsid w:val="70E0E34E"/>
    <w:rsid w:val="70EA2F55"/>
    <w:rsid w:val="70ED1395"/>
    <w:rsid w:val="70EFB180"/>
    <w:rsid w:val="70EFDA20"/>
    <w:rsid w:val="70F919E3"/>
    <w:rsid w:val="70FAC7EA"/>
    <w:rsid w:val="70FFD265"/>
    <w:rsid w:val="7104AB23"/>
    <w:rsid w:val="7113AA4B"/>
    <w:rsid w:val="711533DE"/>
    <w:rsid w:val="712FFEFF"/>
    <w:rsid w:val="7132CE47"/>
    <w:rsid w:val="7138B606"/>
    <w:rsid w:val="713E3014"/>
    <w:rsid w:val="714282B2"/>
    <w:rsid w:val="7142BA64"/>
    <w:rsid w:val="714E2467"/>
    <w:rsid w:val="714E549E"/>
    <w:rsid w:val="715245E3"/>
    <w:rsid w:val="715C4D64"/>
    <w:rsid w:val="7162AED8"/>
    <w:rsid w:val="7169064E"/>
    <w:rsid w:val="71792CAC"/>
    <w:rsid w:val="717966C6"/>
    <w:rsid w:val="717B403E"/>
    <w:rsid w:val="717F5B49"/>
    <w:rsid w:val="71800AF6"/>
    <w:rsid w:val="71933F96"/>
    <w:rsid w:val="7198781B"/>
    <w:rsid w:val="71A63B30"/>
    <w:rsid w:val="71AEBA7A"/>
    <w:rsid w:val="71B28D8D"/>
    <w:rsid w:val="71BDD12C"/>
    <w:rsid w:val="71CBEA6B"/>
    <w:rsid w:val="71CC231F"/>
    <w:rsid w:val="71CE9684"/>
    <w:rsid w:val="71CF1E3E"/>
    <w:rsid w:val="71D4EEA0"/>
    <w:rsid w:val="71E2DCB2"/>
    <w:rsid w:val="71E4EA79"/>
    <w:rsid w:val="71E53566"/>
    <w:rsid w:val="71EB3A83"/>
    <w:rsid w:val="71FB1B1D"/>
    <w:rsid w:val="71FB75BA"/>
    <w:rsid w:val="7201E134"/>
    <w:rsid w:val="7205A1D3"/>
    <w:rsid w:val="72098840"/>
    <w:rsid w:val="72180E98"/>
    <w:rsid w:val="72215032"/>
    <w:rsid w:val="72249E44"/>
    <w:rsid w:val="72352903"/>
    <w:rsid w:val="72360631"/>
    <w:rsid w:val="7238F46A"/>
    <w:rsid w:val="72416C62"/>
    <w:rsid w:val="72480022"/>
    <w:rsid w:val="724E0AEB"/>
    <w:rsid w:val="72545559"/>
    <w:rsid w:val="7255E411"/>
    <w:rsid w:val="7256A1BB"/>
    <w:rsid w:val="725A82DB"/>
    <w:rsid w:val="725F8578"/>
    <w:rsid w:val="7269809A"/>
    <w:rsid w:val="726DF6F5"/>
    <w:rsid w:val="726FA3CB"/>
    <w:rsid w:val="727A68E8"/>
    <w:rsid w:val="727BB0FC"/>
    <w:rsid w:val="72924D2D"/>
    <w:rsid w:val="7295473B"/>
    <w:rsid w:val="72968908"/>
    <w:rsid w:val="7298DBEE"/>
    <w:rsid w:val="729966BB"/>
    <w:rsid w:val="729C89CA"/>
    <w:rsid w:val="729CD469"/>
    <w:rsid w:val="72A07B84"/>
    <w:rsid w:val="72A223B4"/>
    <w:rsid w:val="72B19D12"/>
    <w:rsid w:val="72BF312D"/>
    <w:rsid w:val="72DD198B"/>
    <w:rsid w:val="72DF8036"/>
    <w:rsid w:val="72E86663"/>
    <w:rsid w:val="72E899DB"/>
    <w:rsid w:val="73020E90"/>
    <w:rsid w:val="7315BF98"/>
    <w:rsid w:val="731EC0BC"/>
    <w:rsid w:val="731F7293"/>
    <w:rsid w:val="732315DF"/>
    <w:rsid w:val="7326623A"/>
    <w:rsid w:val="732C2312"/>
    <w:rsid w:val="7340F9D4"/>
    <w:rsid w:val="73586C6F"/>
    <w:rsid w:val="735CAB76"/>
    <w:rsid w:val="73607C12"/>
    <w:rsid w:val="73626D91"/>
    <w:rsid w:val="73635C60"/>
    <w:rsid w:val="7369AA11"/>
    <w:rsid w:val="736BCD59"/>
    <w:rsid w:val="736DED1E"/>
    <w:rsid w:val="736F1EE2"/>
    <w:rsid w:val="737C817B"/>
    <w:rsid w:val="73822D3C"/>
    <w:rsid w:val="73872152"/>
    <w:rsid w:val="7392A799"/>
    <w:rsid w:val="7393931A"/>
    <w:rsid w:val="73AE164D"/>
    <w:rsid w:val="73B245D8"/>
    <w:rsid w:val="73BE2E07"/>
    <w:rsid w:val="73C14BC0"/>
    <w:rsid w:val="73D6D380"/>
    <w:rsid w:val="73DFD942"/>
    <w:rsid w:val="73EC4BBC"/>
    <w:rsid w:val="73F52AD8"/>
    <w:rsid w:val="7400C9E3"/>
    <w:rsid w:val="74045A04"/>
    <w:rsid w:val="740550FB"/>
    <w:rsid w:val="7405B3BB"/>
    <w:rsid w:val="740D8451"/>
    <w:rsid w:val="741298ED"/>
    <w:rsid w:val="741C511E"/>
    <w:rsid w:val="7422E9A5"/>
    <w:rsid w:val="7429E2D2"/>
    <w:rsid w:val="7437EDBA"/>
    <w:rsid w:val="743A861F"/>
    <w:rsid w:val="7443BA8B"/>
    <w:rsid w:val="7443F4D2"/>
    <w:rsid w:val="74487DEE"/>
    <w:rsid w:val="74564115"/>
    <w:rsid w:val="745C3AE3"/>
    <w:rsid w:val="74734E6F"/>
    <w:rsid w:val="747789A6"/>
    <w:rsid w:val="747B5CCE"/>
    <w:rsid w:val="747D2ADD"/>
    <w:rsid w:val="747EC2B8"/>
    <w:rsid w:val="7483479E"/>
    <w:rsid w:val="7489707B"/>
    <w:rsid w:val="748B0A48"/>
    <w:rsid w:val="748B3986"/>
    <w:rsid w:val="749070B1"/>
    <w:rsid w:val="749420DC"/>
    <w:rsid w:val="749C251C"/>
    <w:rsid w:val="74A35EBA"/>
    <w:rsid w:val="74A76239"/>
    <w:rsid w:val="74B2E100"/>
    <w:rsid w:val="74B6F39D"/>
    <w:rsid w:val="74BA3FD1"/>
    <w:rsid w:val="74BD5616"/>
    <w:rsid w:val="74BF1798"/>
    <w:rsid w:val="74CB2BE4"/>
    <w:rsid w:val="74D9DD51"/>
    <w:rsid w:val="74E6643B"/>
    <w:rsid w:val="74E7B7E0"/>
    <w:rsid w:val="74EA40FC"/>
    <w:rsid w:val="74EC7681"/>
    <w:rsid w:val="74F22018"/>
    <w:rsid w:val="74F9E42A"/>
    <w:rsid w:val="75140F75"/>
    <w:rsid w:val="7527B0AB"/>
    <w:rsid w:val="7541EFED"/>
    <w:rsid w:val="7545BE06"/>
    <w:rsid w:val="754AC6BF"/>
    <w:rsid w:val="754AE622"/>
    <w:rsid w:val="754B7AC8"/>
    <w:rsid w:val="754D0D96"/>
    <w:rsid w:val="755703A1"/>
    <w:rsid w:val="755C17F2"/>
    <w:rsid w:val="756BE59D"/>
    <w:rsid w:val="756F030D"/>
    <w:rsid w:val="7576866E"/>
    <w:rsid w:val="757A2AB3"/>
    <w:rsid w:val="758627A9"/>
    <w:rsid w:val="75882948"/>
    <w:rsid w:val="758BCC3E"/>
    <w:rsid w:val="758C4D80"/>
    <w:rsid w:val="7597F68D"/>
    <w:rsid w:val="75A2CE93"/>
    <w:rsid w:val="75A3764A"/>
    <w:rsid w:val="75A7037C"/>
    <w:rsid w:val="75BFCB23"/>
    <w:rsid w:val="75C2C553"/>
    <w:rsid w:val="75C5A4E3"/>
    <w:rsid w:val="75C88E80"/>
    <w:rsid w:val="75CD27BE"/>
    <w:rsid w:val="75D2ECA7"/>
    <w:rsid w:val="75D72BB8"/>
    <w:rsid w:val="75D9429D"/>
    <w:rsid w:val="75FEA213"/>
    <w:rsid w:val="7606EE14"/>
    <w:rsid w:val="760797B6"/>
    <w:rsid w:val="760A5461"/>
    <w:rsid w:val="7613A82B"/>
    <w:rsid w:val="761F4DDE"/>
    <w:rsid w:val="7620C013"/>
    <w:rsid w:val="762AE2BA"/>
    <w:rsid w:val="762C5030"/>
    <w:rsid w:val="762FF13D"/>
    <w:rsid w:val="7635A5C3"/>
    <w:rsid w:val="763A136F"/>
    <w:rsid w:val="7642B742"/>
    <w:rsid w:val="764A27EF"/>
    <w:rsid w:val="76522849"/>
    <w:rsid w:val="76524A45"/>
    <w:rsid w:val="76562352"/>
    <w:rsid w:val="7658F1DC"/>
    <w:rsid w:val="765901BE"/>
    <w:rsid w:val="765D89E4"/>
    <w:rsid w:val="7663187E"/>
    <w:rsid w:val="7666FE90"/>
    <w:rsid w:val="766A12D2"/>
    <w:rsid w:val="766C17DC"/>
    <w:rsid w:val="766E9AD8"/>
    <w:rsid w:val="76725056"/>
    <w:rsid w:val="767B86F5"/>
    <w:rsid w:val="768D1F8C"/>
    <w:rsid w:val="768DF126"/>
    <w:rsid w:val="768EBD31"/>
    <w:rsid w:val="76A13D85"/>
    <w:rsid w:val="76AE5510"/>
    <w:rsid w:val="76B550AC"/>
    <w:rsid w:val="76B82B02"/>
    <w:rsid w:val="76BDAC06"/>
    <w:rsid w:val="76BE7973"/>
    <w:rsid w:val="76E09396"/>
    <w:rsid w:val="76E7166D"/>
    <w:rsid w:val="76EB05CB"/>
    <w:rsid w:val="76F8FBEC"/>
    <w:rsid w:val="7707BA4E"/>
    <w:rsid w:val="7707F6A7"/>
    <w:rsid w:val="770963BA"/>
    <w:rsid w:val="771A9E91"/>
    <w:rsid w:val="771BEC1D"/>
    <w:rsid w:val="772146B6"/>
    <w:rsid w:val="77275092"/>
    <w:rsid w:val="772A21B7"/>
    <w:rsid w:val="772EE119"/>
    <w:rsid w:val="77304BA2"/>
    <w:rsid w:val="77394C53"/>
    <w:rsid w:val="773CF1BD"/>
    <w:rsid w:val="7744274D"/>
    <w:rsid w:val="7745B994"/>
    <w:rsid w:val="774D2BB9"/>
    <w:rsid w:val="774E2336"/>
    <w:rsid w:val="7755493D"/>
    <w:rsid w:val="7763EF5F"/>
    <w:rsid w:val="7766496F"/>
    <w:rsid w:val="7768F81F"/>
    <w:rsid w:val="7770644B"/>
    <w:rsid w:val="777875D7"/>
    <w:rsid w:val="778271C3"/>
    <w:rsid w:val="77853E89"/>
    <w:rsid w:val="7786B2B0"/>
    <w:rsid w:val="778CF5DD"/>
    <w:rsid w:val="778E3FB1"/>
    <w:rsid w:val="7797711B"/>
    <w:rsid w:val="779A72FD"/>
    <w:rsid w:val="77A32F6A"/>
    <w:rsid w:val="77A36817"/>
    <w:rsid w:val="77A65A0F"/>
    <w:rsid w:val="77AE7260"/>
    <w:rsid w:val="77BDA5F5"/>
    <w:rsid w:val="77CAD776"/>
    <w:rsid w:val="77D14A89"/>
    <w:rsid w:val="77D45538"/>
    <w:rsid w:val="77D49113"/>
    <w:rsid w:val="77DA7A06"/>
    <w:rsid w:val="77E66EC0"/>
    <w:rsid w:val="77E9EC70"/>
    <w:rsid w:val="7809820C"/>
    <w:rsid w:val="780B2423"/>
    <w:rsid w:val="780F3D0F"/>
    <w:rsid w:val="7810FA8A"/>
    <w:rsid w:val="7811CC02"/>
    <w:rsid w:val="781256BC"/>
    <w:rsid w:val="781D8053"/>
    <w:rsid w:val="7825F323"/>
    <w:rsid w:val="782AB3D3"/>
    <w:rsid w:val="782E2594"/>
    <w:rsid w:val="7831CAFE"/>
    <w:rsid w:val="78343BE2"/>
    <w:rsid w:val="78429B39"/>
    <w:rsid w:val="784556BF"/>
    <w:rsid w:val="784623E7"/>
    <w:rsid w:val="784D8AD4"/>
    <w:rsid w:val="78578DBB"/>
    <w:rsid w:val="785E6C2C"/>
    <w:rsid w:val="786F0539"/>
    <w:rsid w:val="7882CC9C"/>
    <w:rsid w:val="788A8DD7"/>
    <w:rsid w:val="789021A8"/>
    <w:rsid w:val="7891CB51"/>
    <w:rsid w:val="7893F944"/>
    <w:rsid w:val="789401F5"/>
    <w:rsid w:val="7899CE66"/>
    <w:rsid w:val="78AF242B"/>
    <w:rsid w:val="78B18D1C"/>
    <w:rsid w:val="78C009FA"/>
    <w:rsid w:val="78C36D00"/>
    <w:rsid w:val="78C44E23"/>
    <w:rsid w:val="78CB0E79"/>
    <w:rsid w:val="78D4F791"/>
    <w:rsid w:val="78D58E2E"/>
    <w:rsid w:val="78DA2DF1"/>
    <w:rsid w:val="78DA6297"/>
    <w:rsid w:val="78E21E2C"/>
    <w:rsid w:val="78F05709"/>
    <w:rsid w:val="78F69BE8"/>
    <w:rsid w:val="78F8D8B6"/>
    <w:rsid w:val="790182D8"/>
    <w:rsid w:val="7901EAEA"/>
    <w:rsid w:val="79070BE3"/>
    <w:rsid w:val="790B09D0"/>
    <w:rsid w:val="7914A196"/>
    <w:rsid w:val="7915F45B"/>
    <w:rsid w:val="792940DB"/>
    <w:rsid w:val="792FAC06"/>
    <w:rsid w:val="7933BE43"/>
    <w:rsid w:val="79360302"/>
    <w:rsid w:val="7939BBD6"/>
    <w:rsid w:val="793BDA5C"/>
    <w:rsid w:val="793C733F"/>
    <w:rsid w:val="793F3878"/>
    <w:rsid w:val="7941748F"/>
    <w:rsid w:val="7949FE12"/>
    <w:rsid w:val="794BFD23"/>
    <w:rsid w:val="794F4AFE"/>
    <w:rsid w:val="79544372"/>
    <w:rsid w:val="79558F8C"/>
    <w:rsid w:val="795F891F"/>
    <w:rsid w:val="7962CC26"/>
    <w:rsid w:val="79633672"/>
    <w:rsid w:val="796A33CE"/>
    <w:rsid w:val="79833B9E"/>
    <w:rsid w:val="798D10B9"/>
    <w:rsid w:val="7998F70E"/>
    <w:rsid w:val="79A3FD4B"/>
    <w:rsid w:val="79A771A3"/>
    <w:rsid w:val="79ABF3E0"/>
    <w:rsid w:val="79B0712E"/>
    <w:rsid w:val="79B304C6"/>
    <w:rsid w:val="79B58EC7"/>
    <w:rsid w:val="79C2FE03"/>
    <w:rsid w:val="79C907D8"/>
    <w:rsid w:val="79CAA973"/>
    <w:rsid w:val="79CE9947"/>
    <w:rsid w:val="79D263BD"/>
    <w:rsid w:val="79E07F05"/>
    <w:rsid w:val="79E12720"/>
    <w:rsid w:val="79F6C5F7"/>
    <w:rsid w:val="7A002DF6"/>
    <w:rsid w:val="7A025C16"/>
    <w:rsid w:val="7A06FBDD"/>
    <w:rsid w:val="7A129E3C"/>
    <w:rsid w:val="7A1529A4"/>
    <w:rsid w:val="7A18C636"/>
    <w:rsid w:val="7A255789"/>
    <w:rsid w:val="7A2B95D1"/>
    <w:rsid w:val="7A2D3976"/>
    <w:rsid w:val="7A314108"/>
    <w:rsid w:val="7A411F40"/>
    <w:rsid w:val="7A4B2E94"/>
    <w:rsid w:val="7A56CF4B"/>
    <w:rsid w:val="7A5A9AC3"/>
    <w:rsid w:val="7A5E97CB"/>
    <w:rsid w:val="7A61CC95"/>
    <w:rsid w:val="7A628B4A"/>
    <w:rsid w:val="7A629CF6"/>
    <w:rsid w:val="7A64B876"/>
    <w:rsid w:val="7A66DEDA"/>
    <w:rsid w:val="7A6F7CBD"/>
    <w:rsid w:val="7A70EB7D"/>
    <w:rsid w:val="7A72056A"/>
    <w:rsid w:val="7A7ACED8"/>
    <w:rsid w:val="7A7C9376"/>
    <w:rsid w:val="7A7FC595"/>
    <w:rsid w:val="7A86F8DC"/>
    <w:rsid w:val="7A987B44"/>
    <w:rsid w:val="7A9A04D2"/>
    <w:rsid w:val="7A9D3C5A"/>
    <w:rsid w:val="7A9E9715"/>
    <w:rsid w:val="7AA24EB7"/>
    <w:rsid w:val="7AA26A38"/>
    <w:rsid w:val="7AB3D430"/>
    <w:rsid w:val="7ABC0E65"/>
    <w:rsid w:val="7AC4D58E"/>
    <w:rsid w:val="7ACA708E"/>
    <w:rsid w:val="7ACB36AE"/>
    <w:rsid w:val="7ACE0BBD"/>
    <w:rsid w:val="7ACE19B2"/>
    <w:rsid w:val="7AD02750"/>
    <w:rsid w:val="7AD4F73F"/>
    <w:rsid w:val="7AEBC613"/>
    <w:rsid w:val="7AF667BF"/>
    <w:rsid w:val="7AF8329B"/>
    <w:rsid w:val="7B02BB80"/>
    <w:rsid w:val="7B11E977"/>
    <w:rsid w:val="7B18D58D"/>
    <w:rsid w:val="7B1F8EB1"/>
    <w:rsid w:val="7B2223D6"/>
    <w:rsid w:val="7B29E23B"/>
    <w:rsid w:val="7B334931"/>
    <w:rsid w:val="7B3469B3"/>
    <w:rsid w:val="7B3A7306"/>
    <w:rsid w:val="7B405C2A"/>
    <w:rsid w:val="7B473EE0"/>
    <w:rsid w:val="7B482BA7"/>
    <w:rsid w:val="7B4C5692"/>
    <w:rsid w:val="7B53D2CE"/>
    <w:rsid w:val="7B56AA61"/>
    <w:rsid w:val="7B616369"/>
    <w:rsid w:val="7B6ADEAD"/>
    <w:rsid w:val="7B6C04D3"/>
    <w:rsid w:val="7B6C8968"/>
    <w:rsid w:val="7B7952D3"/>
    <w:rsid w:val="7B7C4F66"/>
    <w:rsid w:val="7B7FF8EB"/>
    <w:rsid w:val="7B832D29"/>
    <w:rsid w:val="7B83AEBA"/>
    <w:rsid w:val="7B83BDA2"/>
    <w:rsid w:val="7B860107"/>
    <w:rsid w:val="7B8D2A1F"/>
    <w:rsid w:val="7B8EB88A"/>
    <w:rsid w:val="7B9A4D37"/>
    <w:rsid w:val="7BA071D3"/>
    <w:rsid w:val="7BA98E55"/>
    <w:rsid w:val="7BB0605F"/>
    <w:rsid w:val="7BB407E6"/>
    <w:rsid w:val="7BB9196C"/>
    <w:rsid w:val="7BBBB581"/>
    <w:rsid w:val="7BC418A5"/>
    <w:rsid w:val="7BCCF2BF"/>
    <w:rsid w:val="7BD30A52"/>
    <w:rsid w:val="7BD33FC6"/>
    <w:rsid w:val="7BD8EA6C"/>
    <w:rsid w:val="7BE075CF"/>
    <w:rsid w:val="7BE9FF0C"/>
    <w:rsid w:val="7BEE01F5"/>
    <w:rsid w:val="7C02F46B"/>
    <w:rsid w:val="7C043D09"/>
    <w:rsid w:val="7C0F1435"/>
    <w:rsid w:val="7C12F754"/>
    <w:rsid w:val="7C14F916"/>
    <w:rsid w:val="7C1DAC4D"/>
    <w:rsid w:val="7C20AF41"/>
    <w:rsid w:val="7C2138B6"/>
    <w:rsid w:val="7C23757D"/>
    <w:rsid w:val="7C2E6946"/>
    <w:rsid w:val="7C31FBE6"/>
    <w:rsid w:val="7C350765"/>
    <w:rsid w:val="7C375EAD"/>
    <w:rsid w:val="7C37CFEC"/>
    <w:rsid w:val="7C3B8C11"/>
    <w:rsid w:val="7C3BCDAA"/>
    <w:rsid w:val="7C3D10A8"/>
    <w:rsid w:val="7C513EE3"/>
    <w:rsid w:val="7C538FD3"/>
    <w:rsid w:val="7C5640D2"/>
    <w:rsid w:val="7C623805"/>
    <w:rsid w:val="7C69E811"/>
    <w:rsid w:val="7C6D8478"/>
    <w:rsid w:val="7C73C8CE"/>
    <w:rsid w:val="7C7CBD7D"/>
    <w:rsid w:val="7C7DDCDF"/>
    <w:rsid w:val="7C81FFA9"/>
    <w:rsid w:val="7C88D20C"/>
    <w:rsid w:val="7C8C15F9"/>
    <w:rsid w:val="7C9A2CFE"/>
    <w:rsid w:val="7C9CABFE"/>
    <w:rsid w:val="7C9DE724"/>
    <w:rsid w:val="7CB27640"/>
    <w:rsid w:val="7CBC70DA"/>
    <w:rsid w:val="7CC1EADA"/>
    <w:rsid w:val="7CC5B29C"/>
    <w:rsid w:val="7CC616B2"/>
    <w:rsid w:val="7CD4F1AF"/>
    <w:rsid w:val="7CD6EB88"/>
    <w:rsid w:val="7CDD1922"/>
    <w:rsid w:val="7CE6CBF5"/>
    <w:rsid w:val="7CE8B118"/>
    <w:rsid w:val="7CEA626A"/>
    <w:rsid w:val="7CF19404"/>
    <w:rsid w:val="7D01481F"/>
    <w:rsid w:val="7D0699EF"/>
    <w:rsid w:val="7D0DF22B"/>
    <w:rsid w:val="7D19E507"/>
    <w:rsid w:val="7D232F1E"/>
    <w:rsid w:val="7D2CED8A"/>
    <w:rsid w:val="7D3688D9"/>
    <w:rsid w:val="7D48CF6C"/>
    <w:rsid w:val="7D493185"/>
    <w:rsid w:val="7D4969A3"/>
    <w:rsid w:val="7D50CFEB"/>
    <w:rsid w:val="7D55799A"/>
    <w:rsid w:val="7D56E0F8"/>
    <w:rsid w:val="7D5D8808"/>
    <w:rsid w:val="7D62C2FB"/>
    <w:rsid w:val="7D65A547"/>
    <w:rsid w:val="7D6F47E1"/>
    <w:rsid w:val="7D71432A"/>
    <w:rsid w:val="7D78A53E"/>
    <w:rsid w:val="7D7DD763"/>
    <w:rsid w:val="7D7E921E"/>
    <w:rsid w:val="7D7F10C5"/>
    <w:rsid w:val="7D81F060"/>
    <w:rsid w:val="7D958CF4"/>
    <w:rsid w:val="7D975168"/>
    <w:rsid w:val="7DA46CA5"/>
    <w:rsid w:val="7DA7BF71"/>
    <w:rsid w:val="7DA8EBB4"/>
    <w:rsid w:val="7DAD9F14"/>
    <w:rsid w:val="7DB14313"/>
    <w:rsid w:val="7DB8302E"/>
    <w:rsid w:val="7DC1C72E"/>
    <w:rsid w:val="7DC5B59A"/>
    <w:rsid w:val="7DCECBB7"/>
    <w:rsid w:val="7DD394A7"/>
    <w:rsid w:val="7DDCE085"/>
    <w:rsid w:val="7DE34ECB"/>
    <w:rsid w:val="7DEDF084"/>
    <w:rsid w:val="7DF6182E"/>
    <w:rsid w:val="7DFB46C9"/>
    <w:rsid w:val="7DFDA4BA"/>
    <w:rsid w:val="7DFF449A"/>
    <w:rsid w:val="7E02C371"/>
    <w:rsid w:val="7E0645E9"/>
    <w:rsid w:val="7E12A99B"/>
    <w:rsid w:val="7E268AF2"/>
    <w:rsid w:val="7E27F441"/>
    <w:rsid w:val="7E3CB61A"/>
    <w:rsid w:val="7E412FD6"/>
    <w:rsid w:val="7E41B713"/>
    <w:rsid w:val="7E498596"/>
    <w:rsid w:val="7E4B1605"/>
    <w:rsid w:val="7E515220"/>
    <w:rsid w:val="7E5B1813"/>
    <w:rsid w:val="7E5CBF19"/>
    <w:rsid w:val="7E5F1107"/>
    <w:rsid w:val="7E5F5BDE"/>
    <w:rsid w:val="7E5FFB77"/>
    <w:rsid w:val="7E63FCD4"/>
    <w:rsid w:val="7E64B045"/>
    <w:rsid w:val="7E662E39"/>
    <w:rsid w:val="7E70C92B"/>
    <w:rsid w:val="7E718401"/>
    <w:rsid w:val="7E74EA1C"/>
    <w:rsid w:val="7E76629C"/>
    <w:rsid w:val="7E78CFA6"/>
    <w:rsid w:val="7E7A50EF"/>
    <w:rsid w:val="7E7DA1AD"/>
    <w:rsid w:val="7E90FF8C"/>
    <w:rsid w:val="7E925950"/>
    <w:rsid w:val="7E9A277A"/>
    <w:rsid w:val="7EA21B68"/>
    <w:rsid w:val="7EA5D91C"/>
    <w:rsid w:val="7EACF949"/>
    <w:rsid w:val="7EADDAFF"/>
    <w:rsid w:val="7EB48A0F"/>
    <w:rsid w:val="7EC35F17"/>
    <w:rsid w:val="7EC8BDEB"/>
    <w:rsid w:val="7ECD3941"/>
    <w:rsid w:val="7ECDADB0"/>
    <w:rsid w:val="7ECDD9AA"/>
    <w:rsid w:val="7ED9EE81"/>
    <w:rsid w:val="7EE5845C"/>
    <w:rsid w:val="7EF589AD"/>
    <w:rsid w:val="7EF87A74"/>
    <w:rsid w:val="7F023C47"/>
    <w:rsid w:val="7F0B95B8"/>
    <w:rsid w:val="7F14759F"/>
    <w:rsid w:val="7F14EA42"/>
    <w:rsid w:val="7F198627"/>
    <w:rsid w:val="7F19B2CC"/>
    <w:rsid w:val="7F1CF3F3"/>
    <w:rsid w:val="7F26800D"/>
    <w:rsid w:val="7F2B35DB"/>
    <w:rsid w:val="7F32AE84"/>
    <w:rsid w:val="7F344CB3"/>
    <w:rsid w:val="7F37C7FB"/>
    <w:rsid w:val="7F38B341"/>
    <w:rsid w:val="7F399035"/>
    <w:rsid w:val="7F44E305"/>
    <w:rsid w:val="7F4A611D"/>
    <w:rsid w:val="7F4D5F13"/>
    <w:rsid w:val="7F566662"/>
    <w:rsid w:val="7F59011E"/>
    <w:rsid w:val="7F6B5E36"/>
    <w:rsid w:val="7F715608"/>
    <w:rsid w:val="7F740505"/>
    <w:rsid w:val="7F751CA3"/>
    <w:rsid w:val="7F7A4B1A"/>
    <w:rsid w:val="7F8569BB"/>
    <w:rsid w:val="7F87CE16"/>
    <w:rsid w:val="7F97F32D"/>
    <w:rsid w:val="7F9C53AD"/>
    <w:rsid w:val="7FA5947C"/>
    <w:rsid w:val="7FB26DFE"/>
    <w:rsid w:val="7FB8B2F8"/>
    <w:rsid w:val="7FC1C08A"/>
    <w:rsid w:val="7FC416A1"/>
    <w:rsid w:val="7FC9515A"/>
    <w:rsid w:val="7FC9D31A"/>
    <w:rsid w:val="7FD6E564"/>
    <w:rsid w:val="7FE13602"/>
    <w:rsid w:val="7FEA5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A5DCE"/>
  <w15:docId w15:val="{57CF1C14-29FA-404C-B455-B82FC884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semiHidden/>
    <w:unhideWhenUsed/>
    <w:qFormat/>
    <w:rsid w:val="002B7E8E"/>
    <w:pPr>
      <w:keepNext/>
      <w:keepLines/>
      <w:spacing w:before="40" w:after="0"/>
      <w:ind w:firstLine="0"/>
      <w:jc w:val="left"/>
      <w:outlineLvl w:val="3"/>
    </w:pPr>
    <w:rPr>
      <w:rFonts w:ascii="Cambria" w:hAnsi="Cambria"/>
      <w:i/>
      <w:iCs/>
      <w:color w:val="365F91"/>
      <w:sz w:val="24"/>
      <w:szCs w:val="24"/>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qFormat/>
    <w:rsid w:val="002B7E8E"/>
    <w:pPr>
      <w:keepNext/>
      <w:spacing w:after="0"/>
      <w:ind w:firstLine="0"/>
      <w:jc w:val="center"/>
      <w:outlineLvl w:val="6"/>
    </w:pPr>
    <w:rPr>
      <w:sz w:val="5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35"/>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link w:val="Ttulo4"/>
    <w:semiHidden/>
    <w:rsid w:val="002B7E8E"/>
    <w:rPr>
      <w:rFonts w:ascii="Cambria" w:eastAsia="Times New Roman" w:hAnsi="Cambria" w:cs="Times New Roman"/>
      <w:i/>
      <w:iCs/>
      <w:color w:val="365F91"/>
      <w:sz w:val="24"/>
      <w:szCs w:val="24"/>
    </w:rPr>
  </w:style>
  <w:style w:type="character" w:customStyle="1" w:styleId="Ttulo7Car">
    <w:name w:val="Título 7 Car"/>
    <w:link w:val="Ttulo7"/>
    <w:rsid w:val="002B7E8E"/>
    <w:rPr>
      <w:sz w:val="52"/>
      <w:szCs w:val="24"/>
    </w:rPr>
  </w:style>
  <w:style w:type="character" w:customStyle="1" w:styleId="Ttulo5Car">
    <w:name w:val="Título 5 Car"/>
    <w:link w:val="Ttulo5"/>
    <w:locked/>
    <w:rsid w:val="002B7E8E"/>
    <w:rPr>
      <w:b/>
      <w:sz w:val="28"/>
      <w:lang w:eastAsia="en-US"/>
    </w:rPr>
  </w:style>
  <w:style w:type="character" w:customStyle="1" w:styleId="Ttulo1Car">
    <w:name w:val="Título 1 Car"/>
    <w:link w:val="Ttulo1"/>
    <w:locked/>
    <w:rsid w:val="002B7E8E"/>
    <w:rPr>
      <w:rFonts w:ascii="Arial" w:hAnsi="Arial" w:cs="Arial"/>
      <w:b/>
      <w:bCs/>
      <w:kern w:val="32"/>
      <w:sz w:val="32"/>
      <w:szCs w:val="32"/>
      <w:lang w:val="es-ES_tradnl" w:eastAsia="en-US"/>
    </w:rPr>
  </w:style>
  <w:style w:type="character" w:customStyle="1" w:styleId="Ttulo2Car">
    <w:name w:val="Título 2 Car"/>
    <w:link w:val="Ttulo2"/>
    <w:locked/>
    <w:rsid w:val="002B7E8E"/>
    <w:rPr>
      <w:rFonts w:ascii="Arial" w:hAnsi="Arial" w:cs="Arial"/>
      <w:b/>
      <w:bCs/>
      <w:i/>
      <w:iCs/>
      <w:sz w:val="28"/>
      <w:szCs w:val="28"/>
      <w:lang w:val="es-ES_tradnl" w:eastAsia="en-US"/>
    </w:rPr>
  </w:style>
  <w:style w:type="character" w:customStyle="1" w:styleId="Ttulo3Car">
    <w:name w:val="Título 3 Car"/>
    <w:link w:val="Ttulo3"/>
    <w:locked/>
    <w:rsid w:val="002B7E8E"/>
    <w:rPr>
      <w:rFonts w:ascii="Arial" w:hAnsi="Arial" w:cs="Arial"/>
      <w:b/>
      <w:bCs/>
      <w:szCs w:val="26"/>
      <w:lang w:val="es-ES_tradnl" w:eastAsia="en-US"/>
    </w:rPr>
  </w:style>
  <w:style w:type="character" w:customStyle="1" w:styleId="TextodegloboCar">
    <w:name w:val="Texto de globo Car"/>
    <w:link w:val="Textodeglobo"/>
    <w:semiHidden/>
    <w:locked/>
    <w:rsid w:val="002B7E8E"/>
    <w:rPr>
      <w:rFonts w:ascii="Tahoma" w:hAnsi="Tahoma" w:cs="Tahoma"/>
      <w:sz w:val="16"/>
      <w:szCs w:val="16"/>
      <w:lang w:val="es-ES_tradnl" w:eastAsia="en-US"/>
    </w:rPr>
  </w:style>
  <w:style w:type="character" w:customStyle="1" w:styleId="EncabezadoCar">
    <w:name w:val="Encabezado Car"/>
    <w:link w:val="Encabezado"/>
    <w:uiPriority w:val="99"/>
    <w:locked/>
    <w:rsid w:val="002B7E8E"/>
    <w:rPr>
      <w:bCs/>
      <w:caps/>
      <w:sz w:val="14"/>
      <w:szCs w:val="12"/>
      <w:lang w:val="es-ES_tradnl" w:eastAsia="en-US"/>
    </w:rPr>
  </w:style>
  <w:style w:type="character" w:customStyle="1" w:styleId="PiedepginaCar">
    <w:name w:val="Pie de página Car"/>
    <w:link w:val="Piedepgina"/>
    <w:uiPriority w:val="99"/>
    <w:locked/>
    <w:rsid w:val="002B7E8E"/>
    <w:rPr>
      <w:spacing w:val="6"/>
      <w:lang w:val="es-ES_tradnl" w:eastAsia="en-US"/>
    </w:rPr>
  </w:style>
  <w:style w:type="character" w:customStyle="1" w:styleId="atitulo2Car">
    <w:name w:val="atitulo2 Car"/>
    <w:link w:val="atitulo2"/>
    <w:locked/>
    <w:rsid w:val="002B7E8E"/>
    <w:rPr>
      <w:rFonts w:ascii="Arial" w:hAnsi="Arial"/>
      <w:bCs/>
      <w:iCs/>
      <w:color w:val="000000"/>
      <w:spacing w:val="10"/>
      <w:kern w:val="28"/>
      <w:sz w:val="25"/>
      <w:szCs w:val="26"/>
      <w:lang w:val="es-ES_tradnl" w:eastAsia="en-US"/>
    </w:rPr>
  </w:style>
  <w:style w:type="paragraph" w:customStyle="1" w:styleId="cuatitul">
    <w:name w:val="cuatitul"/>
    <w:basedOn w:val="Normal"/>
    <w:rsid w:val="002B7E8E"/>
    <w:pPr>
      <w:spacing w:after="60"/>
      <w:ind w:firstLine="0"/>
      <w:jc w:val="center"/>
    </w:pPr>
    <w:rPr>
      <w:rFonts w:ascii="GillSans" w:eastAsia="Calibri" w:hAnsi="GillSans"/>
      <w:sz w:val="22"/>
      <w:szCs w:val="24"/>
      <w:lang w:val="es-ES" w:eastAsia="es-ES"/>
    </w:rPr>
  </w:style>
  <w:style w:type="paragraph" w:customStyle="1" w:styleId="TablaCC">
    <w:name w:val="TablaCC"/>
    <w:basedOn w:val="Normal"/>
    <w:rsid w:val="002B7E8E"/>
    <w:pPr>
      <w:spacing w:before="200" w:after="0"/>
      <w:ind w:firstLine="0"/>
      <w:jc w:val="left"/>
    </w:pPr>
    <w:rPr>
      <w:rFonts w:ascii="Arial" w:eastAsia="Calibri" w:hAnsi="Arial"/>
      <w:b/>
      <w:sz w:val="24"/>
      <w:szCs w:val="24"/>
      <w:lang w:val="es-ES" w:eastAsia="es-ES"/>
    </w:rPr>
  </w:style>
  <w:style w:type="paragraph" w:customStyle="1" w:styleId="xl25">
    <w:name w:val="xl25"/>
    <w:basedOn w:val="Normal"/>
    <w:rsid w:val="002B7E8E"/>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2B7E8E"/>
    <w:pPr>
      <w:spacing w:after="0"/>
      <w:ind w:firstLine="0"/>
      <w:jc w:val="left"/>
    </w:pPr>
    <w:rPr>
      <w:rFonts w:ascii="Arial" w:eastAsia="Calibri" w:hAnsi="Arial"/>
      <w:sz w:val="24"/>
      <w:szCs w:val="24"/>
      <w:lang w:val="es-ES" w:eastAsia="es-ES"/>
    </w:rPr>
  </w:style>
  <w:style w:type="character" w:customStyle="1" w:styleId="TextoindependienteCar">
    <w:name w:val="Texto independiente Car"/>
    <w:link w:val="Textoindependiente"/>
    <w:rsid w:val="002B7E8E"/>
    <w:rPr>
      <w:rFonts w:ascii="Arial" w:eastAsia="Calibri" w:hAnsi="Arial"/>
      <w:sz w:val="24"/>
      <w:szCs w:val="24"/>
    </w:rPr>
  </w:style>
  <w:style w:type="paragraph" w:styleId="NormalWeb">
    <w:name w:val="Normal (Web)"/>
    <w:basedOn w:val="Normal"/>
    <w:uiPriority w:val="99"/>
    <w:rsid w:val="002B7E8E"/>
    <w:pPr>
      <w:spacing w:before="100" w:beforeAutospacing="1" w:after="100" w:afterAutospacing="1"/>
      <w:ind w:firstLine="0"/>
      <w:jc w:val="left"/>
    </w:pPr>
    <w:rPr>
      <w:rFonts w:eastAsia="Calibri"/>
      <w:sz w:val="24"/>
      <w:szCs w:val="24"/>
      <w:lang w:val="es-ES" w:eastAsia="es-ES"/>
    </w:rPr>
  </w:style>
  <w:style w:type="character" w:customStyle="1" w:styleId="AyuntamientoCar">
    <w:name w:val="Ayuntamiento Car"/>
    <w:link w:val="Ayuntamiento"/>
    <w:locked/>
    <w:rsid w:val="002B7E8E"/>
    <w:rPr>
      <w:rFonts w:ascii="Arial" w:hAnsi="Arial"/>
      <w:sz w:val="24"/>
      <w:lang w:val="x-none"/>
    </w:rPr>
  </w:style>
  <w:style w:type="paragraph" w:customStyle="1" w:styleId="Ayuntamiento">
    <w:name w:val="Ayuntamiento"/>
    <w:basedOn w:val="Normal"/>
    <w:link w:val="AyuntamientoCar"/>
    <w:rsid w:val="002B7E8E"/>
    <w:pPr>
      <w:spacing w:after="0"/>
      <w:ind w:firstLine="0"/>
      <w:jc w:val="left"/>
    </w:pPr>
    <w:rPr>
      <w:rFonts w:ascii="Arial" w:hAnsi="Arial"/>
      <w:sz w:val="24"/>
      <w:lang w:val="x-none" w:eastAsia="es-ES"/>
    </w:rPr>
  </w:style>
  <w:style w:type="character" w:customStyle="1" w:styleId="JavierCar">
    <w:name w:val="Javier Car"/>
    <w:link w:val="Javier"/>
    <w:locked/>
    <w:rsid w:val="002B7E8E"/>
    <w:rPr>
      <w:rFonts w:ascii="Arial" w:hAnsi="Arial"/>
      <w:sz w:val="24"/>
      <w:lang w:val="x-none"/>
    </w:rPr>
  </w:style>
  <w:style w:type="paragraph" w:customStyle="1" w:styleId="Javier">
    <w:name w:val="Javier"/>
    <w:basedOn w:val="Normal"/>
    <w:link w:val="JavierCar"/>
    <w:rsid w:val="002B7E8E"/>
    <w:pPr>
      <w:spacing w:after="0"/>
      <w:ind w:firstLine="0"/>
      <w:jc w:val="left"/>
    </w:pPr>
    <w:rPr>
      <w:rFonts w:ascii="Arial" w:hAnsi="Arial"/>
      <w:sz w:val="24"/>
      <w:lang w:val="x-none" w:eastAsia="es-ES"/>
    </w:rPr>
  </w:style>
  <w:style w:type="character" w:styleId="Textoennegrita">
    <w:name w:val="Strong"/>
    <w:qFormat/>
    <w:rsid w:val="002B7E8E"/>
    <w:rPr>
      <w:b/>
    </w:rPr>
  </w:style>
  <w:style w:type="paragraph" w:customStyle="1" w:styleId="foral-f-parrafo-c">
    <w:name w:val="foral-f-parrafo-c"/>
    <w:basedOn w:val="Normal"/>
    <w:rsid w:val="002B7E8E"/>
    <w:pPr>
      <w:spacing w:after="240"/>
      <w:ind w:firstLine="0"/>
      <w:jc w:val="left"/>
    </w:pPr>
    <w:rPr>
      <w:rFonts w:eastAsia="Calibri"/>
      <w:sz w:val="24"/>
      <w:szCs w:val="24"/>
      <w:lang w:val="es-ES" w:eastAsia="es-ES"/>
    </w:rPr>
  </w:style>
  <w:style w:type="paragraph" w:customStyle="1" w:styleId="Estndar">
    <w:name w:val="Estándar"/>
    <w:rsid w:val="002B7E8E"/>
    <w:pPr>
      <w:snapToGrid w:val="0"/>
    </w:pPr>
    <w:rPr>
      <w:rFonts w:ascii="CG Omega" w:hAnsi="CG Omega"/>
      <w:color w:val="000000"/>
      <w:sz w:val="22"/>
    </w:rPr>
  </w:style>
  <w:style w:type="paragraph" w:styleId="Textoindependiente2">
    <w:name w:val="Body Text 2"/>
    <w:basedOn w:val="Normal"/>
    <w:link w:val="Textoindependiente2Car"/>
    <w:rsid w:val="002B7E8E"/>
    <w:pPr>
      <w:spacing w:after="120" w:line="480" w:lineRule="auto"/>
      <w:ind w:firstLine="0"/>
      <w:jc w:val="left"/>
    </w:pPr>
    <w:rPr>
      <w:rFonts w:eastAsia="Calibri"/>
      <w:sz w:val="24"/>
      <w:szCs w:val="24"/>
      <w:lang w:val="es-ES" w:eastAsia="es-ES"/>
    </w:rPr>
  </w:style>
  <w:style w:type="character" w:customStyle="1" w:styleId="Textoindependiente2Car">
    <w:name w:val="Texto independiente 2 Car"/>
    <w:link w:val="Textoindependiente2"/>
    <w:rsid w:val="002B7E8E"/>
    <w:rPr>
      <w:rFonts w:eastAsia="Calibri"/>
      <w:sz w:val="24"/>
      <w:szCs w:val="24"/>
    </w:rPr>
  </w:style>
  <w:style w:type="paragraph" w:styleId="Textoindependiente3">
    <w:name w:val="Body Text 3"/>
    <w:basedOn w:val="Normal"/>
    <w:link w:val="Textoindependiente3Car"/>
    <w:rsid w:val="002B7E8E"/>
    <w:pPr>
      <w:spacing w:after="0"/>
      <w:ind w:firstLine="0"/>
      <w:jc w:val="center"/>
    </w:pPr>
    <w:rPr>
      <w:rFonts w:ascii="ITCCentury Book" w:hAnsi="ITCCentury Book"/>
      <w:b/>
      <w:sz w:val="96"/>
      <w:szCs w:val="24"/>
      <w:lang w:val="es-ES" w:eastAsia="es-ES"/>
    </w:rPr>
  </w:style>
  <w:style w:type="character" w:customStyle="1" w:styleId="Textoindependiente3Car">
    <w:name w:val="Texto independiente 3 Car"/>
    <w:link w:val="Textoindependiente3"/>
    <w:rsid w:val="002B7E8E"/>
    <w:rPr>
      <w:rFonts w:ascii="ITCCentury Book" w:hAnsi="ITCCentury Book"/>
      <w:b/>
      <w:sz w:val="96"/>
      <w:szCs w:val="24"/>
    </w:rPr>
  </w:style>
  <w:style w:type="paragraph" w:customStyle="1" w:styleId="c22">
    <w:name w:val="c22"/>
    <w:basedOn w:val="Normal"/>
    <w:rsid w:val="002B7E8E"/>
    <w:pPr>
      <w:spacing w:before="100" w:beforeAutospacing="1" w:after="100" w:afterAutospacing="1"/>
      <w:ind w:firstLine="0"/>
      <w:jc w:val="left"/>
    </w:pPr>
    <w:rPr>
      <w:sz w:val="24"/>
      <w:szCs w:val="24"/>
      <w:lang w:val="es-ES" w:eastAsia="es-ES"/>
    </w:rPr>
  </w:style>
  <w:style w:type="paragraph" w:customStyle="1" w:styleId="np">
    <w:name w:val="np"/>
    <w:basedOn w:val="Normal"/>
    <w:rsid w:val="002B7E8E"/>
    <w:pPr>
      <w:spacing w:before="100" w:beforeAutospacing="1" w:after="100" w:afterAutospacing="1"/>
      <w:ind w:firstLine="0"/>
      <w:jc w:val="left"/>
    </w:pPr>
    <w:rPr>
      <w:sz w:val="24"/>
      <w:szCs w:val="24"/>
      <w:lang w:val="es-ES" w:eastAsia="es-ES"/>
    </w:rPr>
  </w:style>
  <w:style w:type="paragraph" w:customStyle="1" w:styleId="Default">
    <w:name w:val="Default"/>
    <w:rsid w:val="002B7E8E"/>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2B7E8E"/>
    <w:pPr>
      <w:overflowPunct w:val="0"/>
      <w:adjustRightInd w:val="0"/>
      <w:spacing w:before="240" w:after="0"/>
      <w:ind w:firstLine="0"/>
      <w:jc w:val="left"/>
    </w:pPr>
    <w:rPr>
      <w:sz w:val="22"/>
      <w:szCs w:val="24"/>
      <w:lang w:val="es-ES" w:eastAsia="es-ES"/>
    </w:rPr>
  </w:style>
  <w:style w:type="character" w:customStyle="1" w:styleId="atitulo1Car">
    <w:name w:val="atitulo1 Car"/>
    <w:link w:val="atitulo1"/>
    <w:qFormat/>
    <w:rsid w:val="002B7E8E"/>
    <w:rPr>
      <w:rFonts w:ascii="Arial" w:hAnsi="Arial"/>
      <w:b/>
      <w:color w:val="000000"/>
      <w:kern w:val="28"/>
      <w:sz w:val="25"/>
      <w:szCs w:val="26"/>
      <w:lang w:val="es-ES_tradnl" w:eastAsia="en-US"/>
    </w:rPr>
  </w:style>
  <w:style w:type="paragraph" w:styleId="Textonotapie">
    <w:name w:val="footnote text"/>
    <w:basedOn w:val="Normal"/>
    <w:link w:val="TextonotapieCar"/>
    <w:rsid w:val="002B7E8E"/>
    <w:pPr>
      <w:spacing w:after="0"/>
      <w:ind w:firstLine="0"/>
      <w:jc w:val="left"/>
    </w:pPr>
    <w:rPr>
      <w:rFonts w:eastAsia="Calibri"/>
      <w:sz w:val="24"/>
      <w:szCs w:val="24"/>
      <w:lang w:val="es-ES" w:eastAsia="es-ES"/>
    </w:rPr>
  </w:style>
  <w:style w:type="character" w:customStyle="1" w:styleId="TextonotapieCar">
    <w:name w:val="Texto nota pie Car"/>
    <w:link w:val="Textonotapie"/>
    <w:rsid w:val="002B7E8E"/>
    <w:rPr>
      <w:rFonts w:eastAsia="Calibri"/>
      <w:sz w:val="24"/>
      <w:szCs w:val="24"/>
    </w:rPr>
  </w:style>
  <w:style w:type="character" w:styleId="Refdenotaalpie">
    <w:name w:val="footnote reference"/>
    <w:uiPriority w:val="99"/>
    <w:rsid w:val="002B7E8E"/>
    <w:rPr>
      <w:vertAlign w:val="superscript"/>
    </w:rPr>
  </w:style>
  <w:style w:type="paragraph" w:styleId="Prrafodelista">
    <w:name w:val="List Paragraph"/>
    <w:basedOn w:val="Normal"/>
    <w:uiPriority w:val="34"/>
    <w:qFormat/>
    <w:rsid w:val="002B7E8E"/>
    <w:pPr>
      <w:spacing w:after="0"/>
      <w:ind w:left="720" w:firstLine="0"/>
      <w:contextualSpacing/>
      <w:jc w:val="left"/>
    </w:pPr>
    <w:rPr>
      <w:rFonts w:eastAsia="Calibri"/>
      <w:sz w:val="24"/>
      <w:szCs w:val="24"/>
      <w:lang w:val="es-ES" w:eastAsia="es-ES"/>
    </w:rPr>
  </w:style>
  <w:style w:type="table" w:customStyle="1" w:styleId="Tablaconcuadrcula1">
    <w:name w:val="Tabla con cuadrícula1"/>
    <w:basedOn w:val="Tablanormal"/>
    <w:next w:val="Tablaconcuadrcula"/>
    <w:rsid w:val="002B7E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B7E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2B7E8E"/>
    <w:rPr>
      <w:color w:val="800080"/>
      <w:u w:val="single"/>
    </w:rPr>
  </w:style>
  <w:style w:type="table" w:styleId="Tablaconlista5">
    <w:name w:val="Table List 5"/>
    <w:basedOn w:val="Tablanormal"/>
    <w:rsid w:val="002B7E8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markedcontent">
    <w:name w:val="markedcontent"/>
    <w:basedOn w:val="Fuentedeprrafopredeter"/>
    <w:rsid w:val="002B7E8E"/>
  </w:style>
  <w:style w:type="character" w:styleId="nfasis">
    <w:name w:val="Emphasis"/>
    <w:uiPriority w:val="20"/>
    <w:qFormat/>
    <w:rsid w:val="002B7E8E"/>
    <w:rPr>
      <w:i/>
      <w:iCs/>
    </w:rPr>
  </w:style>
  <w:style w:type="character" w:customStyle="1" w:styleId="atitulo3Car">
    <w:name w:val="atitulo3 Car"/>
    <w:link w:val="atitulo3"/>
    <w:rsid w:val="002B7E8E"/>
    <w:rPr>
      <w:rFonts w:ascii="Arial" w:hAnsi="Arial"/>
      <w:i/>
      <w:iCs/>
      <w:color w:val="000000"/>
      <w:spacing w:val="10"/>
      <w:kern w:val="28"/>
      <w:sz w:val="25"/>
      <w:szCs w:val="26"/>
      <w:lang w:val="es-ES_tradnl" w:eastAsia="en-US"/>
    </w:rPr>
  </w:style>
  <w:style w:type="character" w:styleId="Textodelmarcadordeposicin">
    <w:name w:val="Placeholder Text"/>
    <w:uiPriority w:val="99"/>
    <w:semiHidden/>
    <w:rsid w:val="002B7E8E"/>
    <w:rPr>
      <w:color w:val="808080"/>
    </w:rPr>
  </w:style>
  <w:style w:type="paragraph" w:customStyle="1" w:styleId="intervenciones">
    <w:name w:val="intervenciones"/>
    <w:basedOn w:val="Normal"/>
    <w:rsid w:val="002B7E8E"/>
    <w:pPr>
      <w:spacing w:before="100" w:beforeAutospacing="1" w:after="100" w:afterAutospacing="1"/>
      <w:ind w:firstLine="0"/>
      <w:jc w:val="left"/>
    </w:pPr>
    <w:rPr>
      <w:sz w:val="24"/>
      <w:szCs w:val="24"/>
      <w:lang w:val="es-ES" w:eastAsia="es-ES"/>
    </w:rPr>
  </w:style>
  <w:style w:type="paragraph" w:customStyle="1" w:styleId="subepgrafe0">
    <w:name w:val="subepgrafe"/>
    <w:basedOn w:val="Normal"/>
    <w:rsid w:val="002B7E8E"/>
    <w:pPr>
      <w:spacing w:before="100" w:beforeAutospacing="1" w:after="100" w:afterAutospacing="1"/>
      <w:ind w:firstLine="0"/>
      <w:jc w:val="left"/>
    </w:pPr>
    <w:rPr>
      <w:sz w:val="24"/>
      <w:szCs w:val="24"/>
      <w:lang w:val="es-ES" w:eastAsia="es-ES"/>
    </w:rPr>
  </w:style>
  <w:style w:type="character" w:customStyle="1" w:styleId="muxgbd">
    <w:name w:val="muxgbd"/>
    <w:basedOn w:val="Fuentedeprrafopredeter"/>
    <w:rsid w:val="002B7E8E"/>
  </w:style>
  <w:style w:type="paragraph" w:customStyle="1" w:styleId="Pa8">
    <w:name w:val="Pa8"/>
    <w:basedOn w:val="Default"/>
    <w:next w:val="Default"/>
    <w:uiPriority w:val="99"/>
    <w:rsid w:val="002B7E8E"/>
    <w:pPr>
      <w:spacing w:line="241" w:lineRule="atLeast"/>
    </w:pPr>
    <w:rPr>
      <w:rFonts w:ascii="Poppins ExtraBold" w:hAnsi="Poppins ExtraBold" w:cs="Times New Roman"/>
      <w:sz w:val="24"/>
      <w:szCs w:val="24"/>
    </w:rPr>
  </w:style>
  <w:style w:type="character" w:customStyle="1" w:styleId="A6">
    <w:name w:val="A6"/>
    <w:uiPriority w:val="99"/>
    <w:rsid w:val="002B7E8E"/>
    <w:rPr>
      <w:rFonts w:cs="Poppins ExtraBold"/>
      <w:b/>
      <w:bCs/>
      <w:color w:val="000000"/>
      <w:sz w:val="30"/>
      <w:szCs w:val="30"/>
    </w:rPr>
  </w:style>
  <w:style w:type="paragraph" w:customStyle="1" w:styleId="Pa9">
    <w:name w:val="Pa9"/>
    <w:basedOn w:val="Default"/>
    <w:next w:val="Default"/>
    <w:uiPriority w:val="99"/>
    <w:rsid w:val="002B7E8E"/>
    <w:pPr>
      <w:spacing w:line="241" w:lineRule="atLeast"/>
    </w:pPr>
    <w:rPr>
      <w:rFonts w:ascii="Poppins ExtraBold" w:hAnsi="Poppins ExtraBold" w:cs="Times New Roman"/>
      <w:sz w:val="24"/>
      <w:szCs w:val="24"/>
    </w:rPr>
  </w:style>
  <w:style w:type="character" w:customStyle="1" w:styleId="A9">
    <w:name w:val="A9"/>
    <w:uiPriority w:val="99"/>
    <w:rsid w:val="002B7E8E"/>
    <w:rPr>
      <w:rFonts w:cs="Poppins ExtraBold"/>
      <w:b/>
      <w:bCs/>
      <w:color w:val="000000"/>
      <w:sz w:val="80"/>
      <w:szCs w:val="80"/>
    </w:rPr>
  </w:style>
  <w:style w:type="paragraph" w:customStyle="1" w:styleId="foral-f-parrafo-3lineas-t5-c">
    <w:name w:val="foral-f-parrafo-3lineas-t5-c"/>
    <w:basedOn w:val="Normal"/>
    <w:rsid w:val="002B7E8E"/>
    <w:pPr>
      <w:spacing w:before="100" w:beforeAutospacing="1" w:after="100" w:afterAutospacing="1"/>
      <w:ind w:firstLine="0"/>
      <w:jc w:val="left"/>
    </w:pPr>
    <w:rPr>
      <w:sz w:val="24"/>
      <w:szCs w:val="24"/>
      <w:lang w:val="es-ES" w:eastAsia="es-ES"/>
    </w:rPr>
  </w:style>
  <w:style w:type="paragraph" w:customStyle="1" w:styleId="xl2">
    <w:name w:val="xl2"/>
    <w:basedOn w:val="Normal"/>
    <w:rsid w:val="002B7E8E"/>
    <w:pPr>
      <w:spacing w:before="100" w:beforeAutospacing="1" w:after="100" w:afterAutospacing="1"/>
      <w:ind w:firstLine="0"/>
      <w:jc w:val="left"/>
    </w:pPr>
    <w:rPr>
      <w:sz w:val="24"/>
      <w:szCs w:val="24"/>
      <w:lang w:val="es-ES" w:eastAsia="es-ES"/>
    </w:rPr>
  </w:style>
  <w:style w:type="character" w:customStyle="1" w:styleId="highlight">
    <w:name w:val="highlight"/>
    <w:basedOn w:val="Fuentedeprrafopredeter"/>
    <w:rsid w:val="002B7E8E"/>
  </w:style>
  <w:style w:type="paragraph" w:customStyle="1" w:styleId="a">
    <w:name w:val="a"/>
    <w:basedOn w:val="Normal"/>
    <w:rsid w:val="002B7E8E"/>
    <w:pPr>
      <w:spacing w:before="100" w:beforeAutospacing="1" w:after="100" w:afterAutospacing="1"/>
      <w:ind w:firstLine="0"/>
      <w:jc w:val="left"/>
    </w:pPr>
    <w:rPr>
      <w:sz w:val="24"/>
      <w:szCs w:val="24"/>
      <w:lang w:val="es-ES" w:eastAsia="es-ES"/>
    </w:rPr>
  </w:style>
  <w:style w:type="character" w:customStyle="1" w:styleId="rubrica">
    <w:name w:val="rubrica"/>
    <w:basedOn w:val="Fuentedeprrafopredeter"/>
    <w:rsid w:val="002B7E8E"/>
  </w:style>
  <w:style w:type="paragraph" w:customStyle="1" w:styleId="simple">
    <w:name w:val="simple"/>
    <w:basedOn w:val="Normal"/>
    <w:rsid w:val="002B7E8E"/>
    <w:pPr>
      <w:spacing w:before="100" w:beforeAutospacing="1" w:after="100" w:afterAutospacing="1"/>
      <w:ind w:firstLine="0"/>
      <w:jc w:val="left"/>
    </w:pPr>
    <w:rPr>
      <w:sz w:val="24"/>
      <w:szCs w:val="24"/>
      <w:lang w:val="es-ES" w:eastAsia="es-ES"/>
    </w:rPr>
  </w:style>
  <w:style w:type="character" w:customStyle="1" w:styleId="searchterm">
    <w:name w:val="searchterm"/>
    <w:basedOn w:val="Fuentedeprrafopredeter"/>
    <w:rsid w:val="002B7E8E"/>
  </w:style>
  <w:style w:type="character" w:customStyle="1" w:styleId="textoderogado">
    <w:name w:val="textoderogado"/>
    <w:basedOn w:val="Fuentedeprrafopredeter"/>
    <w:rsid w:val="002B7E8E"/>
  </w:style>
  <w:style w:type="paragraph" w:customStyle="1" w:styleId="paragraph">
    <w:name w:val="paragraph"/>
    <w:basedOn w:val="Normal"/>
    <w:rsid w:val="002B7E8E"/>
    <w:pPr>
      <w:spacing w:before="100" w:beforeAutospacing="1" w:after="100" w:afterAutospacing="1"/>
      <w:ind w:firstLine="0"/>
      <w:jc w:val="left"/>
    </w:pPr>
    <w:rPr>
      <w:sz w:val="24"/>
      <w:szCs w:val="24"/>
      <w:lang w:val="es-ES" w:eastAsia="es-ES"/>
    </w:rPr>
  </w:style>
  <w:style w:type="character" w:customStyle="1" w:styleId="normaltextrun">
    <w:name w:val="normaltextrun"/>
    <w:basedOn w:val="Fuentedeprrafopredeter"/>
    <w:rsid w:val="002B7E8E"/>
  </w:style>
  <w:style w:type="character" w:customStyle="1" w:styleId="eop">
    <w:name w:val="eop"/>
    <w:basedOn w:val="Fuentedeprrafopredeter"/>
    <w:rsid w:val="002B7E8E"/>
  </w:style>
  <w:style w:type="paragraph" w:customStyle="1" w:styleId="titulo">
    <w:name w:val="titulo"/>
    <w:basedOn w:val="Normal"/>
    <w:rsid w:val="002B7E8E"/>
    <w:pPr>
      <w:spacing w:before="100" w:beforeAutospacing="1" w:after="100" w:afterAutospacing="1"/>
      <w:ind w:firstLine="0"/>
      <w:jc w:val="left"/>
    </w:pPr>
    <w:rPr>
      <w:sz w:val="24"/>
      <w:szCs w:val="24"/>
      <w:lang w:val="es-ES" w:eastAsia="es-ES"/>
    </w:rPr>
  </w:style>
  <w:style w:type="character" w:customStyle="1" w:styleId="mayusculas">
    <w:name w:val="mayusculas"/>
    <w:basedOn w:val="Fuentedeprrafopredeter"/>
    <w:rsid w:val="002B7E8E"/>
  </w:style>
  <w:style w:type="character" w:customStyle="1" w:styleId="n-hit">
    <w:name w:val="n-hit"/>
    <w:basedOn w:val="Fuentedeprrafopredeter"/>
    <w:rsid w:val="002B7E8E"/>
  </w:style>
  <w:style w:type="character" w:customStyle="1" w:styleId="subtitulo">
    <w:name w:val="subtitulo"/>
    <w:basedOn w:val="Fuentedeprrafopredeter"/>
    <w:rsid w:val="002B7E8E"/>
  </w:style>
  <w:style w:type="paragraph" w:customStyle="1" w:styleId="marginal">
    <w:name w:val="marginal"/>
    <w:basedOn w:val="Normal"/>
    <w:rsid w:val="002B7E8E"/>
    <w:pPr>
      <w:spacing w:before="100" w:beforeAutospacing="1" w:after="100" w:afterAutospacing="1"/>
      <w:ind w:firstLine="0"/>
      <w:jc w:val="left"/>
    </w:pPr>
    <w:rPr>
      <w:sz w:val="24"/>
      <w:szCs w:val="24"/>
      <w:lang w:val="es-ES" w:eastAsia="es-ES"/>
    </w:rPr>
  </w:style>
  <w:style w:type="table" w:customStyle="1" w:styleId="NormalTable0">
    <w:name w:val="Normal Table0"/>
    <w:uiPriority w:val="59"/>
    <w:rsid w:val="002B7E8E"/>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 w:type="paragraph" w:customStyle="1" w:styleId="xa1">
    <w:name w:val="xa1"/>
    <w:basedOn w:val="Normal"/>
    <w:rsid w:val="002B7E8E"/>
    <w:pPr>
      <w:spacing w:before="100" w:beforeAutospacing="1" w:after="100" w:afterAutospacing="1"/>
      <w:ind w:firstLine="0"/>
      <w:jc w:val="left"/>
    </w:pPr>
    <w:rPr>
      <w:sz w:val="24"/>
      <w:szCs w:val="24"/>
      <w:lang w:val="es-ES" w:eastAsia="es-ES"/>
    </w:rPr>
  </w:style>
  <w:style w:type="character" w:customStyle="1" w:styleId="ui-provider">
    <w:name w:val="ui-provider"/>
    <w:basedOn w:val="Fuentedeprrafopredeter"/>
    <w:rsid w:val="002B7E8E"/>
  </w:style>
  <w:style w:type="paragraph" w:styleId="Textocomentario">
    <w:name w:val="annotation text"/>
    <w:basedOn w:val="Normal"/>
    <w:link w:val="TextocomentarioCar"/>
    <w:semiHidden/>
    <w:unhideWhenUsed/>
  </w:style>
  <w:style w:type="character" w:customStyle="1" w:styleId="TextocomentarioCar">
    <w:name w:val="Texto comentario Car"/>
    <w:basedOn w:val="Fuentedeprrafopredeter"/>
    <w:link w:val="Textocomentario"/>
    <w:semiHidden/>
    <w:rPr>
      <w:lang w:val="es-ES_tradnl" w:eastAsia="en-US"/>
    </w:rPr>
  </w:style>
  <w:style w:type="character" w:styleId="Refdecomentario">
    <w:name w:val="annotation reference"/>
    <w:basedOn w:val="Fuentedeprrafopredeter"/>
    <w:semiHidden/>
    <w:unhideWhenUsed/>
    <w:rPr>
      <w:sz w:val="16"/>
      <w:szCs w:val="16"/>
    </w:rPr>
  </w:style>
  <w:style w:type="paragraph" w:styleId="Asuntodelcomentario">
    <w:name w:val="annotation subject"/>
    <w:basedOn w:val="Textocomentario"/>
    <w:next w:val="Textocomentario"/>
    <w:link w:val="AsuntodelcomentarioCar"/>
    <w:semiHidden/>
    <w:unhideWhenUsed/>
    <w:rsid w:val="00D53B48"/>
    <w:rPr>
      <w:b/>
      <w:bCs/>
    </w:rPr>
  </w:style>
  <w:style w:type="character" w:customStyle="1" w:styleId="AsuntodelcomentarioCar">
    <w:name w:val="Asunto del comentario Car"/>
    <w:basedOn w:val="TextocomentarioCar"/>
    <w:link w:val="Asuntodelcomentario"/>
    <w:semiHidden/>
    <w:rsid w:val="00D53B48"/>
    <w:rPr>
      <w:b/>
      <w:bCs/>
      <w:lang w:val="es-ES_tradnl" w:eastAsia="en-US"/>
    </w:rPr>
  </w:style>
  <w:style w:type="paragraph" w:styleId="Revisin">
    <w:name w:val="Revision"/>
    <w:hidden/>
    <w:uiPriority w:val="99"/>
    <w:semiHidden/>
    <w:rsid w:val="00FA704D"/>
    <w:rPr>
      <w:lang w:val="es-ES_tradnl" w:eastAsia="en-US"/>
    </w:rPr>
  </w:style>
  <w:style w:type="paragraph" w:styleId="Textonotaalfinal">
    <w:name w:val="endnote text"/>
    <w:basedOn w:val="Normal"/>
    <w:link w:val="TextonotaalfinalCar"/>
    <w:semiHidden/>
    <w:unhideWhenUsed/>
    <w:rsid w:val="00E851DD"/>
    <w:pPr>
      <w:spacing w:after="0"/>
    </w:pPr>
  </w:style>
  <w:style w:type="character" w:customStyle="1" w:styleId="TextonotaalfinalCar">
    <w:name w:val="Texto nota al final Car"/>
    <w:basedOn w:val="Fuentedeprrafopredeter"/>
    <w:link w:val="Textonotaalfinal"/>
    <w:semiHidden/>
    <w:rsid w:val="00E851DD"/>
    <w:rPr>
      <w:lang w:val="es-ES_tradnl" w:eastAsia="en-US"/>
    </w:rPr>
  </w:style>
  <w:style w:type="character" w:styleId="Refdenotaalfinal">
    <w:name w:val="endnote reference"/>
    <w:basedOn w:val="Fuentedeprrafopredeter"/>
    <w:semiHidden/>
    <w:unhideWhenUsed/>
    <w:rsid w:val="00E851DD"/>
    <w:rPr>
      <w:vertAlign w:val="superscript"/>
    </w:rPr>
  </w:style>
  <w:style w:type="paragraph" w:customStyle="1" w:styleId="3MiTextoconmarcas">
    <w:name w:val="3_Mi Texto con marcas"/>
    <w:basedOn w:val="Normal"/>
    <w:qFormat/>
    <w:rsid w:val="00687E52"/>
    <w:pPr>
      <w:overflowPunct w:val="0"/>
      <w:spacing w:after="57" w:line="256" w:lineRule="auto"/>
      <w:ind w:left="283" w:hanging="283"/>
      <w:jc w:val="left"/>
    </w:pPr>
    <w:rPr>
      <w:rFonts w:ascii="Arial" w:eastAsia="NSimSun" w:hAnsi="Arial" w:cs="Arial"/>
      <w:kern w:val="2"/>
      <w:sz w:val="22"/>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799777">
      <w:bodyDiv w:val="1"/>
      <w:marLeft w:val="0"/>
      <w:marRight w:val="0"/>
      <w:marTop w:val="0"/>
      <w:marBottom w:val="0"/>
      <w:divBdr>
        <w:top w:val="none" w:sz="0" w:space="0" w:color="auto"/>
        <w:left w:val="none" w:sz="0" w:space="0" w:color="auto"/>
        <w:bottom w:val="none" w:sz="0" w:space="0" w:color="auto"/>
        <w:right w:val="none" w:sz="0" w:space="0" w:color="auto"/>
      </w:divBdr>
    </w:div>
    <w:div w:id="329646244">
      <w:bodyDiv w:val="1"/>
      <w:marLeft w:val="0"/>
      <w:marRight w:val="0"/>
      <w:marTop w:val="0"/>
      <w:marBottom w:val="0"/>
      <w:divBdr>
        <w:top w:val="none" w:sz="0" w:space="0" w:color="auto"/>
        <w:left w:val="none" w:sz="0" w:space="0" w:color="auto"/>
        <w:bottom w:val="none" w:sz="0" w:space="0" w:color="auto"/>
        <w:right w:val="none" w:sz="0" w:space="0" w:color="auto"/>
      </w:divBdr>
    </w:div>
    <w:div w:id="576208343">
      <w:bodyDiv w:val="1"/>
      <w:marLeft w:val="0"/>
      <w:marRight w:val="0"/>
      <w:marTop w:val="0"/>
      <w:marBottom w:val="0"/>
      <w:divBdr>
        <w:top w:val="none" w:sz="0" w:space="0" w:color="auto"/>
        <w:left w:val="none" w:sz="0" w:space="0" w:color="auto"/>
        <w:bottom w:val="none" w:sz="0" w:space="0" w:color="auto"/>
        <w:right w:val="none" w:sz="0" w:space="0" w:color="auto"/>
      </w:divBdr>
    </w:div>
    <w:div w:id="772632733">
      <w:bodyDiv w:val="1"/>
      <w:marLeft w:val="0"/>
      <w:marRight w:val="0"/>
      <w:marTop w:val="0"/>
      <w:marBottom w:val="0"/>
      <w:divBdr>
        <w:top w:val="none" w:sz="0" w:space="0" w:color="auto"/>
        <w:left w:val="none" w:sz="0" w:space="0" w:color="auto"/>
        <w:bottom w:val="none" w:sz="0" w:space="0" w:color="auto"/>
        <w:right w:val="none" w:sz="0" w:space="0" w:color="auto"/>
      </w:divBdr>
    </w:div>
    <w:div w:id="822936736">
      <w:bodyDiv w:val="1"/>
      <w:marLeft w:val="0"/>
      <w:marRight w:val="0"/>
      <w:marTop w:val="0"/>
      <w:marBottom w:val="0"/>
      <w:divBdr>
        <w:top w:val="none" w:sz="0" w:space="0" w:color="auto"/>
        <w:left w:val="none" w:sz="0" w:space="0" w:color="auto"/>
        <w:bottom w:val="none" w:sz="0" w:space="0" w:color="auto"/>
        <w:right w:val="none" w:sz="0" w:space="0" w:color="auto"/>
      </w:divBdr>
    </w:div>
    <w:div w:id="936254388">
      <w:bodyDiv w:val="1"/>
      <w:marLeft w:val="0"/>
      <w:marRight w:val="0"/>
      <w:marTop w:val="0"/>
      <w:marBottom w:val="0"/>
      <w:divBdr>
        <w:top w:val="none" w:sz="0" w:space="0" w:color="auto"/>
        <w:left w:val="none" w:sz="0" w:space="0" w:color="auto"/>
        <w:bottom w:val="none" w:sz="0" w:space="0" w:color="auto"/>
        <w:right w:val="none" w:sz="0" w:space="0" w:color="auto"/>
      </w:divBdr>
    </w:div>
    <w:div w:id="1406873222">
      <w:bodyDiv w:val="1"/>
      <w:marLeft w:val="0"/>
      <w:marRight w:val="0"/>
      <w:marTop w:val="0"/>
      <w:marBottom w:val="0"/>
      <w:divBdr>
        <w:top w:val="none" w:sz="0" w:space="0" w:color="auto"/>
        <w:left w:val="none" w:sz="0" w:space="0" w:color="auto"/>
        <w:bottom w:val="none" w:sz="0" w:space="0" w:color="auto"/>
        <w:right w:val="none" w:sz="0" w:space="0" w:color="auto"/>
      </w:divBdr>
    </w:div>
    <w:div w:id="1513910454">
      <w:bodyDiv w:val="1"/>
      <w:marLeft w:val="0"/>
      <w:marRight w:val="0"/>
      <w:marTop w:val="0"/>
      <w:marBottom w:val="0"/>
      <w:divBdr>
        <w:top w:val="none" w:sz="0" w:space="0" w:color="auto"/>
        <w:left w:val="none" w:sz="0" w:space="0" w:color="auto"/>
        <w:bottom w:val="none" w:sz="0" w:space="0" w:color="auto"/>
        <w:right w:val="none" w:sz="0" w:space="0" w:color="auto"/>
      </w:divBdr>
    </w:div>
    <w:div w:id="17029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cid:image001.png@01DAA831.9A6EAFA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A831.9A6EAFA0" TargetMode="External"/><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cid:image001.png@01DAA831.9A6EAFA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2ef06c8-8995-4227-80f5-35e373c2d721">
      <UserInfo>
        <DisplayName>Integrantes de la Presidencia</DisplayName>
        <AccountId>31</AccountId>
        <AccountType/>
      </UserInfo>
    </SharedWithUsers>
  </documentManagement>
</p:properties>
</file>

<file path=customXml/itemProps1.xml><?xml version="1.0" encoding="utf-8"?>
<ds:datastoreItem xmlns:ds="http://schemas.openxmlformats.org/officeDocument/2006/customXml" ds:itemID="{0892F5B9-FB10-41F3-8768-2549A60D7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23416-CACE-44B3-B3B7-4D15D1AAFB46}">
  <ds:schemaRefs>
    <ds:schemaRef ds:uri="http://schemas.openxmlformats.org/officeDocument/2006/bibliography"/>
  </ds:schemaRefs>
</ds:datastoreItem>
</file>

<file path=customXml/itemProps3.xml><?xml version="1.0" encoding="utf-8"?>
<ds:datastoreItem xmlns:ds="http://schemas.openxmlformats.org/officeDocument/2006/customXml" ds:itemID="{DD4E699A-A019-4988-9657-E3C108C56A03}">
  <ds:schemaRefs>
    <ds:schemaRef ds:uri="http://schemas.microsoft.com/sharepoint/v3/contenttype/forms"/>
  </ds:schemaRefs>
</ds:datastoreItem>
</file>

<file path=customXml/itemProps4.xml><?xml version="1.0" encoding="utf-8"?>
<ds:datastoreItem xmlns:ds="http://schemas.openxmlformats.org/officeDocument/2006/customXml" ds:itemID="{66263866-04EE-45AB-AD82-BE4106359234}">
  <ds:schemaRefs>
    <ds:schemaRef ds:uri="http://schemas.microsoft.com/office/2006/metadata/properties"/>
    <ds:schemaRef ds:uri="http://schemas.microsoft.com/office/infopath/2007/PartnerControls"/>
    <ds:schemaRef ds:uri="62ef06c8-8995-4227-80f5-35e373c2d721"/>
  </ds:schemaRefs>
</ds:datastoreItem>
</file>

<file path=docProps/app.xml><?xml version="1.0" encoding="utf-8"?>
<Properties xmlns="http://schemas.openxmlformats.org/officeDocument/2006/extended-properties" xmlns:vt="http://schemas.openxmlformats.org/officeDocument/2006/docPropsVTypes">
  <Template>Borrador Final</Template>
  <TotalTime>216</TotalTime>
  <Pages>45</Pages>
  <Words>11358</Words>
  <Characters>62473</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d833163</dc:creator>
  <cp:keywords/>
  <dc:description/>
  <cp:lastModifiedBy>Mauleón, Fernando</cp:lastModifiedBy>
  <cp:revision>93</cp:revision>
  <cp:lastPrinted>2024-11-11T08:55:00Z</cp:lastPrinted>
  <dcterms:created xsi:type="dcterms:W3CDTF">2024-11-06T11:30:00Z</dcterms:created>
  <dcterms:modified xsi:type="dcterms:W3CDTF">2024-11-15T09:15:00Z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