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4CD2D" w14:textId="77777777" w:rsidR="00143D36" w:rsidRDefault="00143D36" w:rsidP="00DE7FBE">
      <w:pPr>
        <w:pStyle w:val="Style"/>
        <w:spacing w:before="100" w:beforeAutospacing="1" w:after="200" w:line="276" w:lineRule="auto"/>
        <w:ind w:left="539" w:rightChars="567" w:right="1247" w:firstLine="708"/>
        <w:jc w:val="both"/>
        <w:textAlignment w:val="baseline"/>
        <w:rPr>
          <w:sz w:val="17"/>
          <w:szCs w:val="17"/>
          <w:rFonts w:ascii="Arial" w:eastAsia="Arial" w:hAnsi="Arial" w:cs="Arial"/>
        </w:rPr>
      </w:pPr>
      <w:r>
        <w:rPr>
          <w:sz w:val="17"/>
          <w:rFonts w:ascii="Arial" w:hAnsi="Arial"/>
        </w:rPr>
        <w:t xml:space="preserve">24PES-365</w:t>
      </w:r>
    </w:p>
    <w:p w14:paraId="0AAD2A8C" w14:textId="70B23C2D" w:rsidR="00143D36" w:rsidRDefault="00DE7FBE" w:rsidP="00DE7FBE">
      <w:pPr>
        <w:pStyle w:val="Style"/>
        <w:spacing w:before="100" w:beforeAutospacing="1" w:after="200" w:line="276" w:lineRule="auto"/>
        <w:ind w:leftChars="567" w:left="1247" w:rightChars="567" w:right="1247"/>
        <w:jc w:val="both"/>
        <w:textAlignment w:val="baseline"/>
      </w:pPr>
      <w:r>
        <w:rPr>
          <w:rFonts w:ascii="Arial" w:hAnsi="Arial"/>
        </w:rPr>
        <w:t xml:space="preserve">Unión del Pueblo Navarro talde parlamentarioari atxikitako foru parlamentari Juan Luis Sánchez de Muniáin Lacasia jaunak idatziz erantzuteko galdera egin du (11-24/PES-00365). Hona hemen Etxebizitzako, Gazteriako eta Migrazio Politiketako kontseilariak horren harira ematen dion informazioa:</w:t>
      </w:r>
      <w:r>
        <w:rPr>
          <w:sz w:val="17"/>
          <w:rFonts w:ascii="Arial" w:hAnsi="Arial"/>
        </w:rPr>
        <w:t xml:space="preserve"> </w:t>
      </w:r>
    </w:p>
    <w:p w14:paraId="346C43D9" w14:textId="40800784" w:rsidR="00691CC0" w:rsidRDefault="00DE7FBE" w:rsidP="00DE7FBE">
      <w:pPr>
        <w:pStyle w:val="Style"/>
        <w:numPr>
          <w:ilvl w:val="0"/>
          <w:numId w:val="2"/>
        </w:numPr>
        <w:spacing w:before="100" w:beforeAutospacing="1" w:after="200" w:line="276" w:lineRule="auto"/>
        <w:ind w:leftChars="567" w:left="1549" w:rightChars="567" w:right="1247" w:hanging="302"/>
        <w:jc w:val="both"/>
        <w:textAlignment w:val="baseline"/>
      </w:pPr>
      <w:r>
        <w:rPr>
          <w:sz w:val="17"/>
          <w:rFonts w:ascii="Arial" w:hAnsi="Arial"/>
        </w:rPr>
        <w:t xml:space="preserve">Estudios Melitónen kontra izaten ari den prozedura judizialari dagokionez, epaia irmo deklaratu ostean eta hura betearazten hasteko legez ezarritako epea igaro ondoren, 2024ko irailaren 9an, idazki bat aurkeztu zen auzitegiak epaia betearazteko prozedura has dezan Estudios Melitónek jarri zioten kondenaren arabera ordaindu behar dituen zenbatekoak kobratzeko.</w:t>
      </w:r>
      <w:r>
        <w:rPr>
          <w:sz w:val="17"/>
          <w:rFonts w:ascii="Arial" w:hAnsi="Arial"/>
        </w:rPr>
        <w:t xml:space="preserve"> </w:t>
      </w:r>
    </w:p>
    <w:p w14:paraId="3873A663" w14:textId="77777777" w:rsidR="00691CC0" w:rsidRDefault="00DE7FBE" w:rsidP="00DE7FBE">
      <w:pPr>
        <w:pStyle w:val="Style"/>
        <w:spacing w:before="100" w:beforeAutospacing="1" w:after="200" w:line="276" w:lineRule="auto"/>
        <w:ind w:leftChars="567" w:left="1247" w:rightChars="567" w:right="1247"/>
        <w:jc w:val="both"/>
        <w:textAlignment w:val="baseline"/>
      </w:pPr>
      <w:r>
        <w:rPr>
          <w:sz w:val="17"/>
          <w:rFonts w:ascii="Arial" w:hAnsi="Arial"/>
        </w:rPr>
        <w:t xml:space="preserve">Egin diren ikerketen arabera, antza denez, entitateak ez du inolako ondasunik, eta, beraz, zenbatekorik kobratzeko itxaropenak txikiak dira, edota hutsalak.</w:t>
      </w:r>
      <w:r>
        <w:rPr>
          <w:sz w:val="17"/>
          <w:rFonts w:ascii="Arial" w:hAnsi="Arial"/>
        </w:rPr>
        <w:t xml:space="preserve"> </w:t>
      </w:r>
      <w:r>
        <w:rPr>
          <w:sz w:val="17"/>
          <w:rFonts w:ascii="Arial" w:hAnsi="Arial"/>
        </w:rPr>
        <w:t xml:space="preserve">Hala eta guztiz ere hasi da betearazteko prozedura, egoten ahal den aukera oro agortzeko.</w:t>
      </w:r>
      <w:r>
        <w:rPr>
          <w:sz w:val="17"/>
          <w:rFonts w:ascii="Arial" w:hAnsi="Arial"/>
        </w:rPr>
        <w:t xml:space="preserve"> </w:t>
      </w:r>
    </w:p>
    <w:p w14:paraId="74A5969B" w14:textId="77777777" w:rsidR="00143D36" w:rsidRPr="00143D36" w:rsidRDefault="00DE7FBE" w:rsidP="00DE7FBE">
      <w:pPr>
        <w:pStyle w:val="Style"/>
        <w:numPr>
          <w:ilvl w:val="0"/>
          <w:numId w:val="3"/>
        </w:numPr>
        <w:spacing w:before="100" w:beforeAutospacing="1" w:after="200" w:line="276" w:lineRule="auto"/>
        <w:ind w:leftChars="567" w:left="1559" w:rightChars="567" w:right="1247" w:hanging="312"/>
        <w:jc w:val="both"/>
        <w:textAlignment w:val="baseline"/>
      </w:pPr>
      <w:r>
        <w:rPr>
          <w:sz w:val="17"/>
          <w:rFonts w:ascii="Arial" w:hAnsi="Arial"/>
        </w:rPr>
        <w:t xml:space="preserve">Ez dago jasota.</w:t>
      </w:r>
    </w:p>
    <w:p w14:paraId="08132E8B" w14:textId="05A06093" w:rsidR="00143D36" w:rsidRDefault="00DE7FBE" w:rsidP="00DE7FBE">
      <w:pPr>
        <w:pStyle w:val="Style"/>
        <w:numPr>
          <w:ilvl w:val="0"/>
          <w:numId w:val="3"/>
        </w:numPr>
        <w:spacing w:before="100" w:beforeAutospacing="1" w:after="200" w:line="276" w:lineRule="auto"/>
        <w:ind w:leftChars="567" w:left="1559" w:rightChars="567" w:right="1247" w:hanging="312"/>
        <w:jc w:val="both"/>
        <w:textAlignment w:val="baseline"/>
      </w:pPr>
      <w:r>
        <w:rPr>
          <w:sz w:val="18"/>
          <w:rFonts w:ascii="Arial" w:hAnsi="Arial"/>
        </w:rPr>
        <w:t xml:space="preserve">Jakina denez eta adierazi denez, 2023ko otsailaren 28an demanda judiziala jarri zen eta 2024ko urtarrilaren 25eko epaiaren bidez amaitu zen. Epai hori betearazteko eskatzen da orain.</w:t>
      </w:r>
      <w:r>
        <w:rPr>
          <w:sz w:val="18"/>
          <w:rFonts w:ascii="Arial" w:hAnsi="Arial"/>
        </w:rPr>
        <w:t xml:space="preserve"> </w:t>
      </w:r>
    </w:p>
    <w:p w14:paraId="44C2505C" w14:textId="77777777" w:rsidR="00143D36" w:rsidRDefault="00DE7FBE" w:rsidP="00DE7FBE">
      <w:pPr>
        <w:pStyle w:val="Style"/>
        <w:numPr>
          <w:ilvl w:val="0"/>
          <w:numId w:val="4"/>
        </w:numPr>
        <w:spacing w:before="100" w:beforeAutospacing="1" w:after="200" w:line="276" w:lineRule="auto"/>
        <w:ind w:leftChars="567" w:left="1564" w:rightChars="567" w:right="1247" w:hanging="317"/>
        <w:jc w:val="both"/>
        <w:textAlignment w:val="baseline"/>
      </w:pPr>
      <w:r>
        <w:rPr>
          <w:sz w:val="18"/>
          <w:rFonts w:ascii="Arial" w:hAnsi="Arial"/>
        </w:rPr>
        <w:t xml:space="preserve">Nasuvinsak komertzializazio zorroko instalazioak erabilgarri ditu beste erabilera eta enpresa jarduera batzuetarako, baina oraindik ez da operazio bat ere zehaztu.</w:t>
      </w:r>
      <w:r>
        <w:rPr>
          <w:sz w:val="18"/>
          <w:rFonts w:ascii="Arial" w:hAnsi="Arial"/>
        </w:rPr>
        <w:t xml:space="preserve"> </w:t>
      </w:r>
    </w:p>
    <w:p w14:paraId="0829D371" w14:textId="77777777" w:rsidR="00143D36" w:rsidRDefault="00DE7FBE" w:rsidP="00DE7FBE">
      <w:pPr>
        <w:pStyle w:val="Style"/>
        <w:spacing w:before="100" w:beforeAutospacing="1" w:after="200" w:line="276" w:lineRule="auto"/>
        <w:ind w:leftChars="567" w:left="1247" w:rightChars="567" w:right="1247"/>
        <w:jc w:val="both"/>
        <w:textAlignment w:val="baseline"/>
      </w:pPr>
      <w:r>
        <w:rPr>
          <w:sz w:val="18"/>
          <w:rFonts w:ascii="Arial" w:hAnsi="Arial"/>
        </w:rPr>
        <w:t xml:space="preserve">Halaber, lanean ari da platoa jarduera ekonomikorako erabilera anitzeko zentro batean bihurtzeko posibilitatea baloratzeko, aukera eman dezan zenbait pabilioi txikiago eta zona administratibo bat izateko, komertzializazioa errazteko.</w:t>
      </w:r>
      <w:r>
        <w:rPr>
          <w:sz w:val="18"/>
          <w:rFonts w:ascii="Arial" w:hAnsi="Arial"/>
        </w:rPr>
        <w:t xml:space="preserve"> </w:t>
      </w:r>
    </w:p>
    <w:p w14:paraId="0F722A08" w14:textId="77777777" w:rsidR="00143D36" w:rsidRDefault="00DE7FBE" w:rsidP="00DE7FBE">
      <w:pPr>
        <w:pStyle w:val="Style"/>
        <w:spacing w:before="100" w:beforeAutospacing="1" w:after="200" w:line="276" w:lineRule="auto"/>
        <w:ind w:leftChars="567" w:left="1247" w:rightChars="567" w:right="1247"/>
        <w:jc w:val="both"/>
        <w:textAlignment w:val="baseline"/>
      </w:pPr>
      <w:r>
        <w:rPr>
          <w:sz w:val="18"/>
          <w:rFonts w:ascii="Arial" w:hAnsi="Arial"/>
        </w:rPr>
        <w:t xml:space="preserve">5.</w:t>
      </w:r>
      <w:r>
        <w:rPr>
          <w:sz w:val="18"/>
          <w:rFonts w:ascii="Arial" w:hAnsi="Arial"/>
        </w:rPr>
        <w:t xml:space="preserve"> </w:t>
      </w:r>
      <w:r>
        <w:rPr>
          <w:sz w:val="18"/>
          <w:rFonts w:ascii="Arial" w:hAnsi="Arial"/>
        </w:rPr>
        <w:t xml:space="preserve">Ez dut uste kudeatzaile publikoek zuhurtzia faltarik izan dutenik.</w:t>
      </w:r>
      <w:r>
        <w:rPr>
          <w:sz w:val="18"/>
          <w:rFonts w:ascii="Arial" w:hAnsi="Arial"/>
        </w:rPr>
        <w:t xml:space="preserve"> </w:t>
      </w:r>
    </w:p>
    <w:p w14:paraId="3FFF3D1E" w14:textId="0F8FA2C9" w:rsidR="00143D36" w:rsidRDefault="00DE7FBE" w:rsidP="00DE7FBE">
      <w:pPr>
        <w:pStyle w:val="Style"/>
        <w:spacing w:before="100" w:beforeAutospacing="1" w:after="200" w:line="276" w:lineRule="auto"/>
        <w:ind w:leftChars="567" w:left="1247" w:rightChars="567" w:right="1247" w:firstLine="614"/>
        <w:jc w:val="both"/>
        <w:textAlignment w:val="baseline"/>
      </w:pPr>
      <w:r>
        <w:rPr>
          <w:sz w:val="18"/>
          <w:rFonts w:ascii="Arial" w:hAnsi="Arial"/>
        </w:rPr>
        <w:t xml:space="preserve">Hori jakinarazten dut, Nafarroako Parlamentuko Erregelamenduaren 215. artikuluan xedatutakoa betez.</w:t>
      </w:r>
      <w:r>
        <w:rPr>
          <w:sz w:val="18"/>
          <w:rFonts w:ascii="Arial" w:hAnsi="Arial"/>
        </w:rPr>
        <w:t xml:space="preserve"> </w:t>
      </w:r>
    </w:p>
    <w:p w14:paraId="35550893" w14:textId="00007D0C" w:rsidR="00143D36" w:rsidRDefault="00DE7FBE" w:rsidP="00DE7FBE">
      <w:pPr>
        <w:pStyle w:val="Style"/>
        <w:spacing w:before="100" w:beforeAutospacing="1" w:after="200" w:line="276" w:lineRule="auto"/>
        <w:ind w:leftChars="567" w:left="1247" w:rightChars="567" w:right="1247"/>
        <w:jc w:val="both"/>
        <w:textAlignment w:val="baseline"/>
      </w:pPr>
      <w:r>
        <w:rPr>
          <w:sz w:val="18"/>
          <w:rFonts w:ascii="Arial" w:hAnsi="Arial"/>
        </w:rPr>
        <w:t xml:space="preserve">Iruñean, 2024ko irailaren 25ean</w:t>
      </w:r>
      <w:r>
        <w:rPr>
          <w:sz w:val="18"/>
          <w:rFonts w:ascii="Arial" w:hAnsi="Arial"/>
        </w:rPr>
        <w:t xml:space="preserve"> </w:t>
      </w:r>
    </w:p>
    <w:p w14:paraId="2FC9F88C" w14:textId="62090B49" w:rsidR="00691CC0" w:rsidRDefault="00DE7FBE" w:rsidP="00DE7FBE">
      <w:pPr>
        <w:pStyle w:val="Style"/>
        <w:spacing w:before="100" w:beforeAutospacing="1" w:after="200" w:line="276" w:lineRule="auto"/>
        <w:ind w:leftChars="567" w:left="1247" w:rightChars="567" w:right="1247"/>
        <w:jc w:val="both"/>
        <w:textAlignment w:val="baseline"/>
      </w:pPr>
      <w:r>
        <w:rPr>
          <w:sz w:val="18"/>
          <w:rFonts w:ascii="Arial" w:hAnsi="Arial"/>
        </w:rPr>
        <w:t xml:space="preserve">Etxebizitzako, Gazteriako eta Migrazio Politiketako kontseilaria:</w:t>
      </w:r>
      <w:r>
        <w:t xml:space="preserve"> </w:t>
      </w:r>
      <w:r>
        <w:rPr>
          <w:sz w:val="18"/>
          <w:rFonts w:ascii="Arial" w:hAnsi="Arial"/>
        </w:rPr>
        <w:t xml:space="preserve">Begoña Alfaro García</w:t>
      </w:r>
      <w:r>
        <w:rPr>
          <w:sz w:val="18"/>
          <w:rFonts w:ascii="Arial" w:hAnsi="Arial"/>
        </w:rPr>
        <w:t xml:space="preserve"> </w:t>
      </w:r>
    </w:p>
    <w:sectPr w:rsidR="00691CC0" w:rsidSect="00143D3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35AD0"/>
    <w:multiLevelType w:val="singleLevel"/>
    <w:tmpl w:val="57E8E8FC"/>
    <w:lvl w:ilvl="0">
      <w:start w:val="2"/>
      <w:numFmt w:val="decimal"/>
      <w:lvlText w:val="%1."/>
      <w:legacy w:legacy="1" w:legacySpace="0" w:legacyIndent="0"/>
      <w:lvlJc w:val="left"/>
      <w:rPr>
        <w:rFonts w:ascii="Arial" w:hAnsi="Arial" w:cs="Arial" w:hint="default"/>
        <w:sz w:val="17"/>
        <w:szCs w:val="17"/>
      </w:rPr>
    </w:lvl>
  </w:abstractNum>
  <w:abstractNum w:abstractNumId="1" w15:restartNumberingAfterBreak="0">
    <w:nsid w:val="3C1A6813"/>
    <w:multiLevelType w:val="singleLevel"/>
    <w:tmpl w:val="EA348A5E"/>
    <w:lvl w:ilvl="0">
      <w:start w:val="4"/>
      <w:numFmt w:val="decimal"/>
      <w:lvlText w:val="%1."/>
      <w:legacy w:legacy="1" w:legacySpace="0" w:legacyIndent="0"/>
      <w:lvlJc w:val="left"/>
      <w:rPr>
        <w:rFonts w:ascii="Arial" w:hAnsi="Arial" w:cs="Arial" w:hint="default"/>
        <w:sz w:val="18"/>
        <w:szCs w:val="18"/>
      </w:rPr>
    </w:lvl>
  </w:abstractNum>
  <w:abstractNum w:abstractNumId="2" w15:restartNumberingAfterBreak="0">
    <w:nsid w:val="6B3408E4"/>
    <w:multiLevelType w:val="singleLevel"/>
    <w:tmpl w:val="6BCC026E"/>
    <w:lvl w:ilvl="0">
      <w:start w:val="1"/>
      <w:numFmt w:val="decimal"/>
      <w:lvlText w:val="%1."/>
      <w:legacy w:legacy="1" w:legacySpace="0" w:legacyIndent="0"/>
      <w:lvlJc w:val="left"/>
      <w:rPr>
        <w:rFonts w:ascii="Arial" w:hAnsi="Arial" w:cs="Arial" w:hint="default"/>
        <w:sz w:val="17"/>
        <w:szCs w:val="17"/>
      </w:rPr>
    </w:lvl>
  </w:abstractNum>
  <w:abstractNum w:abstractNumId="3" w15:restartNumberingAfterBreak="0">
    <w:nsid w:val="77025888"/>
    <w:multiLevelType w:val="singleLevel"/>
    <w:tmpl w:val="4EB61762"/>
    <w:lvl w:ilvl="0">
      <w:start w:val="1"/>
      <w:numFmt w:val="decimal"/>
      <w:lvlText w:val="%1."/>
      <w:legacy w:legacy="1" w:legacySpace="0" w:legacyIndent="0"/>
      <w:lvlJc w:val="left"/>
      <w:rPr>
        <w:rFonts w:ascii="Arial" w:hAnsi="Arial" w:cs="Arial" w:hint="default"/>
        <w:i/>
        <w:iCs/>
        <w:sz w:val="18"/>
        <w:szCs w:val="18"/>
      </w:rPr>
    </w:lvl>
  </w:abstractNum>
  <w:num w:numId="1" w16cid:durableId="1888645666">
    <w:abstractNumId w:val="3"/>
  </w:num>
  <w:num w:numId="2" w16cid:durableId="292828980">
    <w:abstractNumId w:val="2"/>
  </w:num>
  <w:num w:numId="3" w16cid:durableId="1591429413">
    <w:abstractNumId w:val="0"/>
  </w:num>
  <w:num w:numId="4" w16cid:durableId="76330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1CC0"/>
    <w:rsid w:val="00143D36"/>
    <w:rsid w:val="00691CC0"/>
    <w:rsid w:val="00AE2B83"/>
    <w:rsid w:val="00DE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FC30"/>
  <w15:docId w15:val="{E3102614-779F-4DC9-AE1D-6695BC0C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1614</Characters>
  <Application>Microsoft Office Word</Application>
  <DocSecurity>0</DocSecurity>
  <Lines>13</Lines>
  <Paragraphs>3</Paragraphs>
  <ScaleCrop>false</ScaleCrop>
  <Company>HP Inc.</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24PES-365</dc:title>
  <dc:creator>informatica</dc:creator>
  <cp:keywords>CreatedByIRIS_Readiris_17.0</cp:keywords>
  <cp:lastModifiedBy>Mauleón, Fernando</cp:lastModifiedBy>
  <cp:revision>3</cp:revision>
  <dcterms:created xsi:type="dcterms:W3CDTF">2024-10-01T11:03:00Z</dcterms:created>
  <dcterms:modified xsi:type="dcterms:W3CDTF">2024-10-01T11:07:00Z</dcterms:modified>
</cp:coreProperties>
</file>