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5178" w14:textId="5D1A98DF" w:rsidR="00B92062" w:rsidRDefault="00B92062">
      <w:pPr>
        <w:ind w:left="703" w:right="0"/>
      </w:pPr>
      <w:r>
        <w:t xml:space="preserve">Azaroak 16</w:t>
      </w:r>
    </w:p>
    <w:p w14:paraId="7F7ACE5A" w14:textId="7DDD5863" w:rsidR="00B92062" w:rsidRDefault="00B92062">
      <w:pPr>
        <w:ind w:left="703" w:right="0"/>
      </w:pPr>
      <w:r>
        <w:t xml:space="preserve">Unión del Pueblo Navarro (UPN) talde parlamentarioari atxikitako foru parlamentari Leticia San Martín Rodríguez andreak 11-23/PES-00151 galdera egin du, idatziz erantzun dakion, honako honi buruz, zehazki: joan den irailaren 28an, Nafarroak Parlamentuan mozio bat onetsi zen, zeinaren bidez Nafarroako Gobernua premiatzen baitzen Prestazio ortoprotesikoa arautzen duen martxoaren 29ko 33/2023 Foru Dekretuaren zenbait puntu alda zitzan, atzera egitea dakartelako prestazioei dagokienez, gure erkidegoan horren aurretik zegoen araudiarekin alderatuz gero. Hona hemen Nafarroako Gobernuaren Osasuneko kontseilariak horri buruz ematen dion informaizoa:</w:t>
      </w:r>
      <w:r>
        <w:t xml:space="preserve"> </w:t>
      </w:r>
      <w:r>
        <w:t xml:space="preserve">Zehazki, aurreko arauan baino modu murriztaileagoan mugatzen dituzten artikuluak aldatzea eskatzen zen: herritarra finantzatzeko aukera, preskripzio-gaitasuna, preskripziorako irizpide murriztaileak eta bateraezintasunak.</w:t>
      </w:r>
      <w:r>
        <w:t xml:space="preserve"> </w:t>
      </w:r>
    </w:p>
    <w:p w14:paraId="55873593" w14:textId="77777777" w:rsidR="00B92062" w:rsidRDefault="00B92062">
      <w:pPr>
        <w:ind w:left="703" w:right="0"/>
      </w:pPr>
      <w:r>
        <w:t xml:space="preserve">Aipatu foru dekretua 2023ko urriaren 1ean indarrean sartzea aurreikusten zela kontuan hartuta, zertan da foru dekretuaren aplikazioa?</w:t>
      </w:r>
      <w:r>
        <w:t xml:space="preserve"> </w:t>
      </w:r>
      <w:r>
        <w:t xml:space="preserve">Zer urrats egin dira onetsitako mozioa aintzat hartzeko?</w:t>
      </w:r>
      <w:r>
        <w:t xml:space="preserve"> </w:t>
      </w:r>
    </w:p>
    <w:p w14:paraId="29770A6E" w14:textId="77777777" w:rsidR="00B92062" w:rsidRDefault="00B92062">
      <w:pPr>
        <w:ind w:left="703" w:right="0"/>
      </w:pPr>
      <w:r>
        <w:t xml:space="preserve">Martxoaren 29ko 33/2023 Foru Dekretua, prestazio ortoprotesikoa arautzen duena (kanpoko ortoprotesien modalitatea) eta Nafarroako prestazio ortoprotesikoa kudeatzen laguntzen duten establezimenduen erregistroa sortzen duena, 81. Nafarroako Aldizkari Ofizialean argitaratu zen, 2023ko apirilaren 20an.</w:t>
      </w:r>
      <w:r>
        <w:t xml:space="preserve"> </w:t>
      </w:r>
    </w:p>
    <w:p w14:paraId="07AFAAE5" w14:textId="3F1F290F" w:rsidR="00426FE1" w:rsidRDefault="00B92062">
      <w:pPr>
        <w:ind w:left="703" w:right="0"/>
      </w:pPr>
      <w:r>
        <w:t xml:space="preserve">Bigarren xedapen iragankorrak prestazio hori kudeatzen laguntzen duten establezimendu-kolaboratzaileen erregistroaren sorrera jasotzen du eta sistema informatikoak prozedura berrietara egokitzeko sei hilabeteko epea ezartzen du, indarrean jartzen denetik kontatzen hasita.</w:t>
      </w:r>
      <w:r>
        <w:t xml:space="preserve"> </w:t>
      </w:r>
    </w:p>
    <w:p w14:paraId="31C3D944" w14:textId="77777777" w:rsidR="00B92062" w:rsidRDefault="00B92062">
      <w:pPr>
        <w:ind w:left="703" w:right="0"/>
      </w:pPr>
      <w:r>
        <w:t xml:space="preserve">Aipatutako araudia betetze aldera, 2023ko urriaren 16an, Nafarroan prestazio ortoprotesikoa kudeatzeko prozedura jarri zen abian, prestazioa eskuratzeko prozedura eta baldintzak errazten dituena, kolaboratzaile izatea eskatu duten establezimenduei zuzeneko ordainketa sistema ezarriz.</w:t>
      </w:r>
      <w:r>
        <w:t xml:space="preserve"> </w:t>
      </w:r>
    </w:p>
    <w:p w14:paraId="6AD1F8E3" w14:textId="77777777" w:rsidR="00B92062" w:rsidRDefault="00B92062">
      <w:pPr>
        <w:ind w:left="703" w:right="0"/>
      </w:pPr>
      <w:r>
        <w:t xml:space="preserve">Azpimarratu behar da audifonoak finantzatzeko adina 26 urtera arte luzatzeaz gain, eta Osasunbidea-Nafarroako Osasun Zerbitzuak prestazioa zuzenean ordaintzeko prozeduraz baliatzeko aukeraz gain, 33/2023 Foru Dekretuak garezurreko kaskoa gehitu duela bere katalogoan, garezurreko malformazioak dituzten haurrentzat.</w:t>
      </w:r>
      <w:r>
        <w:t xml:space="preserve"> </w:t>
      </w:r>
      <w:r>
        <w:t xml:space="preserve">Horrez gain, beste autonomia-erkidegoetan finantzatzen ez diren honako hauek ere finantzatuko ditu: eskuz bultzatzen diren gurpil aulkien konponketak, gurpil aulki motorizatuak, ortoprotesi bereziak eta kanpoko ortesi eta protesiak.</w:t>
      </w:r>
      <w:r>
        <w:t xml:space="preserve"> </w:t>
      </w:r>
    </w:p>
    <w:p w14:paraId="5EA1967E" w14:textId="77777777" w:rsidR="00B92062" w:rsidRDefault="00B92062">
      <w:pPr>
        <w:ind w:left="703" w:right="0"/>
      </w:pPr>
      <w:r>
        <w:t xml:space="preserve">Administrazio Publikoen Administrazio Prozedura Erkideak ezartzen du Administrazio Publikoek (Osasunbidea-Nafarroako Osasun Zerbitzua) honako printzipio hauen arabera jardunen dutela: premia, eraginkortasuna, proportzionaltasuna, segurtasun juridikoa, gardentasuna eta eraginkortasuna.</w:t>
      </w:r>
      <w:r>
        <w:t xml:space="preserve"> </w:t>
      </w:r>
      <w:r>
        <w:t xml:space="preserve">Herritarrentzat, langile fakultatiboentzat, kudeaketan lan egiten dutenentzat eta establezimenduentzat prozedurak errazak izatea nahi izan da.</w:t>
      </w:r>
      <w:r>
        <w:t xml:space="preserve"> </w:t>
      </w:r>
      <w:r>
        <w:t xml:space="preserve">Foru Dekretuak herritarrei beren eskubideak gauzatzea errazten die eta lortu nahi diren helburuetara iristea gutxien murrizten duten neurriak aukeratzen ditu.</w:t>
      </w:r>
      <w:r>
        <w:t xml:space="preserve"> </w:t>
      </w:r>
    </w:p>
    <w:p w14:paraId="7DB49332" w14:textId="14460E5C" w:rsidR="00426FE1" w:rsidRDefault="00B92062">
      <w:pPr>
        <w:ind w:left="703" w:right="0"/>
      </w:pPr>
      <w:r>
        <w:t xml:space="preserve">Produktu ortoprotesikoen arteko bateraezintasuna eta preskripzio ahalmena aurreko araudian baino modu murriztaileagoan mugatzen dela aipatzen denean, azpimarratu nahi da lehen ez zegoela araututa. Beraz, ez da murrizketa bat, prozedura bat baizik, eta prozedura horretan mediku preskriptoreekin baloratu da espezialitate bakoitza zer preskripzio egitera dagoen ohituta. Bateraezintasunak izan dira klinikoekin landutako beste gai bat.</w:t>
      </w:r>
      <w:r>
        <w:t xml:space="preserve"> </w:t>
      </w:r>
      <w:r>
        <w:t xml:space="preserve">Beraz, ez da murrizketa bat, preskripzioaren egokitzapen bat baizik.</w:t>
      </w:r>
      <w:r>
        <w:t xml:space="preserve"> </w:t>
      </w:r>
    </w:p>
    <w:p w14:paraId="30F28C36" w14:textId="3B6948E4" w:rsidR="00B92062" w:rsidRDefault="00B92062">
      <w:pPr>
        <w:ind w:left="703" w:right="0"/>
      </w:pPr>
      <w:r>
        <w:t xml:space="preserve">Herritarrei prestazio ortoprotesikoa finantzatzeari dagokionez, honako agindu hauetan jasotako nahitaez bete beharreko estatu araudia aplikatzen ari da: SCB/45/2019 Agindua, urtarrilaren 22koa, SCB/480/2019 Agindua, apirilaren 26koa eta SND/44/2022 Agindua, urtarrilaren 27koa.</w:t>
      </w:r>
      <w:r>
        <w:t xml:space="preserve"> </w:t>
      </w:r>
    </w:p>
    <w:p w14:paraId="0243080F" w14:textId="77777777" w:rsidR="00B92062" w:rsidRDefault="00B92062">
      <w:pPr>
        <w:ind w:left="703" w:right="0"/>
      </w:pPr>
      <w:r>
        <w:t xml:space="preserve">Hori guztia jakinarazten dizut, Nafarroako Parlamentuko Erregelamenduaren </w:t>
      </w:r>
      <w:r>
        <w:rPr>
          <w:b/>
          <w:bCs/>
        </w:rPr>
        <w:t xml:space="preserve">215. artikulua</w:t>
      </w:r>
      <w:r>
        <w:t xml:space="preserve"> betez.</w:t>
      </w:r>
      <w:r>
        <w:t xml:space="preserve"> </w:t>
      </w:r>
    </w:p>
    <w:p w14:paraId="61A39853" w14:textId="77777777" w:rsidR="00B92062" w:rsidRDefault="00B92062">
      <w:pPr>
        <w:spacing w:after="102" w:line="259" w:lineRule="auto"/>
        <w:ind w:left="714" w:right="0"/>
        <w:jc w:val="center"/>
      </w:pPr>
      <w:r>
        <w:t xml:space="preserve">Iruñean, 2023ko azaroaren 14an</w:t>
      </w:r>
      <w:r>
        <w:t xml:space="preserve"> </w:t>
      </w:r>
    </w:p>
    <w:p w14:paraId="2857EBD7" w14:textId="004B810D" w:rsidR="00B92062" w:rsidRDefault="00B92062">
      <w:pPr>
        <w:spacing w:after="102" w:line="259" w:lineRule="auto"/>
        <w:ind w:left="714" w:right="3"/>
        <w:jc w:val="center"/>
      </w:pPr>
      <w:r>
        <w:t xml:space="preserve">Osasuneko kontseilaria:</w:t>
      </w:r>
      <w:r>
        <w:t xml:space="preserve"> </w:t>
      </w:r>
      <w:r>
        <w:t xml:space="preserve">Fernando Domínguez Cunchillos</w:t>
      </w:r>
      <w:r>
        <w:t xml:space="preserve"> </w:t>
      </w:r>
    </w:p>
    <w:p w14:paraId="3379E2E1" w14:textId="59655628" w:rsidR="00426FE1" w:rsidRDefault="00B92062" w:rsidP="00B92062">
      <w:pPr>
        <w:spacing w:after="101" w:line="259" w:lineRule="auto"/>
        <w:ind w:left="708" w:right="0" w:firstLine="0"/>
        <w:jc w:val="left"/>
      </w:pPr>
      <w:r>
        <w:t xml:space="preserve"> </w:t>
      </w:r>
    </w:p>
    <w:sectPr w:rsidR="00426FE1">
      <w:headerReference w:type="even" r:id="rId6"/>
      <w:headerReference w:type="first" r:id="rId7"/>
      <w:pgSz w:w="11906" w:h="16841"/>
      <w:pgMar w:top="1064" w:right="1553" w:bottom="1295"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1508" w14:textId="77777777" w:rsidR="00B92062" w:rsidRDefault="00B92062">
      <w:pPr>
        <w:spacing w:after="0" w:line="240" w:lineRule="auto"/>
      </w:pPr>
      <w:r>
        <w:separator/>
      </w:r>
    </w:p>
  </w:endnote>
  <w:endnote w:type="continuationSeparator" w:id="0">
    <w:p w14:paraId="1C927372" w14:textId="77777777" w:rsidR="00B92062" w:rsidRDefault="00B9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7B5D" w14:textId="77777777" w:rsidR="00B92062" w:rsidRDefault="00B92062">
      <w:pPr>
        <w:spacing w:after="0" w:line="240" w:lineRule="auto"/>
      </w:pPr>
      <w:r>
        <w:separator/>
      </w:r>
    </w:p>
  </w:footnote>
  <w:footnote w:type="continuationSeparator" w:id="0">
    <w:p w14:paraId="5BFB0DB2" w14:textId="77777777" w:rsidR="00B92062" w:rsidRDefault="00B92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64B3" w14:textId="77777777" w:rsidR="00426FE1" w:rsidRDefault="00B92062">
    <w:pPr>
      <w:spacing w:after="0" w:line="259" w:lineRule="auto"/>
      <w:ind w:left="2347" w:right="0" w:firstLine="0"/>
      <w:jc w:val="left"/>
    </w:pPr>
    <w:r>
      <w:drawing>
        <wp:anchor distT="0" distB="0" distL="114300" distR="114300" simplePos="0" relativeHeight="251661312" behindDoc="0" locked="0" layoutInCell="1" allowOverlap="0" wp14:anchorId="39D92C63" wp14:editId="5B88B17F">
          <wp:simplePos x="0" y="0"/>
          <wp:positionH relativeFrom="page">
            <wp:posOffset>2031365</wp:posOffset>
          </wp:positionH>
          <wp:positionV relativeFrom="page">
            <wp:posOffset>457200</wp:posOffset>
          </wp:positionV>
          <wp:extent cx="3497580" cy="445135"/>
          <wp:effectExtent l="0" t="0" r="0" b="0"/>
          <wp:wrapSquare wrapText="bothSides"/>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
                  <a:stretch>
                    <a:fillRect/>
                  </a:stretch>
                </pic:blipFill>
                <pic:spPr>
                  <a:xfrm>
                    <a:off x="0" y="0"/>
                    <a:ext cx="3497580" cy="445135"/>
                  </a:xfrm>
                  <a:prstGeom prst="rect">
                    <a:avLst/>
                  </a:prstGeom>
                </pic:spPr>
              </pic:pic>
            </a:graphicData>
          </a:graphic>
        </wp:anchor>
      </w:drawing>
    </w:r>
    <w:r>
      <w:rPr>
        <w:color w:val="FF0000"/>
        <w:sz w:val="40"/>
        <w:rFonts w:ascii="Times New Roman" w:hAnsi="Times New Roman"/>
      </w:rPr>
      <w:t xml:space="preserve"> </w:t>
    </w:r>
  </w:p>
  <w:p w14:paraId="601FE96A" w14:textId="77777777" w:rsidR="00426FE1" w:rsidRDefault="00B92062">
    <w:r>
      <w:rPr>
        <w:sz w:val="22"/>
      </w:rPr>
      <mc:AlternateContent>
        <mc:Choice Requires="wpg">
          <w:drawing>
            <wp:anchor distT="0" distB="0" distL="114300" distR="114300" simplePos="0" relativeHeight="251662336" behindDoc="1" locked="0" layoutInCell="1" allowOverlap="1" wp14:anchorId="260E45AE" wp14:editId="0C93F74F">
              <wp:simplePos x="0" y="0"/>
              <wp:positionH relativeFrom="page">
                <wp:posOffset>0</wp:posOffset>
              </wp:positionH>
              <wp:positionV relativeFrom="page">
                <wp:posOffset>0</wp:posOffset>
              </wp:positionV>
              <wp:extent cx="1" cy="1"/>
              <wp:effectExtent l="0" t="0" r="0" b="0"/>
              <wp:wrapNone/>
              <wp:docPr id="2999" name="Group 29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99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FCD0" w14:textId="77777777" w:rsidR="00426FE1" w:rsidRDefault="00B92062">
    <w:pPr>
      <w:spacing w:after="0" w:line="259" w:lineRule="auto"/>
      <w:ind w:left="2347" w:right="0" w:firstLine="0"/>
      <w:jc w:val="left"/>
    </w:pPr>
    <w:r>
      <w:drawing>
        <wp:anchor distT="0" distB="0" distL="114300" distR="114300" simplePos="0" relativeHeight="251665408" behindDoc="0" locked="0" layoutInCell="1" allowOverlap="0" wp14:anchorId="36D238F6" wp14:editId="39E015C3">
          <wp:simplePos x="0" y="0"/>
          <wp:positionH relativeFrom="page">
            <wp:posOffset>2031365</wp:posOffset>
          </wp:positionH>
          <wp:positionV relativeFrom="page">
            <wp:posOffset>457200</wp:posOffset>
          </wp:positionV>
          <wp:extent cx="3497580" cy="445135"/>
          <wp:effectExtent l="0" t="0" r="0" b="0"/>
          <wp:wrapSquare wrapText="bothSides"/>
          <wp:docPr id="166592003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
                  <a:stretch>
                    <a:fillRect/>
                  </a:stretch>
                </pic:blipFill>
                <pic:spPr>
                  <a:xfrm>
                    <a:off x="0" y="0"/>
                    <a:ext cx="3497580" cy="445135"/>
                  </a:xfrm>
                  <a:prstGeom prst="rect">
                    <a:avLst/>
                  </a:prstGeom>
                </pic:spPr>
              </pic:pic>
            </a:graphicData>
          </a:graphic>
        </wp:anchor>
      </w:drawing>
    </w:r>
    <w:r>
      <w:rPr>
        <w:color w:val="FF0000"/>
        <w:sz w:val="40"/>
        <w:rFonts w:ascii="Times New Roman" w:hAnsi="Times New Roman"/>
      </w:rPr>
      <w:t xml:space="preserve"> </w:t>
    </w:r>
  </w:p>
  <w:p w14:paraId="6E9E8D94" w14:textId="77777777" w:rsidR="00426FE1" w:rsidRDefault="00B92062">
    <w:r>
      <w:rPr>
        <w:sz w:val="22"/>
      </w:rPr>
      <mc:AlternateContent>
        <mc:Choice Requires="wpg">
          <w:drawing>
            <wp:anchor distT="0" distB="0" distL="114300" distR="114300" simplePos="0" relativeHeight="251666432" behindDoc="1" locked="0" layoutInCell="1" allowOverlap="1" wp14:anchorId="64AFBAA5" wp14:editId="44983FDB">
              <wp:simplePos x="0" y="0"/>
              <wp:positionH relativeFrom="page">
                <wp:posOffset>0</wp:posOffset>
              </wp:positionH>
              <wp:positionV relativeFrom="page">
                <wp:posOffset>0</wp:posOffset>
              </wp:positionV>
              <wp:extent cx="1" cy="1"/>
              <wp:effectExtent l="0" t="0" r="0" b="0"/>
              <wp:wrapNone/>
              <wp:docPr id="2981" name="Group 298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981" style="width:7.87402e-05pt;height:7.87402e-05pt;position:absolute;z-index:-2147483648;mso-position-horizontal-relative:page;mso-position-horizontal:absolute;margin-left:0pt;mso-position-vertical-relative:page;margin-top:0pt;" coordsize="0,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E1"/>
    <w:rsid w:val="00426FE1"/>
    <w:rsid w:val="008E4A06"/>
    <w:rsid w:val="00B920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1020"/>
  <w15:docId w15:val="{F4E4D90C-0301-4B74-A4E0-0E303BD1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45" w:lineRule="auto"/>
      <w:ind w:left="718" w:right="1" w:hanging="10"/>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920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2062"/>
    <w:rPr>
      <w:rFonts w:ascii="Calibri" w:eastAsia="Calibri" w:hAnsi="Calibri" w:cs="Calibri"/>
      <w:color w:val="000000"/>
      <w:sz w:val="24"/>
    </w:rPr>
  </w:style>
  <w:style w:type="paragraph" w:styleId="Encabezado">
    <w:name w:val="header"/>
    <w:basedOn w:val="Normal"/>
    <w:link w:val="EncabezadoCar"/>
    <w:uiPriority w:val="99"/>
    <w:semiHidden/>
    <w:unhideWhenUsed/>
    <w:rsid w:val="00B920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92062"/>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3654</Characters>
  <Application>Microsoft Office Word</Application>
  <DocSecurity>0</DocSecurity>
  <Lines>30</Lines>
  <Paragraphs>8</Paragraphs>
  <ScaleCrop>false</ScaleCrop>
  <Company>Hewlett-Packard Company</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2023-11-20T09:16:00Z</dcterms:created>
  <dcterms:modified xsi:type="dcterms:W3CDTF">2023-11-20T09:20:00Z</dcterms:modified>
</cp:coreProperties>
</file>