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FDA4A" w14:textId="1B136EB4" w:rsidR="0037405C" w:rsidRDefault="00E161F4">
      <w:pPr>
        <w:spacing w:after="360"/>
        <w:ind w:right="0"/>
      </w:pPr>
      <w:r>
        <w:t xml:space="preserve">Navarra Suma talde parlamentarioari atxikitako foru parlamentari Cristina Ibarrola </w:t>
      </w:r>
      <w:proofErr w:type="spellStart"/>
      <w:r>
        <w:t>Guillén</w:t>
      </w:r>
      <w:proofErr w:type="spellEnd"/>
      <w:r>
        <w:t xml:space="preserve"> andreak idatziz erantzuteko galdera aurkeztu du (10-22-PES-00297), zeinaren bidez honako informazio hau eskatzen baitu:</w:t>
      </w:r>
    </w:p>
    <w:p w14:paraId="70764244" w14:textId="77777777" w:rsidR="0037405C" w:rsidRDefault="00E161F4">
      <w:pPr>
        <w:spacing w:after="0" w:line="288" w:lineRule="auto"/>
        <w:ind w:left="0" w:right="267" w:firstLine="0"/>
        <w:jc w:val="left"/>
      </w:pPr>
      <w:r>
        <w:t xml:space="preserve">Zenbat aldiz bildu da legegintzaldi honetan aurreko legegintzaldian lanean hasi zen laguntza integratzeko talde tekniko bakoitza? Zergatik sortu dira lantalde berriak itxarote-zerrendak lehenestean lan egiteko eta ez da landu espezialitateetako laguntza integratzeko taldeetan? </w:t>
      </w:r>
    </w:p>
    <w:p w14:paraId="03D90E70" w14:textId="77777777" w:rsidR="0037405C" w:rsidRDefault="00E161F4">
      <w:pPr>
        <w:spacing w:after="692"/>
        <w:ind w:right="0"/>
      </w:pPr>
      <w:r>
        <w:t>Zer eginkizun berezi definitu da orain sortu diren 6 lantalde bakoitzerako? Noiz sortu da bakoitza? Zer profesionalek osatzen dute talde bakoitza? Zenbat aldiz bildu da, orain arte, talde bakoitza? Bileretako aktarik al dago? Baiezkoan, haietako bakoitzaren kopia eskatzen da. Talde horiek formalizatu al dira?</w:t>
      </w:r>
    </w:p>
    <w:p w14:paraId="390B892C" w14:textId="77777777" w:rsidR="0037405C" w:rsidRDefault="00E161F4">
      <w:pPr>
        <w:spacing w:after="364"/>
        <w:ind w:left="0" w:right="0" w:firstLine="0"/>
        <w:jc w:val="left"/>
      </w:pPr>
      <w:proofErr w:type="spellStart"/>
      <w:r>
        <w:rPr>
          <w:u w:val="single" w:color="000000"/>
        </w:rPr>
        <w:t>LTTen</w:t>
      </w:r>
      <w:proofErr w:type="spellEnd"/>
      <w:r>
        <w:rPr>
          <w:u w:val="single" w:color="000000"/>
        </w:rPr>
        <w:t xml:space="preserve"> bilerak oraingo legegintzaldian:</w:t>
      </w:r>
    </w:p>
    <w:p w14:paraId="0A9A3674" w14:textId="77777777" w:rsidR="0037405C" w:rsidRDefault="00E161F4">
      <w:pPr>
        <w:spacing w:after="360"/>
        <w:ind w:right="0"/>
      </w:pPr>
      <w:r>
        <w:t xml:space="preserve">Pandemiaren ondorioz </w:t>
      </w:r>
      <w:proofErr w:type="spellStart"/>
      <w:r>
        <w:t>LTTen</w:t>
      </w:r>
      <w:proofErr w:type="spellEnd"/>
      <w:r>
        <w:t xml:space="preserve"> aurrez aurreko bilerak bertan behera utzi ziren. Kideak laguntzen aritu ziren lehenetsitako zereginetan, SARS-Cov2 infekzioak sortutako premien testuinguruan, eta taldeak 2021aren erdi aldera hasi ziren berriro lanean.</w:t>
      </w:r>
    </w:p>
    <w:p w14:paraId="5927AEF8" w14:textId="77777777" w:rsidR="0037405C" w:rsidRDefault="00E161F4">
      <w:pPr>
        <w:ind w:right="0"/>
      </w:pPr>
      <w:proofErr w:type="spellStart"/>
      <w:r>
        <w:t>LTTen</w:t>
      </w:r>
      <w:proofErr w:type="spellEnd"/>
      <w:r>
        <w:t xml:space="preserve"> jarduera:</w:t>
      </w:r>
    </w:p>
    <w:p w14:paraId="62704E16" w14:textId="77777777" w:rsidR="0037405C" w:rsidRDefault="00E161F4">
      <w:pPr>
        <w:numPr>
          <w:ilvl w:val="0"/>
          <w:numId w:val="1"/>
        </w:numPr>
        <w:ind w:right="0" w:hanging="360"/>
      </w:pPr>
      <w:r>
        <w:t xml:space="preserve">Paziente </w:t>
      </w:r>
      <w:proofErr w:type="spellStart"/>
      <w:r>
        <w:t>pluripatologikoak</w:t>
      </w:r>
      <w:proofErr w:type="spellEnd"/>
      <w:r>
        <w:t>:</w:t>
      </w:r>
    </w:p>
    <w:p w14:paraId="097094B6" w14:textId="77777777" w:rsidR="0037405C" w:rsidRDefault="00E161F4">
      <w:pPr>
        <w:numPr>
          <w:ilvl w:val="1"/>
          <w:numId w:val="1"/>
        </w:numPr>
        <w:ind w:right="0" w:hanging="360"/>
      </w:pPr>
      <w:r>
        <w:t>Estrategiako teknikarien bilerak hiru hilean behin</w:t>
      </w:r>
    </w:p>
    <w:p w14:paraId="3F05C11D" w14:textId="77777777" w:rsidR="0037405C" w:rsidRDefault="00E161F4">
      <w:pPr>
        <w:numPr>
          <w:ilvl w:val="1"/>
          <w:numId w:val="1"/>
        </w:numPr>
        <w:spacing w:after="363"/>
        <w:ind w:right="0" w:hanging="360"/>
      </w:pPr>
      <w:r>
        <w:t xml:space="preserve">Bilerak sei hilean behin Tuterako </w:t>
      </w:r>
      <w:proofErr w:type="spellStart"/>
      <w:r>
        <w:t>Reina</w:t>
      </w:r>
      <w:proofErr w:type="spellEnd"/>
      <w:r>
        <w:t xml:space="preserve"> </w:t>
      </w:r>
      <w:proofErr w:type="spellStart"/>
      <w:r>
        <w:t>Sofía</w:t>
      </w:r>
      <w:proofErr w:type="spellEnd"/>
      <w:r>
        <w:t xml:space="preserve"> ospitalean </w:t>
      </w:r>
      <w:r>
        <w:rPr>
          <w:rFonts w:ascii="Calibri" w:hAnsi="Calibri"/>
        </w:rPr>
        <w:t>-</w:t>
      </w:r>
      <w:r>
        <w:rPr>
          <w:rFonts w:ascii="Calibri" w:hAnsi="Calibri"/>
        </w:rPr>
        <w:tab/>
      </w:r>
      <w:r>
        <w:t>Integraziorako hileroko saio klinikoen programazioa</w:t>
      </w:r>
    </w:p>
    <w:p w14:paraId="5ACE5BD0" w14:textId="77777777" w:rsidR="0037405C" w:rsidRDefault="00E161F4">
      <w:pPr>
        <w:numPr>
          <w:ilvl w:val="0"/>
          <w:numId w:val="1"/>
        </w:numPr>
        <w:ind w:right="0" w:hanging="360"/>
      </w:pPr>
      <w:r>
        <w:t>Dementzia:</w:t>
      </w:r>
    </w:p>
    <w:p w14:paraId="39A51214" w14:textId="77777777" w:rsidR="0037405C" w:rsidRDefault="00E161F4">
      <w:pPr>
        <w:numPr>
          <w:ilvl w:val="1"/>
          <w:numId w:val="1"/>
        </w:numPr>
        <w:ind w:right="0" w:hanging="360"/>
      </w:pPr>
      <w:r>
        <w:t>Jarraipen taldearen bilerak hiru hilean behin</w:t>
      </w:r>
    </w:p>
    <w:p w14:paraId="0CB3691A" w14:textId="77777777" w:rsidR="0037405C" w:rsidRDefault="00E161F4">
      <w:pPr>
        <w:numPr>
          <w:ilvl w:val="1"/>
          <w:numId w:val="1"/>
        </w:numPr>
        <w:ind w:right="0" w:hanging="360"/>
      </w:pPr>
      <w:r>
        <w:t xml:space="preserve">Altsasuko </w:t>
      </w:r>
      <w:proofErr w:type="spellStart"/>
      <w:r>
        <w:t>Josefina</w:t>
      </w:r>
      <w:proofErr w:type="spellEnd"/>
      <w:r>
        <w:t xml:space="preserve"> </w:t>
      </w:r>
      <w:proofErr w:type="spellStart"/>
      <w:r>
        <w:t>Arregui</w:t>
      </w:r>
      <w:proofErr w:type="spellEnd"/>
      <w:r>
        <w:t xml:space="preserve"> zentrorako deribazioa </w:t>
      </w:r>
      <w:proofErr w:type="spellStart"/>
      <w:r>
        <w:t>birdefinitzeko</w:t>
      </w:r>
      <w:proofErr w:type="spellEnd"/>
      <w:r>
        <w:t xml:space="preserve"> bilera</w:t>
      </w:r>
    </w:p>
    <w:p w14:paraId="59D3CA22" w14:textId="77777777" w:rsidR="0037405C" w:rsidRDefault="00E161F4">
      <w:pPr>
        <w:numPr>
          <w:ilvl w:val="1"/>
          <w:numId w:val="1"/>
        </w:numPr>
        <w:spacing w:after="371"/>
        <w:ind w:right="0" w:hanging="360"/>
      </w:pPr>
      <w:r>
        <w:t>Dementzian Adituen Batzordearen bilerei berriz ekitea</w:t>
      </w:r>
    </w:p>
    <w:p w14:paraId="2CFE6354" w14:textId="77777777" w:rsidR="0037405C" w:rsidRDefault="00E161F4">
      <w:pPr>
        <w:numPr>
          <w:ilvl w:val="0"/>
          <w:numId w:val="1"/>
        </w:numPr>
        <w:ind w:right="0" w:hanging="360"/>
      </w:pPr>
      <w:r>
        <w:t>Diabetesa:</w:t>
      </w:r>
    </w:p>
    <w:p w14:paraId="3635535A" w14:textId="77777777" w:rsidR="0037405C" w:rsidRDefault="00E161F4">
      <w:pPr>
        <w:numPr>
          <w:ilvl w:val="1"/>
          <w:numId w:val="1"/>
        </w:numPr>
        <w:ind w:right="0" w:hanging="360"/>
      </w:pPr>
      <w:r>
        <w:t>Aholku Batzorde Teknikoaren bilera</w:t>
      </w:r>
    </w:p>
    <w:p w14:paraId="36CB6243" w14:textId="77777777" w:rsidR="0037405C" w:rsidRDefault="00E161F4">
      <w:pPr>
        <w:numPr>
          <w:ilvl w:val="1"/>
          <w:numId w:val="1"/>
        </w:numPr>
        <w:ind w:right="0" w:hanging="360"/>
      </w:pPr>
      <w:r>
        <w:t>DM2 pazienteen glukosaren monitorizazio etengabea hedatzeko logistika diseinatzea, Zorroaren Zuzendaritza Nagusiaren jarraibideen arabera</w:t>
      </w:r>
    </w:p>
    <w:p w14:paraId="33857184" w14:textId="77777777" w:rsidR="0037405C" w:rsidRDefault="00E161F4">
      <w:pPr>
        <w:numPr>
          <w:ilvl w:val="1"/>
          <w:numId w:val="1"/>
        </w:numPr>
        <w:ind w:right="0" w:hanging="360"/>
      </w:pPr>
      <w:r>
        <w:t>Diabetesaren urrutiko monitorizazioaren diseinuan laguntzea</w:t>
      </w:r>
    </w:p>
    <w:p w14:paraId="2160B23E" w14:textId="7C6D9222" w:rsidR="0037405C" w:rsidRDefault="00E161F4">
      <w:pPr>
        <w:numPr>
          <w:ilvl w:val="0"/>
          <w:numId w:val="1"/>
        </w:numPr>
        <w:ind w:right="0" w:hanging="360"/>
      </w:pPr>
      <w:r>
        <w:t xml:space="preserve">Gaixotasun </w:t>
      </w:r>
      <w:proofErr w:type="spellStart"/>
      <w:r>
        <w:t>muskulueskeletikoak</w:t>
      </w:r>
      <w:proofErr w:type="spellEnd"/>
      <w:r>
        <w:t>:</w:t>
      </w:r>
    </w:p>
    <w:p w14:paraId="15A2AD79" w14:textId="77777777" w:rsidR="0037405C" w:rsidRDefault="00E161F4">
      <w:pPr>
        <w:numPr>
          <w:ilvl w:val="1"/>
          <w:numId w:val="1"/>
        </w:numPr>
        <w:ind w:right="0" w:hanging="360"/>
      </w:pPr>
      <w:r>
        <w:t>Dokumentu hau prestatzea: COVID iraunkorra eta haren zabalkundea</w:t>
      </w:r>
    </w:p>
    <w:p w14:paraId="1CE5B03C" w14:textId="77777777" w:rsidR="0037405C" w:rsidRDefault="00E161F4">
      <w:pPr>
        <w:numPr>
          <w:ilvl w:val="1"/>
          <w:numId w:val="1"/>
        </w:numPr>
        <w:ind w:right="0" w:hanging="360"/>
      </w:pPr>
      <w:r>
        <w:t xml:space="preserve">Dokumentu hau prestatzea: COVID pazienteen errehabilitazioa </w:t>
      </w:r>
      <w:proofErr w:type="spellStart"/>
      <w:r>
        <w:t>OOLan</w:t>
      </w:r>
      <w:proofErr w:type="spellEnd"/>
    </w:p>
    <w:p w14:paraId="32A6A6E5" w14:textId="77777777" w:rsidR="0037405C" w:rsidRDefault="00E161F4">
      <w:pPr>
        <w:numPr>
          <w:ilvl w:val="1"/>
          <w:numId w:val="1"/>
        </w:numPr>
        <w:ind w:right="0" w:hanging="360"/>
      </w:pPr>
      <w:r>
        <w:t xml:space="preserve">Dokumentu hau prestatzea: Fisioterapiara zuzenean deribatzea </w:t>
      </w:r>
      <w:proofErr w:type="spellStart"/>
      <w:r>
        <w:t>OOLan</w:t>
      </w:r>
      <w:proofErr w:type="spellEnd"/>
    </w:p>
    <w:p w14:paraId="3E5D6267" w14:textId="77777777" w:rsidR="0037405C" w:rsidRDefault="00E161F4">
      <w:pPr>
        <w:numPr>
          <w:ilvl w:val="1"/>
          <w:numId w:val="1"/>
        </w:numPr>
        <w:ind w:right="0" w:hanging="360"/>
      </w:pPr>
      <w:r>
        <w:lastRenderedPageBreak/>
        <w:t>Dokumentu hau eguneratzea: Taldeko fisioterapia konplexutasun txikiko prozesuetan</w:t>
      </w:r>
    </w:p>
    <w:p w14:paraId="1F94E0A3" w14:textId="77777777" w:rsidR="0037405C" w:rsidRDefault="00E161F4">
      <w:pPr>
        <w:spacing w:after="32"/>
        <w:ind w:left="0" w:right="0" w:firstLine="0"/>
        <w:jc w:val="left"/>
      </w:pPr>
      <w:r>
        <w:t xml:space="preserve"> </w:t>
      </w:r>
    </w:p>
    <w:p w14:paraId="2D7A912D" w14:textId="77777777" w:rsidR="0037405C" w:rsidRDefault="00E161F4">
      <w:pPr>
        <w:numPr>
          <w:ilvl w:val="0"/>
          <w:numId w:val="1"/>
        </w:numPr>
        <w:ind w:right="0" w:hanging="360"/>
      </w:pPr>
      <w:proofErr w:type="spellStart"/>
      <w:r>
        <w:t>Antikoagulazioa</w:t>
      </w:r>
      <w:proofErr w:type="spellEnd"/>
      <w:r>
        <w:t>:</w:t>
      </w:r>
    </w:p>
    <w:p w14:paraId="52203B85" w14:textId="77777777" w:rsidR="0037405C" w:rsidRDefault="00E161F4">
      <w:pPr>
        <w:numPr>
          <w:ilvl w:val="1"/>
          <w:numId w:val="1"/>
        </w:numPr>
        <w:ind w:right="0" w:hanging="360"/>
      </w:pPr>
      <w:r>
        <w:t xml:space="preserve">Paziente </w:t>
      </w:r>
      <w:proofErr w:type="spellStart"/>
      <w:r>
        <w:t>antikoagulatuak</w:t>
      </w:r>
      <w:proofErr w:type="spellEnd"/>
      <w:r>
        <w:t xml:space="preserve"> ebakuntzaren aurretik eta ondoren artatzeko gomendioak eguneratzea (tronbosi eta odoljario arriskuak). Izenburua: </w:t>
      </w:r>
      <w:proofErr w:type="spellStart"/>
      <w:r>
        <w:t>Tronboenbolismoaren</w:t>
      </w:r>
      <w:proofErr w:type="spellEnd"/>
      <w:r>
        <w:t xml:space="preserve"> profilaxia kirurgian</w:t>
      </w:r>
    </w:p>
    <w:p w14:paraId="399844CB" w14:textId="77777777" w:rsidR="0037405C" w:rsidRDefault="00E161F4">
      <w:pPr>
        <w:numPr>
          <w:ilvl w:val="1"/>
          <w:numId w:val="1"/>
        </w:numPr>
        <w:spacing w:after="357"/>
        <w:ind w:right="0" w:hanging="360"/>
      </w:pPr>
      <w:proofErr w:type="spellStart"/>
      <w:r>
        <w:t>Kumarinikoen</w:t>
      </w:r>
      <w:proofErr w:type="spellEnd"/>
      <w:r>
        <w:t xml:space="preserve"> bidezko </w:t>
      </w:r>
      <w:proofErr w:type="spellStart"/>
      <w:r>
        <w:t>antikoagulazioaren</w:t>
      </w:r>
      <w:proofErr w:type="spellEnd"/>
      <w:r>
        <w:t xml:space="preserve"> autokontrola diseinatzea, ahal denean</w:t>
      </w:r>
    </w:p>
    <w:p w14:paraId="2193F3AB" w14:textId="77777777" w:rsidR="0037405C" w:rsidRDefault="00E161F4">
      <w:pPr>
        <w:numPr>
          <w:ilvl w:val="0"/>
          <w:numId w:val="1"/>
        </w:numPr>
        <w:ind w:right="0" w:hanging="360"/>
      </w:pPr>
      <w:r>
        <w:t>Nutrizioa:</w:t>
      </w:r>
    </w:p>
    <w:p w14:paraId="43F7AB61" w14:textId="77777777" w:rsidR="0037405C" w:rsidRDefault="00E161F4">
      <w:pPr>
        <w:numPr>
          <w:ilvl w:val="1"/>
          <w:numId w:val="1"/>
        </w:numPr>
        <w:ind w:right="0" w:hanging="360"/>
      </w:pPr>
      <w:r>
        <w:t>Gaixotasunarekin lotutako desnutrizioari buruzko dokumentua eguneratzea</w:t>
      </w:r>
    </w:p>
    <w:p w14:paraId="0F76944A" w14:textId="77777777" w:rsidR="0037405C" w:rsidRDefault="00E161F4">
      <w:pPr>
        <w:numPr>
          <w:ilvl w:val="1"/>
          <w:numId w:val="1"/>
        </w:numPr>
        <w:ind w:right="0" w:hanging="360"/>
      </w:pPr>
      <w:r>
        <w:t>NEko produktuen preskripzioa sistematizatzea Auzolanen bitartez</w:t>
      </w:r>
    </w:p>
    <w:p w14:paraId="53238B83" w14:textId="77777777" w:rsidR="0037405C" w:rsidRDefault="0037405C">
      <w:pPr>
        <w:spacing w:after="364"/>
        <w:ind w:left="1078" w:right="0"/>
      </w:pPr>
    </w:p>
    <w:p w14:paraId="15ABF603" w14:textId="77777777" w:rsidR="0037405C" w:rsidRDefault="00E161F4">
      <w:pPr>
        <w:numPr>
          <w:ilvl w:val="0"/>
          <w:numId w:val="1"/>
        </w:numPr>
        <w:ind w:right="0" w:hanging="360"/>
      </w:pPr>
      <w:r>
        <w:t>Zainketak</w:t>
      </w:r>
    </w:p>
    <w:p w14:paraId="01098744" w14:textId="77777777" w:rsidR="0037405C" w:rsidRDefault="00E161F4">
      <w:pPr>
        <w:numPr>
          <w:ilvl w:val="1"/>
          <w:numId w:val="1"/>
        </w:numPr>
        <w:ind w:right="0" w:hanging="360"/>
      </w:pPr>
      <w:proofErr w:type="spellStart"/>
      <w:r>
        <w:t>NOZen</w:t>
      </w:r>
      <w:proofErr w:type="spellEnd"/>
      <w:r>
        <w:t xml:space="preserve"> oin diabetikoa artatzeko dokumentuaren gaineko adostasuna</w:t>
      </w:r>
    </w:p>
    <w:p w14:paraId="6596FBB1" w14:textId="77777777" w:rsidR="0037405C" w:rsidRDefault="00E161F4">
      <w:pPr>
        <w:numPr>
          <w:ilvl w:val="1"/>
          <w:numId w:val="1"/>
        </w:numPr>
        <w:ind w:right="0" w:hanging="360"/>
      </w:pPr>
      <w:r>
        <w:t>Zauriei buruzko lantaldea eguneratzea</w:t>
      </w:r>
    </w:p>
    <w:p w14:paraId="6C4293C9" w14:textId="77777777" w:rsidR="0037405C" w:rsidRDefault="00E161F4">
      <w:pPr>
        <w:numPr>
          <w:ilvl w:val="1"/>
          <w:numId w:val="1"/>
        </w:numPr>
        <w:ind w:right="0" w:hanging="360"/>
      </w:pPr>
      <w:r>
        <w:t>Segurtasun estrategia: erorikoen prebentzioa, presioagatiko zaurien prebentzioa, atxikitze neurri fisikoen egokitzapena eta kontrola, deliriuma, portaera suizidak.</w:t>
      </w:r>
    </w:p>
    <w:p w14:paraId="512C6D32" w14:textId="77777777" w:rsidR="0037405C" w:rsidRDefault="00E161F4">
      <w:pPr>
        <w:numPr>
          <w:ilvl w:val="1"/>
          <w:numId w:val="1"/>
        </w:numPr>
        <w:ind w:right="0" w:hanging="360"/>
      </w:pPr>
      <w:r>
        <w:t>Zainketen jarraipenari buruzko txostena</w:t>
      </w:r>
    </w:p>
    <w:p w14:paraId="3065F5A6" w14:textId="77777777" w:rsidR="0037405C" w:rsidRDefault="00E161F4">
      <w:pPr>
        <w:numPr>
          <w:ilvl w:val="1"/>
          <w:numId w:val="1"/>
        </w:numPr>
        <w:ind w:right="0" w:hanging="360"/>
      </w:pPr>
      <w:r>
        <w:t>Erizainen arteko INP</w:t>
      </w:r>
    </w:p>
    <w:p w14:paraId="528DBD04" w14:textId="77777777" w:rsidR="0037405C" w:rsidRDefault="00E161F4">
      <w:pPr>
        <w:numPr>
          <w:ilvl w:val="1"/>
          <w:numId w:val="1"/>
        </w:numPr>
        <w:ind w:right="0" w:hanging="360"/>
      </w:pPr>
      <w:r>
        <w:t>Prozedurak eguneratzea</w:t>
      </w:r>
    </w:p>
    <w:p w14:paraId="229928E2" w14:textId="77777777" w:rsidR="0037405C" w:rsidRDefault="00E161F4">
      <w:pPr>
        <w:numPr>
          <w:ilvl w:val="1"/>
          <w:numId w:val="1"/>
        </w:numPr>
        <w:ind w:right="0" w:hanging="360"/>
      </w:pPr>
      <w:r>
        <w:t>Lotura-erizainen prestakuntza ibilbidea</w:t>
      </w:r>
    </w:p>
    <w:p w14:paraId="68C22530" w14:textId="77777777" w:rsidR="0037405C" w:rsidRDefault="00E161F4">
      <w:pPr>
        <w:numPr>
          <w:ilvl w:val="1"/>
          <w:numId w:val="1"/>
        </w:numPr>
        <w:ind w:right="0" w:hanging="360"/>
      </w:pPr>
      <w:r>
        <w:t>Erizain aholku-emaileak</w:t>
      </w:r>
    </w:p>
    <w:p w14:paraId="7B19A064" w14:textId="77777777" w:rsidR="0037405C" w:rsidRDefault="00E161F4">
      <w:pPr>
        <w:numPr>
          <w:ilvl w:val="1"/>
          <w:numId w:val="1"/>
        </w:numPr>
        <w:spacing w:after="371"/>
        <w:ind w:right="0" w:hanging="360"/>
      </w:pPr>
      <w:r>
        <w:t>Erizainen preskripzioa (LTT berria)</w:t>
      </w:r>
    </w:p>
    <w:p w14:paraId="212B0322" w14:textId="77777777" w:rsidR="0037405C" w:rsidRDefault="00E161F4">
      <w:pPr>
        <w:numPr>
          <w:ilvl w:val="0"/>
          <w:numId w:val="1"/>
        </w:numPr>
        <w:ind w:right="0" w:hanging="360"/>
      </w:pPr>
      <w:r>
        <w:t>Pediatria</w:t>
      </w:r>
    </w:p>
    <w:p w14:paraId="0A23EAEC" w14:textId="77777777" w:rsidR="0037405C" w:rsidRDefault="00E161F4">
      <w:pPr>
        <w:numPr>
          <w:ilvl w:val="1"/>
          <w:numId w:val="1"/>
        </w:numPr>
        <w:ind w:right="0" w:hanging="360"/>
      </w:pPr>
      <w:r>
        <w:t>Gaixotasun kroniko konplexuaren jarraipena haurrengan</w:t>
      </w:r>
    </w:p>
    <w:p w14:paraId="1EF822B9" w14:textId="77777777" w:rsidR="0037405C" w:rsidRDefault="00E161F4">
      <w:pPr>
        <w:numPr>
          <w:ilvl w:val="1"/>
          <w:numId w:val="1"/>
        </w:numPr>
        <w:ind w:right="0" w:hanging="360"/>
      </w:pPr>
      <w:r>
        <w:t>Aringarrien estrategia haurrengan (prestatzen ari da)</w:t>
      </w:r>
    </w:p>
    <w:p w14:paraId="3058D585" w14:textId="77777777" w:rsidR="0037405C" w:rsidRDefault="00E161F4">
      <w:pPr>
        <w:numPr>
          <w:ilvl w:val="1"/>
          <w:numId w:val="1"/>
        </w:numPr>
        <w:ind w:right="0" w:hanging="360"/>
      </w:pPr>
      <w:r>
        <w:t>Jaioberriaren identifikazioa eta trantsizioak</w:t>
      </w:r>
    </w:p>
    <w:p w14:paraId="5B041FA3" w14:textId="77777777" w:rsidR="0037405C" w:rsidRDefault="00E161F4">
      <w:pPr>
        <w:numPr>
          <w:ilvl w:val="1"/>
          <w:numId w:val="1"/>
        </w:numPr>
        <w:ind w:right="0" w:hanging="360"/>
      </w:pPr>
      <w:r>
        <w:t>Ikteriziarako protokoloa alta goiztiarren testuinguruan</w:t>
      </w:r>
    </w:p>
    <w:p w14:paraId="483EA5A1" w14:textId="77777777" w:rsidR="0037405C" w:rsidRDefault="00E161F4">
      <w:pPr>
        <w:numPr>
          <w:ilvl w:val="1"/>
          <w:numId w:val="1"/>
        </w:numPr>
        <w:ind w:right="0" w:hanging="360"/>
      </w:pPr>
      <w:r>
        <w:t>Arnas gaixotasunak</w:t>
      </w:r>
    </w:p>
    <w:p w14:paraId="2664DD2B" w14:textId="77777777" w:rsidR="0037405C" w:rsidRDefault="00E161F4">
      <w:pPr>
        <w:numPr>
          <w:ilvl w:val="1"/>
          <w:numId w:val="1"/>
        </w:numPr>
        <w:ind w:right="0" w:hanging="360"/>
      </w:pPr>
      <w:r>
        <w:t>Trantsizioak pediatrian</w:t>
      </w:r>
    </w:p>
    <w:p w14:paraId="06857FA2" w14:textId="77777777" w:rsidR="0037405C" w:rsidRDefault="00E161F4">
      <w:pPr>
        <w:numPr>
          <w:ilvl w:val="1"/>
          <w:numId w:val="1"/>
        </w:numPr>
        <w:spacing w:after="371"/>
        <w:ind w:right="0" w:hanging="360"/>
      </w:pPr>
      <w:r>
        <w:t>Haurren kontrako sexu abusua</w:t>
      </w:r>
    </w:p>
    <w:p w14:paraId="4A7E287E" w14:textId="77777777" w:rsidR="0037405C" w:rsidRDefault="00E161F4">
      <w:pPr>
        <w:numPr>
          <w:ilvl w:val="0"/>
          <w:numId w:val="1"/>
        </w:numPr>
        <w:ind w:right="0" w:hanging="360"/>
      </w:pPr>
      <w:r>
        <w:t>Alergiak</w:t>
      </w:r>
    </w:p>
    <w:p w14:paraId="64E43DEA" w14:textId="77777777" w:rsidR="0037405C" w:rsidRDefault="00E161F4">
      <w:pPr>
        <w:numPr>
          <w:ilvl w:val="1"/>
          <w:numId w:val="1"/>
        </w:numPr>
        <w:spacing w:after="357"/>
        <w:ind w:right="0" w:hanging="360"/>
      </w:pPr>
      <w:r>
        <w:t xml:space="preserve">ANDIA Alergiak sistema inplementatzeko </w:t>
      </w:r>
      <w:proofErr w:type="spellStart"/>
      <w:r>
        <w:t>LTTa</w:t>
      </w:r>
      <w:proofErr w:type="spellEnd"/>
      <w:r>
        <w:t xml:space="preserve">: segurtasuna, erregistroa eta preskripziorako egokitasuna </w:t>
      </w:r>
    </w:p>
    <w:p w14:paraId="2328398A" w14:textId="77777777" w:rsidR="0037405C" w:rsidRDefault="00E161F4">
      <w:pPr>
        <w:numPr>
          <w:ilvl w:val="0"/>
          <w:numId w:val="1"/>
        </w:numPr>
        <w:ind w:right="0" w:hanging="360"/>
      </w:pPr>
      <w:r>
        <w:lastRenderedPageBreak/>
        <w:t>Segurtasun arloa. Bilerak lerro bakoitzeko arlo guztietako arduradunekin:</w:t>
      </w:r>
    </w:p>
    <w:p w14:paraId="59341C74" w14:textId="77777777" w:rsidR="0037405C" w:rsidRDefault="00E161F4">
      <w:pPr>
        <w:numPr>
          <w:ilvl w:val="1"/>
          <w:numId w:val="1"/>
        </w:numPr>
        <w:ind w:right="0" w:hanging="360"/>
      </w:pPr>
      <w:r>
        <w:t>Infekzio nosokomialen prebentzioa</w:t>
      </w:r>
    </w:p>
    <w:p w14:paraId="3F346642" w14:textId="77777777" w:rsidR="0037405C" w:rsidRDefault="00E161F4">
      <w:pPr>
        <w:numPr>
          <w:ilvl w:val="1"/>
          <w:numId w:val="1"/>
        </w:numPr>
        <w:ind w:right="0" w:hanging="360"/>
      </w:pPr>
      <w:r>
        <w:t>Erroreen prebentzioa medikazioan eta gailu sanitarioetan</w:t>
      </w:r>
    </w:p>
    <w:p w14:paraId="5843BCD4" w14:textId="77777777" w:rsidR="0037405C" w:rsidRDefault="00E161F4">
      <w:pPr>
        <w:numPr>
          <w:ilvl w:val="1"/>
          <w:numId w:val="1"/>
        </w:numPr>
        <w:ind w:right="0" w:hanging="360"/>
      </w:pPr>
      <w:r>
        <w:t>Konplikazioen prebentzioa zainketa sanitarioetan</w:t>
      </w:r>
    </w:p>
    <w:p w14:paraId="39AFFC77" w14:textId="77777777" w:rsidR="0037405C" w:rsidRDefault="00E161F4">
      <w:pPr>
        <w:numPr>
          <w:ilvl w:val="1"/>
          <w:numId w:val="1"/>
        </w:numPr>
        <w:ind w:right="0" w:hanging="360"/>
      </w:pPr>
      <w:r>
        <w:t>Konplikazioen prebentzioa osasun laguntzako arlo medikoetan eta diagnostiko arloetan</w:t>
      </w:r>
    </w:p>
    <w:p w14:paraId="2F7526D7" w14:textId="77777777" w:rsidR="0037405C" w:rsidRDefault="00E161F4">
      <w:pPr>
        <w:numPr>
          <w:ilvl w:val="1"/>
          <w:numId w:val="1"/>
        </w:numPr>
        <w:spacing w:after="689"/>
        <w:ind w:right="0" w:hanging="360"/>
      </w:pPr>
      <w:r>
        <w:t xml:space="preserve">Identifikazio ziurreko sistemak, gorabeheren jakinarazpena eta pazienteen parte-hartzea. </w:t>
      </w:r>
    </w:p>
    <w:p w14:paraId="3C5FD621" w14:textId="77777777" w:rsidR="0037405C" w:rsidRDefault="00E161F4">
      <w:pPr>
        <w:spacing w:after="331" w:line="288" w:lineRule="auto"/>
        <w:ind w:left="-5" w:right="-4"/>
      </w:pPr>
      <w:r>
        <w:rPr>
          <w:color w:val="00000A"/>
        </w:rPr>
        <w:t>Osasun laguntzaren integrazioko taldeek osasun barruti guztietako profesionalak biltzen dituzte. Barruti bakoitzaren barneko koordinazioa, Tuteran eta Lizarran kudeatzailetza banatan integratuta dago, baina Iruñean bi kudeatzailetzaren mende dago oinarrizko koordinazio espezializatua.</w:t>
      </w:r>
    </w:p>
    <w:p w14:paraId="43A68987" w14:textId="77777777" w:rsidR="0037405C" w:rsidRDefault="00E161F4">
      <w:pPr>
        <w:spacing w:after="331" w:line="288" w:lineRule="auto"/>
        <w:ind w:left="-5" w:right="-4"/>
      </w:pPr>
      <w:r>
        <w:rPr>
          <w:color w:val="00000A"/>
        </w:rPr>
        <w:t>Iruñeko barrutiko bi kudeatzailetzek itxarote-zerrenden egoerari nola heldu dioten aztertuta, beharrezkotzat jo da lehenik talde horiek sortzea, lehendabiziko zeregin oso zehatz batekin eta pertsona asko itxaroten ari diren espezialitateetarako.</w:t>
      </w:r>
    </w:p>
    <w:p w14:paraId="66F6DC34" w14:textId="77777777" w:rsidR="0037405C" w:rsidRDefault="00E161F4">
      <w:pPr>
        <w:spacing w:after="331" w:line="288" w:lineRule="auto"/>
        <w:ind w:left="-5" w:right="-4"/>
      </w:pPr>
      <w:r>
        <w:rPr>
          <w:color w:val="00000A"/>
        </w:rPr>
        <w:t>Talde bakoitzaren helburua da batera identifikatzea hobetu litezkeen alorrak eta pazienteen beharrak asetzeko arreta hobetuko duten planteamenduak.</w:t>
      </w:r>
    </w:p>
    <w:p w14:paraId="276AA0C4" w14:textId="77777777" w:rsidR="0037405C" w:rsidRDefault="00E161F4">
      <w:pPr>
        <w:spacing w:after="331" w:line="288" w:lineRule="auto"/>
        <w:ind w:left="-5" w:right="-4"/>
      </w:pPr>
      <w:r>
        <w:rPr>
          <w:color w:val="00000A"/>
        </w:rPr>
        <w:t xml:space="preserve">Metodologiari dagokionez, batera berrikusten dira oinarrizko osasun laguntzatik espezialitatera deribatzeko orriak, xede hauekin: </w:t>
      </w:r>
    </w:p>
    <w:p w14:paraId="40A64BEE" w14:textId="77777777" w:rsidR="0037405C" w:rsidRDefault="00E161F4">
      <w:pPr>
        <w:numPr>
          <w:ilvl w:val="0"/>
          <w:numId w:val="2"/>
        </w:numPr>
        <w:ind w:right="0" w:hanging="360"/>
      </w:pPr>
      <w:r>
        <w:t>Itxarote-zerrendan ditugun pazienteen ezaugarriak eta haien deribazioa eragin duten arazo zehatzak ezagutzea</w:t>
      </w:r>
    </w:p>
    <w:p w14:paraId="46BBC34D" w14:textId="77777777" w:rsidR="0037405C" w:rsidRDefault="00E161F4">
      <w:pPr>
        <w:numPr>
          <w:ilvl w:val="0"/>
          <w:numId w:val="2"/>
        </w:numPr>
        <w:ind w:right="0" w:hanging="360"/>
      </w:pPr>
      <w:r>
        <w:t>Aztertzea nola multzokatu daitezkeen espezialitatean antzeko zirkuituak dituzten arazoak</w:t>
      </w:r>
    </w:p>
    <w:p w14:paraId="2C4032A5" w14:textId="77777777" w:rsidR="0037405C" w:rsidRDefault="00E161F4">
      <w:pPr>
        <w:numPr>
          <w:ilvl w:val="0"/>
          <w:numId w:val="2"/>
        </w:numPr>
        <w:ind w:right="0" w:hanging="360"/>
      </w:pPr>
      <w:r>
        <w:t>Deribatzeko arrazoi burokratikoak edo administratiboak identifikatzea (prestazio eta hitzarmenetarako balidazioa, etab.)</w:t>
      </w:r>
    </w:p>
    <w:p w14:paraId="35E3BD55" w14:textId="77777777" w:rsidR="0037405C" w:rsidRDefault="00E161F4">
      <w:pPr>
        <w:numPr>
          <w:ilvl w:val="0"/>
          <w:numId w:val="2"/>
        </w:numPr>
        <w:spacing w:after="359"/>
        <w:ind w:right="0" w:hanging="360"/>
      </w:pPr>
      <w:r>
        <w:t>Balio erantsirik ez dakarten zirkuituak identifikatzea eta horiek bizkortzeko aukerak planteatzea.</w:t>
      </w:r>
    </w:p>
    <w:p w14:paraId="7CE3341A" w14:textId="77777777" w:rsidR="0037405C" w:rsidRDefault="00E161F4">
      <w:pPr>
        <w:spacing w:after="360"/>
        <w:ind w:right="0"/>
      </w:pPr>
      <w:r>
        <w:t xml:space="preserve">Talde bakoitza </w:t>
      </w:r>
      <w:proofErr w:type="spellStart"/>
      <w:r>
        <w:t>NOUko</w:t>
      </w:r>
      <w:proofErr w:type="spellEnd"/>
      <w:r>
        <w:t xml:space="preserve"> espezialitateko fakultatibo batek eta Iruñeko Barrutiko oinarrizko osasun laguntzako fakultatibo batek osatzen dute, eta talde guztiei laguntza ematen diete sei teknikarik (</w:t>
      </w:r>
      <w:proofErr w:type="spellStart"/>
      <w:r>
        <w:t>NOUko</w:t>
      </w:r>
      <w:proofErr w:type="spellEnd"/>
      <w:r>
        <w:t xml:space="preserve"> bat, Oinarrizko Osasun Laguntzako Kudeatzailetzako bi eta Osasun Laguntza emateko Zuzendaritzako hiru). Lantaldeak ez daude </w:t>
      </w:r>
      <w:proofErr w:type="spellStart"/>
      <w:r>
        <w:t>kolegiatuta</w:t>
      </w:r>
      <w:proofErr w:type="spellEnd"/>
      <w:r>
        <w:t xml:space="preserve"> eta ez dago haien aktarik. </w:t>
      </w:r>
    </w:p>
    <w:p w14:paraId="3352BB90" w14:textId="77777777" w:rsidR="0037405C" w:rsidRDefault="00E161F4">
      <w:pPr>
        <w:spacing w:after="232"/>
        <w:ind w:right="0"/>
      </w:pPr>
      <w:r>
        <w:t>Lantalde bakoitzak orain arte egindako lan bileren datak honako taula honetan bildu dira:</w:t>
      </w:r>
    </w:p>
    <w:tbl>
      <w:tblPr>
        <w:tblStyle w:val="TableGrid"/>
        <w:tblW w:w="9361" w:type="dxa"/>
        <w:tblInd w:w="5" w:type="dxa"/>
        <w:tblCellMar>
          <w:top w:w="45" w:type="dxa"/>
          <w:left w:w="65" w:type="dxa"/>
          <w:right w:w="62" w:type="dxa"/>
        </w:tblCellMar>
        <w:tblLook w:val="04A0" w:firstRow="1" w:lastRow="0" w:firstColumn="1" w:lastColumn="0" w:noHBand="0" w:noVBand="1"/>
      </w:tblPr>
      <w:tblGrid>
        <w:gridCol w:w="650"/>
        <w:gridCol w:w="920"/>
        <w:gridCol w:w="919"/>
        <w:gridCol w:w="917"/>
        <w:gridCol w:w="919"/>
        <w:gridCol w:w="914"/>
        <w:gridCol w:w="940"/>
        <w:gridCol w:w="922"/>
        <w:gridCol w:w="914"/>
        <w:gridCol w:w="919"/>
        <w:gridCol w:w="915"/>
        <w:gridCol w:w="914"/>
      </w:tblGrid>
      <w:tr w:rsidR="0037405C" w:rsidRPr="000A31BE" w14:paraId="02B758E1" w14:textId="77777777">
        <w:trPr>
          <w:trHeight w:val="222"/>
        </w:trPr>
        <w:tc>
          <w:tcPr>
            <w:tcW w:w="1212" w:type="dxa"/>
            <w:tcBorders>
              <w:top w:val="single" w:sz="8" w:space="0" w:color="000000"/>
              <w:left w:val="single" w:sz="6" w:space="0" w:color="000000"/>
              <w:bottom w:val="single" w:sz="9" w:space="0" w:color="000000"/>
              <w:right w:val="single" w:sz="6" w:space="0" w:color="000000"/>
            </w:tcBorders>
            <w:shd w:val="clear" w:color="auto" w:fill="D9D9D9"/>
          </w:tcPr>
          <w:p w14:paraId="07F24F5E" w14:textId="77777777" w:rsidR="0037405C" w:rsidRPr="000A31BE" w:rsidRDefault="00E161F4">
            <w:pPr>
              <w:spacing w:after="0"/>
              <w:ind w:left="2" w:right="0" w:firstLine="0"/>
              <w:jc w:val="center"/>
              <w:rPr>
                <w:sz w:val="16"/>
                <w:szCs w:val="16"/>
              </w:rPr>
            </w:pPr>
            <w:bookmarkStart w:id="0" w:name="_Hlk123733176"/>
            <w:r w:rsidRPr="000A31BE">
              <w:rPr>
                <w:rFonts w:ascii="Calibri" w:hAnsi="Calibri"/>
                <w:b/>
                <w:sz w:val="16"/>
                <w:szCs w:val="16"/>
              </w:rPr>
              <w:lastRenderedPageBreak/>
              <w:t>Data</w:t>
            </w:r>
          </w:p>
        </w:tc>
        <w:tc>
          <w:tcPr>
            <w:tcW w:w="587" w:type="dxa"/>
            <w:tcBorders>
              <w:top w:val="single" w:sz="8" w:space="0" w:color="000000"/>
              <w:left w:val="single" w:sz="6" w:space="0" w:color="000000"/>
              <w:bottom w:val="single" w:sz="9" w:space="0" w:color="000000"/>
              <w:right w:val="single" w:sz="5" w:space="0" w:color="000000"/>
            </w:tcBorders>
            <w:shd w:val="clear" w:color="auto" w:fill="F2F2F2"/>
          </w:tcPr>
          <w:p w14:paraId="75DB8AA2" w14:textId="77777777" w:rsidR="0037405C" w:rsidRPr="000A31BE" w:rsidRDefault="00E161F4">
            <w:pPr>
              <w:spacing w:after="0"/>
              <w:ind w:left="6" w:right="0" w:firstLine="0"/>
              <w:jc w:val="left"/>
              <w:rPr>
                <w:sz w:val="16"/>
                <w:szCs w:val="16"/>
              </w:rPr>
            </w:pPr>
            <w:r w:rsidRPr="000A31BE">
              <w:rPr>
                <w:rFonts w:ascii="Calibri" w:hAnsi="Calibri"/>
                <w:b/>
                <w:sz w:val="16"/>
                <w:szCs w:val="16"/>
              </w:rPr>
              <w:t>2022/09/26</w:t>
            </w:r>
          </w:p>
        </w:tc>
        <w:tc>
          <w:tcPr>
            <w:tcW w:w="1000" w:type="dxa"/>
            <w:tcBorders>
              <w:top w:val="single" w:sz="8" w:space="0" w:color="000000"/>
              <w:left w:val="single" w:sz="5" w:space="0" w:color="000000"/>
              <w:bottom w:val="single" w:sz="9" w:space="0" w:color="000000"/>
              <w:right w:val="single" w:sz="5" w:space="0" w:color="000000"/>
            </w:tcBorders>
            <w:shd w:val="clear" w:color="auto" w:fill="F2F2F2"/>
          </w:tcPr>
          <w:p w14:paraId="02625F9E" w14:textId="77777777" w:rsidR="0037405C" w:rsidRPr="000A31BE" w:rsidRDefault="00E161F4">
            <w:pPr>
              <w:spacing w:after="0"/>
              <w:ind w:left="0" w:firstLine="0"/>
              <w:jc w:val="center"/>
              <w:rPr>
                <w:sz w:val="16"/>
                <w:szCs w:val="16"/>
              </w:rPr>
            </w:pPr>
            <w:r w:rsidRPr="000A31BE">
              <w:rPr>
                <w:rFonts w:ascii="Calibri" w:hAnsi="Calibri"/>
                <w:b/>
                <w:sz w:val="16"/>
                <w:szCs w:val="16"/>
              </w:rPr>
              <w:t>2022/09/27</w:t>
            </w:r>
          </w:p>
        </w:tc>
        <w:tc>
          <w:tcPr>
            <w:tcW w:w="671" w:type="dxa"/>
            <w:tcBorders>
              <w:top w:val="single" w:sz="8" w:space="0" w:color="000000"/>
              <w:left w:val="single" w:sz="5" w:space="0" w:color="000000"/>
              <w:bottom w:val="single" w:sz="9" w:space="0" w:color="000000"/>
              <w:right w:val="single" w:sz="5" w:space="0" w:color="000000"/>
            </w:tcBorders>
            <w:shd w:val="clear" w:color="auto" w:fill="F2F2F2"/>
          </w:tcPr>
          <w:p w14:paraId="12FAE021" w14:textId="77777777" w:rsidR="0037405C" w:rsidRPr="000A31BE" w:rsidRDefault="00E161F4">
            <w:pPr>
              <w:spacing w:after="0"/>
              <w:ind w:left="3" w:right="0" w:firstLine="0"/>
              <w:jc w:val="center"/>
              <w:rPr>
                <w:sz w:val="16"/>
                <w:szCs w:val="16"/>
              </w:rPr>
            </w:pPr>
            <w:r w:rsidRPr="000A31BE">
              <w:rPr>
                <w:rFonts w:ascii="Calibri" w:hAnsi="Calibri"/>
                <w:b/>
                <w:sz w:val="16"/>
                <w:szCs w:val="16"/>
              </w:rPr>
              <w:t>2022/09/29</w:t>
            </w:r>
          </w:p>
        </w:tc>
        <w:tc>
          <w:tcPr>
            <w:tcW w:w="897" w:type="dxa"/>
            <w:tcBorders>
              <w:top w:val="single" w:sz="8" w:space="0" w:color="000000"/>
              <w:left w:val="single" w:sz="5" w:space="0" w:color="000000"/>
              <w:bottom w:val="single" w:sz="9" w:space="0" w:color="000000"/>
              <w:right w:val="single" w:sz="6" w:space="0" w:color="000000"/>
            </w:tcBorders>
            <w:shd w:val="clear" w:color="auto" w:fill="F2F2F2"/>
          </w:tcPr>
          <w:p w14:paraId="3D752084" w14:textId="77777777" w:rsidR="0037405C" w:rsidRPr="000A31BE" w:rsidRDefault="00E161F4">
            <w:pPr>
              <w:spacing w:after="0"/>
              <w:ind w:left="0" w:firstLine="0"/>
              <w:jc w:val="center"/>
              <w:rPr>
                <w:sz w:val="16"/>
                <w:szCs w:val="16"/>
              </w:rPr>
            </w:pPr>
            <w:r w:rsidRPr="000A31BE">
              <w:rPr>
                <w:rFonts w:ascii="Calibri" w:hAnsi="Calibri"/>
                <w:b/>
                <w:sz w:val="16"/>
                <w:szCs w:val="16"/>
              </w:rPr>
              <w:t>2022/10/03</w:t>
            </w:r>
          </w:p>
        </w:tc>
        <w:tc>
          <w:tcPr>
            <w:tcW w:w="890" w:type="dxa"/>
            <w:tcBorders>
              <w:top w:val="single" w:sz="8" w:space="0" w:color="000000"/>
              <w:left w:val="single" w:sz="6" w:space="0" w:color="000000"/>
              <w:bottom w:val="single" w:sz="9" w:space="0" w:color="000000"/>
              <w:right w:val="single" w:sz="6" w:space="0" w:color="000000"/>
            </w:tcBorders>
            <w:shd w:val="clear" w:color="auto" w:fill="F2F2F2"/>
          </w:tcPr>
          <w:p w14:paraId="516D4038" w14:textId="77777777" w:rsidR="0037405C" w:rsidRPr="000A31BE" w:rsidRDefault="00E161F4">
            <w:pPr>
              <w:spacing w:after="0"/>
              <w:ind w:left="0" w:right="0" w:firstLine="0"/>
              <w:jc w:val="center"/>
              <w:rPr>
                <w:sz w:val="16"/>
                <w:szCs w:val="16"/>
              </w:rPr>
            </w:pPr>
            <w:r w:rsidRPr="000A31BE">
              <w:rPr>
                <w:rFonts w:ascii="Calibri" w:hAnsi="Calibri"/>
                <w:b/>
                <w:sz w:val="16"/>
                <w:szCs w:val="16"/>
              </w:rPr>
              <w:t>2022/10/03</w:t>
            </w:r>
          </w:p>
        </w:tc>
        <w:tc>
          <w:tcPr>
            <w:tcW w:w="618" w:type="dxa"/>
            <w:tcBorders>
              <w:top w:val="single" w:sz="8" w:space="0" w:color="000000"/>
              <w:left w:val="single" w:sz="6" w:space="0" w:color="000000"/>
              <w:bottom w:val="single" w:sz="9" w:space="0" w:color="000000"/>
              <w:right w:val="single" w:sz="7" w:space="0" w:color="000000"/>
            </w:tcBorders>
            <w:shd w:val="clear" w:color="auto" w:fill="F2F2F2"/>
          </w:tcPr>
          <w:p w14:paraId="67457D22" w14:textId="77777777" w:rsidR="0037405C" w:rsidRPr="000A31BE" w:rsidRDefault="00E161F4">
            <w:pPr>
              <w:spacing w:after="0"/>
              <w:ind w:left="26" w:right="0" w:firstLine="0"/>
              <w:jc w:val="left"/>
              <w:rPr>
                <w:sz w:val="16"/>
                <w:szCs w:val="16"/>
              </w:rPr>
            </w:pPr>
            <w:r w:rsidRPr="000A31BE">
              <w:rPr>
                <w:rFonts w:ascii="Calibri" w:hAnsi="Calibri"/>
                <w:b/>
                <w:sz w:val="16"/>
                <w:szCs w:val="16"/>
              </w:rPr>
              <w:t>2022/10/04</w:t>
            </w:r>
          </w:p>
        </w:tc>
        <w:tc>
          <w:tcPr>
            <w:tcW w:w="588" w:type="dxa"/>
            <w:tcBorders>
              <w:top w:val="single" w:sz="8" w:space="0" w:color="000000"/>
              <w:left w:val="single" w:sz="7" w:space="0" w:color="000000"/>
              <w:bottom w:val="single" w:sz="9" w:space="0" w:color="000000"/>
              <w:right w:val="single" w:sz="6" w:space="0" w:color="000000"/>
            </w:tcBorders>
            <w:shd w:val="clear" w:color="auto" w:fill="F2F2F2"/>
          </w:tcPr>
          <w:p w14:paraId="6FDE648E" w14:textId="77777777" w:rsidR="0037405C" w:rsidRPr="000A31BE" w:rsidRDefault="00E161F4">
            <w:pPr>
              <w:spacing w:after="0"/>
              <w:ind w:left="8" w:right="0" w:firstLine="0"/>
              <w:jc w:val="left"/>
              <w:rPr>
                <w:sz w:val="16"/>
                <w:szCs w:val="16"/>
              </w:rPr>
            </w:pPr>
            <w:r w:rsidRPr="000A31BE">
              <w:rPr>
                <w:rFonts w:ascii="Calibri" w:hAnsi="Calibri"/>
                <w:b/>
                <w:sz w:val="16"/>
                <w:szCs w:val="16"/>
              </w:rPr>
              <w:t>2022/10/17</w:t>
            </w:r>
          </w:p>
        </w:tc>
        <w:tc>
          <w:tcPr>
            <w:tcW w:w="568" w:type="dxa"/>
            <w:tcBorders>
              <w:top w:val="single" w:sz="8" w:space="0" w:color="000000"/>
              <w:left w:val="single" w:sz="6" w:space="0" w:color="000000"/>
              <w:bottom w:val="single" w:sz="9" w:space="0" w:color="000000"/>
              <w:right w:val="single" w:sz="6" w:space="0" w:color="000000"/>
            </w:tcBorders>
            <w:shd w:val="clear" w:color="auto" w:fill="F2F2F2"/>
          </w:tcPr>
          <w:p w14:paraId="41C4884F" w14:textId="77777777" w:rsidR="0037405C" w:rsidRPr="000A31BE" w:rsidRDefault="00E161F4">
            <w:pPr>
              <w:spacing w:after="0"/>
              <w:ind w:left="0" w:right="0" w:firstLine="0"/>
              <w:jc w:val="left"/>
              <w:rPr>
                <w:sz w:val="16"/>
                <w:szCs w:val="16"/>
              </w:rPr>
            </w:pPr>
            <w:r w:rsidRPr="000A31BE">
              <w:rPr>
                <w:rFonts w:ascii="Calibri" w:hAnsi="Calibri"/>
                <w:b/>
                <w:sz w:val="16"/>
                <w:szCs w:val="16"/>
              </w:rPr>
              <w:t>2022/10/18</w:t>
            </w:r>
          </w:p>
        </w:tc>
        <w:tc>
          <w:tcPr>
            <w:tcW w:w="999" w:type="dxa"/>
            <w:tcBorders>
              <w:top w:val="single" w:sz="8" w:space="0" w:color="000000"/>
              <w:left w:val="single" w:sz="6" w:space="0" w:color="000000"/>
              <w:bottom w:val="single" w:sz="9" w:space="0" w:color="000000"/>
              <w:right w:val="single" w:sz="5" w:space="0" w:color="000000"/>
            </w:tcBorders>
            <w:shd w:val="clear" w:color="auto" w:fill="F2F2F2"/>
          </w:tcPr>
          <w:p w14:paraId="2BAE07C2" w14:textId="77777777" w:rsidR="0037405C" w:rsidRPr="000A31BE" w:rsidRDefault="00E161F4">
            <w:pPr>
              <w:spacing w:after="0"/>
              <w:ind w:left="0" w:firstLine="0"/>
              <w:jc w:val="center"/>
              <w:rPr>
                <w:sz w:val="16"/>
                <w:szCs w:val="16"/>
              </w:rPr>
            </w:pPr>
            <w:r w:rsidRPr="000A31BE">
              <w:rPr>
                <w:rFonts w:ascii="Calibri" w:hAnsi="Calibri"/>
                <w:b/>
                <w:sz w:val="16"/>
                <w:szCs w:val="16"/>
              </w:rPr>
              <w:t>2022/10/19</w:t>
            </w:r>
          </w:p>
        </w:tc>
        <w:tc>
          <w:tcPr>
            <w:tcW w:w="671" w:type="dxa"/>
            <w:tcBorders>
              <w:top w:val="single" w:sz="8" w:space="0" w:color="000000"/>
              <w:left w:val="single" w:sz="5" w:space="0" w:color="000000"/>
              <w:bottom w:val="single" w:sz="9" w:space="0" w:color="000000"/>
              <w:right w:val="single" w:sz="5" w:space="0" w:color="000000"/>
            </w:tcBorders>
            <w:shd w:val="clear" w:color="auto" w:fill="F2F2F2"/>
          </w:tcPr>
          <w:p w14:paraId="4E6C54C6" w14:textId="77777777" w:rsidR="0037405C" w:rsidRPr="000A31BE" w:rsidRDefault="00E161F4">
            <w:pPr>
              <w:spacing w:after="0"/>
              <w:ind w:left="1" w:right="0" w:firstLine="0"/>
              <w:jc w:val="center"/>
              <w:rPr>
                <w:sz w:val="16"/>
                <w:szCs w:val="16"/>
              </w:rPr>
            </w:pPr>
            <w:r w:rsidRPr="000A31BE">
              <w:rPr>
                <w:rFonts w:ascii="Calibri" w:hAnsi="Calibri"/>
                <w:b/>
                <w:sz w:val="16"/>
                <w:szCs w:val="16"/>
              </w:rPr>
              <w:t>2022/10/20</w:t>
            </w:r>
          </w:p>
        </w:tc>
        <w:tc>
          <w:tcPr>
            <w:tcW w:w="660" w:type="dxa"/>
            <w:tcBorders>
              <w:top w:val="single" w:sz="8" w:space="0" w:color="000000"/>
              <w:left w:val="single" w:sz="5" w:space="0" w:color="000000"/>
              <w:bottom w:val="single" w:sz="9" w:space="0" w:color="000000"/>
              <w:right w:val="single" w:sz="2" w:space="0" w:color="000000"/>
            </w:tcBorders>
            <w:shd w:val="clear" w:color="auto" w:fill="F2F2F2"/>
          </w:tcPr>
          <w:p w14:paraId="2CFD0BB8" w14:textId="77777777" w:rsidR="0037405C" w:rsidRPr="000A31BE" w:rsidRDefault="00E161F4">
            <w:pPr>
              <w:spacing w:after="0"/>
              <w:ind w:left="0" w:right="0" w:firstLine="0"/>
              <w:jc w:val="center"/>
              <w:rPr>
                <w:sz w:val="16"/>
                <w:szCs w:val="16"/>
              </w:rPr>
            </w:pPr>
            <w:r w:rsidRPr="000A31BE">
              <w:rPr>
                <w:rFonts w:ascii="Calibri" w:hAnsi="Calibri"/>
                <w:b/>
                <w:sz w:val="16"/>
                <w:szCs w:val="16"/>
              </w:rPr>
              <w:t>2022/10/24</w:t>
            </w:r>
          </w:p>
        </w:tc>
      </w:tr>
      <w:tr w:rsidR="0037405C" w:rsidRPr="000A31BE" w14:paraId="663C14A1" w14:textId="77777777">
        <w:trPr>
          <w:trHeight w:val="214"/>
        </w:trPr>
        <w:tc>
          <w:tcPr>
            <w:tcW w:w="1212" w:type="dxa"/>
            <w:tcBorders>
              <w:top w:val="single" w:sz="9" w:space="0" w:color="000000"/>
              <w:left w:val="single" w:sz="6" w:space="0" w:color="000000"/>
              <w:bottom w:val="single" w:sz="4" w:space="0" w:color="000000"/>
              <w:right w:val="single" w:sz="6" w:space="0" w:color="000000"/>
            </w:tcBorders>
            <w:shd w:val="clear" w:color="auto" w:fill="D9D9D9"/>
          </w:tcPr>
          <w:p w14:paraId="4ED96AB5" w14:textId="77777777" w:rsidR="0037405C" w:rsidRPr="000A31BE" w:rsidRDefault="00E161F4">
            <w:pPr>
              <w:spacing w:after="0"/>
              <w:ind w:left="0" w:right="3" w:firstLine="0"/>
              <w:jc w:val="center"/>
              <w:rPr>
                <w:sz w:val="16"/>
                <w:szCs w:val="16"/>
              </w:rPr>
            </w:pPr>
            <w:r w:rsidRPr="000A31BE">
              <w:rPr>
                <w:rFonts w:ascii="Calibri" w:hAnsi="Calibri"/>
                <w:b/>
                <w:sz w:val="16"/>
                <w:szCs w:val="16"/>
              </w:rPr>
              <w:t>TALDEA</w:t>
            </w:r>
          </w:p>
        </w:tc>
        <w:tc>
          <w:tcPr>
            <w:tcW w:w="587" w:type="dxa"/>
            <w:tcBorders>
              <w:top w:val="single" w:sz="9" w:space="0" w:color="000000"/>
              <w:left w:val="single" w:sz="6" w:space="0" w:color="000000"/>
              <w:bottom w:val="single" w:sz="4" w:space="0" w:color="000000"/>
              <w:right w:val="single" w:sz="5" w:space="0" w:color="000000"/>
            </w:tcBorders>
            <w:shd w:val="clear" w:color="auto" w:fill="DDEBF7"/>
          </w:tcPr>
          <w:p w14:paraId="05DF79BA" w14:textId="77777777" w:rsidR="0037405C" w:rsidRPr="000A31BE" w:rsidRDefault="00E161F4">
            <w:pPr>
              <w:spacing w:after="0"/>
              <w:ind w:left="0" w:right="7" w:firstLine="0"/>
              <w:jc w:val="center"/>
              <w:rPr>
                <w:sz w:val="16"/>
                <w:szCs w:val="16"/>
              </w:rPr>
            </w:pPr>
            <w:r w:rsidRPr="000A31BE">
              <w:rPr>
                <w:rFonts w:ascii="Calibri" w:hAnsi="Calibri"/>
                <w:b/>
                <w:sz w:val="16"/>
                <w:szCs w:val="16"/>
              </w:rPr>
              <w:t>ORL</w:t>
            </w:r>
          </w:p>
        </w:tc>
        <w:tc>
          <w:tcPr>
            <w:tcW w:w="1000" w:type="dxa"/>
            <w:tcBorders>
              <w:top w:val="single" w:sz="9" w:space="0" w:color="000000"/>
              <w:left w:val="single" w:sz="5" w:space="0" w:color="000000"/>
              <w:bottom w:val="single" w:sz="4" w:space="0" w:color="000000"/>
              <w:right w:val="single" w:sz="5" w:space="0" w:color="000000"/>
            </w:tcBorders>
            <w:shd w:val="clear" w:color="auto" w:fill="DDEBF7"/>
          </w:tcPr>
          <w:p w14:paraId="694D8220" w14:textId="77777777" w:rsidR="0037405C" w:rsidRPr="000A31BE" w:rsidRDefault="00E161F4">
            <w:pPr>
              <w:spacing w:after="0"/>
              <w:ind w:left="0" w:right="7" w:firstLine="0"/>
              <w:jc w:val="center"/>
              <w:rPr>
                <w:sz w:val="16"/>
                <w:szCs w:val="16"/>
              </w:rPr>
            </w:pPr>
            <w:r w:rsidRPr="000A31BE">
              <w:rPr>
                <w:rFonts w:ascii="Calibri" w:hAnsi="Calibri"/>
                <w:b/>
                <w:sz w:val="16"/>
                <w:szCs w:val="16"/>
              </w:rPr>
              <w:t>KARDIO</w:t>
            </w:r>
          </w:p>
        </w:tc>
        <w:tc>
          <w:tcPr>
            <w:tcW w:w="671" w:type="dxa"/>
            <w:tcBorders>
              <w:top w:val="single" w:sz="9" w:space="0" w:color="000000"/>
              <w:left w:val="single" w:sz="5" w:space="0" w:color="000000"/>
              <w:bottom w:val="single" w:sz="4" w:space="0" w:color="000000"/>
              <w:right w:val="single" w:sz="5" w:space="0" w:color="000000"/>
            </w:tcBorders>
            <w:shd w:val="clear" w:color="auto" w:fill="DDEBF7"/>
          </w:tcPr>
          <w:p w14:paraId="5D85F03F" w14:textId="77777777" w:rsidR="0037405C" w:rsidRPr="000A31BE" w:rsidRDefault="00E161F4">
            <w:pPr>
              <w:spacing w:after="0"/>
              <w:ind w:left="0" w:right="4" w:firstLine="0"/>
              <w:jc w:val="center"/>
              <w:rPr>
                <w:sz w:val="16"/>
                <w:szCs w:val="16"/>
              </w:rPr>
            </w:pPr>
            <w:r w:rsidRPr="000A31BE">
              <w:rPr>
                <w:rFonts w:ascii="Calibri" w:hAnsi="Calibri"/>
                <w:b/>
                <w:sz w:val="16"/>
                <w:szCs w:val="16"/>
              </w:rPr>
              <w:t>EHB</w:t>
            </w:r>
          </w:p>
        </w:tc>
        <w:tc>
          <w:tcPr>
            <w:tcW w:w="897" w:type="dxa"/>
            <w:tcBorders>
              <w:top w:val="single" w:sz="9" w:space="0" w:color="000000"/>
              <w:left w:val="single" w:sz="5" w:space="0" w:color="000000"/>
              <w:bottom w:val="single" w:sz="4" w:space="0" w:color="000000"/>
              <w:right w:val="single" w:sz="6" w:space="0" w:color="000000"/>
            </w:tcBorders>
            <w:shd w:val="clear" w:color="auto" w:fill="9BC2E6"/>
          </w:tcPr>
          <w:p w14:paraId="765E8CEE" w14:textId="77777777" w:rsidR="0037405C" w:rsidRPr="000A31BE" w:rsidRDefault="00E161F4">
            <w:pPr>
              <w:spacing w:after="0"/>
              <w:ind w:left="0" w:right="7" w:firstLine="0"/>
              <w:jc w:val="center"/>
              <w:rPr>
                <w:sz w:val="16"/>
                <w:szCs w:val="16"/>
              </w:rPr>
            </w:pPr>
            <w:r w:rsidRPr="000A31BE">
              <w:rPr>
                <w:rFonts w:ascii="Calibri" w:hAnsi="Calibri"/>
                <w:b/>
                <w:sz w:val="16"/>
                <w:szCs w:val="16"/>
              </w:rPr>
              <w:t>ORL</w:t>
            </w:r>
          </w:p>
        </w:tc>
        <w:tc>
          <w:tcPr>
            <w:tcW w:w="890" w:type="dxa"/>
            <w:tcBorders>
              <w:top w:val="single" w:sz="9" w:space="0" w:color="000000"/>
              <w:left w:val="single" w:sz="6" w:space="0" w:color="000000"/>
              <w:bottom w:val="single" w:sz="4" w:space="0" w:color="000000"/>
              <w:right w:val="single" w:sz="6" w:space="0" w:color="000000"/>
            </w:tcBorders>
            <w:shd w:val="clear" w:color="auto" w:fill="DDEBF7"/>
          </w:tcPr>
          <w:p w14:paraId="245183D1" w14:textId="77777777" w:rsidR="0037405C" w:rsidRPr="000A31BE" w:rsidRDefault="00E161F4">
            <w:pPr>
              <w:spacing w:after="0"/>
              <w:ind w:left="0" w:right="3" w:firstLine="0"/>
              <w:jc w:val="center"/>
              <w:rPr>
                <w:sz w:val="16"/>
                <w:szCs w:val="16"/>
              </w:rPr>
            </w:pPr>
            <w:r w:rsidRPr="000A31BE">
              <w:rPr>
                <w:rFonts w:ascii="Calibri" w:hAnsi="Calibri"/>
                <w:b/>
                <w:sz w:val="16"/>
                <w:szCs w:val="16"/>
              </w:rPr>
              <w:t>OFTALM.</w:t>
            </w:r>
          </w:p>
        </w:tc>
        <w:tc>
          <w:tcPr>
            <w:tcW w:w="618" w:type="dxa"/>
            <w:tcBorders>
              <w:top w:val="single" w:sz="9" w:space="0" w:color="000000"/>
              <w:left w:val="single" w:sz="6" w:space="0" w:color="000000"/>
              <w:bottom w:val="single" w:sz="4" w:space="0" w:color="000000"/>
              <w:right w:val="single" w:sz="7" w:space="0" w:color="000000"/>
            </w:tcBorders>
            <w:shd w:val="clear" w:color="auto" w:fill="9BC2E6"/>
          </w:tcPr>
          <w:p w14:paraId="663ABE6B" w14:textId="77777777" w:rsidR="0037405C" w:rsidRPr="000A31BE" w:rsidRDefault="00E161F4">
            <w:pPr>
              <w:spacing w:after="0"/>
              <w:ind w:left="0" w:right="0" w:firstLine="0"/>
              <w:jc w:val="center"/>
              <w:rPr>
                <w:sz w:val="16"/>
                <w:szCs w:val="16"/>
              </w:rPr>
            </w:pPr>
            <w:r w:rsidRPr="000A31BE">
              <w:rPr>
                <w:rFonts w:ascii="Calibri" w:hAnsi="Calibri"/>
                <w:b/>
                <w:sz w:val="16"/>
                <w:szCs w:val="16"/>
              </w:rPr>
              <w:t>KARDIO</w:t>
            </w:r>
          </w:p>
        </w:tc>
        <w:tc>
          <w:tcPr>
            <w:tcW w:w="588" w:type="dxa"/>
            <w:tcBorders>
              <w:top w:val="single" w:sz="9" w:space="0" w:color="000000"/>
              <w:left w:val="single" w:sz="7" w:space="0" w:color="000000"/>
              <w:bottom w:val="single" w:sz="4" w:space="0" w:color="000000"/>
              <w:right w:val="single" w:sz="6" w:space="0" w:color="000000"/>
            </w:tcBorders>
            <w:shd w:val="clear" w:color="auto" w:fill="2F75B5"/>
          </w:tcPr>
          <w:p w14:paraId="76A7F25F" w14:textId="77777777" w:rsidR="0037405C" w:rsidRPr="000A31BE" w:rsidRDefault="00E161F4">
            <w:pPr>
              <w:spacing w:after="0"/>
              <w:ind w:left="0" w:right="4" w:firstLine="0"/>
              <w:jc w:val="center"/>
              <w:rPr>
                <w:sz w:val="16"/>
                <w:szCs w:val="16"/>
              </w:rPr>
            </w:pPr>
            <w:r w:rsidRPr="000A31BE">
              <w:rPr>
                <w:rFonts w:ascii="Calibri" w:hAnsi="Calibri"/>
                <w:b/>
                <w:color w:val="FFFFFF"/>
                <w:sz w:val="16"/>
                <w:szCs w:val="16"/>
              </w:rPr>
              <w:t>ORL</w:t>
            </w:r>
          </w:p>
        </w:tc>
        <w:tc>
          <w:tcPr>
            <w:tcW w:w="568" w:type="dxa"/>
            <w:tcBorders>
              <w:top w:val="single" w:sz="9" w:space="0" w:color="000000"/>
              <w:left w:val="single" w:sz="6" w:space="0" w:color="000000"/>
              <w:bottom w:val="single" w:sz="4" w:space="0" w:color="000000"/>
              <w:right w:val="single" w:sz="6" w:space="0" w:color="000000"/>
            </w:tcBorders>
            <w:shd w:val="clear" w:color="auto" w:fill="DDEBF7"/>
          </w:tcPr>
          <w:p w14:paraId="240A2F1C" w14:textId="77777777" w:rsidR="0037405C" w:rsidRPr="000A31BE" w:rsidRDefault="00E161F4">
            <w:pPr>
              <w:spacing w:after="0"/>
              <w:ind w:left="38" w:right="0" w:firstLine="0"/>
              <w:jc w:val="left"/>
              <w:rPr>
                <w:sz w:val="16"/>
                <w:szCs w:val="16"/>
              </w:rPr>
            </w:pPr>
            <w:r w:rsidRPr="000A31BE">
              <w:rPr>
                <w:rFonts w:ascii="Calibri" w:hAnsi="Calibri"/>
                <w:b/>
                <w:sz w:val="16"/>
                <w:szCs w:val="16"/>
              </w:rPr>
              <w:t>TRAUMA</w:t>
            </w:r>
          </w:p>
        </w:tc>
        <w:tc>
          <w:tcPr>
            <w:tcW w:w="999" w:type="dxa"/>
            <w:tcBorders>
              <w:top w:val="single" w:sz="9" w:space="0" w:color="000000"/>
              <w:left w:val="single" w:sz="6" w:space="0" w:color="000000"/>
              <w:bottom w:val="single" w:sz="4" w:space="0" w:color="000000"/>
              <w:right w:val="single" w:sz="5" w:space="0" w:color="000000"/>
            </w:tcBorders>
            <w:shd w:val="clear" w:color="auto" w:fill="2F75B5"/>
          </w:tcPr>
          <w:p w14:paraId="35BDFDBE" w14:textId="77777777" w:rsidR="0037405C" w:rsidRPr="000A31BE" w:rsidRDefault="00E161F4">
            <w:pPr>
              <w:spacing w:after="0"/>
              <w:ind w:left="0" w:right="9" w:firstLine="0"/>
              <w:jc w:val="center"/>
              <w:rPr>
                <w:sz w:val="16"/>
                <w:szCs w:val="16"/>
              </w:rPr>
            </w:pPr>
            <w:r w:rsidRPr="000A31BE">
              <w:rPr>
                <w:rFonts w:ascii="Calibri" w:hAnsi="Calibri"/>
                <w:b/>
                <w:color w:val="FFFFFF"/>
                <w:sz w:val="16"/>
                <w:szCs w:val="16"/>
              </w:rPr>
              <w:t>KARDIO</w:t>
            </w:r>
          </w:p>
        </w:tc>
        <w:tc>
          <w:tcPr>
            <w:tcW w:w="671" w:type="dxa"/>
            <w:tcBorders>
              <w:top w:val="single" w:sz="9" w:space="0" w:color="000000"/>
              <w:left w:val="single" w:sz="5" w:space="0" w:color="000000"/>
              <w:bottom w:val="single" w:sz="4" w:space="0" w:color="000000"/>
              <w:right w:val="single" w:sz="5" w:space="0" w:color="000000"/>
            </w:tcBorders>
            <w:shd w:val="clear" w:color="auto" w:fill="9BC2E6"/>
          </w:tcPr>
          <w:p w14:paraId="54BC412E" w14:textId="77777777" w:rsidR="0037405C" w:rsidRPr="000A31BE" w:rsidRDefault="00E161F4">
            <w:pPr>
              <w:spacing w:after="0"/>
              <w:ind w:left="0" w:right="7" w:firstLine="0"/>
              <w:jc w:val="center"/>
              <w:rPr>
                <w:sz w:val="16"/>
                <w:szCs w:val="16"/>
              </w:rPr>
            </w:pPr>
            <w:r w:rsidRPr="000A31BE">
              <w:rPr>
                <w:rFonts w:ascii="Calibri" w:hAnsi="Calibri"/>
                <w:b/>
                <w:sz w:val="16"/>
                <w:szCs w:val="16"/>
              </w:rPr>
              <w:t>EHB</w:t>
            </w:r>
          </w:p>
        </w:tc>
        <w:tc>
          <w:tcPr>
            <w:tcW w:w="660" w:type="dxa"/>
            <w:tcBorders>
              <w:top w:val="single" w:sz="9" w:space="0" w:color="000000"/>
              <w:left w:val="single" w:sz="5" w:space="0" w:color="000000"/>
              <w:bottom w:val="single" w:sz="4" w:space="0" w:color="000000"/>
              <w:right w:val="single" w:sz="2" w:space="0" w:color="000000"/>
            </w:tcBorders>
            <w:shd w:val="clear" w:color="auto" w:fill="9BC2E6"/>
          </w:tcPr>
          <w:p w14:paraId="551D75C6" w14:textId="77777777" w:rsidR="0037405C" w:rsidRPr="000A31BE" w:rsidRDefault="00E161F4">
            <w:pPr>
              <w:spacing w:after="0"/>
              <w:ind w:left="0" w:right="7" w:firstLine="0"/>
              <w:jc w:val="center"/>
              <w:rPr>
                <w:sz w:val="16"/>
                <w:szCs w:val="16"/>
              </w:rPr>
            </w:pPr>
            <w:r w:rsidRPr="000A31BE">
              <w:rPr>
                <w:rFonts w:ascii="Calibri" w:hAnsi="Calibri"/>
                <w:b/>
                <w:sz w:val="16"/>
                <w:szCs w:val="16"/>
              </w:rPr>
              <w:t>OFTALM.</w:t>
            </w:r>
          </w:p>
        </w:tc>
      </w:tr>
    </w:tbl>
    <w:bookmarkEnd w:id="0"/>
    <w:p w14:paraId="29F04D51" w14:textId="128C2FD2" w:rsidR="0037405C" w:rsidRDefault="00E161F4">
      <w:pPr>
        <w:spacing w:after="690"/>
        <w:ind w:right="0"/>
      </w:pPr>
      <w:r>
        <w:t>Hori guztia jakinarazten dizut, Nafarroako Parlamentuko Erregelamenduaren 194. artikuluan xedatutakoa betez.</w:t>
      </w:r>
    </w:p>
    <w:p w14:paraId="02D2D454" w14:textId="77777777" w:rsidR="0037405C" w:rsidRDefault="00E161F4">
      <w:pPr>
        <w:spacing w:after="358" w:line="265" w:lineRule="auto"/>
        <w:ind w:left="13" w:right="3"/>
        <w:jc w:val="center"/>
      </w:pPr>
      <w:r>
        <w:t>Iruñean, 2022ko urriaren 28an</w:t>
      </w:r>
    </w:p>
    <w:p w14:paraId="0C814CBE" w14:textId="77777777" w:rsidR="00E161F4" w:rsidRPr="00E161F4" w:rsidRDefault="00E161F4" w:rsidP="00E161F4">
      <w:pPr>
        <w:spacing w:after="0" w:line="360" w:lineRule="auto"/>
        <w:ind w:left="0" w:right="0" w:firstLine="0"/>
        <w:jc w:val="left"/>
        <w:rPr>
          <w:rFonts w:eastAsia="Times New Roman"/>
          <w:color w:val="auto"/>
          <w:sz w:val="22"/>
        </w:rPr>
      </w:pPr>
      <w:bookmarkStart w:id="1" w:name="_Hlk118820249"/>
      <w:r>
        <w:rPr>
          <w:color w:val="auto"/>
          <w:sz w:val="22"/>
        </w:rPr>
        <w:t xml:space="preserve">Osasuneko kontseilaria: Santos </w:t>
      </w:r>
      <w:proofErr w:type="spellStart"/>
      <w:r>
        <w:rPr>
          <w:color w:val="auto"/>
          <w:sz w:val="22"/>
        </w:rPr>
        <w:t>Induráin</w:t>
      </w:r>
      <w:proofErr w:type="spellEnd"/>
      <w:r>
        <w:rPr>
          <w:color w:val="auto"/>
          <w:sz w:val="22"/>
        </w:rPr>
        <w:t xml:space="preserve"> Orduna</w:t>
      </w:r>
    </w:p>
    <w:bookmarkEnd w:id="1"/>
    <w:p w14:paraId="3B6ABBCC" w14:textId="595427A2" w:rsidR="0037405C" w:rsidRDefault="0037405C" w:rsidP="00E161F4">
      <w:pPr>
        <w:spacing w:after="690" w:line="265" w:lineRule="auto"/>
        <w:ind w:left="13" w:right="0"/>
        <w:jc w:val="center"/>
      </w:pPr>
    </w:p>
    <w:sectPr w:rsidR="0037405C">
      <w:pgSz w:w="11900" w:h="16840"/>
      <w:pgMar w:top="1709" w:right="1417" w:bottom="1459" w:left="17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852F3"/>
    <w:multiLevelType w:val="hybridMultilevel"/>
    <w:tmpl w:val="DDDE4980"/>
    <w:lvl w:ilvl="0" w:tplc="45BA86A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D299EE">
      <w:start w:val="1"/>
      <w:numFmt w:val="bullet"/>
      <w:lvlText w:val="-"/>
      <w:lvlJc w:val="left"/>
      <w:pPr>
        <w:ind w:left="10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3CBA96">
      <w:start w:val="1"/>
      <w:numFmt w:val="bullet"/>
      <w:lvlText w:val="▪"/>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428D3C0">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B2064A">
      <w:start w:val="1"/>
      <w:numFmt w:val="bullet"/>
      <w:lvlText w:val="o"/>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24A63D8">
      <w:start w:val="1"/>
      <w:numFmt w:val="bullet"/>
      <w:lvlText w:val="▪"/>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5F86512">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12D3A6">
      <w:start w:val="1"/>
      <w:numFmt w:val="bullet"/>
      <w:lvlText w:val="o"/>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D856EA">
      <w:start w:val="1"/>
      <w:numFmt w:val="bullet"/>
      <w:lvlText w:val="▪"/>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DBE176E"/>
    <w:multiLevelType w:val="hybridMultilevel"/>
    <w:tmpl w:val="2ECEE0EA"/>
    <w:lvl w:ilvl="0" w:tplc="1B6EA90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40564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2CD08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CC4D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34ECC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98610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B014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A2C6D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08B79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40217922">
    <w:abstractNumId w:val="0"/>
  </w:num>
  <w:num w:numId="2" w16cid:durableId="223293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5C"/>
    <w:rsid w:val="000A31BE"/>
    <w:rsid w:val="00214C1D"/>
    <w:rsid w:val="0037405C"/>
    <w:rsid w:val="00A6097D"/>
    <w:rsid w:val="00D80887"/>
    <w:rsid w:val="00E161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58C30"/>
  <w15:docId w15:val="{6A341154-AB22-4224-B240-CF210FBD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1"/>
      <w:ind w:left="10" w:right="5"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2" w:line="343" w:lineRule="auto"/>
      <w:ind w:left="10" w:right="6" w:hanging="10"/>
      <w:jc w:val="both"/>
      <w:outlineLvl w:val="0"/>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704</Words>
  <Characters>5073</Characters>
  <Application>Microsoft Office Word</Application>
  <DocSecurity>0</DocSecurity>
  <Lines>724</Lines>
  <Paragraphs>722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De Santiago, Iñaki</cp:lastModifiedBy>
  <cp:revision>5</cp:revision>
  <dcterms:created xsi:type="dcterms:W3CDTF">2022-11-08T16:19:00Z</dcterms:created>
  <dcterms:modified xsi:type="dcterms:W3CDTF">2023-01-04T13:26:00Z</dcterms:modified>
</cp:coreProperties>
</file>