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ikasketarako lagun</w:t>
        <w:softHyphen/>
        <w:t xml:space="preserve">tzarik ezarri den (garraioa, mugikortasuna, baliabideak, lagun</w:t>
        <w:softHyphen/>
        <w:t xml:space="preserve">tza per</w:t>
        <w:softHyphen/>
        <w:t xml:space="preserve">tsonala ikasgelan eta campusean, eta abar), desgaitasun baten ondorioz HPBak dituzten ikasleen derrigorrezkoaren ondoko hezkun</w:t>
        <w:softHyphen/>
        <w:t xml:space="preserve">tzarako.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ezarri al da ikasketarako lagun</w:t>
        <w:softHyphen/>
        <w:t xml:space="preserve">tzarik (garraioa, mugikortasuna, baliabideak, lagun</w:t>
        <w:softHyphen/>
        <w:t xml:space="preserve">tza per</w:t>
        <w:softHyphen/>
        <w:t xml:space="preserve">tsonala ikasgelan eta campusean, eta abar), desgaitasun baten ondorioz HPBak dituzten ikasleen derrigorrezkoaren ondoko hezkun</w:t>
        <w:softHyphen/>
        <w:t xml:space="preserve">tzarako?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</w:t>
        <w:softHyphen/>
        <w:t xml:space="preserve">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Eta desgaitasuna duten uniber</w:t>
        <w:softHyphen/>
        <w:t xml:space="preserve">tsitate-ikasleen</w:t>
        <w:softHyphen/>
        <w:t xml:space="preserve">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Zein</w:t>
        <w:softHyphen/>
        <w:t xml:space="preserve">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