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26an egindako bilkuran, erabaki hau hartu zuen, besteak beste: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Nafarroako Foru Eraentza Berrezarri eta Hobetzeari buruzko Lege Organikoaren 19.1.b) artikuluak aitortzen dien legegintzarako ekimena erabiliz, Nafarroako Alderdi Sozialista eta Geroa Bai talde parlamentarioek eta Nafarroako Podemos-Ahal Dugu foru parlamentarien elkarteak Nafarroako etxebizitza-arloko jarduketa babesgarriei 2023an aplikatzekoak zaizkien moduluak ezartzen dituen Foru Lege proposamena aurkeztu dute, eta presako eta irakurketa bakarreko prozeduraz izapidetu dadin eskatu dute.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110., 111., 148. eta 158. artikuluetan ezarritakoarekin bat, Eledunen Batzarrari entzun ondoren, hona ERABAKIA: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Agintzea Nafarroako etxebizitza-arloko jarduketa babesgarriei 2023an aplikatzekoak zaizkien moduluak ezartzen dituen Foru Lege proposamena Nafarroako Parlamentuko Aldizkari Ofizialean argitaratu dadin.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Foru lege proposamena presako eta irakurketa bakarreko prozeduraz izapidetzea.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Foru lege proposamen hori Nafarroako Gobernuari igortzea, Erregelamenduko 148. artikuluan ezarritako ondorioetarako, eta Nafarroako Gobernuari adieraztea bere iritzia emateko epea zortzi egunekoa dela.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4. </w:t>
      </w:r>
      <w:r>
        <w:rPr>
          <w:rStyle w:val="1"/>
        </w:rPr>
        <w:t xml:space="preserve">Zuzenketak aurkezteko epe bat irekitzea, eztabaidari ekiteko Osoko Bilkuraren egunaren aurrekoaren eguerdiko hamabietan bukatuko dena. Zuzenketak Legebiltzarreko Mahaiari aurkeztu beharko zaizkio.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Foru Lege proposamena,</w:t>
        <w:br w:type="textWrapping"/>
        <w:t xml:space="preserve">zeinaren bidez ezartzen baitira Nafarroako etxebizitza-arloko jarduketa babesgarriei 2023an aplikatzekoak zaizkien moduluak</w:t>
      </w:r>
    </w:p>
    <w:p>
      <w:pPr>
        <w:pStyle w:val="0"/>
        <w:jc w:val="center"/>
        <w:ind w:firstLine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HITZAURREA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Aparteko une bati aurre egin beharrean gaude, gehienbat Ukrainako gerraren eta horrek mundu-mailan sortu dituen ondorioen kariaz; halatan, energiaren eta lehengaien merkatuek kolpe handia nozitu badute ere, aipatu ondorioak gure ekonomiaren sektore guztietara hedatzen dira.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Guda horren ondorio nagusietako bat energia-kostuen gorakada ari da izaten, zeina ekoizpen-kostu orokorren gorakada eragiten ari baita mundu-mailan, baina batez ere Europan, hala nola Alemaniako ekonomian (% 7,5), Italiakoan (% 8,4), Austriakoan (% 9,3) edo Bulgariakoan (% 17,3). Espainiako estatuaren kasuan, % 10,4 ingurukoa izan da joan den abuztuan gehikuntza-tasa, eta badirudi joera dela datozen hilabeteetan geldotzea, uztailean goi-erpinera  (% 10,8) iritsi ondoren.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Oro har, eraikuntzaren sektoreak eragin bikoitza jasan du: lehengaien prezio-gorakadarena eta horietakoren baten stock-etenarena. Eragin oso berretua jasan dute etxebizitza babestuak sustatzeko jarduketek, aurten nabarmenki mantsotu baita etxebizitza-sustapena.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Nafarroan, 2021eko urtarriletik abuztura bitartean behin-behineko kalifikazioa guztira 453 etxebizitza babesturi eman zitzaien (barne harturik babes ofizialeko etxebizitzak eta prezio tasatuko etxebizitzak); 2022. urteko epe berean, ordea, kalifikazioak 106 etxebizitzari bakarrik eman zitzaizkien; alegia, iaz sustatu zirenen laurdenei, ozta-ozta. Etxebizitza librearen sustapenean ere, nahiz eta proportzio txikiagoan, beherakada ohargarria gertatu da, 2021ean kalifikaturiko 1707 etxebizitza libreetatik 1.233 etxebizitzatarako jaitsiera gertatu baita; hots, % 30eko gutxiagotzea.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Etxebizitza babestuaren eskaintzak izandako beherakada da kezkagarriena, horixe izaki bizibide mugatuenak dituzten familia eta pertsonentzako etxebizitza-mota, bermatzen duena etxebizitza eskuraerraz bat lortu ahal izatea.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Nafarroan etxebizitza izateko eskubideari buruzko maiatzaren 10eko 10/2010 Foru Legeko 10. artikuluak xedatuaren ildotik, Nafarroako Gobernuari dagokio etxebizitza babesturako modulu ponderatu eta ponderatugabeen eguneraketa zehaztea. Adierazitako egoeraren apartekotasuna dela-eta, beharrezkoa gertatzen da modulu horiek gaurkotzea indar-hartze berehalakoa izanen duen lege-mailako arau baten bitartez, etxebizitza babestuaren sustapen-paralizatzea eragotzita.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Artikulu bakarra. </w:t>
      </w:r>
      <w:r>
        <w:rPr>
          <w:rStyle w:val="1"/>
        </w:rPr>
        <w:t xml:space="preserve">Etxebizitza babestuen 2023ko gehieneko salmenta-prezioa.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1. Etxebizitza babestuen eta horien elementu erantsien 2023ko gehieneko salmenta-prezioa zehazteko, ez da aplikatzekoa izanen Nafarroan etxebizitza izateko eskubideari buruzkoa maiatzaren 10eko 10/2010 Foru Legeko 10.1 artikuluko a) eta d) letretan xedatzen dena. Aplikatu beharrekoa honakoa izanen da: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a Nafarroako etxebizitza arloko jarduketa babesgarriei 2023an aplikatuko zaien modulu ponderatua 1.456,96 eurokoa izanen da metro koadro erabilgarri bakoitzeko.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b) Nafarroako etxebizitza arloko jarduketa babesgarriei 2023an aplikatuko zaien modulu ponderatugabea 1.398,68 eurokoa izanen da metro koadro erabilgarri bakoitzeko.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2. Aurreko apartatuan ezarritako modulu ponderatua halaber izanen zaie aplikatzekoa behin-behineko kalifikaziorako eskea foru lege honen indarraldia hasten denetik 2022ko abenduaren 31ra arteko bitartean aurkezten duten etxebizitza babestuaren espedienteei.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Azken xedapenetako lehena.</w:t>
      </w:r>
      <w:r>
        <w:rPr>
          <w:rStyle w:val="1"/>
        </w:rPr>
        <w:t xml:space="preserve"> Indarrean sartzea.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Foru lege hau Nafarroako Aldizkari Ofizialean argitaratuko da, eta indarrean sartuko da argitaratu eta biharamunean.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  <w:contextualSpacing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  <w:contextualSpacing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