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y plazos para garantizar la desescalada y la correcta atención a las personas con discapacidad usuarias de centros residenciales y de atención diurna,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el Reglamento de la Cámara, realiza la siguiente pregunta oral dirigida a la Consejera de Derechos Sociales del Gobierno de Navarra para su contestación en el Pleno.</w:t>
      </w:r>
    </w:p>
    <w:p>
      <w:pPr>
        <w:pStyle w:val="0"/>
        <w:suppressAutoHyphens w:val="false"/>
        <w:rPr>
          <w:rStyle w:val="1"/>
        </w:rPr>
      </w:pPr>
      <w:r>
        <w:rPr>
          <w:rStyle w:val="1"/>
        </w:rPr>
        <w:t xml:space="preserve">¿Qué actuaciones, con indicación de plazos previstos, tiene pensadas el Departamento de Derechos Sociales para garantizar la desescalada y la correcta atención a las personas con discapacidad usuarias de centros residenciales y de atención diurna?</w:t>
      </w:r>
    </w:p>
    <w:p>
      <w:pPr>
        <w:pStyle w:val="0"/>
        <w:suppressAutoHyphens w:val="false"/>
        <w:rPr>
          <w:rStyle w:val="1"/>
        </w:rPr>
      </w:pPr>
      <w:r>
        <w:rPr>
          <w:rStyle w:val="1"/>
        </w:rPr>
        <w:t xml:space="preserve">Pamplona, a 7 de mayo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