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C6A" w:rsidRDefault="00F927F6" w:rsidP="00F927F6">
      <w:pPr>
        <w:spacing w:after="200" w:line="276" w:lineRule="auto"/>
        <w:jc w:val="both"/>
        <w:rPr>
          <w:rFonts w:ascii="Calibri" w:hAnsi="Calibri" w:cs="Arial"/>
          <w:lang w:eastAsia="en-US"/>
        </w:rPr>
      </w:pPr>
      <w:bookmarkStart w:id="0" w:name="_GoBack"/>
      <w:bookmarkEnd w:id="0"/>
      <w:r>
        <w:rPr>
          <w:rFonts w:ascii="Calibri" w:hAnsi="Calibri" w:cs="Arial"/>
          <w:lang w:eastAsia="en-US"/>
        </w:rPr>
        <w:tab/>
      </w:r>
      <w:r w:rsidR="00345C6A">
        <w:rPr>
          <w:rFonts w:ascii="Calibri" w:hAnsi="Calibri" w:cs="Arial"/>
          <w:lang w:eastAsia="en-US"/>
        </w:rPr>
        <w:t>7 de noviembre</w:t>
      </w:r>
    </w:p>
    <w:p w:rsidR="00345C6A" w:rsidRDefault="00F927F6" w:rsidP="00F927F6">
      <w:pPr>
        <w:spacing w:after="200" w:line="276" w:lineRule="auto"/>
        <w:jc w:val="both"/>
        <w:rPr>
          <w:rFonts w:ascii="Calibri" w:hAnsi="Calibri" w:cs="Arial"/>
          <w:lang w:eastAsia="en-US"/>
        </w:rPr>
      </w:pPr>
      <w:r w:rsidRPr="00F03BE4">
        <w:rPr>
          <w:rFonts w:ascii="Calibri" w:hAnsi="Calibri" w:cs="Arial"/>
          <w:lang w:eastAsia="en-US"/>
        </w:rPr>
        <w:t xml:space="preserve">El Consejero de Desarrollo Económico  y Empresarial </w:t>
      </w:r>
      <w:r w:rsidRPr="00EE311F">
        <w:rPr>
          <w:rFonts w:ascii="Calibri" w:hAnsi="Calibri" w:cs="Arial"/>
          <w:b/>
          <w:lang w:eastAsia="en-US"/>
        </w:rPr>
        <w:t xml:space="preserve">D. </w:t>
      </w:r>
      <w:smartTag w:uri="urn:schemas-microsoft-com:office:smarttags" w:element="PersonName">
        <w:smartTagPr>
          <w:attr w:name="ProductID" w:val="Manu Ayerdi"/>
        </w:smartTagPr>
        <w:r w:rsidRPr="00EE311F">
          <w:rPr>
            <w:rFonts w:ascii="Calibri" w:hAnsi="Calibri" w:cs="Arial"/>
            <w:b/>
            <w:lang w:eastAsia="en-US"/>
          </w:rPr>
          <w:t xml:space="preserve">Manu </w:t>
        </w:r>
        <w:proofErr w:type="spellStart"/>
        <w:r w:rsidRPr="00EE311F">
          <w:rPr>
            <w:rFonts w:ascii="Calibri" w:hAnsi="Calibri" w:cs="Arial"/>
            <w:b/>
            <w:lang w:eastAsia="en-US"/>
          </w:rPr>
          <w:t>Ayerdi</w:t>
        </w:r>
      </w:smartTag>
      <w:proofErr w:type="spellEnd"/>
      <w:r w:rsidRPr="00EE311F">
        <w:rPr>
          <w:rFonts w:ascii="Calibri" w:hAnsi="Calibri" w:cs="Arial"/>
          <w:b/>
          <w:lang w:eastAsia="en-US"/>
        </w:rPr>
        <w:t xml:space="preserve"> </w:t>
      </w:r>
      <w:proofErr w:type="spellStart"/>
      <w:r w:rsidRPr="00EE311F">
        <w:rPr>
          <w:rFonts w:ascii="Calibri" w:hAnsi="Calibri" w:cs="Arial"/>
          <w:b/>
          <w:lang w:eastAsia="en-US"/>
        </w:rPr>
        <w:t>Olaizola</w:t>
      </w:r>
      <w:proofErr w:type="spellEnd"/>
      <w:r w:rsidR="00345C6A">
        <w:rPr>
          <w:rFonts w:ascii="Calibri" w:hAnsi="Calibri" w:cs="Arial"/>
          <w:lang w:eastAsia="en-US"/>
        </w:rPr>
        <w:t>, en relación con</w:t>
      </w:r>
      <w:r w:rsidRPr="00F03BE4">
        <w:rPr>
          <w:rFonts w:ascii="Calibri" w:hAnsi="Calibri" w:cs="Arial"/>
          <w:lang w:eastAsia="en-US"/>
        </w:rPr>
        <w:t xml:space="preserve"> la </w:t>
      </w:r>
      <w:r>
        <w:rPr>
          <w:rFonts w:ascii="Calibri" w:hAnsi="Calibri" w:cs="Arial"/>
          <w:lang w:eastAsia="en-US"/>
        </w:rPr>
        <w:t>pregunta escrita</w:t>
      </w:r>
      <w:r w:rsidRPr="00F03BE4">
        <w:rPr>
          <w:rFonts w:ascii="Calibri" w:hAnsi="Calibri" w:cs="Arial"/>
          <w:lang w:eastAsia="en-US"/>
        </w:rPr>
        <w:t xml:space="preserve"> </w:t>
      </w:r>
      <w:r w:rsidRPr="00EE311F">
        <w:rPr>
          <w:rFonts w:ascii="Calibri" w:hAnsi="Calibri" w:cs="Arial"/>
          <w:b/>
          <w:lang w:eastAsia="en-US"/>
        </w:rPr>
        <w:t>10-19/PES</w:t>
      </w:r>
      <w:r>
        <w:rPr>
          <w:rFonts w:ascii="Calibri" w:hAnsi="Calibri" w:cs="Arial"/>
          <w:b/>
          <w:lang w:eastAsia="en-US"/>
        </w:rPr>
        <w:t>-</w:t>
      </w:r>
      <w:r w:rsidRPr="00EE311F">
        <w:rPr>
          <w:rFonts w:ascii="Calibri" w:hAnsi="Calibri" w:cs="Arial"/>
          <w:b/>
          <w:lang w:eastAsia="en-US"/>
        </w:rPr>
        <w:t>00</w:t>
      </w:r>
      <w:r>
        <w:rPr>
          <w:rFonts w:ascii="Calibri" w:hAnsi="Calibri" w:cs="Arial"/>
          <w:b/>
          <w:lang w:eastAsia="en-US"/>
        </w:rPr>
        <w:t>082</w:t>
      </w:r>
      <w:r w:rsidRPr="00F03BE4">
        <w:rPr>
          <w:rFonts w:ascii="Calibri" w:hAnsi="Calibri" w:cs="Arial"/>
          <w:lang w:eastAsia="en-US"/>
        </w:rPr>
        <w:t xml:space="preserve">, </w:t>
      </w:r>
      <w:r>
        <w:rPr>
          <w:rFonts w:ascii="Calibri" w:hAnsi="Calibri" w:cs="Arial"/>
          <w:lang w:eastAsia="en-US"/>
        </w:rPr>
        <w:t>formulada</w:t>
      </w:r>
      <w:r w:rsidRPr="00F03BE4">
        <w:rPr>
          <w:rFonts w:ascii="Calibri" w:hAnsi="Calibri" w:cs="Arial"/>
          <w:lang w:eastAsia="en-US"/>
        </w:rPr>
        <w:t xml:space="preserve"> por </w:t>
      </w:r>
      <w:r w:rsidRPr="00EE311F">
        <w:rPr>
          <w:rFonts w:ascii="Calibri" w:hAnsi="Calibri" w:cs="Arial"/>
          <w:b/>
          <w:lang w:eastAsia="en-US"/>
        </w:rPr>
        <w:t xml:space="preserve">D. </w:t>
      </w:r>
      <w:proofErr w:type="spellStart"/>
      <w:r w:rsidRPr="00EE311F">
        <w:rPr>
          <w:rFonts w:ascii="Calibri" w:hAnsi="Calibri" w:cs="Arial"/>
          <w:b/>
          <w:lang w:eastAsia="en-US"/>
        </w:rPr>
        <w:t>Maiorga</w:t>
      </w:r>
      <w:proofErr w:type="spellEnd"/>
      <w:r w:rsidRPr="00EE311F">
        <w:rPr>
          <w:rFonts w:ascii="Calibri" w:hAnsi="Calibri" w:cs="Arial"/>
          <w:b/>
          <w:lang w:eastAsia="en-US"/>
        </w:rPr>
        <w:t xml:space="preserve"> Ramírez Erro</w:t>
      </w:r>
      <w:r w:rsidRPr="00F03BE4">
        <w:rPr>
          <w:rFonts w:ascii="Calibri" w:hAnsi="Calibri" w:cs="Arial"/>
          <w:lang w:eastAsia="en-US"/>
        </w:rPr>
        <w:t xml:space="preserve">, parlamentario foral adscrito al Grupo Parlamentario de </w:t>
      </w:r>
      <w:r w:rsidRPr="00EE311F">
        <w:rPr>
          <w:rFonts w:ascii="Calibri" w:hAnsi="Calibri" w:cs="Arial"/>
          <w:b/>
          <w:lang w:eastAsia="en-US"/>
        </w:rPr>
        <w:t>EH Bildu</w:t>
      </w:r>
      <w:r>
        <w:rPr>
          <w:rFonts w:ascii="Calibri" w:hAnsi="Calibri" w:cs="Arial"/>
          <w:b/>
          <w:lang w:eastAsia="en-US"/>
        </w:rPr>
        <w:t>,</w:t>
      </w:r>
      <w:r w:rsidRPr="00F03BE4">
        <w:rPr>
          <w:rFonts w:ascii="Calibri" w:hAnsi="Calibri" w:cs="Arial"/>
          <w:lang w:eastAsia="en-US"/>
        </w:rPr>
        <w:t xml:space="preserve"> sobre </w:t>
      </w:r>
      <w:r>
        <w:rPr>
          <w:rFonts w:ascii="Calibri" w:hAnsi="Calibri" w:cs="Arial"/>
          <w:lang w:eastAsia="en-US"/>
        </w:rPr>
        <w:t>indicadores económicos adecuados a la actual situación económica</w:t>
      </w:r>
      <w:r w:rsidRPr="00F03BE4">
        <w:rPr>
          <w:rFonts w:ascii="Calibri" w:hAnsi="Calibri" w:cs="Arial"/>
          <w:lang w:eastAsia="en-US"/>
        </w:rPr>
        <w:t>, por la presente tiene el honor de informarle lo siguiente:</w:t>
      </w:r>
    </w:p>
    <w:p w:rsidR="00F927F6" w:rsidRPr="00F927F6" w:rsidRDefault="00F927F6" w:rsidP="00F927F6">
      <w:pPr>
        <w:spacing w:after="200" w:line="360" w:lineRule="auto"/>
        <w:jc w:val="both"/>
        <w:rPr>
          <w:rFonts w:ascii="Calibri" w:hAnsi="Calibri" w:cs="Arial"/>
          <w:b/>
          <w:i/>
          <w:szCs w:val="24"/>
        </w:rPr>
      </w:pPr>
      <w:r w:rsidRPr="00F927F6">
        <w:rPr>
          <w:rFonts w:ascii="Calibri" w:hAnsi="Calibri" w:cs="Arial"/>
          <w:b/>
          <w:i/>
          <w:szCs w:val="24"/>
        </w:rPr>
        <w:t>Ante la convulsa situación actual, ¿ha diseñado el Gobierno de Navarra la implementación de nuevos dispositivos de información sobre indicadores económicos útiles a los que Navarra es especialmente sensible?</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 xml:space="preserve">El análisis y seguimiento de los indicadores económicos se lleva a cabo por la unidad de Política Económica del Gobierno de Navarra, a través de herramientas de monitorización y de previsión. Dicha tarea de estudio se realiza de manera continua por parte de esta unidad porque permanentemente aparecen nuevas informaciones y suceden acontecimientos que requieren una actualización y un balance de riesgos del cambiante entorno económico. </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 xml:space="preserve">En momentos coyunturales más delicados, como podría calificarse el actual, se pone el foco en aquellos indicadores relacionados con el riesgo o la incertidumbre en cuestión, con el ánimo de identificar posibles cambios de tendencia o estar alertas ante un posible deterioro. En estos momentos, por todos es sabido que la principal amenaza para la economía regional viene del exterior, derivada de la contienda arancelaria entre Estados Unidos y China, del </w:t>
      </w:r>
      <w:proofErr w:type="spellStart"/>
      <w:r w:rsidRPr="00F927F6">
        <w:rPr>
          <w:rFonts w:ascii="Calibri" w:hAnsi="Calibri" w:cs="Arial"/>
          <w:lang w:eastAsia="en-US"/>
        </w:rPr>
        <w:t>brexit</w:t>
      </w:r>
      <w:proofErr w:type="spellEnd"/>
      <w:r w:rsidRPr="00F927F6">
        <w:rPr>
          <w:rFonts w:ascii="Calibri" w:hAnsi="Calibri" w:cs="Arial"/>
          <w:lang w:eastAsia="en-US"/>
        </w:rPr>
        <w:t xml:space="preserve"> y de la debilidad alemana, y por ello se presta especial atención a aquellas variables que pueden ser las primeras en reflejar la incidencia exterior, como las relativas al intercambio de bienes y la producción industrial, por su carácter eminentemente exportador. Asimismo, son importantes los datos de confianza, tanto empresarial como del consumidor, porque cuando el contexto se ensombrece, las expectativas son las primeras en reflejarlo. </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Se recuerda a continuación cuáles son las herramientas y métodos con los que se cuenta para llevar a cabo esta labor:</w:t>
      </w:r>
    </w:p>
    <w:p w:rsidR="00F320C5" w:rsidRDefault="00F927F6" w:rsidP="00F320C5">
      <w:pPr>
        <w:numPr>
          <w:ilvl w:val="0"/>
          <w:numId w:val="2"/>
        </w:numPr>
        <w:spacing w:after="200" w:line="276" w:lineRule="auto"/>
        <w:jc w:val="both"/>
        <w:rPr>
          <w:rFonts w:ascii="Calibri" w:hAnsi="Calibri" w:cs="Arial"/>
          <w:lang w:eastAsia="en-US"/>
        </w:rPr>
      </w:pPr>
      <w:r w:rsidRPr="00F927F6">
        <w:rPr>
          <w:rFonts w:ascii="Calibri" w:hAnsi="Calibri" w:cs="Arial"/>
          <w:lang w:eastAsia="en-US"/>
        </w:rPr>
        <w:t>A través de los indicadores estadísticos.</w:t>
      </w:r>
    </w:p>
    <w:p w:rsidR="00F927F6" w:rsidRPr="00F927F6" w:rsidRDefault="00F927F6" w:rsidP="00F320C5">
      <w:pPr>
        <w:spacing w:after="200" w:line="276" w:lineRule="auto"/>
        <w:jc w:val="both"/>
        <w:rPr>
          <w:rFonts w:ascii="Calibri" w:hAnsi="Calibri" w:cs="Arial"/>
          <w:lang w:eastAsia="en-US"/>
        </w:rPr>
      </w:pPr>
      <w:r w:rsidRPr="00F927F6">
        <w:rPr>
          <w:rFonts w:ascii="Calibri" w:hAnsi="Calibri" w:cs="Arial"/>
          <w:lang w:eastAsia="en-US"/>
        </w:rPr>
        <w:t xml:space="preserve">El estudio de las estadísticas que se van conociendo relativas a Navarra es continuo y se obtiene a partir de las notas de prensa que difunden los institutos de estadística oficiales, INE y NASTAT, así como de otros organismos, ministerios o de empresas y asociaciones privadas. </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 xml:space="preserve">Una forma muy gráfica de recopilar toda esta información estadística temporal es lo que se denomina “semáforo de coyuntura”; una base de datos que recoge la evolución de los principales indicadores de frecuencia mensual de la economía navarra (afiliados, producción industrial, cifra de negocios de los servicios, viviendas iniciadas, producción de coches, </w:t>
      </w:r>
      <w:r w:rsidRPr="00F927F6">
        <w:rPr>
          <w:rFonts w:ascii="Calibri" w:hAnsi="Calibri" w:cs="Arial"/>
          <w:lang w:eastAsia="en-US"/>
        </w:rPr>
        <w:lastRenderedPageBreak/>
        <w:t>consumo eléctrico, comercio exterior, comercio al por menor, matriculación de turismos, hipotecas, importación de bienes de equipo, importación de bienes de consumo,  viajeros y pernoctaciones, IPC), que ayuda a conocer cómo se está desarrollando la actividad mes a mes, identificando a través de colores los factores que inciden de forma positiva o negativa en dicho desarrollo, y que permite valorar si la evolución de la economía está siendo ascendente o descendente.</w:t>
      </w:r>
    </w:p>
    <w:p w:rsidR="00F320C5" w:rsidRDefault="00F927F6" w:rsidP="00F320C5">
      <w:pPr>
        <w:numPr>
          <w:ilvl w:val="0"/>
          <w:numId w:val="2"/>
        </w:numPr>
        <w:spacing w:after="200" w:line="276" w:lineRule="auto"/>
        <w:jc w:val="both"/>
        <w:rPr>
          <w:rFonts w:ascii="Calibri" w:hAnsi="Calibri" w:cs="Arial"/>
          <w:lang w:eastAsia="en-US"/>
        </w:rPr>
      </w:pPr>
      <w:r w:rsidRPr="00F927F6">
        <w:rPr>
          <w:rFonts w:ascii="Calibri" w:hAnsi="Calibri" w:cs="Arial"/>
          <w:lang w:eastAsia="en-US"/>
        </w:rPr>
        <w:t xml:space="preserve">A través de modelos propios que miden el </w:t>
      </w:r>
      <w:proofErr w:type="spellStart"/>
      <w:r w:rsidRPr="00F320C5">
        <w:rPr>
          <w:rFonts w:ascii="Calibri" w:hAnsi="Calibri" w:cs="Arial"/>
          <w:i/>
          <w:lang w:eastAsia="en-US"/>
        </w:rPr>
        <w:t>momentum</w:t>
      </w:r>
      <w:proofErr w:type="spellEnd"/>
      <w:r w:rsidRPr="00F927F6">
        <w:rPr>
          <w:rFonts w:ascii="Calibri" w:hAnsi="Calibri" w:cs="Arial"/>
          <w:lang w:eastAsia="en-US"/>
        </w:rPr>
        <w:t xml:space="preserve"> coyuntural </w:t>
      </w:r>
    </w:p>
    <w:p w:rsidR="00F927F6" w:rsidRPr="00F927F6" w:rsidRDefault="00F927F6" w:rsidP="00F320C5">
      <w:pPr>
        <w:spacing w:after="200" w:line="276" w:lineRule="auto"/>
        <w:jc w:val="both"/>
        <w:rPr>
          <w:rFonts w:ascii="Calibri" w:hAnsi="Calibri" w:cs="Arial"/>
          <w:lang w:eastAsia="en-US"/>
        </w:rPr>
      </w:pPr>
      <w:r w:rsidRPr="00F927F6">
        <w:rPr>
          <w:rFonts w:ascii="Calibri" w:hAnsi="Calibri" w:cs="Arial"/>
          <w:lang w:eastAsia="en-US"/>
        </w:rPr>
        <w:t xml:space="preserve">Para anticipar la evolución de la economía regional en el corto plazo, que habitualmente es un trimestre, se cuenta además con dos modelos propios que se elaboran internamente siguiendo técnicas econométricas y que permiten realizar previsiones. Se trata de un indicador sintético de actividad y de un modelo factorial </w:t>
      </w:r>
      <w:proofErr w:type="gramStart"/>
      <w:r w:rsidRPr="00F927F6">
        <w:rPr>
          <w:rFonts w:ascii="Calibri" w:hAnsi="Calibri" w:cs="Arial"/>
          <w:lang w:eastAsia="en-US"/>
        </w:rPr>
        <w:t>dinámico</w:t>
      </w:r>
      <w:proofErr w:type="gramEnd"/>
      <w:r w:rsidRPr="00F927F6">
        <w:rPr>
          <w:rFonts w:ascii="Calibri" w:hAnsi="Calibri" w:cs="Arial"/>
          <w:lang w:eastAsia="en-US"/>
        </w:rPr>
        <w:t>.</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Indicador Sintético de Actividad de Navarra (ISAN)</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 xml:space="preserve">El ISAN es un indicador sintético que se construye siguiendo la metodología del Ministerio de Economía y Empresa, a partir de una serie de indicadores coyunturales de frecuencia mensual y altamente correlacionados con el PIB. Cada año se revisan las variables que deben incluirse en el ISAN, que este periodo son: afiliados no agrarios a </w:t>
      </w:r>
      <w:smartTag w:uri="urn:schemas-microsoft-com:office:smarttags" w:element="PersonName">
        <w:smartTagPr>
          <w:attr w:name="ProductID" w:val="la Seguridad Social"/>
        </w:smartTagPr>
        <w:r w:rsidRPr="00F927F6">
          <w:rPr>
            <w:rFonts w:ascii="Calibri" w:hAnsi="Calibri" w:cs="Arial"/>
            <w:lang w:eastAsia="en-US"/>
          </w:rPr>
          <w:t>la Seguridad Social</w:t>
        </w:r>
      </w:smartTag>
      <w:r w:rsidRPr="00F927F6">
        <w:rPr>
          <w:rFonts w:ascii="Calibri" w:hAnsi="Calibri" w:cs="Arial"/>
          <w:lang w:eastAsia="en-US"/>
        </w:rPr>
        <w:t>, cifra de negocios del sector servicios (IASS), consumo eléctrico total e intensidad media diaria de tráfico de vehículos por autopista.</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Utilizando como ponderaciones las correlaciones de cada uno de esos indicadores con el PIB de Navarra y a través de un modelo de regresión, se construye el ISAN. Debe tenerse en cuenta que este indicador sintético, más que una medición cuantitativa, proporciona una señal cualitativa de la evolución de la economía navarra, informando si la trayectoria es ascendente o descendente.</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Modelo Factorial Dinámico</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 xml:space="preserve">La unidad de Política Económica forma parte de un grupo de trabajo integrado por las CCAA y promovido por la </w:t>
      </w:r>
      <w:proofErr w:type="spellStart"/>
      <w:r w:rsidRPr="00F927F6">
        <w:rPr>
          <w:rFonts w:ascii="Calibri" w:hAnsi="Calibri" w:cs="Arial"/>
          <w:lang w:eastAsia="en-US"/>
        </w:rPr>
        <w:t>Airef</w:t>
      </w:r>
      <w:proofErr w:type="spellEnd"/>
      <w:r w:rsidRPr="00F927F6">
        <w:rPr>
          <w:rFonts w:ascii="Calibri" w:hAnsi="Calibri" w:cs="Arial"/>
          <w:lang w:eastAsia="en-US"/>
        </w:rPr>
        <w:t xml:space="preserve">, que tiene como objetivo establecer una metodología común para la estimación del cuadro macroeconómico regional. En una primera fase se ha comenzado con la estimación del PIB trimestral, y la </w:t>
      </w:r>
      <w:proofErr w:type="spellStart"/>
      <w:r w:rsidRPr="00F927F6">
        <w:rPr>
          <w:rFonts w:ascii="Calibri" w:hAnsi="Calibri" w:cs="Arial"/>
          <w:lang w:eastAsia="en-US"/>
        </w:rPr>
        <w:t>Airef</w:t>
      </w:r>
      <w:proofErr w:type="spellEnd"/>
      <w:r w:rsidRPr="00F927F6">
        <w:rPr>
          <w:rFonts w:ascii="Calibri" w:hAnsi="Calibri" w:cs="Arial"/>
          <w:lang w:eastAsia="en-US"/>
        </w:rPr>
        <w:t xml:space="preserve"> propone para ello la utilización de un modelo factorial </w:t>
      </w:r>
      <w:proofErr w:type="gramStart"/>
      <w:r w:rsidRPr="00F927F6">
        <w:rPr>
          <w:rFonts w:ascii="Calibri" w:hAnsi="Calibri" w:cs="Arial"/>
          <w:lang w:eastAsia="en-US"/>
        </w:rPr>
        <w:t>dinámico basado</w:t>
      </w:r>
      <w:proofErr w:type="gramEnd"/>
      <w:r w:rsidRPr="00F927F6">
        <w:rPr>
          <w:rFonts w:ascii="Calibri" w:hAnsi="Calibri" w:cs="Arial"/>
          <w:lang w:eastAsia="en-US"/>
        </w:rPr>
        <w:t xml:space="preserve"> en su modelo METCAP, que cada comunidad autónoma podrá adaptar para ajustarlo a su propia casuística.</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 xml:space="preserve">El análisis factorial resume en un único factor la información de un conjunto de indicadores coyunturales de frecuencia mensual y trimestral, para después estimar a partir de ese factor la variación trimestral del PIB. La batería de indicadores que propone inicialmente la </w:t>
      </w:r>
      <w:proofErr w:type="spellStart"/>
      <w:r w:rsidRPr="00F927F6">
        <w:rPr>
          <w:rFonts w:ascii="Calibri" w:hAnsi="Calibri" w:cs="Arial"/>
          <w:lang w:eastAsia="en-US"/>
        </w:rPr>
        <w:t>Airef</w:t>
      </w:r>
      <w:proofErr w:type="spellEnd"/>
      <w:r w:rsidRPr="00F927F6">
        <w:rPr>
          <w:rFonts w:ascii="Calibri" w:hAnsi="Calibri" w:cs="Arial"/>
          <w:lang w:eastAsia="en-US"/>
        </w:rPr>
        <w:t xml:space="preserve"> es muy completa y abarca todos los componentes de la actividad económica, como son el empleo, exportaciones e importaciones de bienes, matriculaciones de turismos, pernoctaciones hoteleras, comercio al por menor, cifra de negocios de los servicios, producción industrial, hipotecas concedidas para viviendas, visados de dirección de obra </w:t>
      </w:r>
      <w:r w:rsidRPr="00F927F6">
        <w:rPr>
          <w:rFonts w:ascii="Calibri" w:hAnsi="Calibri" w:cs="Arial"/>
          <w:lang w:eastAsia="en-US"/>
        </w:rPr>
        <w:lastRenderedPageBreak/>
        <w:t>nueva, consumo de productos petrolíferos, créditos y depósitos concedidos. Para el análisis factorial se seleccionan solamente aquellos que tengan una correlación mínima con el PIB de 0,5 y posteriormente, una vez obtenido el factor, se obtiene la previsión del PIB.</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Siguiendo esta metodología, se ha diseñado un modelo factorial propio para estimar el PIB trimestral de Navarra.</w:t>
      </w:r>
    </w:p>
    <w:p w:rsidR="00F320C5" w:rsidRDefault="00F927F6" w:rsidP="00F320C5">
      <w:pPr>
        <w:numPr>
          <w:ilvl w:val="0"/>
          <w:numId w:val="2"/>
        </w:numPr>
        <w:spacing w:after="200" w:line="276" w:lineRule="auto"/>
        <w:jc w:val="both"/>
        <w:rPr>
          <w:rFonts w:ascii="Calibri" w:hAnsi="Calibri" w:cs="Arial"/>
          <w:lang w:eastAsia="en-US"/>
        </w:rPr>
      </w:pPr>
      <w:r w:rsidRPr="00F927F6">
        <w:rPr>
          <w:rFonts w:ascii="Calibri" w:hAnsi="Calibri" w:cs="Arial"/>
          <w:lang w:eastAsia="en-US"/>
        </w:rPr>
        <w:t xml:space="preserve">A través de modelos de medio plazo </w:t>
      </w:r>
    </w:p>
    <w:p w:rsidR="00F927F6" w:rsidRPr="00F927F6" w:rsidRDefault="00F927F6" w:rsidP="00F320C5">
      <w:pPr>
        <w:spacing w:after="200" w:line="276" w:lineRule="auto"/>
        <w:jc w:val="both"/>
        <w:rPr>
          <w:rFonts w:ascii="Calibri" w:hAnsi="Calibri" w:cs="Arial"/>
          <w:lang w:eastAsia="en-US"/>
        </w:rPr>
      </w:pPr>
      <w:r w:rsidRPr="00F927F6">
        <w:rPr>
          <w:rFonts w:ascii="Calibri" w:hAnsi="Calibri" w:cs="Arial"/>
          <w:lang w:eastAsia="en-US"/>
        </w:rPr>
        <w:t xml:space="preserve">Además de los instrumentos explicados anteriormente, que están orientados a anticipar la evolución de la economía regional en el corto plazo, se dispone de otra batería de herramientas para adelantarse al comportamiento de la economía navarra en un horizonte temporal más amplio. </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 xml:space="preserve">Para ello se recopila y hace seguimiento de las previsiones macroeconómicas que publican distintas entidades sobre la economía de Navarra y de España. Así, recoge las estimaciones del FMI, OCDE, Comisión Europea, Ministerio de Economía, Banco de España, </w:t>
      </w:r>
      <w:proofErr w:type="spellStart"/>
      <w:r w:rsidRPr="00F927F6">
        <w:rPr>
          <w:rFonts w:ascii="Calibri" w:hAnsi="Calibri" w:cs="Arial"/>
          <w:lang w:eastAsia="en-US"/>
        </w:rPr>
        <w:t>Airef</w:t>
      </w:r>
      <w:proofErr w:type="spellEnd"/>
      <w:r w:rsidRPr="00F927F6">
        <w:rPr>
          <w:rFonts w:ascii="Calibri" w:hAnsi="Calibri" w:cs="Arial"/>
          <w:lang w:eastAsia="en-US"/>
        </w:rPr>
        <w:t xml:space="preserve">, FUNCAS (Fundación de las Cajas de Ahorro), AFI (Analistas Financieros Internacionales), CEOE, BBVA, Laboral </w:t>
      </w:r>
      <w:proofErr w:type="spellStart"/>
      <w:r w:rsidRPr="00F927F6">
        <w:rPr>
          <w:rFonts w:ascii="Calibri" w:hAnsi="Calibri" w:cs="Arial"/>
          <w:lang w:eastAsia="en-US"/>
        </w:rPr>
        <w:t>Kutxa</w:t>
      </w:r>
      <w:proofErr w:type="spellEnd"/>
      <w:r w:rsidRPr="00F927F6">
        <w:rPr>
          <w:rFonts w:ascii="Calibri" w:hAnsi="Calibri" w:cs="Arial"/>
          <w:lang w:eastAsia="en-US"/>
        </w:rPr>
        <w:t xml:space="preserve">, CEPREDE (Centro de Predicción Económica), </w:t>
      </w:r>
      <w:proofErr w:type="spellStart"/>
      <w:r w:rsidRPr="00F927F6">
        <w:rPr>
          <w:rFonts w:ascii="Calibri" w:hAnsi="Calibri" w:cs="Arial"/>
          <w:lang w:eastAsia="en-US"/>
        </w:rPr>
        <w:t>Hispalink</w:t>
      </w:r>
      <w:proofErr w:type="spellEnd"/>
      <w:r w:rsidRPr="00F927F6">
        <w:rPr>
          <w:rFonts w:ascii="Calibri" w:hAnsi="Calibri" w:cs="Arial"/>
          <w:lang w:eastAsia="en-US"/>
        </w:rPr>
        <w:t xml:space="preserve"> y Cámara Navarra de Comercio e Industria. </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 xml:space="preserve">Estas previsiones sirven de base para contextualizar el escenario macroeconómico que sustenta los Presupuestos Generales de Navarra de cada ejercicio, porque ayudan a situar mejor el entorno económico regional. </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 xml:space="preserve">Para estimar las variables que configuran el cuadro macro, es decir, PIB real, PIB nominal, deflactor del PIB, empleo e IPC, se utilizan distintas herramientas. Es común a todas las variables realizar un ajuste </w:t>
      </w:r>
      <w:proofErr w:type="spellStart"/>
      <w:r w:rsidRPr="00F927F6">
        <w:rPr>
          <w:rFonts w:ascii="Calibri" w:hAnsi="Calibri" w:cs="Arial"/>
          <w:lang w:eastAsia="en-US"/>
        </w:rPr>
        <w:t>univariante</w:t>
      </w:r>
      <w:proofErr w:type="spellEnd"/>
      <w:r w:rsidRPr="00F927F6">
        <w:rPr>
          <w:rFonts w:ascii="Calibri" w:hAnsi="Calibri" w:cs="Arial"/>
          <w:lang w:eastAsia="en-US"/>
        </w:rPr>
        <w:t xml:space="preserve"> para analizar la tendencia pero en alguna de ellas, como el PIB o el empleo, se aplican metodologías propias. </w:t>
      </w:r>
    </w:p>
    <w:p w:rsidR="00345C6A" w:rsidRDefault="00F927F6" w:rsidP="00F927F6">
      <w:pPr>
        <w:spacing w:after="200" w:line="276" w:lineRule="auto"/>
        <w:jc w:val="both"/>
        <w:rPr>
          <w:rFonts w:ascii="Calibri" w:hAnsi="Calibri" w:cs="Arial"/>
          <w:lang w:eastAsia="en-US"/>
        </w:rPr>
      </w:pPr>
      <w:r w:rsidRPr="00F927F6">
        <w:rPr>
          <w:rFonts w:ascii="Calibri" w:hAnsi="Calibri" w:cs="Arial"/>
          <w:lang w:eastAsia="en-US"/>
        </w:rPr>
        <w:t>En el caso del PIB, por ejemplo, se estima un modelo causal temporal, que incluye como variable independiente el PIB estatal, y se modeliza cada uno de sus componentes de oferta y de demanda. En el empleo, por su parte, se utiliza un modelo econométrico propio que relaciona los ocupados y el VAB de Navarra, según el cual la evolución del empleo cada año no depende solo del crecimiento del VAB de ese año sino también de cómo haya evolucionado el empleo en el año anterior.</w:t>
      </w:r>
    </w:p>
    <w:p w:rsidR="00F927F6" w:rsidRPr="00F320C5" w:rsidRDefault="00F927F6" w:rsidP="00F927F6">
      <w:pPr>
        <w:spacing w:after="200" w:line="276" w:lineRule="auto"/>
        <w:jc w:val="both"/>
        <w:rPr>
          <w:rFonts w:ascii="Calibri" w:hAnsi="Calibri" w:cs="Arial"/>
          <w:b/>
          <w:i/>
          <w:lang w:eastAsia="en-US"/>
        </w:rPr>
      </w:pPr>
      <w:r w:rsidRPr="00F320C5">
        <w:rPr>
          <w:rFonts w:ascii="Calibri" w:hAnsi="Calibri" w:cs="Arial"/>
          <w:b/>
          <w:i/>
          <w:lang w:eastAsia="en-US"/>
        </w:rPr>
        <w:t>¿Qué medidas especiales de carácter económico ha adoptado el Gobierno o tiene previsto adoptar?</w:t>
      </w:r>
    </w:p>
    <w:p w:rsidR="00345C6A" w:rsidRDefault="00924E7C" w:rsidP="00F927F6">
      <w:pPr>
        <w:spacing w:after="200" w:line="276" w:lineRule="auto"/>
        <w:jc w:val="both"/>
      </w:pPr>
      <w:r w:rsidRPr="00924E7C">
        <w:rPr>
          <w:rFonts w:ascii="Calibri" w:hAnsi="Calibri" w:cs="Arial"/>
          <w:lang w:eastAsia="en-US"/>
        </w:rPr>
        <w:t xml:space="preserve">El Consejero de Desarrollo Económico y Empresarial detalló en su </w:t>
      </w:r>
      <w:hyperlink r:id="rId8" w:history="1">
        <w:r w:rsidRPr="00924E7C">
          <w:rPr>
            <w:rStyle w:val="Hipervnculo"/>
            <w:rFonts w:ascii="Calibri" w:hAnsi="Calibri" w:cs="Arial"/>
            <w:lang w:eastAsia="en-US"/>
          </w:rPr>
          <w:t>comparecencia inicial del pasado 18 de septiembre de 2019</w:t>
        </w:r>
      </w:hyperlink>
      <w:r w:rsidRPr="00924E7C">
        <w:rPr>
          <w:rFonts w:ascii="Calibri" w:hAnsi="Calibri" w:cs="Arial"/>
          <w:lang w:eastAsia="en-US"/>
        </w:rPr>
        <w:t xml:space="preserve"> las líneas de actuación a desarrollar en la presente legislatura</w:t>
      </w:r>
      <w:r w:rsidR="00F320C5" w:rsidRPr="00F320C5">
        <w:rPr>
          <w:rFonts w:ascii="Calibri" w:hAnsi="Calibri" w:cs="Arial"/>
          <w:lang w:eastAsia="en-US"/>
        </w:rPr>
        <w:t xml:space="preserve">. En dicha fecha, el escenario macroeconómico era </w:t>
      </w:r>
      <w:r w:rsidRPr="00F320C5">
        <w:rPr>
          <w:rFonts w:ascii="Calibri" w:hAnsi="Calibri" w:cs="Arial"/>
          <w:lang w:eastAsia="en-US"/>
        </w:rPr>
        <w:t xml:space="preserve">ya </w:t>
      </w:r>
      <w:r>
        <w:rPr>
          <w:rFonts w:ascii="Calibri" w:hAnsi="Calibri" w:cs="Arial"/>
          <w:lang w:eastAsia="en-US"/>
        </w:rPr>
        <w:t>un escenario de ralentizació</w:t>
      </w:r>
      <w:r w:rsidR="00F320C5" w:rsidRPr="00F320C5">
        <w:rPr>
          <w:rFonts w:ascii="Calibri" w:hAnsi="Calibri" w:cs="Arial"/>
          <w:lang w:eastAsia="en-US"/>
        </w:rPr>
        <w:t>n de</w:t>
      </w:r>
      <w:r>
        <w:rPr>
          <w:rFonts w:ascii="Calibri" w:hAnsi="Calibri" w:cs="Arial"/>
          <w:lang w:eastAsia="en-US"/>
        </w:rPr>
        <w:t>l</w:t>
      </w:r>
      <w:r w:rsidR="00F320C5" w:rsidRPr="00F320C5">
        <w:rPr>
          <w:rFonts w:ascii="Calibri" w:hAnsi="Calibri" w:cs="Arial"/>
          <w:lang w:eastAsia="en-US"/>
        </w:rPr>
        <w:t xml:space="preserve"> crecimiento económico, por lo que las medidas propuestas responden a la realidad que estamos viviendo. Desde entonces, el Departamento de Desarrollo Económico y Empresarial ha ido adoptando parte de las medidas recogidas en el plan de trabajo de la legislatura, y seguirá adoptando el resto en el futuro, junto con aquellas medidas adicionales que contribuyan al fortalecimiento de los sectores estratégicos y de los factores transversales de competitividad identificados en la estrategia de especialización inteligente</w:t>
      </w:r>
      <w:r w:rsidR="00F320C5">
        <w:t>.</w:t>
      </w:r>
    </w:p>
    <w:p w:rsidR="00F927F6" w:rsidRPr="00181FEE" w:rsidRDefault="00F927F6" w:rsidP="00F927F6">
      <w:pPr>
        <w:spacing w:after="200" w:line="276" w:lineRule="auto"/>
        <w:jc w:val="both"/>
        <w:rPr>
          <w:rFonts w:ascii="Calibri" w:hAnsi="Calibri" w:cs="Arial"/>
          <w:b/>
          <w:i/>
          <w:lang w:eastAsia="en-US"/>
        </w:rPr>
      </w:pPr>
      <w:r w:rsidRPr="00181FEE">
        <w:rPr>
          <w:rFonts w:ascii="Calibri" w:hAnsi="Calibri" w:cs="Arial"/>
          <w:b/>
          <w:i/>
          <w:lang w:eastAsia="en-US"/>
        </w:rPr>
        <w:t>¿Qué previsiones económicas se han visto modificadas por las evidencias afloradas las últimas semanas?</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 xml:space="preserve">Pese a las turbulencias existentes en el ámbito internacional, no existen por el momento razones objetivas que justifiquen una revisión de las previsiones económicas que maneja el Ejecutivo. Es cierto que algunos indicadores coyunturales comienzan a dar síntomas de agotamiento pero es temprano para calibrar cómo pueden verse afectadas a corto y a medio plazo las macromagnitudes de producción y de empleo. </w:t>
      </w:r>
    </w:p>
    <w:p w:rsidR="00F927F6" w:rsidRPr="00F927F6" w:rsidRDefault="00F927F6" w:rsidP="00F927F6">
      <w:pPr>
        <w:spacing w:after="200" w:line="276" w:lineRule="auto"/>
        <w:jc w:val="both"/>
        <w:rPr>
          <w:rFonts w:ascii="Calibri" w:hAnsi="Calibri" w:cs="Arial"/>
          <w:lang w:eastAsia="en-US"/>
        </w:rPr>
      </w:pPr>
      <w:r w:rsidRPr="00F927F6">
        <w:rPr>
          <w:rFonts w:ascii="Calibri" w:hAnsi="Calibri" w:cs="Arial"/>
          <w:lang w:eastAsia="en-US"/>
        </w:rPr>
        <w:t>A continuación se presenta el escenario macroeconómico de Navarra actual, que está sirviendo de base para la elaboración de los Presupuestos Generales de Navarra de 2020. Dado que los últimos acontecimientos coyunturales no han afectado sustancialmente al precio de la energía, ni al tipo de cambio y que los bancos centrales mantienen el sesgo acomodaticio de su política monetaria, las proyecciones sobre variables de precios y costes, esto es, sobre el IPC y el deflactor implícito del PIB, permanecen sin cambios para 2019 y 2020.</w:t>
      </w:r>
    </w:p>
    <w:p w:rsidR="00F927F6" w:rsidRPr="00F927F6" w:rsidRDefault="00F927F6" w:rsidP="00F927F6">
      <w:pPr>
        <w:pStyle w:val="Prrafodelista"/>
        <w:spacing w:after="0" w:line="300" w:lineRule="exact"/>
        <w:ind w:left="0"/>
        <w:jc w:val="center"/>
        <w:rPr>
          <w:rFonts w:cs="Arial"/>
          <w:sz w:val="20"/>
          <w:szCs w:val="20"/>
          <w:u w:val="single"/>
        </w:rPr>
      </w:pPr>
      <w:r w:rsidRPr="00F927F6">
        <w:rPr>
          <w:rFonts w:cs="Arial"/>
          <w:sz w:val="20"/>
          <w:szCs w:val="20"/>
          <w:u w:val="single"/>
        </w:rPr>
        <w:t>CUADRO MACROECONÓMICO DE NAVARRA 2019-2020</w:t>
      </w:r>
    </w:p>
    <w:p w:rsidR="00F927F6" w:rsidRPr="00F927F6" w:rsidRDefault="00F927F6" w:rsidP="00F927F6">
      <w:pPr>
        <w:rPr>
          <w:rFonts w:ascii="Calibri" w:hAnsi="Calibri"/>
          <w:b/>
        </w:rPr>
      </w:pPr>
    </w:p>
    <w:tbl>
      <w:tblPr>
        <w:tblW w:w="5130" w:type="dxa"/>
        <w:jc w:val="center"/>
        <w:tblBorders>
          <w:top w:val="single" w:sz="8" w:space="0" w:color="4BACC6"/>
          <w:bottom w:val="single" w:sz="8" w:space="0" w:color="4BACC6"/>
        </w:tblBorders>
        <w:tblLook w:val="00A0" w:firstRow="1" w:lastRow="0" w:firstColumn="1" w:lastColumn="0" w:noHBand="0" w:noVBand="0"/>
      </w:tblPr>
      <w:tblGrid>
        <w:gridCol w:w="2700"/>
        <w:gridCol w:w="1215"/>
        <w:gridCol w:w="1215"/>
      </w:tblGrid>
      <w:tr w:rsidR="00F927F6" w:rsidRPr="00F927F6" w:rsidTr="00A07485">
        <w:trPr>
          <w:trHeight w:val="674"/>
          <w:jc w:val="center"/>
        </w:trPr>
        <w:tc>
          <w:tcPr>
            <w:tcW w:w="2700" w:type="dxa"/>
            <w:tcBorders>
              <w:top w:val="single" w:sz="8" w:space="0" w:color="7F7F7F"/>
              <w:left w:val="nil"/>
              <w:bottom w:val="single" w:sz="8" w:space="0" w:color="7F7F7F"/>
              <w:right w:val="nil"/>
            </w:tcBorders>
            <w:vAlign w:val="center"/>
          </w:tcPr>
          <w:p w:rsidR="00F927F6" w:rsidRPr="00F927F6" w:rsidRDefault="00F927F6" w:rsidP="00A07485">
            <w:pPr>
              <w:jc w:val="both"/>
              <w:rPr>
                <w:rFonts w:ascii="Calibri" w:hAnsi="Calibri" w:cs="Arial"/>
                <w:b/>
                <w:bCs/>
                <w:szCs w:val="24"/>
              </w:rPr>
            </w:pPr>
            <w:r w:rsidRPr="00F927F6">
              <w:rPr>
                <w:rFonts w:ascii="Calibri" w:hAnsi="Calibri" w:cs="Arial"/>
                <w:b/>
                <w:szCs w:val="24"/>
              </w:rPr>
              <w:t> </w:t>
            </w:r>
          </w:p>
        </w:tc>
        <w:tc>
          <w:tcPr>
            <w:tcW w:w="1215" w:type="dxa"/>
            <w:tcBorders>
              <w:top w:val="single" w:sz="8" w:space="0" w:color="7F7F7F"/>
              <w:left w:val="nil"/>
              <w:bottom w:val="single" w:sz="8" w:space="0" w:color="7F7F7F"/>
              <w:right w:val="nil"/>
            </w:tcBorders>
            <w:vAlign w:val="center"/>
          </w:tcPr>
          <w:p w:rsidR="00F927F6" w:rsidRPr="00F927F6" w:rsidRDefault="00F927F6" w:rsidP="00A07485">
            <w:pPr>
              <w:jc w:val="center"/>
              <w:rPr>
                <w:rFonts w:ascii="Calibri" w:hAnsi="Calibri" w:cs="Arial"/>
                <w:bCs/>
                <w:sz w:val="20"/>
              </w:rPr>
            </w:pPr>
            <w:r w:rsidRPr="00F927F6">
              <w:rPr>
                <w:rFonts w:ascii="Calibri" w:hAnsi="Calibri" w:cs="Arial"/>
                <w:sz w:val="20"/>
              </w:rPr>
              <w:t>2019(p)</w:t>
            </w:r>
          </w:p>
        </w:tc>
        <w:tc>
          <w:tcPr>
            <w:tcW w:w="1215" w:type="dxa"/>
            <w:tcBorders>
              <w:top w:val="single" w:sz="8" w:space="0" w:color="7F7F7F"/>
              <w:left w:val="nil"/>
              <w:bottom w:val="single" w:sz="8" w:space="0" w:color="7F7F7F"/>
              <w:right w:val="nil"/>
            </w:tcBorders>
            <w:vAlign w:val="center"/>
          </w:tcPr>
          <w:p w:rsidR="00F927F6" w:rsidRPr="00F927F6" w:rsidRDefault="00F927F6" w:rsidP="00A07485">
            <w:pPr>
              <w:jc w:val="center"/>
              <w:rPr>
                <w:rFonts w:ascii="Calibri" w:hAnsi="Calibri" w:cs="Arial"/>
                <w:bCs/>
                <w:sz w:val="20"/>
              </w:rPr>
            </w:pPr>
            <w:r w:rsidRPr="00F927F6">
              <w:rPr>
                <w:rFonts w:ascii="Calibri" w:hAnsi="Calibri" w:cs="Arial"/>
                <w:sz w:val="20"/>
              </w:rPr>
              <w:t>2020(p)</w:t>
            </w:r>
          </w:p>
        </w:tc>
      </w:tr>
      <w:tr w:rsidR="00F927F6" w:rsidRPr="00F927F6" w:rsidTr="00A07485">
        <w:trPr>
          <w:trHeight w:val="376"/>
          <w:jc w:val="center"/>
        </w:trPr>
        <w:tc>
          <w:tcPr>
            <w:tcW w:w="2700" w:type="dxa"/>
            <w:tcBorders>
              <w:top w:val="single" w:sz="8" w:space="0" w:color="7F7F7F"/>
              <w:left w:val="nil"/>
              <w:bottom w:val="nil"/>
              <w:right w:val="nil"/>
            </w:tcBorders>
            <w:shd w:val="clear" w:color="auto" w:fill="B6DDE8"/>
            <w:vAlign w:val="center"/>
          </w:tcPr>
          <w:p w:rsidR="00F927F6" w:rsidRPr="00F927F6" w:rsidRDefault="00F927F6" w:rsidP="00A07485">
            <w:pPr>
              <w:rPr>
                <w:rFonts w:ascii="Calibri" w:hAnsi="Calibri" w:cs="Arial"/>
                <w:b/>
                <w:bCs/>
                <w:sz w:val="20"/>
              </w:rPr>
            </w:pPr>
            <w:r w:rsidRPr="00F927F6">
              <w:rPr>
                <w:rFonts w:ascii="Calibri" w:hAnsi="Calibri" w:cs="Arial"/>
                <w:sz w:val="20"/>
              </w:rPr>
              <w:t xml:space="preserve">PIB real </w:t>
            </w:r>
          </w:p>
        </w:tc>
        <w:tc>
          <w:tcPr>
            <w:tcW w:w="1215" w:type="dxa"/>
            <w:tcBorders>
              <w:top w:val="single" w:sz="8" w:space="0" w:color="7F7F7F"/>
              <w:left w:val="nil"/>
              <w:bottom w:val="nil"/>
              <w:right w:val="nil"/>
            </w:tcBorders>
            <w:shd w:val="clear" w:color="auto" w:fill="B6DDE8"/>
            <w:vAlign w:val="center"/>
          </w:tcPr>
          <w:p w:rsidR="00F927F6" w:rsidRPr="00F927F6" w:rsidRDefault="00F927F6" w:rsidP="00A07485">
            <w:pPr>
              <w:jc w:val="center"/>
              <w:rPr>
                <w:rFonts w:ascii="Calibri" w:hAnsi="Calibri" w:cs="Arial"/>
                <w:sz w:val="20"/>
              </w:rPr>
            </w:pPr>
            <w:r w:rsidRPr="00F927F6">
              <w:rPr>
                <w:rFonts w:ascii="Calibri" w:hAnsi="Calibri" w:cs="Arial"/>
                <w:sz w:val="20"/>
              </w:rPr>
              <w:t>2,7</w:t>
            </w:r>
          </w:p>
        </w:tc>
        <w:tc>
          <w:tcPr>
            <w:tcW w:w="1215" w:type="dxa"/>
            <w:tcBorders>
              <w:top w:val="single" w:sz="8" w:space="0" w:color="7F7F7F"/>
              <w:left w:val="nil"/>
              <w:bottom w:val="nil"/>
              <w:right w:val="nil"/>
            </w:tcBorders>
            <w:shd w:val="clear" w:color="auto" w:fill="B6DDE8"/>
            <w:vAlign w:val="center"/>
          </w:tcPr>
          <w:p w:rsidR="00F927F6" w:rsidRPr="00F927F6" w:rsidRDefault="00F927F6" w:rsidP="00A07485">
            <w:pPr>
              <w:jc w:val="center"/>
              <w:rPr>
                <w:rFonts w:ascii="Calibri" w:hAnsi="Calibri" w:cs="Arial"/>
                <w:sz w:val="20"/>
              </w:rPr>
            </w:pPr>
            <w:r w:rsidRPr="00F927F6">
              <w:rPr>
                <w:rFonts w:ascii="Calibri" w:hAnsi="Calibri" w:cs="Arial"/>
                <w:sz w:val="20"/>
              </w:rPr>
              <w:t>2,2</w:t>
            </w:r>
          </w:p>
        </w:tc>
      </w:tr>
      <w:tr w:rsidR="00F927F6" w:rsidRPr="00F927F6" w:rsidTr="00A07485">
        <w:trPr>
          <w:trHeight w:val="337"/>
          <w:jc w:val="center"/>
        </w:trPr>
        <w:tc>
          <w:tcPr>
            <w:tcW w:w="2700" w:type="dxa"/>
            <w:tcBorders>
              <w:top w:val="nil"/>
            </w:tcBorders>
            <w:vAlign w:val="center"/>
          </w:tcPr>
          <w:p w:rsidR="00F927F6" w:rsidRPr="00F927F6" w:rsidRDefault="00F927F6" w:rsidP="00A07485">
            <w:pPr>
              <w:rPr>
                <w:rFonts w:ascii="Calibri" w:hAnsi="Calibri" w:cs="Arial"/>
                <w:sz w:val="20"/>
              </w:rPr>
            </w:pPr>
            <w:r w:rsidRPr="00F927F6">
              <w:rPr>
                <w:rFonts w:ascii="Calibri" w:hAnsi="Calibri" w:cs="Arial"/>
                <w:sz w:val="20"/>
              </w:rPr>
              <w:t>PIB nominal</w:t>
            </w:r>
          </w:p>
        </w:tc>
        <w:tc>
          <w:tcPr>
            <w:tcW w:w="1215" w:type="dxa"/>
            <w:tcBorders>
              <w:top w:val="nil"/>
            </w:tcBorders>
            <w:vAlign w:val="center"/>
          </w:tcPr>
          <w:p w:rsidR="00F927F6" w:rsidRPr="00F927F6" w:rsidRDefault="00F927F6" w:rsidP="00A07485">
            <w:pPr>
              <w:jc w:val="center"/>
              <w:rPr>
                <w:rFonts w:ascii="Calibri" w:hAnsi="Calibri" w:cs="Arial"/>
                <w:sz w:val="20"/>
              </w:rPr>
            </w:pPr>
            <w:r w:rsidRPr="00F927F6">
              <w:rPr>
                <w:rFonts w:ascii="Calibri" w:hAnsi="Calibri" w:cs="Arial"/>
                <w:sz w:val="20"/>
              </w:rPr>
              <w:t>3,7</w:t>
            </w:r>
          </w:p>
        </w:tc>
        <w:tc>
          <w:tcPr>
            <w:tcW w:w="1215" w:type="dxa"/>
            <w:tcBorders>
              <w:top w:val="nil"/>
            </w:tcBorders>
            <w:vAlign w:val="center"/>
          </w:tcPr>
          <w:p w:rsidR="00F927F6" w:rsidRPr="00F927F6" w:rsidRDefault="00F927F6" w:rsidP="00A07485">
            <w:pPr>
              <w:jc w:val="center"/>
              <w:rPr>
                <w:rFonts w:ascii="Calibri" w:hAnsi="Calibri" w:cs="Arial"/>
                <w:sz w:val="20"/>
              </w:rPr>
            </w:pPr>
            <w:r w:rsidRPr="00F927F6">
              <w:rPr>
                <w:rFonts w:ascii="Calibri" w:hAnsi="Calibri" w:cs="Arial"/>
                <w:sz w:val="20"/>
              </w:rPr>
              <w:t>3,1</w:t>
            </w:r>
          </w:p>
        </w:tc>
      </w:tr>
      <w:tr w:rsidR="00F927F6" w:rsidRPr="00F927F6" w:rsidTr="00A07485">
        <w:trPr>
          <w:trHeight w:val="414"/>
          <w:jc w:val="center"/>
        </w:trPr>
        <w:tc>
          <w:tcPr>
            <w:tcW w:w="2700" w:type="dxa"/>
            <w:tcBorders>
              <w:left w:val="nil"/>
              <w:right w:val="nil"/>
            </w:tcBorders>
            <w:shd w:val="clear" w:color="auto" w:fill="B6DDE8"/>
            <w:vAlign w:val="center"/>
          </w:tcPr>
          <w:p w:rsidR="00F927F6" w:rsidRPr="00F927F6" w:rsidRDefault="00F927F6" w:rsidP="00A07485">
            <w:pPr>
              <w:rPr>
                <w:rFonts w:ascii="Calibri" w:hAnsi="Calibri" w:cs="Arial"/>
                <w:sz w:val="20"/>
              </w:rPr>
            </w:pPr>
            <w:r w:rsidRPr="00F927F6">
              <w:rPr>
                <w:rFonts w:ascii="Calibri" w:hAnsi="Calibri" w:cs="Arial"/>
                <w:sz w:val="20"/>
              </w:rPr>
              <w:t xml:space="preserve">Deflactor del PIB </w:t>
            </w:r>
          </w:p>
        </w:tc>
        <w:tc>
          <w:tcPr>
            <w:tcW w:w="1215" w:type="dxa"/>
            <w:tcBorders>
              <w:left w:val="nil"/>
              <w:right w:val="nil"/>
            </w:tcBorders>
            <w:shd w:val="clear" w:color="auto" w:fill="B6DDE8"/>
            <w:vAlign w:val="center"/>
          </w:tcPr>
          <w:p w:rsidR="00F927F6" w:rsidRPr="00F927F6" w:rsidRDefault="00F927F6" w:rsidP="00A07485">
            <w:pPr>
              <w:jc w:val="center"/>
              <w:rPr>
                <w:rFonts w:ascii="Calibri" w:hAnsi="Calibri" w:cs="Arial"/>
                <w:sz w:val="20"/>
              </w:rPr>
            </w:pPr>
            <w:r w:rsidRPr="00F927F6">
              <w:rPr>
                <w:rFonts w:ascii="Calibri" w:hAnsi="Calibri" w:cs="Arial"/>
                <w:sz w:val="20"/>
              </w:rPr>
              <w:t>1,0</w:t>
            </w:r>
          </w:p>
        </w:tc>
        <w:tc>
          <w:tcPr>
            <w:tcW w:w="1215" w:type="dxa"/>
            <w:tcBorders>
              <w:left w:val="nil"/>
              <w:right w:val="nil"/>
            </w:tcBorders>
            <w:shd w:val="clear" w:color="auto" w:fill="B6DDE8"/>
            <w:vAlign w:val="center"/>
          </w:tcPr>
          <w:p w:rsidR="00F927F6" w:rsidRPr="00F927F6" w:rsidRDefault="00F927F6" w:rsidP="00A07485">
            <w:pPr>
              <w:jc w:val="center"/>
              <w:rPr>
                <w:rFonts w:ascii="Calibri" w:hAnsi="Calibri" w:cs="Arial"/>
                <w:sz w:val="20"/>
              </w:rPr>
            </w:pPr>
            <w:r w:rsidRPr="00F927F6">
              <w:rPr>
                <w:rFonts w:ascii="Calibri" w:hAnsi="Calibri" w:cs="Arial"/>
                <w:sz w:val="20"/>
              </w:rPr>
              <w:t>0,9</w:t>
            </w:r>
          </w:p>
        </w:tc>
      </w:tr>
      <w:tr w:rsidR="00F927F6" w:rsidRPr="00F927F6" w:rsidTr="00A07485">
        <w:trPr>
          <w:trHeight w:val="341"/>
          <w:jc w:val="center"/>
        </w:trPr>
        <w:tc>
          <w:tcPr>
            <w:tcW w:w="2700" w:type="dxa"/>
            <w:vAlign w:val="center"/>
          </w:tcPr>
          <w:p w:rsidR="00F927F6" w:rsidRPr="00F927F6" w:rsidRDefault="00F927F6" w:rsidP="00A07485">
            <w:pPr>
              <w:rPr>
                <w:rFonts w:ascii="Calibri" w:hAnsi="Calibri" w:cs="Arial"/>
                <w:sz w:val="20"/>
              </w:rPr>
            </w:pPr>
            <w:r w:rsidRPr="00F927F6">
              <w:rPr>
                <w:rFonts w:ascii="Calibri" w:hAnsi="Calibri" w:cs="Arial"/>
                <w:sz w:val="20"/>
              </w:rPr>
              <w:t xml:space="preserve">Empleo </w:t>
            </w:r>
          </w:p>
        </w:tc>
        <w:tc>
          <w:tcPr>
            <w:tcW w:w="1215" w:type="dxa"/>
            <w:vAlign w:val="center"/>
          </w:tcPr>
          <w:p w:rsidR="00F927F6" w:rsidRPr="00F927F6" w:rsidRDefault="00F927F6" w:rsidP="00A07485">
            <w:pPr>
              <w:jc w:val="center"/>
              <w:rPr>
                <w:rFonts w:ascii="Calibri" w:hAnsi="Calibri" w:cs="Arial"/>
                <w:sz w:val="20"/>
              </w:rPr>
            </w:pPr>
            <w:r w:rsidRPr="00F927F6">
              <w:rPr>
                <w:rFonts w:ascii="Calibri" w:hAnsi="Calibri" w:cs="Arial"/>
                <w:sz w:val="20"/>
              </w:rPr>
              <w:t>2,2</w:t>
            </w:r>
          </w:p>
        </w:tc>
        <w:tc>
          <w:tcPr>
            <w:tcW w:w="1215" w:type="dxa"/>
            <w:vAlign w:val="center"/>
          </w:tcPr>
          <w:p w:rsidR="00F927F6" w:rsidRPr="00F927F6" w:rsidRDefault="00F927F6" w:rsidP="00A07485">
            <w:pPr>
              <w:jc w:val="center"/>
              <w:rPr>
                <w:rFonts w:ascii="Calibri" w:hAnsi="Calibri" w:cs="Arial"/>
                <w:sz w:val="20"/>
              </w:rPr>
            </w:pPr>
            <w:r w:rsidRPr="00F927F6">
              <w:rPr>
                <w:rFonts w:ascii="Calibri" w:hAnsi="Calibri" w:cs="Arial"/>
                <w:sz w:val="20"/>
              </w:rPr>
              <w:t>1,6</w:t>
            </w:r>
          </w:p>
        </w:tc>
      </w:tr>
      <w:tr w:rsidR="00F927F6" w:rsidRPr="00F927F6" w:rsidTr="00A07485">
        <w:trPr>
          <w:trHeight w:val="363"/>
          <w:jc w:val="center"/>
        </w:trPr>
        <w:tc>
          <w:tcPr>
            <w:tcW w:w="2700" w:type="dxa"/>
            <w:tcBorders>
              <w:left w:val="nil"/>
              <w:bottom w:val="single" w:sz="8" w:space="0" w:color="7F7F7F"/>
              <w:right w:val="nil"/>
            </w:tcBorders>
            <w:shd w:val="clear" w:color="auto" w:fill="B6DDE8"/>
            <w:vAlign w:val="center"/>
          </w:tcPr>
          <w:p w:rsidR="00F927F6" w:rsidRPr="00F927F6" w:rsidRDefault="00F927F6" w:rsidP="00A07485">
            <w:pPr>
              <w:rPr>
                <w:rFonts w:ascii="Calibri" w:hAnsi="Calibri" w:cs="Arial"/>
                <w:sz w:val="20"/>
              </w:rPr>
            </w:pPr>
            <w:r w:rsidRPr="00F927F6">
              <w:rPr>
                <w:rFonts w:ascii="Calibri" w:hAnsi="Calibri" w:cs="Arial"/>
                <w:sz w:val="20"/>
              </w:rPr>
              <w:t xml:space="preserve">IPC (media anual) </w:t>
            </w:r>
          </w:p>
        </w:tc>
        <w:tc>
          <w:tcPr>
            <w:tcW w:w="1215" w:type="dxa"/>
            <w:tcBorders>
              <w:left w:val="nil"/>
              <w:bottom w:val="single" w:sz="8" w:space="0" w:color="7F7F7F"/>
              <w:right w:val="nil"/>
            </w:tcBorders>
            <w:shd w:val="clear" w:color="auto" w:fill="B6DDE8"/>
            <w:vAlign w:val="center"/>
          </w:tcPr>
          <w:p w:rsidR="00F927F6" w:rsidRPr="00F927F6" w:rsidRDefault="00F927F6" w:rsidP="00A07485">
            <w:pPr>
              <w:jc w:val="center"/>
              <w:rPr>
                <w:rFonts w:ascii="Calibri" w:hAnsi="Calibri" w:cs="Arial"/>
                <w:sz w:val="20"/>
              </w:rPr>
            </w:pPr>
            <w:r w:rsidRPr="00F927F6">
              <w:rPr>
                <w:rFonts w:ascii="Calibri" w:hAnsi="Calibri" w:cs="Arial"/>
                <w:sz w:val="20"/>
              </w:rPr>
              <w:t>1,2</w:t>
            </w:r>
          </w:p>
        </w:tc>
        <w:tc>
          <w:tcPr>
            <w:tcW w:w="1215" w:type="dxa"/>
            <w:tcBorders>
              <w:left w:val="nil"/>
              <w:bottom w:val="single" w:sz="8" w:space="0" w:color="7F7F7F"/>
              <w:right w:val="nil"/>
            </w:tcBorders>
            <w:shd w:val="clear" w:color="auto" w:fill="B6DDE8"/>
            <w:vAlign w:val="center"/>
          </w:tcPr>
          <w:p w:rsidR="00F927F6" w:rsidRPr="00F927F6" w:rsidRDefault="00F927F6" w:rsidP="00A07485">
            <w:pPr>
              <w:jc w:val="center"/>
              <w:rPr>
                <w:rFonts w:ascii="Calibri" w:hAnsi="Calibri" w:cs="Arial"/>
                <w:sz w:val="20"/>
              </w:rPr>
            </w:pPr>
            <w:r w:rsidRPr="00F927F6">
              <w:rPr>
                <w:rFonts w:ascii="Calibri" w:hAnsi="Calibri" w:cs="Arial"/>
                <w:sz w:val="20"/>
              </w:rPr>
              <w:t>1,4</w:t>
            </w:r>
          </w:p>
        </w:tc>
      </w:tr>
    </w:tbl>
    <w:p w:rsidR="00345C6A" w:rsidRDefault="00F927F6" w:rsidP="00F927F6">
      <w:pPr>
        <w:spacing w:before="120" w:line="300" w:lineRule="exact"/>
        <w:ind w:left="1416" w:firstLine="708"/>
        <w:rPr>
          <w:rFonts w:ascii="Calibri" w:hAnsi="Calibri" w:cs="Arial"/>
          <w:i/>
          <w:sz w:val="18"/>
          <w:szCs w:val="18"/>
        </w:rPr>
      </w:pPr>
      <w:r w:rsidRPr="00F927F6">
        <w:rPr>
          <w:rFonts w:ascii="Calibri" w:hAnsi="Calibri" w:cs="Arial"/>
          <w:i/>
          <w:sz w:val="18"/>
          <w:szCs w:val="18"/>
        </w:rPr>
        <w:t xml:space="preserve">(p) Previsión.          </w:t>
      </w:r>
    </w:p>
    <w:p w:rsidR="00345C6A" w:rsidRDefault="00345C6A" w:rsidP="00181FEE">
      <w:pPr>
        <w:spacing w:after="200" w:line="276" w:lineRule="auto"/>
        <w:jc w:val="both"/>
        <w:rPr>
          <w:rFonts w:ascii="Calibri" w:hAnsi="Calibri" w:cs="Arial"/>
          <w:lang w:eastAsia="en-US"/>
        </w:rPr>
      </w:pPr>
    </w:p>
    <w:p w:rsidR="00345C6A" w:rsidRDefault="00F927F6" w:rsidP="00181FEE">
      <w:pPr>
        <w:spacing w:after="200" w:line="276" w:lineRule="auto"/>
        <w:jc w:val="both"/>
        <w:rPr>
          <w:rFonts w:ascii="Calibri" w:hAnsi="Calibri" w:cs="Arial"/>
          <w:lang w:eastAsia="en-US"/>
        </w:rPr>
      </w:pPr>
      <w:r w:rsidRPr="00181FEE">
        <w:rPr>
          <w:rFonts w:ascii="Calibri" w:hAnsi="Calibri" w:cs="Arial"/>
          <w:lang w:eastAsia="en-US"/>
        </w:rPr>
        <w:t xml:space="preserve">También se mantienen, como se explica a continuación, las relativas a PIB y empleo. Los objetivos de crecimiento de estas variables para el ejercicio 2019, del 2,7% y 2,2% respectivamente, van camino de cumplirse; hasta el tercer trimestre, el PIB acumulaba una tasa de variación del 2,7%, en línea con la previsión anual, y el empleo (Fuente: Contabilidad Trimestral de Navarra), del que solo se conoce la primera mitad del año, acumula un avance del 2,7%, medio punto porcentual por encima del 2,2% que se espera para el cómputo del año. </w:t>
      </w:r>
    </w:p>
    <w:p w:rsidR="00345C6A" w:rsidRDefault="00F927F6" w:rsidP="00181FEE">
      <w:pPr>
        <w:spacing w:after="200" w:line="276" w:lineRule="auto"/>
        <w:jc w:val="both"/>
        <w:rPr>
          <w:rFonts w:ascii="Calibri" w:hAnsi="Calibri" w:cs="Arial"/>
          <w:lang w:eastAsia="en-US"/>
        </w:rPr>
      </w:pPr>
      <w:r w:rsidRPr="00181FEE">
        <w:rPr>
          <w:rFonts w:ascii="Calibri" w:hAnsi="Calibri" w:cs="Arial"/>
          <w:lang w:eastAsia="en-US"/>
        </w:rPr>
        <w:t xml:space="preserve">Prácticamente no se conoce información coyuntural relativa al cuatro trimestre, pero los primeros datos de empleo –las afiliaciones a </w:t>
      </w:r>
      <w:smartTag w:uri="urn:schemas-microsoft-com:office:smarttags" w:element="PersonName">
        <w:smartTagPr>
          <w:attr w:name="ProductID" w:val="la Seguridad Social"/>
        </w:smartTagPr>
        <w:r w:rsidRPr="00181FEE">
          <w:rPr>
            <w:rFonts w:ascii="Calibri" w:hAnsi="Calibri" w:cs="Arial"/>
            <w:lang w:eastAsia="en-US"/>
          </w:rPr>
          <w:t>la Seguridad Social</w:t>
        </w:r>
      </w:smartTag>
      <w:r w:rsidRPr="00181FEE">
        <w:rPr>
          <w:rFonts w:ascii="Calibri" w:hAnsi="Calibri" w:cs="Arial"/>
          <w:lang w:eastAsia="en-US"/>
        </w:rPr>
        <w:t xml:space="preserve"> en el mes de octubre crecen un 2,7%, mismo ritmo que septiembre- y de confianza no apuntan a un empeoramiento de la situación económica del territorio.</w:t>
      </w:r>
    </w:p>
    <w:p w:rsidR="00345C6A" w:rsidRDefault="00F927F6" w:rsidP="00181FEE">
      <w:pPr>
        <w:spacing w:after="200" w:line="276" w:lineRule="auto"/>
        <w:jc w:val="both"/>
        <w:rPr>
          <w:rFonts w:ascii="Calibri" w:hAnsi="Calibri" w:cs="Arial"/>
          <w:lang w:eastAsia="en-US"/>
        </w:rPr>
      </w:pPr>
      <w:r w:rsidRPr="00181FEE">
        <w:rPr>
          <w:rFonts w:ascii="Calibri" w:hAnsi="Calibri" w:cs="Arial"/>
          <w:lang w:eastAsia="en-US"/>
        </w:rPr>
        <w:t xml:space="preserve">Para el año 2020 las previsiones de PIB y empleo se sitúan en un 2,2% y 1,6%, respectivamente. Estas proyecciones, se recuerda, fueron calificadas como prudentes por la </w:t>
      </w:r>
      <w:proofErr w:type="spellStart"/>
      <w:r w:rsidRPr="00181FEE">
        <w:rPr>
          <w:rFonts w:ascii="Calibri" w:hAnsi="Calibri" w:cs="Arial"/>
          <w:lang w:eastAsia="en-US"/>
        </w:rPr>
        <w:t>Airef</w:t>
      </w:r>
      <w:proofErr w:type="spellEnd"/>
      <w:r w:rsidRPr="00181FEE">
        <w:rPr>
          <w:rFonts w:ascii="Calibri" w:hAnsi="Calibri" w:cs="Arial"/>
          <w:lang w:eastAsia="en-US"/>
        </w:rPr>
        <w:t xml:space="preserve"> en su INFORME 55/19 emitido el pasado 6 de septiembre y están dentro del intervalo que delimitan organismos  de previsión, como Laboral </w:t>
      </w:r>
      <w:proofErr w:type="spellStart"/>
      <w:r w:rsidRPr="00181FEE">
        <w:rPr>
          <w:rFonts w:ascii="Calibri" w:hAnsi="Calibri" w:cs="Arial"/>
          <w:lang w:eastAsia="en-US"/>
        </w:rPr>
        <w:t>Kutxa</w:t>
      </w:r>
      <w:proofErr w:type="spellEnd"/>
      <w:r w:rsidRPr="00181FEE">
        <w:rPr>
          <w:rFonts w:ascii="Calibri" w:hAnsi="Calibri" w:cs="Arial"/>
          <w:lang w:eastAsia="en-US"/>
        </w:rPr>
        <w:t xml:space="preserve">. </w:t>
      </w:r>
    </w:p>
    <w:p w:rsidR="00345C6A" w:rsidRDefault="00F927F6" w:rsidP="00181FEE">
      <w:pPr>
        <w:spacing w:after="200" w:line="276" w:lineRule="auto"/>
        <w:jc w:val="both"/>
        <w:rPr>
          <w:rFonts w:ascii="Calibri" w:hAnsi="Calibri" w:cs="Arial"/>
          <w:lang w:eastAsia="en-US"/>
        </w:rPr>
      </w:pPr>
      <w:r w:rsidRPr="00181FEE">
        <w:rPr>
          <w:rFonts w:ascii="Calibri" w:hAnsi="Calibri" w:cs="Arial"/>
          <w:lang w:eastAsia="en-US"/>
        </w:rPr>
        <w:t xml:space="preserve">En las últimas semanas, es cierto que se han sucedido a la baja las expectativas de crecimiento de la economía española para este año y el siguiente, pero responden en su mayor parte a la revisión estadística realizada por el INE en el mes de septiembre. </w:t>
      </w:r>
    </w:p>
    <w:p w:rsidR="00345C6A" w:rsidRDefault="00F927F6" w:rsidP="00181FEE">
      <w:pPr>
        <w:spacing w:after="200" w:line="276" w:lineRule="auto"/>
        <w:jc w:val="both"/>
        <w:rPr>
          <w:rFonts w:ascii="Calibri" w:hAnsi="Calibri" w:cs="Arial"/>
          <w:lang w:eastAsia="en-US"/>
        </w:rPr>
      </w:pPr>
      <w:r w:rsidRPr="00181FEE">
        <w:rPr>
          <w:rFonts w:ascii="Calibri" w:hAnsi="Calibri" w:cs="Arial"/>
          <w:lang w:eastAsia="en-US"/>
        </w:rPr>
        <w:t xml:space="preserve">En definitiva, si bien es cierto que el entorno económico de Navarra se está ralentizando, esta moderación ya estaba recogida en el escenario macro al proyectar unas tasas de crecimiento más bajas cada año. La intensidad o velocidad con la que se está produciendo esta desaceleración entra dentro, hasta el momento, de los parámetros e intervalos de proyección utilizados.  </w:t>
      </w:r>
    </w:p>
    <w:p w:rsidR="00345C6A" w:rsidRDefault="00181FEE" w:rsidP="00F927F6">
      <w:pPr>
        <w:spacing w:after="200" w:line="276" w:lineRule="auto"/>
        <w:rPr>
          <w:rFonts w:ascii="Calibri" w:hAnsi="Calibri" w:cs="Arial"/>
          <w:szCs w:val="24"/>
          <w:lang w:eastAsia="en-US"/>
        </w:rPr>
      </w:pPr>
      <w:r>
        <w:rPr>
          <w:rFonts w:ascii="Calibri" w:hAnsi="Calibri" w:cs="Arial"/>
          <w:szCs w:val="24"/>
          <w:lang w:eastAsia="en-US"/>
        </w:rPr>
        <w:tab/>
      </w:r>
      <w:r w:rsidR="00F927F6" w:rsidRPr="00F927F6">
        <w:rPr>
          <w:rFonts w:ascii="Calibri" w:hAnsi="Calibri" w:cs="Arial"/>
          <w:szCs w:val="24"/>
          <w:lang w:eastAsia="en-US"/>
        </w:rPr>
        <w:t>Es cuanto tengo el honor de informar en cumplimiento de lo dispuesto en al artículo 194 del Reglamento del Parlamento de Navarra.</w:t>
      </w:r>
    </w:p>
    <w:p w:rsidR="00F927F6" w:rsidRPr="00F927F6" w:rsidRDefault="00F927F6" w:rsidP="00F927F6">
      <w:pPr>
        <w:spacing w:after="200" w:line="276" w:lineRule="auto"/>
        <w:jc w:val="center"/>
        <w:rPr>
          <w:rFonts w:ascii="Calibri" w:hAnsi="Calibri" w:cs="Arial"/>
          <w:lang w:eastAsia="en-US"/>
        </w:rPr>
      </w:pPr>
      <w:r w:rsidRPr="00F927F6">
        <w:rPr>
          <w:rFonts w:ascii="Calibri" w:hAnsi="Calibri" w:cs="Arial"/>
          <w:lang w:eastAsia="en-US"/>
        </w:rPr>
        <w:t xml:space="preserve">Pamplona, </w:t>
      </w:r>
      <w:r w:rsidR="00181FEE">
        <w:rPr>
          <w:rFonts w:ascii="Calibri" w:hAnsi="Calibri" w:cs="Arial"/>
          <w:lang w:eastAsia="en-US"/>
        </w:rPr>
        <w:t>5 de noviembre</w:t>
      </w:r>
      <w:r w:rsidRPr="00F927F6">
        <w:rPr>
          <w:rFonts w:ascii="Calibri" w:hAnsi="Calibri" w:cs="Arial"/>
          <w:lang w:eastAsia="en-US"/>
        </w:rPr>
        <w:t xml:space="preserve"> de 2019</w:t>
      </w:r>
    </w:p>
    <w:p w:rsidR="008F42F9" w:rsidRPr="00345C6A" w:rsidRDefault="00345C6A" w:rsidP="00345C6A">
      <w:pPr>
        <w:spacing w:after="200" w:line="276" w:lineRule="auto"/>
        <w:jc w:val="center"/>
        <w:rPr>
          <w:rFonts w:ascii="Calibri" w:hAnsi="Calibri" w:cs="Arial"/>
          <w:lang w:eastAsia="en-US"/>
        </w:rPr>
      </w:pPr>
      <w:r w:rsidRPr="00F03BE4">
        <w:rPr>
          <w:rFonts w:ascii="Calibri" w:hAnsi="Calibri" w:cs="Arial"/>
          <w:lang w:eastAsia="en-US"/>
        </w:rPr>
        <w:t>El Consejero de Desarrollo Económico  y Empresarial</w:t>
      </w:r>
      <w:r>
        <w:rPr>
          <w:rFonts w:ascii="Calibri" w:hAnsi="Calibri" w:cs="Arial"/>
          <w:lang w:eastAsia="en-US"/>
        </w:rPr>
        <w:t>:</w:t>
      </w:r>
      <w:r w:rsidRPr="00F03BE4">
        <w:rPr>
          <w:rFonts w:ascii="Calibri" w:hAnsi="Calibri" w:cs="Arial"/>
          <w:lang w:eastAsia="en-US"/>
        </w:rPr>
        <w:t xml:space="preserve"> </w:t>
      </w:r>
      <w:smartTag w:uri="urn:schemas-microsoft-com:office:smarttags" w:element="PersonName">
        <w:smartTagPr>
          <w:attr w:name="ProductID" w:val="Manu Ayerdi"/>
        </w:smartTagPr>
        <w:r w:rsidRPr="00345C6A">
          <w:rPr>
            <w:rFonts w:ascii="Calibri" w:hAnsi="Calibri" w:cs="Arial"/>
            <w:lang w:eastAsia="en-US"/>
          </w:rPr>
          <w:t xml:space="preserve">Manu </w:t>
        </w:r>
        <w:proofErr w:type="spellStart"/>
        <w:r w:rsidRPr="00345C6A">
          <w:rPr>
            <w:rFonts w:ascii="Calibri" w:hAnsi="Calibri" w:cs="Arial"/>
            <w:lang w:eastAsia="en-US"/>
          </w:rPr>
          <w:t>Ayerdi</w:t>
        </w:r>
      </w:smartTag>
      <w:proofErr w:type="spellEnd"/>
      <w:r w:rsidRPr="00345C6A">
        <w:rPr>
          <w:rFonts w:ascii="Calibri" w:hAnsi="Calibri" w:cs="Arial"/>
          <w:lang w:eastAsia="en-US"/>
        </w:rPr>
        <w:t xml:space="preserve"> </w:t>
      </w:r>
      <w:proofErr w:type="spellStart"/>
      <w:r w:rsidRPr="00345C6A">
        <w:rPr>
          <w:rFonts w:ascii="Calibri" w:hAnsi="Calibri" w:cs="Arial"/>
          <w:lang w:eastAsia="en-US"/>
        </w:rPr>
        <w:t>Olaizola</w:t>
      </w:r>
      <w:proofErr w:type="spellEnd"/>
    </w:p>
    <w:sectPr w:rsidR="008F42F9" w:rsidRPr="00345C6A" w:rsidSect="00345C6A">
      <w:headerReference w:type="first" r:id="rId9"/>
      <w:pgSz w:w="11906" w:h="16838" w:code="9"/>
      <w:pgMar w:top="1134"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85" w:rsidRDefault="00A07485">
      <w:r>
        <w:separator/>
      </w:r>
    </w:p>
  </w:endnote>
  <w:endnote w:type="continuationSeparator" w:id="0">
    <w:p w:rsidR="00A07485" w:rsidRDefault="00A0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85" w:rsidRDefault="00A07485">
      <w:r>
        <w:separator/>
      </w:r>
    </w:p>
  </w:footnote>
  <w:footnote w:type="continuationSeparator" w:id="0">
    <w:p w:rsidR="00A07485" w:rsidRDefault="00A07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5E" w:rsidRDefault="003B6B5E"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1A81"/>
    <w:multiLevelType w:val="hybridMultilevel"/>
    <w:tmpl w:val="84065B0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C5A043A"/>
    <w:multiLevelType w:val="hybridMultilevel"/>
    <w:tmpl w:val="7832AE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34604"/>
    <w:rsid w:val="001356D8"/>
    <w:rsid w:val="00181FEE"/>
    <w:rsid w:val="001E3FB5"/>
    <w:rsid w:val="001E7275"/>
    <w:rsid w:val="002E36EF"/>
    <w:rsid w:val="003326DB"/>
    <w:rsid w:val="00345C6A"/>
    <w:rsid w:val="00355E3F"/>
    <w:rsid w:val="003737A4"/>
    <w:rsid w:val="00377B13"/>
    <w:rsid w:val="003B6B5E"/>
    <w:rsid w:val="00437DEA"/>
    <w:rsid w:val="005332E5"/>
    <w:rsid w:val="00535B11"/>
    <w:rsid w:val="00556C67"/>
    <w:rsid w:val="006968F9"/>
    <w:rsid w:val="008B423E"/>
    <w:rsid w:val="008F42F9"/>
    <w:rsid w:val="00924E7C"/>
    <w:rsid w:val="00A07485"/>
    <w:rsid w:val="00A95C02"/>
    <w:rsid w:val="00B819BB"/>
    <w:rsid w:val="00BC6038"/>
    <w:rsid w:val="00BF22C4"/>
    <w:rsid w:val="00DF6784"/>
    <w:rsid w:val="00F320C5"/>
    <w:rsid w:val="00F927F6"/>
    <w:rsid w:val="00FE52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7F6"/>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qFormat/>
    <w:rsid w:val="00F927F6"/>
    <w:pPr>
      <w:spacing w:after="200" w:line="276" w:lineRule="auto"/>
      <w:ind w:left="720"/>
      <w:contextualSpacing/>
    </w:pPr>
    <w:rPr>
      <w:rFonts w:ascii="Calibri" w:eastAsia="Calibri" w:hAnsi="Calibri"/>
      <w:sz w:val="22"/>
      <w:szCs w:val="22"/>
      <w:lang w:eastAsia="en-US"/>
    </w:rPr>
  </w:style>
  <w:style w:type="character" w:styleId="Hipervnculo">
    <w:name w:val="Hyperlink"/>
    <w:basedOn w:val="Fuentedeprrafopredeter"/>
    <w:rsid w:val="00924E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7F6"/>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qFormat/>
    <w:rsid w:val="00F927F6"/>
    <w:pPr>
      <w:spacing w:after="200" w:line="276" w:lineRule="auto"/>
      <w:ind w:left="720"/>
      <w:contextualSpacing/>
    </w:pPr>
    <w:rPr>
      <w:rFonts w:ascii="Calibri" w:eastAsia="Calibri" w:hAnsi="Calibri"/>
      <w:sz w:val="22"/>
      <w:szCs w:val="22"/>
      <w:lang w:eastAsia="en-US"/>
    </w:rPr>
  </w:style>
  <w:style w:type="character" w:styleId="Hipervnculo">
    <w:name w:val="Hyperlink"/>
    <w:basedOn w:val="Fuentedeprrafopredeter"/>
    <w:rsid w:val="00924E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baciones.parlamentodenavarra.es/library/items/comision-desarrollo-economico-empresarial-n-2019-09-1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10284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12122</CharactersWithSpaces>
  <SharedDoc>false</SharedDoc>
  <HLinks>
    <vt:vector size="6" baseType="variant">
      <vt:variant>
        <vt:i4>7405691</vt:i4>
      </vt:variant>
      <vt:variant>
        <vt:i4>0</vt:i4>
      </vt:variant>
      <vt:variant>
        <vt:i4>0</vt:i4>
      </vt:variant>
      <vt:variant>
        <vt:i4>5</vt:i4>
      </vt:variant>
      <vt:variant>
        <vt:lpwstr>https://grabaciones.parlamentodenavarra.es/library/items/comision-desarrollo-economico-empresarial-n-2019-09-18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Iñaki De Santiago</cp:lastModifiedBy>
  <cp:revision>2</cp:revision>
  <cp:lastPrinted>2006-05-15T11:01:00Z</cp:lastPrinted>
  <dcterms:created xsi:type="dcterms:W3CDTF">2019-12-26T09:10:00Z</dcterms:created>
  <dcterms:modified xsi:type="dcterms:W3CDTF">2019-12-26T09:10:00Z</dcterms:modified>
</cp:coreProperties>
</file>