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32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06150C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Style w:val="Normal"/>
          <w:rFonts w:ascii="Arial" w:hAnsi="Arial"/>
          <w:sz w:val="22"/>
        </w:rPr>
        <w:t>Unión del Pueblo Navarro parlamentu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 xml:space="preserve">taldeari atxikitako foru parlamentari Mónica Domenech Linde andreak galdera bat egin du </w:t>
      </w:r>
      <w:r>
        <w:rPr>
          <w:rStyle w:val="Normal"/>
          <w:rFonts w:ascii="Arial" w:hAnsi="Arial"/>
          <w:sz w:val="22"/>
        </w:rPr>
        <w:t>(</w:t>
      </w:r>
      <w:r>
        <w:rPr>
          <w:rStyle w:val="Normal"/>
          <w:rFonts w:ascii="Arial" w:hAnsi="Arial"/>
          <w:sz w:val="22"/>
        </w:rPr>
        <w:t>9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16</w:t>
      </w:r>
      <w:r>
        <w:rPr>
          <w:rStyle w:val="Normal"/>
          <w:rFonts w:ascii="Arial" w:hAnsi="Arial"/>
          <w:sz w:val="22"/>
        </w:rPr>
        <w:t>/</w:t>
      </w:r>
      <w:r>
        <w:rPr>
          <w:rStyle w:val="Normal"/>
          <w:rFonts w:ascii="Arial" w:hAnsi="Arial"/>
          <w:sz w:val="22"/>
        </w:rPr>
        <w:t>PES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00214</w:t>
      </w:r>
      <w:r>
        <w:rPr>
          <w:rStyle w:val="Normal"/>
          <w:rFonts w:ascii="Arial" w:hAnsi="Arial"/>
          <w:sz w:val="22"/>
        </w:rPr>
        <w:t>)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Etxez Etxeko Laguntza Zerbitzuak artaturiko pertsonen banaketa geografikoari eta eskualdekako eta urtekako arreta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orduei buruz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Hona Nafarroako Gobernuko Eskubide Sozialetako lehendakariordearen erantzuna</w:t>
      </w:r>
      <w:r>
        <w:rPr>
          <w:rStyle w:val="Normal"/>
          <w:rFonts w:ascii="Arial" w:hAnsi="Arial"/>
          <w:sz w:val="22"/>
        </w:rPr>
        <w:t>:</w:t>
      </w:r>
    </w:p>
    <w:p w:rsidR="00225C7D" w:rsidRPr="006F5932" w:rsidRDefault="008211C6" w:rsidP="0006150C">
      <w:pPr>
        <w:spacing w:line="360" w:lineRule="auto"/>
        <w:jc w:val="both"/>
        <w:rPr>
          <w:rFonts w:ascii="Arial" w:hAnsi="Arial" w:cs="Arial"/>
          <w:sz w:val="22"/>
        </w:rPr>
      </w:pP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b/>
          <w:i/>
          <w:sz w:val="22"/>
        </w:rPr>
      </w:pPr>
      <w:r>
        <w:rPr>
          <w:rStyle w:val="Normal"/>
          <w:rFonts w:ascii="Arial" w:hAnsi="Arial"/>
          <w:sz w:val="22"/>
        </w:rPr>
        <w:t>Aipatutako parlamentariak zehazki honako honi buruzko informazioa eskatu du</w:t>
      </w:r>
      <w:r>
        <w:rPr>
          <w:rStyle w:val="Normal"/>
          <w:rFonts w:ascii="Arial" w:hAnsi="Arial"/>
          <w:sz w:val="22"/>
        </w:rPr>
        <w:t xml:space="preserve">: </w:t>
      </w:r>
      <w:r>
        <w:rPr>
          <w:rStyle w:val="Normal"/>
          <w:rFonts w:ascii="Arial" w:hAnsi="Arial"/>
          <w:sz w:val="22"/>
        </w:rPr>
        <w:t>“</w:t>
      </w:r>
      <w:r>
        <w:rPr>
          <w:rStyle w:val="Normal"/>
          <w:rFonts w:ascii="Arial" w:hAnsi="Arial"/>
          <w:b/>
          <w:i/>
          <w:sz w:val="22"/>
        </w:rPr>
        <w:t>2015</w:t>
      </w:r>
      <w:r>
        <w:rPr>
          <w:rStyle w:val="Normal"/>
          <w:rFonts w:ascii="Arial" w:hAnsi="Arial"/>
          <w:b/>
          <w:i/>
          <w:sz w:val="22"/>
        </w:rPr>
        <w:t>ean zuzeneko arreta emandakoei buruzkoa</w:t>
      </w:r>
      <w:r>
        <w:rPr>
          <w:rStyle w:val="Normal"/>
          <w:rFonts w:ascii="Arial" w:hAnsi="Arial"/>
          <w:b/>
          <w:i/>
          <w:sz w:val="22"/>
        </w:rPr>
        <w:t xml:space="preserve">, </w:t>
      </w:r>
      <w:r>
        <w:rPr>
          <w:rStyle w:val="Normal"/>
          <w:rFonts w:ascii="Arial" w:hAnsi="Arial"/>
          <w:b/>
          <w:i/>
          <w:sz w:val="22"/>
        </w:rPr>
        <w:t xml:space="preserve">eta </w:t>
      </w:r>
      <w:r>
        <w:rPr>
          <w:rStyle w:val="Normal"/>
          <w:rFonts w:ascii="Arial" w:hAnsi="Arial"/>
          <w:b/>
          <w:i/>
          <w:sz w:val="22"/>
        </w:rPr>
        <w:t>2016</w:t>
      </w:r>
      <w:r>
        <w:rPr>
          <w:rStyle w:val="Normal"/>
          <w:rFonts w:ascii="Arial" w:hAnsi="Arial"/>
          <w:b/>
          <w:i/>
          <w:sz w:val="22"/>
        </w:rPr>
        <w:t>ko hilabeteetako datuak ote dau</w:t>
      </w:r>
      <w:r>
        <w:rPr>
          <w:rStyle w:val="Normal"/>
          <w:rFonts w:ascii="Arial" w:hAnsi="Arial"/>
          <w:b/>
          <w:i/>
          <w:sz w:val="22"/>
        </w:rPr>
        <w:t>den jakitekoa</w:t>
      </w:r>
      <w:r>
        <w:rPr>
          <w:rStyle w:val="Normal"/>
          <w:rFonts w:ascii="Arial" w:hAnsi="Arial"/>
          <w:b/>
          <w:i/>
          <w:sz w:val="22"/>
        </w:rPr>
        <w:t xml:space="preserve">, </w:t>
      </w:r>
      <w:r>
        <w:rPr>
          <w:rStyle w:val="Normal"/>
          <w:rFonts w:ascii="Arial" w:hAnsi="Arial"/>
          <w:b/>
          <w:i/>
          <w:sz w:val="22"/>
        </w:rPr>
        <w:t>zuzeneko arretaren banaketa geografikoa</w:t>
      </w:r>
      <w:r>
        <w:rPr>
          <w:rStyle w:val="Normal"/>
          <w:rFonts w:ascii="Arial" w:hAnsi="Arial"/>
          <w:b/>
          <w:i/>
          <w:sz w:val="22"/>
        </w:rPr>
        <w:t xml:space="preserve">. </w:t>
      </w:r>
      <w:r>
        <w:rPr>
          <w:rStyle w:val="Normal"/>
          <w:rFonts w:ascii="Arial" w:hAnsi="Arial"/>
          <w:b/>
          <w:i/>
          <w:sz w:val="22"/>
        </w:rPr>
        <w:t>Zuzeneko arreta</w:t>
      </w:r>
      <w:r>
        <w:rPr>
          <w:rStyle w:val="Normal"/>
          <w:rFonts w:ascii="Arial" w:hAnsi="Arial"/>
          <w:b/>
          <w:i/>
          <w:sz w:val="22"/>
        </w:rPr>
        <w:t>-</w:t>
      </w:r>
      <w:r>
        <w:rPr>
          <w:rStyle w:val="Normal"/>
          <w:rFonts w:ascii="Arial" w:hAnsi="Arial"/>
          <w:b/>
          <w:i/>
          <w:sz w:val="22"/>
        </w:rPr>
        <w:t>orduen banaketa arloen eta urtearen arabera</w:t>
      </w:r>
      <w:r>
        <w:rPr>
          <w:rStyle w:val="Normal"/>
          <w:rFonts w:ascii="Arial" w:hAnsi="Arial"/>
          <w:b/>
          <w:i/>
          <w:sz w:val="22"/>
        </w:rPr>
        <w:t xml:space="preserve">, </w:t>
      </w:r>
      <w:r>
        <w:rPr>
          <w:rStyle w:val="Normal"/>
          <w:rFonts w:ascii="Arial" w:hAnsi="Arial"/>
          <w:b/>
          <w:i/>
          <w:sz w:val="22"/>
        </w:rPr>
        <w:t>eta zuzeneko arretaren batez besteko maiztasuna eta intentsitatea kontuan hartuta”</w:t>
      </w:r>
    </w:p>
    <w:p w:rsidR="00ED2759" w:rsidRPr="006F5932" w:rsidRDefault="008211C6" w:rsidP="00ED2759">
      <w:pPr>
        <w:jc w:val="both"/>
        <w:rPr>
          <w:rFonts w:ascii="Calibri" w:hAnsi="Calibri"/>
          <w:b/>
          <w:i/>
          <w:sz w:val="22"/>
        </w:rPr>
      </w:pP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Style w:val="Normal"/>
          <w:rFonts w:ascii="Arial" w:hAnsi="Arial"/>
          <w:sz w:val="22"/>
        </w:rPr>
        <w:t>Esan beharra dago dokumentu honetan ematen diren datuak</w:t>
      </w:r>
      <w:r>
        <w:rPr>
          <w:rStyle w:val="Normal"/>
          <w:rFonts w:ascii="Arial" w:hAnsi="Arial"/>
          <w:sz w:val="22"/>
        </w:rPr>
        <w:t xml:space="preserve"> oinarrizko gizarte zerbitzuek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Eskubide Sozialetako Departamentuaren eta oinarrizko gizarte zerbitzuen titularrak diren toki entitateen artean ezarritako finantzaketa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hitzartutako finantzaketa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hitzarmena justifikatze aldera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aurkeztutako oroitidazki tekni</w:t>
      </w:r>
      <w:r>
        <w:rPr>
          <w:rStyle w:val="Normal"/>
          <w:rFonts w:ascii="Arial" w:hAnsi="Arial"/>
          <w:sz w:val="22"/>
        </w:rPr>
        <w:t>koetatik lortu direla</w:t>
      </w:r>
      <w:r>
        <w:rPr>
          <w:rStyle w:val="Normal"/>
          <w:rFonts w:ascii="Arial" w:hAnsi="Arial"/>
          <w:sz w:val="22"/>
        </w:rPr>
        <w:t>.</w:t>
      </w: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Style w:val="Normal"/>
          <w:rFonts w:ascii="Arial" w:hAnsi="Arial"/>
          <w:sz w:val="22"/>
        </w:rPr>
        <w:t>Hitzarmen horien eta Toki entitateen eta Eskubide Sozialetako Departamentuaren artean egindako finantzaketa</w:t>
      </w:r>
      <w:r>
        <w:rPr>
          <w:rStyle w:val="Normal"/>
          <w:rFonts w:ascii="Arial" w:hAnsi="Arial"/>
          <w:sz w:val="22"/>
        </w:rPr>
        <w:t>-</w:t>
      </w:r>
      <w:r>
        <w:rPr>
          <w:rStyle w:val="Normal"/>
          <w:rFonts w:ascii="Arial" w:hAnsi="Arial"/>
          <w:sz w:val="22"/>
        </w:rPr>
        <w:t>hitzarmenaren arabera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bai eta maiatzaren </w:t>
      </w:r>
      <w:r>
        <w:rPr>
          <w:rStyle w:val="Normal"/>
          <w:rFonts w:ascii="Arial" w:hAnsi="Arial"/>
          <w:sz w:val="22"/>
        </w:rPr>
        <w:t>22</w:t>
      </w:r>
      <w:r>
        <w:rPr>
          <w:rStyle w:val="Normal"/>
          <w:rFonts w:ascii="Arial" w:hAnsi="Arial"/>
          <w:sz w:val="22"/>
        </w:rPr>
        <w:t xml:space="preserve">ko </w:t>
      </w:r>
      <w:r>
        <w:rPr>
          <w:rStyle w:val="Normal"/>
          <w:rFonts w:ascii="Arial" w:hAnsi="Arial"/>
          <w:sz w:val="22"/>
        </w:rPr>
        <w:t>32</w:t>
      </w:r>
      <w:r>
        <w:rPr>
          <w:rStyle w:val="Normal"/>
          <w:rFonts w:ascii="Arial" w:hAnsi="Arial"/>
          <w:sz w:val="22"/>
        </w:rPr>
        <w:t>/</w:t>
      </w:r>
      <w:r>
        <w:rPr>
          <w:rStyle w:val="Normal"/>
          <w:rFonts w:ascii="Arial" w:hAnsi="Arial"/>
          <w:sz w:val="22"/>
        </w:rPr>
        <w:t xml:space="preserve">2013 </w:t>
      </w:r>
      <w:r>
        <w:rPr>
          <w:rStyle w:val="Normal"/>
          <w:rFonts w:ascii="Arial" w:hAnsi="Arial"/>
          <w:sz w:val="22"/>
        </w:rPr>
        <w:t>Foru Dekretuaren arabera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toki entitateek txosten tekniko eta ekonomik</w:t>
      </w:r>
      <w:r>
        <w:rPr>
          <w:rStyle w:val="Normal"/>
          <w:rFonts w:ascii="Arial" w:hAnsi="Arial"/>
          <w:sz w:val="22"/>
        </w:rPr>
        <w:t>oak aurrekontua bete beharreko ekitaldiaren hurrengo ekitaldiko urtarrilean edo otsailean aurkeztu beharko dituzte</w:t>
      </w:r>
      <w:r>
        <w:rPr>
          <w:rStyle w:val="Normal"/>
          <w:rFonts w:ascii="Arial" w:hAnsi="Arial"/>
          <w:sz w:val="22"/>
        </w:rPr>
        <w:t>.</w:t>
      </w: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sz w:val="12"/>
          <w:szCs w:val="8"/>
        </w:rPr>
      </w:pPr>
    </w:p>
    <w:p w:rsidR="006F5932" w:rsidRPr="006F5932" w:rsidRDefault="008211C6" w:rsidP="006F593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Style w:val="Normal"/>
          <w:rFonts w:ascii="Arial" w:hAnsi="Arial"/>
          <w:sz w:val="22"/>
        </w:rPr>
        <w:t>Horrenbestez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aldez aurretiko bi gai aipatu behar dira</w:t>
      </w:r>
      <w:r>
        <w:rPr>
          <w:rStyle w:val="Normal"/>
          <w:rFonts w:ascii="Arial" w:hAnsi="Arial"/>
          <w:sz w:val="22"/>
        </w:rPr>
        <w:t>:</w:t>
      </w: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Style w:val="Normal"/>
          <w:rFonts w:ascii="Arial" w:hAnsi="Arial"/>
          <w:sz w:val="22"/>
        </w:rPr>
        <w:t>Lehena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 xml:space="preserve">Dokumentu horretan emandako datuetan aldeak egon daitezke Nafarroako </w:t>
      </w:r>
      <w:r>
        <w:rPr>
          <w:rStyle w:val="Normal"/>
          <w:rFonts w:ascii="Arial" w:hAnsi="Arial"/>
          <w:sz w:val="22"/>
        </w:rPr>
        <w:t>2015</w:t>
      </w:r>
      <w:r>
        <w:rPr>
          <w:rStyle w:val="Normal"/>
          <w:rFonts w:ascii="Arial" w:hAnsi="Arial"/>
          <w:sz w:val="22"/>
        </w:rPr>
        <w:t>ek</w:t>
      </w:r>
      <w:r>
        <w:rPr>
          <w:rStyle w:val="Normal"/>
          <w:rFonts w:ascii="Arial" w:hAnsi="Arial"/>
          <w:sz w:val="22"/>
        </w:rPr>
        <w:t>o oinarrizko gizarte zerbitzuetan esku hartzeko amaierako oroitidazkiarekin konparatuta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zeren eta azken horiek oinarrizko osasun laguntzaren eta gizarteratzeren zerbitzuari aurkeztutako oroitidazkiak baloratzeko prozesuan baitaude</w:t>
      </w:r>
      <w:r>
        <w:rPr>
          <w:rStyle w:val="Normal"/>
          <w:rFonts w:ascii="Arial" w:hAnsi="Arial"/>
          <w:sz w:val="22"/>
        </w:rPr>
        <w:t>.</w:t>
      </w: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Style w:val="Normal"/>
          <w:rFonts w:ascii="Arial" w:hAnsi="Arial"/>
          <w:sz w:val="22"/>
        </w:rPr>
        <w:t>Bigarrena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 xml:space="preserve">Ezin da </w:t>
      </w:r>
      <w:r>
        <w:rPr>
          <w:rStyle w:val="Normal"/>
          <w:rFonts w:ascii="Arial" w:hAnsi="Arial"/>
          <w:sz w:val="22"/>
        </w:rPr>
        <w:t>2016</w:t>
      </w:r>
      <w:r>
        <w:rPr>
          <w:rStyle w:val="Normal"/>
          <w:rFonts w:ascii="Arial" w:hAnsi="Arial"/>
          <w:sz w:val="22"/>
        </w:rPr>
        <w:t xml:space="preserve">. </w:t>
      </w:r>
      <w:r>
        <w:rPr>
          <w:rStyle w:val="Normal"/>
          <w:rFonts w:ascii="Arial" w:hAnsi="Arial"/>
          <w:sz w:val="22"/>
        </w:rPr>
        <w:t>urteari buruzko daturik eman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zeren eta oinarrizko gizarte zerbitzuen finantzaketari buruzko araudiari jarraituz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entitateek </w:t>
      </w:r>
      <w:r>
        <w:rPr>
          <w:rStyle w:val="Normal"/>
          <w:rFonts w:ascii="Arial" w:hAnsi="Arial"/>
          <w:sz w:val="22"/>
        </w:rPr>
        <w:t>2016</w:t>
      </w:r>
      <w:r>
        <w:rPr>
          <w:rStyle w:val="Normal"/>
          <w:rFonts w:ascii="Arial" w:hAnsi="Arial"/>
          <w:sz w:val="22"/>
        </w:rPr>
        <w:t xml:space="preserve">ko ekitaldiko justifikazioa </w:t>
      </w:r>
      <w:r>
        <w:rPr>
          <w:rStyle w:val="Normal"/>
          <w:rFonts w:ascii="Arial" w:hAnsi="Arial"/>
          <w:sz w:val="22"/>
        </w:rPr>
        <w:t>2017</w:t>
      </w:r>
      <w:r>
        <w:rPr>
          <w:rStyle w:val="Normal"/>
          <w:rFonts w:ascii="Arial" w:hAnsi="Arial"/>
          <w:sz w:val="22"/>
        </w:rPr>
        <w:t>ko urtarrilean eta otsailean aurkeztu beharko bailukete</w:t>
      </w:r>
      <w:r>
        <w:rPr>
          <w:rStyle w:val="Normal"/>
          <w:rFonts w:ascii="Arial" w:hAnsi="Arial"/>
          <w:sz w:val="22"/>
        </w:rPr>
        <w:t>.</w:t>
      </w:r>
    </w:p>
    <w:p w:rsidR="00ED2759" w:rsidRPr="006F5932" w:rsidRDefault="008211C6" w:rsidP="00ED2759">
      <w:pPr>
        <w:spacing w:line="360" w:lineRule="auto"/>
        <w:jc w:val="both"/>
        <w:rPr>
          <w:rFonts w:ascii="Arial" w:hAnsi="Arial" w:cs="Arial"/>
          <w:sz w:val="22"/>
        </w:rPr>
      </w:pPr>
    </w:p>
    <w:p w:rsidR="006F5932" w:rsidRPr="006F5932" w:rsidRDefault="008211C6" w:rsidP="006F5932">
      <w:pPr>
        <w:spacing w:line="360" w:lineRule="auto"/>
        <w:jc w:val="both"/>
        <w:rPr>
          <w:rFonts w:ascii="Arial" w:hAnsi="Arial" w:cs="Arial"/>
          <w:sz w:val="22"/>
        </w:rPr>
      </w:pPr>
      <w:r>
        <w:br w:type="page"/>
      </w:r>
      <w:r>
        <w:rPr>
          <w:rStyle w:val="Normal"/>
          <w:rFonts w:ascii="Arial" w:hAnsi="Arial"/>
          <w:sz w:val="22"/>
        </w:rPr>
        <w:lastRenderedPageBreak/>
        <w:t>Aurreko gogoeta horiek kontuan har</w:t>
      </w:r>
      <w:r>
        <w:rPr>
          <w:rStyle w:val="Normal"/>
          <w:rFonts w:ascii="Arial" w:hAnsi="Arial"/>
          <w:sz w:val="22"/>
        </w:rPr>
        <w:t>tuta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Domenech andreak egindako galderei erantzunen diegu</w:t>
      </w:r>
      <w:r>
        <w:rPr>
          <w:rStyle w:val="Normal"/>
          <w:rFonts w:ascii="Arial" w:hAnsi="Arial"/>
          <w:sz w:val="22"/>
        </w:rPr>
        <w:t>.</w:t>
      </w:r>
    </w:p>
    <w:p w:rsidR="00ED2759" w:rsidRPr="006F5932" w:rsidRDefault="008211C6" w:rsidP="00ED2759">
      <w:pPr>
        <w:ind w:firstLine="709"/>
        <w:jc w:val="both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2975"/>
      </w:tblGrid>
      <w:tr w:rsidR="00ED2759" w:rsidTr="00665008">
        <w:trPr>
          <w:trHeight w:val="5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2759" w:rsidRPr="00B871F4" w:rsidRDefault="008211C6" w:rsidP="0066500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sz w:val="20"/>
              </w:rPr>
              <w:t>ZUZENEKO ARRETAREN BANAKETA GEOGRAFRIKOA</w:t>
            </w:r>
            <w:r>
              <w:rPr>
                <w:rStyle w:val="Normal"/>
                <w:rFonts w:ascii="Calibri" w:hAnsi="Calibri"/>
                <w:b/>
                <w:sz w:val="20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sz w:val="20"/>
              </w:rPr>
              <w:t>ORDUEN ARABERAKOA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OINARRIZKO GIZARTE ZERBITZUAK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ZUZENEKO ARRETAREN ORDUAK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Allo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888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Altsasu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Antzin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459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Agoitz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085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Aranguren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Artaxoa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Auritz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652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Aiegi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716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Barañain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Berriozar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Buñuel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891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Burlata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102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Zarrakaztelu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Cascante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702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42600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Cintruénigo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551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Zizur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Corella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Castejón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473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Donezt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ebe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52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Eguesibarra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Elizondo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876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Lizarra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711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42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Etxarri Aranatz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659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Uharte 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Irurtzun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72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Izaba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290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22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Leitza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77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Lesaka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Bortziriak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495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19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Lodosa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Los Arcos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Noain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435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Erriberri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Orkoien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Iruña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177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791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84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Azkoien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Gares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997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Zaraitzu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279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San Adrián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Zangoza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151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Tafalla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184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21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Tutera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Ultzama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648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Valtierra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Viana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Villatuerta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355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Atarrabia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416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ED2759" w:rsidTr="00665008">
        <w:trPr>
          <w:trHeight w:val="57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Guztira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445</w:t>
            </w: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334</w:t>
            </w: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38</w:t>
            </w:r>
          </w:p>
        </w:tc>
      </w:tr>
    </w:tbl>
    <w:p w:rsidR="00ED2759" w:rsidRDefault="008211C6" w:rsidP="00ED2759">
      <w:pPr>
        <w:jc w:val="both"/>
        <w:rPr>
          <w:rFonts w:ascii="Calibri" w:hAnsi="Calibri"/>
          <w:b/>
          <w:i/>
        </w:rPr>
      </w:pPr>
    </w:p>
    <w:p w:rsidR="00ED2759" w:rsidRDefault="008211C6" w:rsidP="00ED2759">
      <w:pPr>
        <w:jc w:val="both"/>
        <w:rPr>
          <w:rFonts w:ascii="Calibri" w:hAnsi="Calibri"/>
          <w:b/>
          <w:i/>
        </w:rPr>
      </w:pPr>
    </w:p>
    <w:p w:rsidR="00ED2759" w:rsidRPr="00185B36" w:rsidRDefault="008211C6" w:rsidP="00ED2759">
      <w:pPr>
        <w:jc w:val="both"/>
        <w:rPr>
          <w:rFonts w:ascii="Calibri" w:hAnsi="Calibri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7"/>
        <w:gridCol w:w="4377"/>
      </w:tblGrid>
      <w:tr w:rsidR="00ED2759" w:rsidTr="00665008">
        <w:trPr>
          <w:trHeight w:val="300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ZUZENEKO ARRETAREN ORDUEN BANAKETA</w:t>
            </w:r>
            <w:r>
              <w:rPr>
                <w:rStyle w:val="Normal"/>
                <w:rFonts w:ascii="Calibri" w:hAnsi="Calibri"/>
                <w:b/>
                <w:sz w:val="22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sz w:val="22"/>
              </w:rPr>
              <w:t>OINARRIZKOGIZARTE ZERBITZUEN BARRUTIAREN ARABERA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5B9BD5" w:fill="5B9BD5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Oinarrizko gizarte zerbitzuen barrutia</w:t>
            </w:r>
          </w:p>
        </w:tc>
        <w:tc>
          <w:tcPr>
            <w:tcW w:w="2532" w:type="pct"/>
            <w:shd w:val="clear" w:color="5B9BD5" w:fill="5B9BD5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Zuzeneko arretaren orduak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Lizarra</w:t>
            </w:r>
          </w:p>
        </w:tc>
        <w:tc>
          <w:tcPr>
            <w:tcW w:w="2532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918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55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Ipar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ekialdea</w:t>
            </w:r>
          </w:p>
        </w:tc>
        <w:tc>
          <w:tcPr>
            <w:tcW w:w="2532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457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47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Ipar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mendebal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dea</w:t>
            </w:r>
          </w:p>
        </w:tc>
        <w:tc>
          <w:tcPr>
            <w:tcW w:w="2532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227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70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Iruña eta Iruñerria</w:t>
            </w:r>
          </w:p>
        </w:tc>
        <w:tc>
          <w:tcPr>
            <w:tcW w:w="2532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239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20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Tafalla</w:t>
            </w:r>
          </w:p>
        </w:tc>
        <w:tc>
          <w:tcPr>
            <w:tcW w:w="2532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246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71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Tutera</w:t>
            </w:r>
          </w:p>
        </w:tc>
        <w:tc>
          <w:tcPr>
            <w:tcW w:w="2532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</w:tr>
      <w:tr w:rsidR="00ED2759" w:rsidTr="00665008">
        <w:trPr>
          <w:trHeight w:val="300"/>
        </w:trPr>
        <w:tc>
          <w:tcPr>
            <w:tcW w:w="2468" w:type="pct"/>
            <w:shd w:val="clear" w:color="000000" w:fill="D6DCE4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Orokorra</w:t>
            </w: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>guztira</w:t>
            </w:r>
          </w:p>
        </w:tc>
        <w:tc>
          <w:tcPr>
            <w:tcW w:w="2532" w:type="pct"/>
            <w:shd w:val="clear" w:color="000000" w:fill="D6DCE4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445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334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38</w:t>
            </w:r>
          </w:p>
        </w:tc>
      </w:tr>
    </w:tbl>
    <w:p w:rsidR="00ED2759" w:rsidRPr="00231A2C" w:rsidRDefault="008211C6" w:rsidP="00ED2759">
      <w:pPr>
        <w:jc w:val="both"/>
        <w:rPr>
          <w:rFonts w:ascii="Calibri" w:hAnsi="Calibri"/>
          <w:bCs/>
          <w:sz w:val="16"/>
          <w:szCs w:val="16"/>
        </w:rPr>
      </w:pPr>
    </w:p>
    <w:p w:rsidR="00ED2759" w:rsidRPr="006F5932" w:rsidRDefault="008211C6" w:rsidP="006F593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2759" w:rsidRPr="006F5932" w:rsidRDefault="008211C6" w:rsidP="006F5932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Style w:val="Normal"/>
          <w:rFonts w:ascii="Arial" w:hAnsi="Arial"/>
          <w:b/>
          <w:i/>
        </w:rPr>
        <w:t>Zuzeneko arretaren eta neurtutako intentsitatea</w:t>
      </w:r>
    </w:p>
    <w:p w:rsidR="00ED2759" w:rsidRPr="006F5932" w:rsidRDefault="008211C6" w:rsidP="006F5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Arretaren maiztasunaren tipologiatzat </w:t>
      </w:r>
      <w:r>
        <w:rPr>
          <w:rStyle w:val="Normal"/>
          <w:rFonts w:ascii="Arial" w:hAnsi="Arial"/>
          <w:i/>
          <w:sz w:val="22"/>
        </w:rPr>
        <w:t xml:space="preserve">eguneroko arreta </w:t>
      </w:r>
      <w:r>
        <w:rPr>
          <w:rStyle w:val="Normal"/>
          <w:rFonts w:ascii="Arial" w:hAnsi="Arial"/>
          <w:sz w:val="22"/>
        </w:rPr>
        <w:t>jotzen da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zerbitzua astelehenetik os</w:t>
      </w:r>
      <w:r>
        <w:rPr>
          <w:rStyle w:val="Normal"/>
          <w:rFonts w:ascii="Arial" w:hAnsi="Arial"/>
          <w:sz w:val="22"/>
        </w:rPr>
        <w:t>tiralera ematen denean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i/>
          <w:sz w:val="22"/>
        </w:rPr>
        <w:t>astean behingo arreta</w:t>
      </w:r>
      <w:r>
        <w:rPr>
          <w:rStyle w:val="Normal"/>
          <w:rFonts w:ascii="Arial" w:hAnsi="Arial"/>
          <w:i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astean behin eta astean lau aldiz bitarte ematen denean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i/>
          <w:sz w:val="22"/>
        </w:rPr>
        <w:t>hamabostean behingo arreta</w:t>
      </w:r>
      <w:r>
        <w:rPr>
          <w:rStyle w:val="Normal"/>
          <w:rFonts w:ascii="Arial" w:hAnsi="Arial"/>
          <w:i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hamabostean behin ematen denean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i/>
          <w:sz w:val="22"/>
        </w:rPr>
        <w:t>hilean behingo arreta</w:t>
      </w:r>
      <w:r>
        <w:rPr>
          <w:rStyle w:val="Normal"/>
          <w:rFonts w:ascii="Arial" w:hAnsi="Arial"/>
          <w:sz w:val="22"/>
        </w:rPr>
        <w:t xml:space="preserve"> eta </w:t>
      </w:r>
      <w:r>
        <w:rPr>
          <w:rStyle w:val="Normal"/>
          <w:rFonts w:ascii="Arial" w:hAnsi="Arial"/>
          <w:i/>
          <w:sz w:val="22"/>
        </w:rPr>
        <w:t xml:space="preserve">noizbehinkako arreta </w:t>
      </w:r>
      <w:r>
        <w:rPr>
          <w:rStyle w:val="Normal"/>
          <w:rFonts w:ascii="Arial" w:hAnsi="Arial"/>
          <w:sz w:val="22"/>
        </w:rPr>
        <w:t>oso noizean behin ematen denean</w:t>
      </w:r>
      <w:r>
        <w:rPr>
          <w:rStyle w:val="Normal"/>
          <w:rFonts w:ascii="Arial" w:hAnsi="Arial"/>
          <w:sz w:val="22"/>
        </w:rPr>
        <w:t>.</w:t>
      </w:r>
    </w:p>
    <w:p w:rsidR="00ED2759" w:rsidRPr="006F5932" w:rsidRDefault="008211C6" w:rsidP="006F5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Normal"/>
          <w:rFonts w:ascii="Arial" w:hAnsi="Arial"/>
          <w:sz w:val="22"/>
        </w:rPr>
        <w:t>Hurrengo ta</w:t>
      </w:r>
      <w:r>
        <w:rPr>
          <w:rStyle w:val="Normal"/>
          <w:rFonts w:ascii="Arial" w:hAnsi="Arial"/>
          <w:sz w:val="22"/>
        </w:rPr>
        <w:t>ulan egiazta dezakegun bezala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zerbitzuak artatutako pertsonen ia </w:t>
      </w:r>
      <w:r>
        <w:rPr>
          <w:rStyle w:val="Normal"/>
          <w:rFonts w:ascii="Arial" w:hAnsi="Arial"/>
          <w:sz w:val="22"/>
        </w:rPr>
        <w:t xml:space="preserve">% </w:t>
      </w:r>
      <w:r>
        <w:rPr>
          <w:rStyle w:val="Normal"/>
          <w:rFonts w:ascii="Arial" w:hAnsi="Arial"/>
          <w:sz w:val="22"/>
        </w:rPr>
        <w:t xml:space="preserve">92 </w:t>
      </w:r>
      <w:r>
        <w:rPr>
          <w:rStyle w:val="Normal"/>
          <w:rFonts w:ascii="Arial" w:hAnsi="Arial"/>
          <w:sz w:val="22"/>
        </w:rPr>
        <w:t>maiztasun handiz artatzen dira</w:t>
      </w:r>
      <w:r>
        <w:rPr>
          <w:rStyle w:val="Normal"/>
          <w:rFonts w:ascii="Arial" w:hAnsi="Arial"/>
          <w:sz w:val="22"/>
        </w:rPr>
        <w:t xml:space="preserve">; </w:t>
      </w:r>
      <w:r>
        <w:rPr>
          <w:rStyle w:val="Normal"/>
          <w:rFonts w:ascii="Arial" w:hAnsi="Arial"/>
          <w:sz w:val="22"/>
        </w:rPr>
        <w:t>erdia baino lehen astean behin eta lau aldiz bitarte artatzen dira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eta </w:t>
      </w:r>
      <w:r>
        <w:rPr>
          <w:rStyle w:val="Normal"/>
          <w:rFonts w:ascii="Arial" w:hAnsi="Arial"/>
          <w:sz w:val="22"/>
        </w:rPr>
        <w:t xml:space="preserve">% </w:t>
      </w:r>
      <w:r>
        <w:rPr>
          <w:rStyle w:val="Normal"/>
          <w:rFonts w:ascii="Arial" w:hAnsi="Arial"/>
          <w:sz w:val="22"/>
        </w:rPr>
        <w:t>40</w:t>
      </w:r>
      <w:r>
        <w:rPr>
          <w:rStyle w:val="Normal"/>
          <w:rFonts w:ascii="Arial" w:hAnsi="Arial"/>
          <w:sz w:val="22"/>
        </w:rPr>
        <w:t>,</w:t>
      </w:r>
      <w:r>
        <w:rPr>
          <w:rStyle w:val="Normal"/>
          <w:rFonts w:ascii="Arial" w:hAnsi="Arial"/>
          <w:sz w:val="22"/>
        </w:rPr>
        <w:t xml:space="preserve">45 </w:t>
      </w:r>
      <w:r>
        <w:rPr>
          <w:rStyle w:val="Normal"/>
          <w:rFonts w:ascii="Arial" w:hAnsi="Arial"/>
          <w:sz w:val="22"/>
        </w:rPr>
        <w:t>egunero artatzen dira</w:t>
      </w:r>
      <w:r>
        <w:rPr>
          <w:rStyle w:val="Normal"/>
          <w:rFonts w:ascii="Arial" w:hAnsi="Arial"/>
          <w:sz w:val="22"/>
        </w:rPr>
        <w:t>.</w:t>
      </w:r>
    </w:p>
    <w:p w:rsidR="00ED2759" w:rsidRPr="00185B36" w:rsidRDefault="008211C6" w:rsidP="00ED2759">
      <w:pPr>
        <w:ind w:firstLine="709"/>
        <w:jc w:val="both"/>
        <w:rPr>
          <w:rFonts w:ascii="Calibri" w:hAnsi="Calibri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3554"/>
      </w:tblGrid>
      <w:tr w:rsidR="00ED2759" w:rsidTr="00665008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D9D9D9"/>
            <w:noWrap/>
            <w:vAlign w:val="center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ERABILTZAILEEN BANAKETA</w:t>
            </w:r>
            <w:r>
              <w:rPr>
                <w:rStyle w:val="Normal"/>
                <w:rFonts w:ascii="Calibri" w:hAnsi="Calibri"/>
                <w:b/>
                <w:sz w:val="22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sz w:val="22"/>
              </w:rPr>
              <w:t xml:space="preserve">ARRETAREN MAIZTASUNAREN </w:t>
            </w:r>
            <w:r>
              <w:rPr>
                <w:rStyle w:val="Normal"/>
                <w:rFonts w:ascii="Calibri" w:hAnsi="Calibri"/>
                <w:b/>
                <w:sz w:val="22"/>
              </w:rPr>
              <w:t>ARABERAKOA</w:t>
            </w:r>
          </w:p>
        </w:tc>
      </w:tr>
      <w:tr w:rsidR="00ED2759" w:rsidTr="00665008">
        <w:trPr>
          <w:trHeight w:val="6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Arretaren maiztasuna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Arreta jaso duten pertsonen kopurua</w:t>
            </w:r>
          </w:p>
        </w:tc>
      </w:tr>
      <w:tr w:rsidR="00ED2759" w:rsidTr="00665008">
        <w:trPr>
          <w:trHeight w:val="3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Eguneroko arreta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738</w:t>
            </w:r>
          </w:p>
        </w:tc>
      </w:tr>
      <w:tr w:rsidR="00ED2759" w:rsidTr="00665008">
        <w:trPr>
          <w:trHeight w:val="3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Astean behingo arreta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208</w:t>
            </w:r>
          </w:p>
        </w:tc>
      </w:tr>
      <w:tr w:rsidR="00ED2759" w:rsidTr="00665008">
        <w:trPr>
          <w:trHeight w:val="3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Hamabostean behingo arreta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26</w:t>
            </w:r>
          </w:p>
        </w:tc>
      </w:tr>
      <w:tr w:rsidR="00ED2759" w:rsidTr="00665008">
        <w:trPr>
          <w:trHeight w:val="3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Hilean behingo arreta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ED2759" w:rsidTr="00665008">
        <w:trPr>
          <w:trHeight w:val="3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Noizbehinkako arreta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321</w:t>
            </w:r>
          </w:p>
        </w:tc>
      </w:tr>
      <w:tr w:rsidR="00ED2759" w:rsidTr="00665008">
        <w:trPr>
          <w:trHeight w:val="300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D6DCE4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Guztira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D6DCE4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4</w:t>
            </w:r>
            <w:r>
              <w:rPr>
                <w:rStyle w:val="Normal"/>
                <w:rFonts w:ascii="Calibri" w:hAnsi="Calibri"/>
                <w:b/>
                <w:sz w:val="22"/>
              </w:rPr>
              <w:t>.</w:t>
            </w:r>
            <w:r>
              <w:rPr>
                <w:rStyle w:val="Normal"/>
                <w:rFonts w:ascii="Calibri" w:hAnsi="Calibri"/>
                <w:b/>
                <w:sz w:val="22"/>
              </w:rPr>
              <w:t>297</w:t>
            </w:r>
          </w:p>
        </w:tc>
      </w:tr>
    </w:tbl>
    <w:p w:rsidR="00ED2759" w:rsidRPr="006F5932" w:rsidRDefault="008211C6" w:rsidP="006F5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2759" w:rsidRPr="006F5932" w:rsidRDefault="008211C6" w:rsidP="006F5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Erkidegoko batez besteko intentsita</w:t>
      </w:r>
      <w:r>
        <w:rPr>
          <w:rStyle w:val="Normal"/>
          <w:rFonts w:ascii="Arial" w:hAnsi="Arial"/>
          <w:sz w:val="22"/>
        </w:rPr>
        <w:t>tea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>erabiltzaile baten hilean izaten dituen arreta orduen batez bestekoa dela jota</w:t>
      </w:r>
      <w:r>
        <w:rPr>
          <w:rStyle w:val="Normal"/>
          <w:rFonts w:ascii="Arial" w:hAnsi="Arial"/>
          <w:sz w:val="22"/>
        </w:rPr>
        <w:t xml:space="preserve">, </w:t>
      </w:r>
      <w:r>
        <w:rPr>
          <w:rStyle w:val="Normal"/>
          <w:rFonts w:ascii="Arial" w:hAnsi="Arial"/>
          <w:sz w:val="22"/>
        </w:rPr>
        <w:t xml:space="preserve">9 </w:t>
      </w:r>
      <w:r>
        <w:rPr>
          <w:rStyle w:val="Normal"/>
          <w:rFonts w:ascii="Arial" w:hAnsi="Arial"/>
          <w:sz w:val="22"/>
        </w:rPr>
        <w:t>ordukoa da</w:t>
      </w:r>
      <w:r>
        <w:rPr>
          <w:rStyle w:val="Normal"/>
          <w:rFonts w:ascii="Arial" w:hAnsi="Arial"/>
          <w:sz w:val="22"/>
        </w:rPr>
        <w:t>.</w:t>
      </w:r>
    </w:p>
    <w:p w:rsidR="00ED2759" w:rsidRPr="008A619C" w:rsidRDefault="008211C6" w:rsidP="00ED2759">
      <w:pPr>
        <w:jc w:val="both"/>
        <w:rPr>
          <w:rFonts w:ascii="Calibri" w:hAnsi="Calibri"/>
          <w:sz w:val="16"/>
          <w:szCs w:val="16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9"/>
        <w:gridCol w:w="2645"/>
      </w:tblGrid>
      <w:tr w:rsidR="00ED2759" w:rsidTr="00665008">
        <w:trPr>
          <w:trHeight w:val="57"/>
        </w:trPr>
        <w:tc>
          <w:tcPr>
            <w:tcW w:w="5000" w:type="pct"/>
            <w:gridSpan w:val="2"/>
            <w:shd w:val="clear" w:color="auto" w:fill="D9D9D9"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ARRETA ORDUEN BATEZ BESTEKOA</w:t>
            </w:r>
            <w:r>
              <w:rPr>
                <w:rStyle w:val="Normal"/>
                <w:rFonts w:ascii="Calibri" w:hAnsi="Calibri"/>
                <w:b/>
                <w:sz w:val="22"/>
              </w:rPr>
              <w:t>/</w:t>
            </w:r>
            <w:r>
              <w:rPr>
                <w:rStyle w:val="Normal"/>
                <w:rFonts w:ascii="Calibri" w:hAnsi="Calibri"/>
                <w:b/>
                <w:sz w:val="22"/>
              </w:rPr>
              <w:t>HILABETEKO</w:t>
            </w:r>
            <w:r>
              <w:rPr>
                <w:rStyle w:val="Normal"/>
                <w:rFonts w:ascii="Calibri" w:hAnsi="Calibri"/>
                <w:b/>
                <w:sz w:val="22"/>
              </w:rPr>
              <w:t>/</w:t>
            </w:r>
            <w:r>
              <w:rPr>
                <w:rStyle w:val="Normal"/>
                <w:rFonts w:ascii="Calibri" w:hAnsi="Calibri"/>
                <w:b/>
                <w:sz w:val="22"/>
              </w:rPr>
              <w:t>PERTSONA BAKOITZEKO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5B9BD5" w:fill="5B9BD5"/>
            <w:vAlign w:val="bottom"/>
          </w:tcPr>
          <w:p w:rsidR="00ED2759" w:rsidRDefault="008211C6" w:rsidP="0066500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Oinarrizko Gizarte Zerbitzua</w:t>
            </w:r>
          </w:p>
        </w:tc>
        <w:tc>
          <w:tcPr>
            <w:tcW w:w="1530" w:type="pct"/>
            <w:shd w:val="clear" w:color="5B9BD5" w:fill="5B9BD5"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orduak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Allo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Altsasu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Antzin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Agoitz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Aranguren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Artaxoa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Auritz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Aiegi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42600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Barañain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Berriozar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Buñuel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Burlata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Zarrakaztelu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Cascante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Cintruénigo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Zizur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Corella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Castejón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Doneztebe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Eguesibarra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Elizondo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Lizarra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Etxar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ri Aranatz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Uharte 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Irurtzun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Izaba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Leitza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Lesaka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Bortziriak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Lodosa 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Los Arcos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Noain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Erriberri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Orkoien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Iruña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Azkoien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Gares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Zaraitzu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San Adrián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Zangoza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Tafalla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T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utera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Ultzama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Valtierra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Viana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Villatuerta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</w:p>
        </w:tc>
      </w:tr>
      <w:tr w:rsidR="00ED2759" w:rsidTr="00665008">
        <w:trPr>
          <w:trHeight w:val="57"/>
        </w:trPr>
        <w:tc>
          <w:tcPr>
            <w:tcW w:w="347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Atarrabia</w:t>
            </w:r>
          </w:p>
        </w:tc>
        <w:tc>
          <w:tcPr>
            <w:tcW w:w="1530" w:type="pct"/>
            <w:shd w:val="clear" w:color="auto" w:fill="auto"/>
            <w:noWrap/>
            <w:vAlign w:val="bottom"/>
          </w:tcPr>
          <w:p w:rsidR="00ED2759" w:rsidRDefault="008211C6" w:rsidP="006650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</w:p>
        </w:tc>
      </w:tr>
    </w:tbl>
    <w:p w:rsidR="00ED2759" w:rsidRPr="00185B36" w:rsidRDefault="008211C6" w:rsidP="00ED2759">
      <w:pPr>
        <w:jc w:val="both"/>
        <w:rPr>
          <w:rFonts w:ascii="Calibri" w:hAnsi="Calibri"/>
          <w:i/>
        </w:rPr>
      </w:pPr>
    </w:p>
    <w:p w:rsidR="00ED2759" w:rsidRPr="00185B36" w:rsidRDefault="008211C6" w:rsidP="00ED2759">
      <w:pPr>
        <w:jc w:val="both"/>
        <w:rPr>
          <w:rFonts w:ascii="Calibri" w:hAnsi="Calibri"/>
          <w:b/>
          <w:i/>
        </w:rPr>
      </w:pPr>
    </w:p>
    <w:p w:rsidR="00ED2759" w:rsidRPr="00185B36" w:rsidRDefault="008211C6" w:rsidP="00ED2759">
      <w:pPr>
        <w:jc w:val="both"/>
        <w:rPr>
          <w:rFonts w:ascii="Calibri" w:hAnsi="Calibri"/>
          <w:b/>
        </w:rPr>
      </w:pPr>
    </w:p>
    <w:p w:rsidR="00EC31C9" w:rsidRPr="0006150C" w:rsidRDefault="008211C6" w:rsidP="00EC31C9">
      <w:pPr>
        <w:spacing w:line="360" w:lineRule="auto"/>
        <w:jc w:val="both"/>
        <w:rPr>
          <w:rFonts w:ascii="Arial" w:hAnsi="Arial" w:cs="Arial"/>
        </w:rPr>
      </w:pPr>
    </w:p>
    <w:p w:rsidR="0006150C" w:rsidRPr="00C96585" w:rsidRDefault="008211C6" w:rsidP="00B67C4B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lastRenderedPageBreak/>
        <w:t xml:space="preserve">Hori guztia jakinarazten dizut Nafarroako Parlamentuko Erregelamenduaren </w:t>
      </w:r>
      <w:r>
        <w:rPr>
          <w:rStyle w:val="Normal"/>
          <w:rFonts w:ascii="Arial" w:hAnsi="Arial"/>
        </w:rPr>
        <w:t>194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artikulua betetzeko</w:t>
      </w:r>
      <w:r>
        <w:rPr>
          <w:rStyle w:val="Normal"/>
          <w:rFonts w:ascii="Arial" w:hAnsi="Arial"/>
        </w:rPr>
        <w:t>.</w:t>
      </w:r>
    </w:p>
    <w:p w:rsidR="0006150C" w:rsidRPr="00C96585" w:rsidRDefault="008211C6" w:rsidP="0006150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150C" w:rsidRPr="00C96585" w:rsidRDefault="008211C6" w:rsidP="0006150C">
      <w:pPr>
        <w:spacing w:line="360" w:lineRule="auto"/>
        <w:ind w:firstLine="708"/>
        <w:jc w:val="center"/>
        <w:outlineLvl w:val="0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2016</w:t>
      </w:r>
      <w:r>
        <w:rPr>
          <w:rStyle w:val="Normal"/>
          <w:rFonts w:ascii="Arial" w:hAnsi="Arial"/>
        </w:rPr>
        <w:t xml:space="preserve">ko ekainaren </w:t>
      </w:r>
      <w:r>
        <w:rPr>
          <w:rStyle w:val="Normal"/>
          <w:rFonts w:ascii="Arial" w:hAnsi="Arial"/>
        </w:rPr>
        <w:t>6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>.</w:t>
      </w:r>
    </w:p>
    <w:p w:rsidR="0006150C" w:rsidRPr="00C96585" w:rsidRDefault="008211C6" w:rsidP="0006150C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06150C" w:rsidRPr="00426000" w:rsidRDefault="008211C6" w:rsidP="00426000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Eskubide Sozialetako lehendakariordea</w:t>
      </w:r>
      <w:r>
        <w:rPr>
          <w:rStyle w:val="Normal"/>
          <w:rFonts w:ascii="Arial" w:hAnsi="Arial"/>
        </w:rPr>
        <w:t>:</w:t>
      </w:r>
      <w:r>
        <w:rPr>
          <w:rStyle w:val="Normal"/>
          <w:rFonts w:ascii="Arial" w:hAnsi="Arial"/>
        </w:rPr>
        <w:t xml:space="preserve"> </w:t>
      </w:r>
      <w:r>
        <w:rPr>
          <w:rStyle w:val="Normal"/>
          <w:rFonts w:ascii="Arial" w:hAnsi="Arial"/>
        </w:rPr>
        <w:t>Miguel Laparra Navarro</w:t>
      </w:r>
    </w:p>
    <w:p w:rsidR="0006150C" w:rsidRPr="00FA6849" w:rsidRDefault="008211C6" w:rsidP="00FA6849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06150C" w:rsidRPr="00FA6849" w:rsidSect="005E5A1A">
      <w:headerReference w:type="default" r:id="rId8"/>
      <w:footerReference w:type="even" r:id="rId9"/>
      <w:footerReference w:type="default" r:id="rId10"/>
      <w:pgSz w:w="11906" w:h="16838" w:code="9"/>
      <w:pgMar w:top="1588" w:right="1701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17" w:rsidRDefault="008211C6">
      <w:r>
        <w:separator/>
      </w:r>
    </w:p>
  </w:endnote>
  <w:endnote w:type="continuationSeparator" w:id="0">
    <w:p w:rsidR="004B5C17" w:rsidRDefault="0082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FC" w:rsidRPr="005E5A1A" w:rsidRDefault="008211C6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/>
        <w:sz w:val="20"/>
      </w:rPr>
      <w:tab/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PAGE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4</w:t>
    </w:r>
    <w:r>
      <w:rPr>
        <w:rStyle w:val="Nmerodepgina"/>
        <w:rFonts w:ascii="Arial" w:hAnsi="Arial"/>
        <w:sz w:val="20"/>
      </w:rPr>
      <w:fldChar w:fldCharType="end"/>
    </w:r>
    <w:r>
      <w:rPr>
        <w:rStyle w:val="Nmerodepgina"/>
        <w:rFonts w:ascii="Arial" w:hAnsi="Arial"/>
        <w:sz w:val="20"/>
      </w:rPr>
      <w:t>/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NUMPAGES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4</w:t>
    </w:r>
    <w:r>
      <w:rPr>
        <w:rStyle w:val="Nmerodepgina"/>
        <w:rFonts w:ascii="Arial" w:hAnsi="Arial"/>
        <w:sz w:val="20"/>
      </w:rPr>
      <w:fldChar w:fldCharType="end"/>
    </w:r>
    <w:r>
      <w:rPr>
        <w:rStyle w:val="Piedepgina"/>
        <w:rFonts w:ascii="Arial" w:hAnsi="Arial"/>
        <w:sz w:val="20"/>
      </w:rPr>
      <w:tab/>
    </w:r>
    <w:r>
      <w:rPr>
        <w:rStyle w:val="Piedepgina"/>
        <w:rFonts w:ascii="Arial" w:hAnsi="Arial"/>
        <w:sz w:val="20"/>
      </w:rPr>
      <w:t>9-16</w:t>
    </w:r>
    <w:r>
      <w:rPr>
        <w:rStyle w:val="Piedepgina"/>
        <w:rFonts w:ascii="Arial" w:hAnsi="Arial"/>
        <w:sz w:val="20"/>
      </w:rPr>
      <w:t>/</w:t>
    </w:r>
    <w:r>
      <w:rPr>
        <w:rStyle w:val="Piedepgina"/>
        <w:rFonts w:ascii="Arial" w:hAnsi="Arial"/>
        <w:sz w:val="20"/>
      </w:rPr>
      <w:t>PES</w:t>
    </w:r>
    <w:r>
      <w:rPr>
        <w:rStyle w:val="Piedepgina"/>
        <w:rFonts w:ascii="Arial" w:hAnsi="Arial"/>
        <w:sz w:val="20"/>
      </w:rPr>
      <w:t>-</w:t>
    </w:r>
    <w:r>
      <w:rPr>
        <w:rStyle w:val="Piedepgina"/>
        <w:rFonts w:ascii="Arial" w:hAnsi="Arial"/>
        <w:sz w:val="20"/>
      </w:rPr>
      <w:t>00214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FC" w:rsidRPr="009E1EFF" w:rsidRDefault="008211C6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/>
        <w:sz w:val="20"/>
      </w:rPr>
      <w:tab/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PAGE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1</w:t>
    </w:r>
    <w:r>
      <w:rPr>
        <w:rStyle w:val="Nmerodepgina"/>
        <w:rFonts w:ascii="Arial" w:hAnsi="Arial"/>
        <w:sz w:val="20"/>
      </w:rPr>
      <w:fldChar w:fldCharType="end"/>
    </w:r>
    <w:r>
      <w:rPr>
        <w:rStyle w:val="Nmerodepgina"/>
        <w:rFonts w:ascii="Arial" w:hAnsi="Arial"/>
        <w:sz w:val="20"/>
      </w:rPr>
      <w:t>/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NUMPAGES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5</w:t>
    </w:r>
    <w:r>
      <w:rPr>
        <w:rStyle w:val="Nmerodepgina"/>
        <w:rFonts w:ascii="Arial" w:hAnsi="Arial"/>
        <w:sz w:val="20"/>
      </w:rPr>
      <w:fldChar w:fldCharType="end"/>
    </w:r>
    <w:r>
      <w:rPr>
        <w:rStyle w:val="Piedepgina"/>
        <w:rFonts w:ascii="Arial" w:hAnsi="Arial"/>
        <w:sz w:val="20"/>
      </w:rPr>
      <w:tab/>
    </w:r>
    <w:r>
      <w:rPr>
        <w:rStyle w:val="Piedepgina"/>
        <w:rFonts w:ascii="Arial" w:hAnsi="Arial"/>
        <w:sz w:val="20"/>
      </w:rPr>
      <w:t>9-16</w:t>
    </w:r>
    <w:r>
      <w:rPr>
        <w:rStyle w:val="Piedepgina"/>
        <w:rFonts w:ascii="Arial" w:hAnsi="Arial"/>
        <w:sz w:val="20"/>
      </w:rPr>
      <w:t>/</w:t>
    </w:r>
    <w:r>
      <w:rPr>
        <w:rStyle w:val="Piedepgina"/>
        <w:rFonts w:ascii="Arial" w:hAnsi="Arial"/>
        <w:sz w:val="20"/>
      </w:rPr>
      <w:t>PES</w:t>
    </w:r>
    <w:r>
      <w:rPr>
        <w:rStyle w:val="Piedepgina"/>
        <w:rFonts w:ascii="Arial" w:hAnsi="Arial"/>
        <w:sz w:val="20"/>
      </w:rPr>
      <w:t>-</w:t>
    </w:r>
    <w:r>
      <w:rPr>
        <w:rStyle w:val="Piedepgina"/>
        <w:rFonts w:ascii="Arial" w:hAnsi="Arial"/>
        <w:sz w:val="20"/>
      </w:rPr>
      <w:t>00214</w:t>
    </w:r>
    <w:r>
      <w:rPr>
        <w:rStyle w:val="Piedepgin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17" w:rsidRDefault="008211C6">
      <w:r>
        <w:separator/>
      </w:r>
    </w:p>
  </w:footnote>
  <w:footnote w:type="continuationSeparator" w:id="0">
    <w:p w:rsidR="004B5C17" w:rsidRDefault="0082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FC" w:rsidRDefault="008211C6" w:rsidP="00360C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4169410" cy="757555"/>
          <wp:effectExtent l="0" t="0" r="254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1" t="18646" r="2335" b="60086"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DFC" w:rsidRDefault="008211C6" w:rsidP="00360CD5">
    <w:pPr>
      <w:pStyle w:val="Encabezado"/>
      <w:jc w:val="center"/>
    </w:pPr>
  </w:p>
  <w:p w:rsidR="00FE6DFC" w:rsidRDefault="008211C6" w:rsidP="00360CD5">
    <w:pPr>
      <w:pStyle w:val="Encabezado"/>
      <w:jc w:val="center"/>
    </w:pPr>
  </w:p>
  <w:p w:rsidR="00FE6DFC" w:rsidRDefault="008211C6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670"/>
    <w:multiLevelType w:val="hybridMultilevel"/>
    <w:tmpl w:val="48F6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8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4109</Characters>
  <Application>Microsoft Office Word</Application>
  <DocSecurity>0</DocSecurity>
  <Lines>2054</Lines>
  <Paragraphs>1350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De Santiago, Iñaki</cp:lastModifiedBy>
  <cp:revision>2</cp:revision>
  <cp:lastPrinted>2016-06-06T12:10:00Z</cp:lastPrinted>
  <dcterms:created xsi:type="dcterms:W3CDTF">2016-07-01T11:36:00Z</dcterms:created>
  <dcterms:modified xsi:type="dcterms:W3CDTF">2016-07-01T11:36:00Z</dcterms:modified>
</cp:coreProperties>
</file>