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A44F4" w14:textId="6391B218" w:rsidR="008D7F85" w:rsidRPr="008121CD" w:rsidRDefault="008121CD" w:rsidP="008121CD">
      <w:pPr>
        <w:jc w:val="both"/>
        <w:rPr>
          <w:rFonts w:ascii="Calibri" w:hAnsi="Calibri" w:cs="Calibri"/>
          <w:sz w:val="22"/>
          <w:szCs w:val="22"/>
        </w:rPr>
      </w:pPr>
      <w:r>
        <w:rPr>
          <w:rFonts w:ascii="Calibri" w:hAnsi="Calibri"/>
          <w:sz w:val="22"/>
        </w:rPr>
        <w:t>25MOC-21</w:t>
      </w:r>
    </w:p>
    <w:p w14:paraId="065BA9B5" w14:textId="19415A49" w:rsidR="008121CD" w:rsidRPr="008121CD" w:rsidRDefault="008121CD" w:rsidP="008121CD">
      <w:pPr>
        <w:jc w:val="both"/>
        <w:rPr>
          <w:rFonts w:ascii="Calibri" w:hAnsi="Calibri" w:cs="Calibri"/>
          <w:sz w:val="22"/>
          <w:szCs w:val="22"/>
        </w:rPr>
      </w:pPr>
      <w:r>
        <w:rPr>
          <w:rFonts w:ascii="Calibri" w:hAnsi="Calibri"/>
          <w:sz w:val="22"/>
        </w:rPr>
        <w:t>Nafarroako Gorteetako kide eta Nafarroako Alderdi Popularra (PPN) talde parlamentarioaren eledun den Javier García Jiménez jaunak, Parlamentuko Erregelamenduan xedatutakoaren babesean, honako mozio hau aurkezten du, Osoko Bilkuran eztabaidatu dadin eta Lurralde Kohesiorako Batzordean egin dakion jarraipena:</w:t>
      </w:r>
    </w:p>
    <w:p w14:paraId="058A2E31" w14:textId="0E7D4F8E" w:rsidR="008121CD" w:rsidRPr="008121CD" w:rsidRDefault="008121CD" w:rsidP="008121CD">
      <w:pPr>
        <w:jc w:val="both"/>
        <w:rPr>
          <w:rFonts w:ascii="Calibri" w:hAnsi="Calibri" w:cs="Calibri"/>
          <w:sz w:val="22"/>
          <w:szCs w:val="22"/>
        </w:rPr>
      </w:pPr>
      <w:r>
        <w:rPr>
          <w:rFonts w:ascii="Calibri" w:hAnsi="Calibri"/>
          <w:sz w:val="22"/>
        </w:rPr>
        <w:t>Zioen azalpena</w:t>
      </w:r>
    </w:p>
    <w:p w14:paraId="777B386B" w14:textId="3F9F270E" w:rsidR="008121CD" w:rsidRPr="008121CD" w:rsidRDefault="008121CD" w:rsidP="008121CD">
      <w:pPr>
        <w:jc w:val="both"/>
        <w:rPr>
          <w:rFonts w:ascii="Calibri" w:hAnsi="Calibri" w:cs="Calibri"/>
          <w:sz w:val="22"/>
          <w:szCs w:val="22"/>
        </w:rPr>
      </w:pPr>
      <w:r>
        <w:rPr>
          <w:rFonts w:ascii="Calibri" w:hAnsi="Calibri"/>
          <w:sz w:val="22"/>
        </w:rPr>
        <w:t>2024ko urrian, Nafarroako Gobernuko lehendakariak iragarri zuen Nafarroako Ubidearen bigarren fasearen balizko lizitazioa eginen zela 2025eko udaberrian. Behin proiektu hori lizitatutakoan, Nafarroako Ubidearen obra berrabiaraziko zen, bigarren fase horretan, gelditua izan baitzen eta ez baitu jarraipenik izan 2011az geroztik.</w:t>
      </w:r>
    </w:p>
    <w:p w14:paraId="3BEC7B8D" w14:textId="5D6A344E" w:rsidR="008121CD" w:rsidRPr="008121CD" w:rsidRDefault="008121CD" w:rsidP="008121CD">
      <w:pPr>
        <w:jc w:val="both"/>
        <w:rPr>
          <w:rFonts w:ascii="Calibri" w:hAnsi="Calibri" w:cs="Calibri"/>
          <w:sz w:val="22"/>
          <w:szCs w:val="22"/>
        </w:rPr>
      </w:pPr>
      <w:r>
        <w:rPr>
          <w:rFonts w:ascii="Calibri" w:hAnsi="Calibri"/>
          <w:sz w:val="22"/>
        </w:rPr>
        <w:t>Obra hori lizitatzeko, izapide administratibo, ekonomiko eta finantzario garrantzitsuak ebatzi behar dira, duela zenbait urtetik ebatzi gabe daudenak; ez dugu horien gaur egungo egoeraren berri, eta beraz, ezta horien amaieraren berri ere.</w:t>
      </w:r>
    </w:p>
    <w:p w14:paraId="67C4379A" w14:textId="49243DBC" w:rsidR="008121CD" w:rsidRPr="008121CD" w:rsidRDefault="008121CD" w:rsidP="008121CD">
      <w:pPr>
        <w:jc w:val="both"/>
        <w:rPr>
          <w:rFonts w:ascii="Calibri" w:hAnsi="Calibri" w:cs="Calibri"/>
          <w:sz w:val="22"/>
          <w:szCs w:val="22"/>
        </w:rPr>
      </w:pPr>
      <w:r>
        <w:rPr>
          <w:rFonts w:ascii="Calibri" w:hAnsi="Calibri"/>
          <w:sz w:val="22"/>
        </w:rPr>
        <w:t>Canasa sozietate publikoak (% 60 Gobernu zentrala, % 40 Nafarroako Gobernua), obra lizitatzeko arduradun denak, zor-bolumen izugarri handia du gaur egun, eta horren ondorioz, ezin du lizitaziorik egin. Gainera, merkatuan kredituak eskuratzeko ziurgabetasun eta arrisku handia du, non eta ez duten Nafarroako Gobernuak eta Gobernu zentralak bitartekari gisa jarduten eta babesa adierazten.</w:t>
      </w:r>
    </w:p>
    <w:p w14:paraId="30FDF469" w14:textId="05E6D947" w:rsidR="008121CD" w:rsidRPr="008121CD" w:rsidRDefault="008121CD" w:rsidP="008121CD">
      <w:pPr>
        <w:jc w:val="both"/>
        <w:rPr>
          <w:rFonts w:ascii="Calibri" w:hAnsi="Calibri" w:cs="Calibri"/>
          <w:sz w:val="22"/>
          <w:szCs w:val="22"/>
        </w:rPr>
      </w:pPr>
      <w:r>
        <w:rPr>
          <w:rFonts w:ascii="Calibri" w:hAnsi="Calibri"/>
          <w:sz w:val="22"/>
        </w:rPr>
        <w:t>Ebazteke dagoen beste egoera bat da izapide administratibo osagarriaren ebazpenarena, eta ez dugu horren amaiera-data posiblearen berri.</w:t>
      </w:r>
    </w:p>
    <w:p w14:paraId="2F0DFA54" w14:textId="66934A3D" w:rsidR="008121CD" w:rsidRPr="008121CD" w:rsidRDefault="008121CD" w:rsidP="008121CD">
      <w:pPr>
        <w:jc w:val="both"/>
        <w:rPr>
          <w:rFonts w:ascii="Calibri" w:hAnsi="Calibri" w:cs="Calibri"/>
          <w:sz w:val="22"/>
          <w:szCs w:val="22"/>
        </w:rPr>
      </w:pPr>
      <w:r>
        <w:rPr>
          <w:rFonts w:ascii="Calibri" w:hAnsi="Calibri"/>
          <w:sz w:val="22"/>
        </w:rPr>
        <w:t>Nafarroako Ubidearen bigarren fasea izan zen Itoizko urtegia eraikitzeko justifikazio nagusia, eta gaur egun ez da probetxurik ateratzen hortik.</w:t>
      </w:r>
    </w:p>
    <w:p w14:paraId="6DF8BE8F" w14:textId="4B68D7BD" w:rsidR="008121CD" w:rsidRDefault="008121CD" w:rsidP="008121CD">
      <w:pPr>
        <w:jc w:val="both"/>
        <w:rPr>
          <w:rFonts w:ascii="Calibri" w:hAnsi="Calibri" w:cs="Calibri"/>
          <w:sz w:val="22"/>
          <w:szCs w:val="22"/>
        </w:rPr>
      </w:pPr>
      <w:r>
        <w:rPr>
          <w:rFonts w:ascii="Calibri" w:hAnsi="Calibri"/>
          <w:sz w:val="22"/>
        </w:rPr>
        <w:t>Proiektu hau estrategikoa eta biziki garrantzitsua da Nafarroako Erdialdeko zati bateko eta Erribera osoko hiri-, industria- eta nekazaritza-hornidurarako.</w:t>
      </w:r>
    </w:p>
    <w:p w14:paraId="39A87878" w14:textId="01B0FF72" w:rsidR="008121CD" w:rsidRPr="008121CD" w:rsidRDefault="008121CD" w:rsidP="008121CD">
      <w:pPr>
        <w:jc w:val="both"/>
        <w:rPr>
          <w:rFonts w:ascii="Calibri" w:hAnsi="Calibri" w:cs="Calibri"/>
          <w:sz w:val="22"/>
          <w:szCs w:val="22"/>
        </w:rPr>
      </w:pPr>
      <w:r>
        <w:rPr>
          <w:rFonts w:ascii="Calibri" w:hAnsi="Calibri"/>
          <w:sz w:val="22"/>
        </w:rPr>
        <w:t>Bigarren fasearen egungo proiektuak kanpo uzten zituen Erriberako eta Nafarroako Erdialdeko hamabost udalerritik gora, eta beraz, horiek ezin izanen lukete Itoizko ura probestu.</w:t>
      </w:r>
    </w:p>
    <w:p w14:paraId="4625742B" w14:textId="5B232857" w:rsidR="008121CD" w:rsidRPr="008121CD" w:rsidRDefault="008121CD" w:rsidP="008121CD">
      <w:pPr>
        <w:jc w:val="both"/>
        <w:rPr>
          <w:rFonts w:ascii="Calibri" w:hAnsi="Calibri" w:cs="Calibri"/>
          <w:sz w:val="22"/>
          <w:szCs w:val="22"/>
        </w:rPr>
      </w:pPr>
      <w:r>
        <w:rPr>
          <w:rFonts w:ascii="Calibri" w:hAnsi="Calibri"/>
          <w:sz w:val="22"/>
        </w:rPr>
        <w:t>Kontuan hartuta eremu horietan kalitatezko uraren erabilgarritasunaren eskasia dagoela gaur egun eta egonen dela datozen hamarkadetan, proiektu hau funtsezkoa da Nafarroa erdiaren etorkizuneko garapenerako.</w:t>
      </w:r>
    </w:p>
    <w:p w14:paraId="13859C98" w14:textId="2ED2B50F" w:rsidR="008121CD" w:rsidRPr="008121CD" w:rsidRDefault="008121CD" w:rsidP="008121CD">
      <w:pPr>
        <w:jc w:val="both"/>
        <w:rPr>
          <w:rFonts w:ascii="Calibri" w:hAnsi="Calibri" w:cs="Calibri"/>
          <w:b/>
          <w:bCs/>
          <w:sz w:val="22"/>
          <w:szCs w:val="22"/>
        </w:rPr>
      </w:pPr>
      <w:r>
        <w:rPr>
          <w:rFonts w:ascii="Calibri" w:hAnsi="Calibri"/>
          <w:sz w:val="22"/>
        </w:rPr>
        <w:t>Horregatik guztiagatik, Nafarroako Parlamentuak honako erabaki-proposamen hau onesten du:</w:t>
      </w:r>
    </w:p>
    <w:p w14:paraId="62853FF5" w14:textId="339CD0F5" w:rsidR="008121CD" w:rsidRPr="008121CD" w:rsidRDefault="008121CD" w:rsidP="008121CD">
      <w:pPr>
        <w:jc w:val="both"/>
        <w:rPr>
          <w:rFonts w:ascii="Calibri" w:hAnsi="Calibri" w:cs="Calibri"/>
          <w:sz w:val="22"/>
          <w:szCs w:val="22"/>
        </w:rPr>
      </w:pPr>
      <w:r>
        <w:rPr>
          <w:rFonts w:ascii="Calibri" w:hAnsi="Calibri"/>
          <w:sz w:val="22"/>
        </w:rPr>
        <w:t>1. Nafarroako Gobernua premiatzen da Espainiako Gobernuarekin batera lehenbailehen eman diezaion konponbidea Canasa sozietate publikoaren finantza-egoerari, udaberrian lizitatzeko Nafarroako Ubidearen bigarren fasearen obra, Chivite lehendakariak iragarri zuen eran.</w:t>
      </w:r>
    </w:p>
    <w:p w14:paraId="73F9ADCD" w14:textId="7E399397" w:rsidR="008121CD" w:rsidRPr="008121CD" w:rsidRDefault="008121CD" w:rsidP="008121CD">
      <w:pPr>
        <w:jc w:val="both"/>
        <w:rPr>
          <w:rFonts w:ascii="Calibri" w:hAnsi="Calibri" w:cs="Calibri"/>
          <w:sz w:val="22"/>
          <w:szCs w:val="22"/>
        </w:rPr>
      </w:pPr>
      <w:r>
        <w:rPr>
          <w:rFonts w:ascii="Calibri" w:hAnsi="Calibri"/>
          <w:sz w:val="22"/>
        </w:rPr>
        <w:t>2. Bi gobernuek sinatu dezaten “Lankidetza hitzarmenaren eguneratzea”, non jasoko baitira obra honekiko konpromiso ekonomikoak eta finantzarioak, bai eta ekarpen ekonomikoen handitzea ere, lehenengo fasean eta haren hedapenean egin zen eran.</w:t>
      </w:r>
    </w:p>
    <w:p w14:paraId="458ED74F" w14:textId="5A447E05" w:rsidR="008121CD" w:rsidRPr="008121CD" w:rsidRDefault="008121CD" w:rsidP="008121CD">
      <w:pPr>
        <w:jc w:val="both"/>
        <w:rPr>
          <w:rFonts w:ascii="Calibri" w:hAnsi="Calibri" w:cs="Calibri"/>
          <w:sz w:val="22"/>
          <w:szCs w:val="22"/>
        </w:rPr>
      </w:pPr>
      <w:r>
        <w:rPr>
          <w:rFonts w:ascii="Calibri" w:hAnsi="Calibri"/>
          <w:sz w:val="22"/>
        </w:rPr>
        <w:lastRenderedPageBreak/>
        <w:t>3. Nafarroako Gobernua premiatzen da Gobernu zentralari eta haren erakunde publikoei exijitu diezaien ebatz ditzatela egiteke dauden izapide guztiak, balizko lizitazioa ez dadin geldiarazi.</w:t>
      </w:r>
    </w:p>
    <w:p w14:paraId="5891A949" w14:textId="56BBE4A1" w:rsidR="008121CD" w:rsidRPr="008121CD" w:rsidRDefault="008121CD" w:rsidP="008121CD">
      <w:pPr>
        <w:jc w:val="both"/>
        <w:rPr>
          <w:rFonts w:ascii="Calibri" w:hAnsi="Calibri" w:cs="Calibri"/>
          <w:sz w:val="22"/>
          <w:szCs w:val="22"/>
        </w:rPr>
      </w:pPr>
      <w:r>
        <w:rPr>
          <w:rFonts w:ascii="Calibri" w:hAnsi="Calibri"/>
          <w:sz w:val="22"/>
        </w:rPr>
        <w:t>4. Nafarroako Gobernua premiatzen da azter dezan bigarren faseko proiektuan sartutako udalerri eta eremu ureztagarriak zabaltzeko aukera, onurak Nafarroako zati handi batera hedatu ahal izateko horrela.</w:t>
      </w:r>
    </w:p>
    <w:p w14:paraId="67183F9E" w14:textId="77777777" w:rsidR="008121CD" w:rsidRPr="008121CD" w:rsidRDefault="008121CD" w:rsidP="008121CD">
      <w:pPr>
        <w:jc w:val="both"/>
        <w:rPr>
          <w:rFonts w:ascii="Calibri" w:hAnsi="Calibri" w:cs="Calibri"/>
          <w:sz w:val="22"/>
          <w:szCs w:val="22"/>
        </w:rPr>
      </w:pPr>
      <w:r>
        <w:rPr>
          <w:rFonts w:ascii="Calibri" w:hAnsi="Calibri"/>
          <w:sz w:val="22"/>
        </w:rPr>
        <w:t>Iruñean, 2025eko otsailaren 11n</w:t>
      </w:r>
    </w:p>
    <w:p w14:paraId="1D99E94A" w14:textId="56E0B6FF" w:rsidR="008121CD" w:rsidRPr="00155A14" w:rsidRDefault="00155A14" w:rsidP="008121CD">
      <w:pPr>
        <w:jc w:val="both"/>
        <w:rPr>
          <w:rFonts w:ascii="Calibri" w:hAnsi="Calibri" w:cs="Calibri"/>
          <w:sz w:val="22"/>
          <w:szCs w:val="22"/>
        </w:rPr>
      </w:pPr>
      <w:r>
        <w:rPr>
          <w:rFonts w:ascii="Calibri" w:hAnsi="Calibri"/>
          <w:sz w:val="22"/>
        </w:rPr>
        <w:t>Foru parlamentaria: Javier García Jiménez</w:t>
      </w:r>
    </w:p>
    <w:sectPr w:rsidR="008121CD" w:rsidRPr="00155A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CD"/>
    <w:rsid w:val="00155A14"/>
    <w:rsid w:val="001B0ED6"/>
    <w:rsid w:val="003E3E22"/>
    <w:rsid w:val="005762CC"/>
    <w:rsid w:val="00600DE2"/>
    <w:rsid w:val="0066283F"/>
    <w:rsid w:val="008121CD"/>
    <w:rsid w:val="008D7F85"/>
    <w:rsid w:val="00904E8A"/>
    <w:rsid w:val="00A36075"/>
    <w:rsid w:val="00A877BA"/>
    <w:rsid w:val="00B0049F"/>
    <w:rsid w:val="00C01BD6"/>
    <w:rsid w:val="00E2340F"/>
    <w:rsid w:val="00E872DF"/>
    <w:rsid w:val="00FA67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14F9"/>
  <w15:chartTrackingRefBased/>
  <w15:docId w15:val="{FD5C6EDA-3BEF-407C-876B-B7766118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2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12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121C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121C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121C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121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121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121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121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21C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121C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121C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121C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121C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121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121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121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121CD"/>
    <w:rPr>
      <w:rFonts w:eastAsiaTheme="majorEastAsia" w:cstheme="majorBidi"/>
      <w:color w:val="272727" w:themeColor="text1" w:themeTint="D8"/>
    </w:rPr>
  </w:style>
  <w:style w:type="paragraph" w:styleId="Ttulo">
    <w:name w:val="Title"/>
    <w:basedOn w:val="Normal"/>
    <w:next w:val="Normal"/>
    <w:link w:val="TtuloCar"/>
    <w:uiPriority w:val="10"/>
    <w:qFormat/>
    <w:rsid w:val="00812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121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121C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121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121CD"/>
    <w:pPr>
      <w:spacing w:before="160"/>
      <w:jc w:val="center"/>
    </w:pPr>
    <w:rPr>
      <w:i/>
      <w:iCs/>
      <w:color w:val="404040" w:themeColor="text1" w:themeTint="BF"/>
    </w:rPr>
  </w:style>
  <w:style w:type="character" w:customStyle="1" w:styleId="CitaCar">
    <w:name w:val="Cita Car"/>
    <w:basedOn w:val="Fuentedeprrafopredeter"/>
    <w:link w:val="Cita"/>
    <w:uiPriority w:val="29"/>
    <w:rsid w:val="008121CD"/>
    <w:rPr>
      <w:i/>
      <w:iCs/>
      <w:color w:val="404040" w:themeColor="text1" w:themeTint="BF"/>
    </w:rPr>
  </w:style>
  <w:style w:type="paragraph" w:styleId="Prrafodelista">
    <w:name w:val="List Paragraph"/>
    <w:basedOn w:val="Normal"/>
    <w:uiPriority w:val="34"/>
    <w:qFormat/>
    <w:rsid w:val="008121CD"/>
    <w:pPr>
      <w:ind w:left="720"/>
      <w:contextualSpacing/>
    </w:pPr>
  </w:style>
  <w:style w:type="character" w:styleId="nfasisintenso">
    <w:name w:val="Intense Emphasis"/>
    <w:basedOn w:val="Fuentedeprrafopredeter"/>
    <w:uiPriority w:val="21"/>
    <w:qFormat/>
    <w:rsid w:val="008121CD"/>
    <w:rPr>
      <w:i/>
      <w:iCs/>
      <w:color w:val="0F4761" w:themeColor="accent1" w:themeShade="BF"/>
    </w:rPr>
  </w:style>
  <w:style w:type="paragraph" w:styleId="Citadestacada">
    <w:name w:val="Intense Quote"/>
    <w:basedOn w:val="Normal"/>
    <w:next w:val="Normal"/>
    <w:link w:val="CitadestacadaCar"/>
    <w:uiPriority w:val="30"/>
    <w:qFormat/>
    <w:rsid w:val="00812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121CD"/>
    <w:rPr>
      <w:i/>
      <w:iCs/>
      <w:color w:val="0F4761" w:themeColor="accent1" w:themeShade="BF"/>
    </w:rPr>
  </w:style>
  <w:style w:type="character" w:styleId="Referenciaintensa">
    <w:name w:val="Intense Reference"/>
    <w:basedOn w:val="Fuentedeprrafopredeter"/>
    <w:uiPriority w:val="32"/>
    <w:qFormat/>
    <w:rsid w:val="008121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489</Words>
  <Characters>2691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2</cp:revision>
  <dcterms:created xsi:type="dcterms:W3CDTF">2025-02-14T06:54:00Z</dcterms:created>
  <dcterms:modified xsi:type="dcterms:W3CDTF">2025-02-21T08:17:00Z</dcterms:modified>
</cp:coreProperties>
</file>