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A50AE" w14:textId="1F82F971" w:rsidR="0053088B" w:rsidRDefault="0053088B" w:rsidP="0053088B">
      <w:pPr>
        <w:pStyle w:val="Style"/>
        <w:spacing w:before="100" w:beforeAutospacing="1" w:after="200" w:line="276" w:lineRule="auto"/>
        <w:ind w:left="567" w:right="567"/>
        <w:jc w:val="both"/>
        <w:textAlignment w:val="baseline"/>
        <w:rPr>
          <w:sz w:val="22"/>
          <w:szCs w:val="22"/>
          <w:rFonts w:ascii="Calibri" w:eastAsia="Arial" w:hAnsi="Calibri" w:cs="Calibri"/>
        </w:rPr>
      </w:pPr>
      <w:r>
        <w:rPr>
          <w:sz w:val="22"/>
          <w:rFonts w:ascii="Calibri" w:hAnsi="Calibri"/>
        </w:rPr>
        <w:t xml:space="preserve">24MOC-149</w:t>
      </w:r>
    </w:p>
    <w:p w14:paraId="65A94FAD" w14:textId="1C318842" w:rsidR="0053088B" w:rsidRPr="0053088B" w:rsidRDefault="0053088B" w:rsidP="0053088B">
      <w:pPr>
        <w:pStyle w:val="Style"/>
        <w:spacing w:before="100" w:beforeAutospacing="1" w:after="200" w:line="276" w:lineRule="auto"/>
        <w:ind w:left="567" w:right="567"/>
        <w:jc w:val="both"/>
        <w:textAlignment w:val="baseline"/>
        <w:rPr>
          <w:sz w:val="22"/>
          <w:szCs w:val="22"/>
          <w:rFonts w:ascii="Calibri" w:hAnsi="Calibri" w:cs="Calibri"/>
        </w:rPr>
      </w:pPr>
      <w:r>
        <w:rPr>
          <w:sz w:val="22"/>
          <w:rFonts w:ascii="Calibri" w:hAnsi="Calibri"/>
        </w:rPr>
        <w:t xml:space="preserve">Contigo Navarra-Zurekin Nafarroa talde parlamentarioko Carlos Guzmán Pérez parlamentariak, Legebiltzarreko Erregelamenduan ezarritakoaren babesean, honako mozio hau aurkezten du, Parlamentuko Landa Garapeneko eta Ingurumeneko Batzordean albait lasterren eztabaidatzeko:</w:t>
      </w:r>
    </w:p>
    <w:p w14:paraId="2B629ACE" w14:textId="7A78C641" w:rsidR="0053088B" w:rsidRPr="0053088B" w:rsidRDefault="0053088B" w:rsidP="0053088B">
      <w:pPr>
        <w:pStyle w:val="Style"/>
        <w:spacing w:before="100" w:beforeAutospacing="1" w:after="200" w:line="276" w:lineRule="auto"/>
        <w:ind w:left="567" w:right="567"/>
        <w:jc w:val="both"/>
        <w:textAlignment w:val="baseline"/>
        <w:rPr>
          <w:sz w:val="22"/>
          <w:szCs w:val="22"/>
          <w:rFonts w:ascii="Calibri" w:hAnsi="Calibri" w:cs="Calibri"/>
        </w:rPr>
      </w:pPr>
      <w:r>
        <w:rPr>
          <w:sz w:val="22"/>
          <w:rFonts w:ascii="Calibri" w:hAnsi="Calibri"/>
        </w:rPr>
        <w:t xml:space="preserve">Mozio hau betetzeari buruzko jarraipena Nafarroako Parlamentuko Landa Garapeneko eta Ingurumeneko Batzordean egin dadila eskatzen dugu.</w:t>
      </w:r>
    </w:p>
    <w:p w14:paraId="39DFDBBC" w14:textId="7C75CD31" w:rsidR="0053088B" w:rsidRPr="0053088B" w:rsidRDefault="0053088B" w:rsidP="0053088B">
      <w:pPr>
        <w:pStyle w:val="Style"/>
        <w:spacing w:before="100" w:beforeAutospacing="1" w:after="200" w:line="276" w:lineRule="auto"/>
        <w:ind w:left="567" w:right="567"/>
        <w:jc w:val="both"/>
        <w:textAlignment w:val="baseline"/>
        <w:rPr>
          <w:bCs/>
          <w:sz w:val="22"/>
          <w:szCs w:val="22"/>
          <w:rFonts w:ascii="Calibri" w:hAnsi="Calibri" w:cs="Calibri"/>
        </w:rPr>
      </w:pPr>
      <w:r>
        <w:rPr>
          <w:sz w:val="22"/>
          <w:rFonts w:ascii="Calibri" w:hAnsi="Calibri"/>
        </w:rPr>
        <w:t xml:space="preserve">Zioen azalpena</w:t>
      </w:r>
    </w:p>
    <w:p w14:paraId="620EA32C" w14:textId="77777777" w:rsidR="0053088B" w:rsidRPr="0053088B" w:rsidRDefault="0053088B" w:rsidP="0053088B">
      <w:pPr>
        <w:pStyle w:val="Style"/>
        <w:spacing w:before="100" w:beforeAutospacing="1" w:after="200" w:line="276" w:lineRule="auto"/>
        <w:ind w:left="567" w:right="567"/>
        <w:jc w:val="both"/>
        <w:textAlignment w:val="baseline"/>
        <w:rPr>
          <w:sz w:val="22"/>
          <w:szCs w:val="22"/>
          <w:rFonts w:ascii="Calibri" w:hAnsi="Calibri" w:cs="Calibri"/>
        </w:rPr>
      </w:pPr>
      <w:r>
        <w:rPr>
          <w:sz w:val="22"/>
          <w:rFonts w:ascii="Calibri" w:hAnsi="Calibri"/>
        </w:rPr>
        <w:t xml:space="preserve">Alde handia dago elikagaiak Europar Batasunean eta munduko gainontzeko herrialdeetan nola ekoizten diren.</w:t>
      </w:r>
      <w:r>
        <w:rPr>
          <w:sz w:val="22"/>
          <w:rFonts w:ascii="Calibri" w:hAnsi="Calibri"/>
        </w:rPr>
        <w:t xml:space="preserve"> </w:t>
      </w:r>
      <w:r>
        <w:rPr>
          <w:sz w:val="22"/>
          <w:rFonts w:ascii="Calibri" w:hAnsi="Calibri"/>
        </w:rPr>
        <w:t xml:space="preserve">Ezberdintasun horiek, tradizionalki, merkataritza askeari jarritako oztopo modura hartu dituzte gure merkataritza-bazkideetako batzuek, inportatutako elikagaiekiko legezko betekizun bihurtu direnean.</w:t>
      </w:r>
      <w:r>
        <w:rPr>
          <w:sz w:val="22"/>
          <w:rFonts w:ascii="Calibri" w:hAnsi="Calibri"/>
        </w:rPr>
        <w:t xml:space="preserve"> </w:t>
      </w:r>
      <w:r>
        <w:rPr>
          <w:sz w:val="22"/>
          <w:rFonts w:ascii="Calibri" w:hAnsi="Calibri"/>
        </w:rPr>
        <w:t xml:space="preserve">Halere, kontsumitzaileei begira beti ekarri dituzte berme handiagoak ingurumenarekiko ekoizpen begirunetsuari, animalien ongizateari eta elikadura-segurtasunari begira, nahiz eta ekoizpen-kostua handiagoa den elikagai-ekoizpeneko beste eredu malguago batzuetan baino.</w:t>
      </w:r>
    </w:p>
    <w:p w14:paraId="69B7FA72" w14:textId="2BECDAF4" w:rsidR="00B065BA" w:rsidRPr="0053088B" w:rsidRDefault="0053088B" w:rsidP="0053088B">
      <w:pPr>
        <w:pStyle w:val="Style"/>
        <w:spacing w:before="100" w:beforeAutospacing="1" w:after="200" w:line="276" w:lineRule="auto"/>
        <w:ind w:left="567" w:right="567"/>
        <w:jc w:val="both"/>
        <w:textAlignment w:val="baseline"/>
        <w:rPr>
          <w:sz w:val="22"/>
          <w:szCs w:val="22"/>
          <w:rFonts w:ascii="Calibri" w:hAnsi="Calibri" w:cs="Calibri"/>
        </w:rPr>
      </w:pPr>
      <w:r>
        <w:rPr>
          <w:sz w:val="22"/>
          <w:rFonts w:ascii="Calibri" w:hAnsi="Calibri"/>
        </w:rPr>
        <w:t xml:space="preserve">Historikoki, Europako ekoizleak Europako araudi zorrotzarekin ados egon dira, zeren, elikadura-subiranotasunerako eskubidea daukagulako erakusgarria izateaz gain, munduko beste ekoizpen-modu batzuekiko aldea erakusten baitzuen, eta horrek, zeharka, Europan ekoitzitako elikagaiekiko errekonozimendua bermatzen zuen.</w:t>
      </w:r>
      <w:r>
        <w:rPr>
          <w:sz w:val="22"/>
          <w:rFonts w:ascii="Calibri" w:hAnsi="Calibri"/>
        </w:rPr>
        <w:t xml:space="preserve"> </w:t>
      </w:r>
      <w:r>
        <w:rPr>
          <w:sz w:val="22"/>
          <w:rFonts w:ascii="Calibri" w:hAnsi="Calibri"/>
        </w:rPr>
        <w:t xml:space="preserve">Merkatuen egungo desarautze gorenak eta merkataritza-irekitze etengabeak, ordea, berekin ekarri dute  prezioaren, errekonozimenduaren eta araudiaren arteko oreka hauskorra desagertu izana.</w:t>
      </w:r>
    </w:p>
    <w:p w14:paraId="1DC52D40" w14:textId="77777777" w:rsidR="0053088B" w:rsidRPr="0053088B" w:rsidRDefault="0053088B" w:rsidP="0053088B">
      <w:pPr>
        <w:pStyle w:val="Style"/>
        <w:spacing w:before="100" w:beforeAutospacing="1" w:after="200" w:line="276" w:lineRule="auto"/>
        <w:ind w:left="567" w:right="567"/>
        <w:jc w:val="both"/>
        <w:textAlignment w:val="baseline"/>
        <w:rPr>
          <w:sz w:val="22"/>
          <w:szCs w:val="22"/>
          <w:rFonts w:ascii="Calibri" w:hAnsi="Calibri" w:cs="Calibri"/>
        </w:rPr>
      </w:pPr>
      <w:r>
        <w:rPr>
          <w:sz w:val="22"/>
          <w:rFonts w:ascii="Calibri" w:hAnsi="Calibri"/>
        </w:rPr>
        <w:t xml:space="preserve">Munduko Merkataritza Antolakundeak (MMA) urteak daramatza akordio multilateral handi bat sina dadin saiatzen, elikadura-subiranotasunaren arloko nazioarteko exijentziak murrizten laguntzeko (merkataritzari jarritako oztopo teknikoak deritzenak).</w:t>
      </w:r>
      <w:r>
        <w:rPr>
          <w:sz w:val="22"/>
          <w:rFonts w:ascii="Calibri" w:hAnsi="Calibri"/>
        </w:rPr>
        <w:t xml:space="preserve"> </w:t>
      </w:r>
      <w:r>
        <w:rPr>
          <w:sz w:val="22"/>
          <w:rFonts w:ascii="Calibri" w:hAnsi="Calibri"/>
        </w:rPr>
        <w:t xml:space="preserve">Akordio multilateral handi hori bilatzen den bitartean, Munduko Merkataritza Antolakundeko herrialde guztien konpromisoa da "erregulazio-kooperazioa" deritzon horretan lan egitea ( merkataritzari jarritako oztopoak eta muga-zergazkoak ez diren oztopoak murriztera bideratutako arauak onestea, administrazio-kostuak murrizteko, prozesu logistikoak sinplifikatzeko eta erregulazioak hurbiltzeko –teorian–).</w:t>
      </w:r>
    </w:p>
    <w:p w14:paraId="303D5E40" w14:textId="4CFB1506" w:rsidR="0053088B" w:rsidRPr="0053088B" w:rsidRDefault="0053088B" w:rsidP="0053088B">
      <w:pPr>
        <w:pStyle w:val="Style"/>
        <w:spacing w:before="100" w:beforeAutospacing="1" w:after="200" w:line="276" w:lineRule="auto"/>
        <w:ind w:left="567" w:right="567"/>
        <w:jc w:val="both"/>
        <w:textAlignment w:val="baseline"/>
        <w:rPr>
          <w:sz w:val="22"/>
          <w:szCs w:val="22"/>
          <w:rFonts w:ascii="Calibri" w:hAnsi="Calibri" w:cs="Calibri"/>
        </w:rPr>
      </w:pPr>
      <w:r>
        <w:rPr>
          <w:sz w:val="22"/>
          <w:rFonts w:ascii="Calibri" w:hAnsi="Calibri"/>
        </w:rPr>
        <w:t xml:space="preserve">Munduko herrialderik aberatsenek urteak daramatzate jorratzen, MMAren negoziazioak egiten diren aldi berean, merkataritza askeko aldebiko tratatuak, erregulazio-lankidetza eta merkataritza askea behartzen dutenak bi herrialderen edo bi herrialde-talderen artean.</w:t>
      </w:r>
      <w:r>
        <w:rPr>
          <w:sz w:val="22"/>
          <w:rFonts w:ascii="Calibri" w:hAnsi="Calibri"/>
        </w:rPr>
        <w:t xml:space="preserve"> </w:t>
      </w:r>
      <w:r>
        <w:rPr>
          <w:sz w:val="22"/>
          <w:rFonts w:ascii="Calibri" w:hAnsi="Calibri"/>
        </w:rPr>
        <w:t xml:space="preserve">Hartara, gardenak eta demokratikoak ez diren negoziazio-metodoen bidez, estatuek zenbait kontutan amore ematea lortzen dute.</w:t>
      </w:r>
    </w:p>
    <w:p w14:paraId="3D55955E" w14:textId="51EEFA1C" w:rsidR="0053088B" w:rsidRPr="0053088B" w:rsidRDefault="0053088B" w:rsidP="0053088B">
      <w:pPr>
        <w:pStyle w:val="Style"/>
        <w:spacing w:before="100" w:beforeAutospacing="1" w:after="200" w:line="276" w:lineRule="auto"/>
        <w:ind w:left="567" w:right="567"/>
        <w:jc w:val="both"/>
        <w:textAlignment w:val="baseline"/>
        <w:rPr>
          <w:sz w:val="22"/>
          <w:szCs w:val="22"/>
          <w:rFonts w:ascii="Calibri" w:hAnsi="Calibri" w:cs="Calibri"/>
        </w:rPr>
      </w:pPr>
      <w:r>
        <w:rPr>
          <w:sz w:val="22"/>
          <w:rFonts w:ascii="Calibri" w:hAnsi="Calibri"/>
        </w:rPr>
        <w:t xml:space="preserve">Negoziazio eta akordio mota horren arazoa da urteak daramatzatela Europako ekoizpen-ereduari kalte egiten –eta, hortaz, gure elikadura-subiranotasunari–, zeren erregulazio-lankidetza beti lausotzen ditu exijentziak, enpresa eta kapital handien interesen mesedetan (horiek dira akordio-mota hori bultzatu eta hortik etekina egiaz ateratzen dutenak).</w:t>
      </w:r>
      <w:r>
        <w:rPr>
          <w:sz w:val="22"/>
          <w:rFonts w:ascii="Calibri" w:hAnsi="Calibri"/>
        </w:rPr>
        <w:t xml:space="preserve"> </w:t>
      </w:r>
      <w:r>
        <w:rPr>
          <w:sz w:val="22"/>
          <w:rFonts w:ascii="Calibri" w:hAnsi="Calibri"/>
        </w:rPr>
        <w:t xml:space="preserve">Adibidez, TTIP oneste aldera Europar Batasunak eta Estatu Batuek izandako negoziazioen ondorioz (ez ziren sekula burutu), 2013an baimendu egin zen Europar Batasunean azido laktikoa erabiltzea hausnarkarien kanalak higienizatzeko –lehen debeku zen hori egitea–, eta orain Europako harakintza-industriak higienizatzaile hori erabiltzen du kontsumitzaileek horretaz jabetu gabe.</w:t>
      </w:r>
    </w:p>
    <w:p w14:paraId="17500201" w14:textId="77777777" w:rsidR="0053088B" w:rsidRPr="0053088B" w:rsidRDefault="0053088B" w:rsidP="0053088B">
      <w:pPr>
        <w:pStyle w:val="Style"/>
        <w:spacing w:before="100" w:beforeAutospacing="1" w:after="200" w:line="276" w:lineRule="auto"/>
        <w:ind w:left="567" w:right="567"/>
        <w:jc w:val="both"/>
        <w:textAlignment w:val="baseline"/>
        <w:rPr>
          <w:sz w:val="22"/>
          <w:szCs w:val="22"/>
          <w:rFonts w:ascii="Calibri" w:hAnsi="Calibri" w:cs="Calibri"/>
        </w:rPr>
      </w:pPr>
      <w:r>
        <w:rPr>
          <w:sz w:val="22"/>
          <w:rFonts w:ascii="Calibri" w:hAnsi="Calibri"/>
        </w:rPr>
        <w:t xml:space="preserve">Europar Batasuneko enpresek inportatutako elikagai gehienak askoz ere merkeagoak dira gaur egun Espainiak ekoitzitakoak baino, zeren Europar Batasunak eta gure gobernuek gure nekazariei eta abeltzainei ekoizpen-arau zorrotzak ezartzen dizkieten bitartean erraztu egiten baitute elikadura-segurtasuneko, animalien ongizateko, ingurumen-inpaktuko edo lan-baldintzetako estandar malguagoekin ekoitzitako elikagaiak sartzea gurean.</w:t>
      </w:r>
      <w:r>
        <w:rPr>
          <w:sz w:val="22"/>
          <w:rFonts w:ascii="Calibri" w:hAnsi="Calibri"/>
        </w:rPr>
        <w:t xml:space="preserve"> </w:t>
      </w:r>
      <w:r>
        <w:rPr>
          <w:sz w:val="22"/>
          <w:rFonts w:ascii="Calibri" w:hAnsi="Calibri"/>
        </w:rPr>
        <w:t xml:space="preserve">Inportazioen sarrera-prezioek urteak daramatzate presioa egiten gure ekoizleei ordaindutako prezioak jaits daitezen; izan ere, elikagaien enpresek kanpoan erosten dute hemen ordaindu nahi ez dutena.</w:t>
      </w:r>
      <w:r>
        <w:rPr>
          <w:sz w:val="22"/>
          <w:rFonts w:ascii="Calibri" w:hAnsi="Calibri"/>
        </w:rPr>
        <w:t xml:space="preserve"> </w:t>
      </w:r>
      <w:r>
        <w:rPr>
          <w:sz w:val="22"/>
          <w:rFonts w:ascii="Calibri" w:hAnsi="Calibri"/>
        </w:rPr>
        <w:t xml:space="preserve">Gainera, ustiategien diru-sarreren zatirik handiena egiten du ekoizleek jasotzen duten prezioak.</w:t>
      </w:r>
    </w:p>
    <w:p w14:paraId="7369A572" w14:textId="77777777" w:rsidR="0053088B" w:rsidRPr="0053088B" w:rsidRDefault="0053088B" w:rsidP="0053088B">
      <w:pPr>
        <w:pStyle w:val="Style"/>
        <w:spacing w:before="100" w:beforeAutospacing="1" w:after="200" w:line="276" w:lineRule="auto"/>
        <w:ind w:left="567" w:right="567"/>
        <w:jc w:val="both"/>
        <w:textAlignment w:val="baseline"/>
        <w:rPr>
          <w:sz w:val="22"/>
          <w:szCs w:val="22"/>
          <w:rFonts w:ascii="Calibri" w:hAnsi="Calibri" w:cs="Calibri"/>
        </w:rPr>
      </w:pPr>
      <w:r>
        <w:rPr>
          <w:sz w:val="22"/>
          <w:rFonts w:ascii="Calibri" w:hAnsi="Calibri"/>
        </w:rPr>
        <w:t xml:space="preserve">Hori guztia ikusita (ekoizpen-ereduaren aldaketa, ustiategi txiki eta ertainen errentagarritasun eza, nekazaritzako elikagaien mundu-merkatuaren liberalizazioa), ezinezkoa da ekitate-baldintzetan lehiatzea.</w:t>
      </w:r>
    </w:p>
    <w:p w14:paraId="36FCF263" w14:textId="50B5B569" w:rsidR="0053088B" w:rsidRPr="0053088B" w:rsidRDefault="0053088B" w:rsidP="0053088B">
      <w:pPr>
        <w:pStyle w:val="Style"/>
        <w:spacing w:before="100" w:beforeAutospacing="1" w:after="200" w:line="276" w:lineRule="auto"/>
        <w:ind w:left="567" w:right="567"/>
        <w:jc w:val="both"/>
        <w:textAlignment w:val="baseline"/>
        <w:rPr>
          <w:sz w:val="22"/>
          <w:szCs w:val="22"/>
          <w:rFonts w:ascii="Calibri" w:hAnsi="Calibri" w:cs="Calibri"/>
        </w:rPr>
      </w:pPr>
      <w:r>
        <w:rPr>
          <w:sz w:val="22"/>
          <w:rFonts w:ascii="Calibri" w:hAnsi="Calibri"/>
        </w:rPr>
        <w:t xml:space="preserve">Gauzak horrela, Europar Batasuna eta Mercosur hogei urte baino gehiago negoziatzen egon eta gero, Nafarroako, Espainiako nahiz Europako nekazariek gogor iharduki dioten akordioa hel liteke.</w:t>
      </w:r>
      <w:r>
        <w:rPr>
          <w:sz w:val="22"/>
          <w:rFonts w:ascii="Calibri" w:hAnsi="Calibri"/>
        </w:rPr>
        <w:t xml:space="preserve"> </w:t>
      </w:r>
      <w:r>
        <w:rPr>
          <w:sz w:val="22"/>
          <w:rFonts w:ascii="Calibri" w:hAnsi="Calibri"/>
        </w:rPr>
        <w:t xml:space="preserve">Mercosur-en eta EBren arteko merkataritza askeko tratatuak berekin ekarriko luke muga-zergak deuseztatzea; izan ere, Mercosur-ek bere inportazioen % 91 liberalizatuko ditu (muga-zergen lerroen % 91), eta EBk, berriz, bere inportazioen % 92 (muga-zergen lerroen % 95).</w:t>
      </w:r>
      <w:r>
        <w:rPr>
          <w:sz w:val="22"/>
          <w:rFonts w:ascii="Calibri" w:hAnsi="Calibri"/>
        </w:rPr>
        <w:t xml:space="preserve"> </w:t>
      </w:r>
      <w:r>
        <w:rPr>
          <w:sz w:val="22"/>
          <w:rFonts w:ascii="Calibri" w:hAnsi="Calibri"/>
        </w:rPr>
        <w:t xml:space="preserve">Muga-zergen deuseztatze horrek eragina izanen luke nekazaritzako elikagaietan, industria-sektorean (ibilgailuak, ekipamendu-ondasunak, produktu kimikoak, farmazia, ehungintza edo zapatagintza) nahiz zerbitzuen sektorean (finantzarioak, telekomunikazioak eta itsas garraioa).</w:t>
      </w:r>
      <w:r>
        <w:rPr>
          <w:sz w:val="22"/>
          <w:rFonts w:ascii="Calibri" w:hAnsi="Calibri"/>
        </w:rPr>
        <w:t xml:space="preserve"> </w:t>
      </w:r>
      <w:r>
        <w:rPr>
          <w:sz w:val="22"/>
          <w:rFonts w:ascii="Calibri" w:hAnsi="Calibri"/>
        </w:rPr>
        <w:t xml:space="preserve">Trumpen garaipenarekin Estatu Batuek protekzionismora joko dutela eta Txinak Hego Amerikan duen presentzia areagotuko duela ikusita, EBk Mercosur-ekiko merkataritza askeko tratatutzarra ezarri nahi du, zaldien hankapean jarriko duena Europako nekazaritza- eta abeltzaintza-sektorea (eta, hortaz, Nafarroakoa); zehazki, gizarte- eta familia-eredua.</w:t>
      </w:r>
      <w:r>
        <w:rPr>
          <w:sz w:val="22"/>
          <w:rFonts w:ascii="Calibri" w:hAnsi="Calibri"/>
        </w:rPr>
        <w:t xml:space="preserve"> </w:t>
      </w:r>
      <w:r>
        <w:rPr>
          <w:sz w:val="22"/>
          <w:rFonts w:ascii="Calibri" w:hAnsi="Calibri"/>
        </w:rPr>
        <w:t xml:space="preserve">Hori horrela da merkataritza askeko tratatuek ezartzen dituzten joko-arauek soilik egiten diotelako mesede multinazionalen eta inbertsio-funtsen esku dagoen nekazaritza-industriari, lurraldeari atxikitako nekazaritzaren kaltetan, nekazari profesionalek osatua.</w:t>
      </w:r>
    </w:p>
    <w:p w14:paraId="08029653" w14:textId="205985B2" w:rsidR="0053088B" w:rsidRPr="0053088B" w:rsidRDefault="0053088B" w:rsidP="0053088B">
      <w:pPr>
        <w:pStyle w:val="Style"/>
        <w:spacing w:before="100" w:beforeAutospacing="1" w:after="200" w:line="276" w:lineRule="auto"/>
        <w:ind w:left="567" w:right="567"/>
        <w:jc w:val="both"/>
        <w:textAlignment w:val="baseline"/>
        <w:rPr>
          <w:bCs/>
          <w:sz w:val="22"/>
          <w:szCs w:val="22"/>
          <w:rFonts w:ascii="Calibri" w:hAnsi="Calibri" w:cs="Calibri"/>
        </w:rPr>
      </w:pPr>
      <w:r>
        <w:rPr>
          <w:sz w:val="22"/>
          <w:rFonts w:ascii="Calibri" w:hAnsi="Calibri"/>
        </w:rPr>
        <w:t xml:space="preserve">Erabaki-proposamena:</w:t>
      </w:r>
    </w:p>
    <w:p w14:paraId="1063EF69" w14:textId="77777777" w:rsidR="0053088B" w:rsidRDefault="0053088B" w:rsidP="0053088B">
      <w:pPr>
        <w:pStyle w:val="Style"/>
        <w:numPr>
          <w:ilvl w:val="0"/>
          <w:numId w:val="3"/>
        </w:numPr>
        <w:spacing w:before="100" w:beforeAutospacing="1" w:after="200" w:line="276" w:lineRule="auto"/>
        <w:ind w:right="567"/>
        <w:jc w:val="both"/>
        <w:textAlignment w:val="baseline"/>
        <w:rPr>
          <w:sz w:val="22"/>
          <w:szCs w:val="22"/>
          <w:rFonts w:ascii="Calibri" w:hAnsi="Calibri" w:cs="Calibri"/>
        </w:rPr>
      </w:pPr>
      <w:r>
        <w:rPr>
          <w:sz w:val="22"/>
          <w:rFonts w:ascii="Calibri" w:hAnsi="Calibri"/>
        </w:rPr>
        <w:t xml:space="preserve">Nafarroako Parlamentuak errefusatu egiten du Mercosur-en eta Europar Batasunaren arteko merkataritza askeko tratatua.</w:t>
      </w:r>
    </w:p>
    <w:p w14:paraId="098BAF52" w14:textId="7F3ADE02" w:rsidR="0053088B" w:rsidRPr="0053088B" w:rsidRDefault="0053088B" w:rsidP="0053088B">
      <w:pPr>
        <w:pStyle w:val="Style"/>
        <w:numPr>
          <w:ilvl w:val="0"/>
          <w:numId w:val="3"/>
        </w:numPr>
        <w:spacing w:before="100" w:beforeAutospacing="1" w:after="200" w:line="276" w:lineRule="auto"/>
        <w:ind w:right="567"/>
        <w:jc w:val="both"/>
        <w:textAlignment w:val="baseline"/>
        <w:rPr>
          <w:sz w:val="22"/>
          <w:szCs w:val="22"/>
          <w:rFonts w:ascii="Calibri" w:hAnsi="Calibri" w:cs="Calibri"/>
        </w:rPr>
      </w:pPr>
      <w:r>
        <w:rPr>
          <w:sz w:val="22"/>
          <w:rFonts w:ascii="Calibri" w:hAnsi="Calibri"/>
        </w:rPr>
        <w:t xml:space="preserve">Nafarroako Parlamentuak Estatuko Gobernua premiatzen du Mercosur-en eta Europar Batasunaren arteko merkataritza askeko tratatua geldiaraz dezan eta ez dezan  amore eman nekazaritzaren esparruan ezertan ere gehiago.</w:t>
      </w:r>
    </w:p>
    <w:p w14:paraId="45F687D1" w14:textId="464D29E1" w:rsidR="0053088B" w:rsidRDefault="0053088B" w:rsidP="0053088B">
      <w:pPr>
        <w:spacing w:before="100" w:beforeAutospacing="1" w:after="200" w:line="276" w:lineRule="auto"/>
        <w:ind w:left="567" w:right="567"/>
        <w:jc w:val="both"/>
        <w:rPr>
          <w:rFonts w:ascii="Calibri" w:hAnsi="Calibri" w:cs="Calibri"/>
        </w:rPr>
      </w:pPr>
      <w:r>
        <w:rPr>
          <w:rFonts w:ascii="Calibri" w:hAnsi="Calibri"/>
        </w:rPr>
        <w:t xml:space="preserve">Iruñean, 2024ko abenduaren 9an</w:t>
      </w:r>
    </w:p>
    <w:p w14:paraId="25E977E1" w14:textId="2D955EDB" w:rsidR="0053088B" w:rsidRPr="0053088B" w:rsidRDefault="0053088B" w:rsidP="0053088B">
      <w:pPr>
        <w:spacing w:before="100" w:beforeAutospacing="1" w:after="200" w:line="276" w:lineRule="auto"/>
        <w:ind w:left="567" w:right="567"/>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Carlos Guzmán Pérez</w:t>
      </w:r>
    </w:p>
    <w:sectPr w:rsidR="0053088B" w:rsidRPr="005308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31782"/>
    <w:multiLevelType w:val="hybridMultilevel"/>
    <w:tmpl w:val="BFCEBC44"/>
    <w:lvl w:ilvl="0" w:tplc="1912093C">
      <w:start w:val="1"/>
      <w:numFmt w:val="decimal"/>
      <w:lvlText w:val="%1."/>
      <w:lvlJc w:val="left"/>
      <w:pPr>
        <w:ind w:left="927" w:hanging="360"/>
      </w:pPr>
      <w:rPr>
        <w:rFonts w:eastAsia="Arial"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5A147BAF"/>
    <w:multiLevelType w:val="singleLevel"/>
    <w:tmpl w:val="6448825A"/>
    <w:lvl w:ilvl="0">
      <w:start w:val="12"/>
      <w:numFmt w:val="lowerLetter"/>
      <w:lvlText w:val="%1."/>
      <w:legacy w:legacy="1" w:legacySpace="0" w:legacyIndent="0"/>
      <w:lvlJc w:val="left"/>
      <w:rPr>
        <w:rFonts w:ascii="Times New Roman" w:hAnsi="Times New Roman" w:cs="Times New Roman" w:hint="default"/>
        <w:sz w:val="16"/>
        <w:szCs w:val="16"/>
      </w:rPr>
    </w:lvl>
  </w:abstractNum>
  <w:abstractNum w:abstractNumId="2" w15:restartNumberingAfterBreak="0">
    <w:nsid w:val="74BC1473"/>
    <w:multiLevelType w:val="singleLevel"/>
    <w:tmpl w:val="82F0D6AA"/>
    <w:lvl w:ilvl="0">
      <w:start w:val="2"/>
      <w:numFmt w:val="decimal"/>
      <w:lvlText w:val="%1."/>
      <w:legacy w:legacy="1" w:legacySpace="0" w:legacyIndent="0"/>
      <w:lvlJc w:val="left"/>
      <w:rPr>
        <w:rFonts w:ascii="Arial" w:hAnsi="Arial" w:cs="Arial" w:hint="default"/>
        <w:sz w:val="16"/>
        <w:szCs w:val="16"/>
      </w:rPr>
    </w:lvl>
  </w:abstractNum>
  <w:num w:numId="1" w16cid:durableId="879049174">
    <w:abstractNumId w:val="1"/>
  </w:num>
  <w:num w:numId="2" w16cid:durableId="1431969668">
    <w:abstractNumId w:val="2"/>
  </w:num>
  <w:num w:numId="3" w16cid:durableId="1613711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8B"/>
    <w:rsid w:val="000370A0"/>
    <w:rsid w:val="000820DB"/>
    <w:rsid w:val="000A3E45"/>
    <w:rsid w:val="001E34F2"/>
    <w:rsid w:val="00242C60"/>
    <w:rsid w:val="0024637E"/>
    <w:rsid w:val="00337EB8"/>
    <w:rsid w:val="003C1B1F"/>
    <w:rsid w:val="0053088B"/>
    <w:rsid w:val="00597020"/>
    <w:rsid w:val="00603382"/>
    <w:rsid w:val="006F2590"/>
    <w:rsid w:val="00845D68"/>
    <w:rsid w:val="00854C8E"/>
    <w:rsid w:val="0089188A"/>
    <w:rsid w:val="008A3285"/>
    <w:rsid w:val="00956302"/>
    <w:rsid w:val="00980733"/>
    <w:rsid w:val="00A111D7"/>
    <w:rsid w:val="00A536E1"/>
    <w:rsid w:val="00A6590A"/>
    <w:rsid w:val="00AD383F"/>
    <w:rsid w:val="00B065BA"/>
    <w:rsid w:val="00B42A30"/>
    <w:rsid w:val="00D210C7"/>
    <w:rsid w:val="00D241A8"/>
    <w:rsid w:val="00E06058"/>
    <w:rsid w:val="00E10D20"/>
    <w:rsid w:val="00E870EE"/>
    <w:rsid w:val="00EA7232"/>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58386"/>
  <w15:chartTrackingRefBased/>
  <w15:docId w15:val="{3266102D-1D3A-4008-A429-42202A98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308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308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3088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3088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3088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3088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088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088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088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088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3088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3088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3088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3088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3088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088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088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088B"/>
    <w:rPr>
      <w:rFonts w:eastAsiaTheme="majorEastAsia" w:cstheme="majorBidi"/>
      <w:color w:val="272727" w:themeColor="text1" w:themeTint="D8"/>
    </w:rPr>
  </w:style>
  <w:style w:type="paragraph" w:styleId="Ttulo">
    <w:name w:val="Title"/>
    <w:basedOn w:val="Normal"/>
    <w:next w:val="Normal"/>
    <w:link w:val="TtuloCar"/>
    <w:uiPriority w:val="10"/>
    <w:qFormat/>
    <w:rsid w:val="005308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088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088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088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088B"/>
    <w:pPr>
      <w:spacing w:before="160"/>
      <w:jc w:val="center"/>
    </w:pPr>
    <w:rPr>
      <w:i/>
      <w:iCs/>
      <w:color w:val="404040" w:themeColor="text1" w:themeTint="BF"/>
    </w:rPr>
  </w:style>
  <w:style w:type="character" w:customStyle="1" w:styleId="CitaCar">
    <w:name w:val="Cita Car"/>
    <w:basedOn w:val="Fuentedeprrafopredeter"/>
    <w:link w:val="Cita"/>
    <w:uiPriority w:val="29"/>
    <w:rsid w:val="0053088B"/>
    <w:rPr>
      <w:i/>
      <w:iCs/>
      <w:color w:val="404040" w:themeColor="text1" w:themeTint="BF"/>
    </w:rPr>
  </w:style>
  <w:style w:type="paragraph" w:styleId="Prrafodelista">
    <w:name w:val="List Paragraph"/>
    <w:basedOn w:val="Normal"/>
    <w:uiPriority w:val="34"/>
    <w:qFormat/>
    <w:rsid w:val="0053088B"/>
    <w:pPr>
      <w:ind w:left="720"/>
      <w:contextualSpacing/>
    </w:pPr>
  </w:style>
  <w:style w:type="character" w:styleId="nfasisintenso">
    <w:name w:val="Intense Emphasis"/>
    <w:basedOn w:val="Fuentedeprrafopredeter"/>
    <w:uiPriority w:val="21"/>
    <w:qFormat/>
    <w:rsid w:val="0053088B"/>
    <w:rPr>
      <w:i/>
      <w:iCs/>
      <w:color w:val="0F4761" w:themeColor="accent1" w:themeShade="BF"/>
    </w:rPr>
  </w:style>
  <w:style w:type="paragraph" w:styleId="Citadestacada">
    <w:name w:val="Intense Quote"/>
    <w:basedOn w:val="Normal"/>
    <w:next w:val="Normal"/>
    <w:link w:val="CitadestacadaCar"/>
    <w:uiPriority w:val="30"/>
    <w:qFormat/>
    <w:rsid w:val="005308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3088B"/>
    <w:rPr>
      <w:i/>
      <w:iCs/>
      <w:color w:val="0F4761" w:themeColor="accent1" w:themeShade="BF"/>
    </w:rPr>
  </w:style>
  <w:style w:type="character" w:styleId="Referenciaintensa">
    <w:name w:val="Intense Reference"/>
    <w:basedOn w:val="Fuentedeprrafopredeter"/>
    <w:uiPriority w:val="32"/>
    <w:qFormat/>
    <w:rsid w:val="0053088B"/>
    <w:rPr>
      <w:b/>
      <w:bCs/>
      <w:smallCaps/>
      <w:color w:val="0F4761" w:themeColor="accent1" w:themeShade="BF"/>
      <w:spacing w:val="5"/>
    </w:rPr>
  </w:style>
  <w:style w:type="paragraph" w:customStyle="1" w:styleId="Style">
    <w:name w:val="Style"/>
    <w:rsid w:val="0053088B"/>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943</Words>
  <Characters>5187</Characters>
  <Application>Microsoft Office Word</Application>
  <DocSecurity>0</DocSecurity>
  <Lines>43</Lines>
  <Paragraphs>12</Paragraphs>
  <ScaleCrop>false</ScaleCrop>
  <Company>HP Inc.</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2024-12-10T10:02:00Z</dcterms:created>
  <dcterms:modified xsi:type="dcterms:W3CDTF">2024-12-13T07:14:00Z</dcterms:modified>
</cp:coreProperties>
</file>