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FA33" w14:textId="1941A9FF" w:rsidR="006E688E" w:rsidRPr="006E688E" w:rsidRDefault="006E688E" w:rsidP="006E68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24PES-444</w:t>
      </w:r>
    </w:p>
    <w:p w14:paraId="588AA7BE" w14:textId="599D2A96" w:rsidR="006E688E" w:rsidRPr="006E688E" w:rsidRDefault="006E688E" w:rsidP="006E68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EH Bildu Nafarroa talde parlamentarioari atxikitako foru parlamentari Txomin González Martínez jaunak, Legebiltzarreko Erregelamenduan ezarritakoaren babesean, honako galdera hau aurkezten du, Nafarroako Gobernuak idatziz erantzun dezan:</w:t>
      </w:r>
    </w:p>
    <w:p w14:paraId="1F167C34" w14:textId="69ED6F1F" w:rsidR="006E688E" w:rsidRPr="006E688E" w:rsidRDefault="006E688E" w:rsidP="006E688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</w:rPr>
        <w:t>2023ko martxoan, Osasun Departamentuak aurrekontu-partida bat sortu zuen,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 xml:space="preserve">zerrendetarako estrategiak" izenekoa, xede zeukana zenbait gasturi aurre egitea, hala nola pazienteak lehen kontsulta baterako edo ebakuntza baterako zentro pribatuetara igortzearekin lotutakoei. 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 xml:space="preserve">zerrenden arintze hutserako igorriak izan diren 1.900 pertsona </w:t>
      </w:r>
      <w:proofErr w:type="spellStart"/>
      <w:r>
        <w:rPr>
          <w:rFonts w:ascii="Calibri" w:hAnsi="Calibri"/>
          <w:sz w:val="22"/>
        </w:rPr>
        <w:t>pasatxoetatik</w:t>
      </w:r>
      <w:proofErr w:type="spellEnd"/>
      <w:r>
        <w:rPr>
          <w:rFonts w:ascii="Calibri" w:hAnsi="Calibri"/>
          <w:sz w:val="22"/>
        </w:rPr>
        <w:t>, dokumentuak dio traumatologia, kardiologia, oftalmologia, otorrinolaringologia eta errehabilitazioa direla sistema publikoan espezialistarekiko lehen kontsultarako edo ebakuntza baterako itxaroten ari diren pertsona gehien dauzkaten arloak.</w:t>
      </w:r>
    </w:p>
    <w:p w14:paraId="5906E96C" w14:textId="150644AC" w:rsidR="006E688E" w:rsidRPr="006E688E" w:rsidRDefault="006E688E" w:rsidP="006E68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Igorritako bost pertsonatik bi oftalmologiako pazienteak ziren; eta hirutik bat, otorrinolaringologiakoa. Alabaina, sorturiko gastuaren portzentaje handiena kardiologiari dagokio (% 31,74), nahiz eta espezialitate horretara igorritako pazienteek guztizko kopuruaren % 7,9 besterik egiten ez duten.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“Oftalmologiako gastua guztizko kopuruaren % 40,50 izan da, eta otorrinolaringologiakoa, % 22,52", dio Osasunbidearen oroitidazkiak.</w:t>
      </w:r>
    </w:p>
    <w:p w14:paraId="7935CC57" w14:textId="6B4DA8A6" w:rsidR="006E688E" w:rsidRPr="006E688E" w:rsidRDefault="006E688E" w:rsidP="006E68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Horri buruz, parlamentari honek idatzizko galdera hauek egiten ditu:</w:t>
      </w:r>
    </w:p>
    <w:p w14:paraId="1471C611" w14:textId="0CD15505" w:rsidR="006E688E" w:rsidRPr="00F62007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Traumatologiako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lehenbiziko kontsulta baterako? Pertsona bakoitzeko zer kostu izan du horrek?</w:t>
      </w:r>
    </w:p>
    <w:p w14:paraId="2E0F4CF4" w14:textId="7842EF39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Kardiologiako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lehenbiziko kontsulta baterako? Pertsona bakoitzeko zer kostu izan du horrek?</w:t>
      </w:r>
    </w:p>
    <w:p w14:paraId="5827366F" w14:textId="48B3F11A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Oftalmologiako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lehenbiziko kontsulta baterako? Pertsona bakoitzeko zer kostu izan du horrek?</w:t>
      </w:r>
    </w:p>
    <w:p w14:paraId="3E95C5C2" w14:textId="2C7C9E82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Otorrinolaringologiako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lehenbiziko kontsulta baterako? Pertsona bakoitzeko zer kostu izan du horrek?</w:t>
      </w:r>
    </w:p>
    <w:p w14:paraId="17AB15B9" w14:textId="110482B5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Errehabilitazioko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lehenbiziko kontsulta baterako? Pertsona bakoitzeko zer kostu izan du horrek?</w:t>
      </w:r>
    </w:p>
    <w:p w14:paraId="4994036E" w14:textId="113538AB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Traumatologiako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aurrerantzeko kontsultetarako? Pertsona bakoitzeko zer kostu izan du horrek?</w:t>
      </w:r>
    </w:p>
    <w:p w14:paraId="5E8C383B" w14:textId="3E5D546D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Kardiologiako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aurrerantzeko kontsultetarako? Pertsona bakoitzeko zer kostu izan du horrek?</w:t>
      </w:r>
    </w:p>
    <w:p w14:paraId="7AAC2C9A" w14:textId="52F9ECFF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Oftalmologiako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aurrerantzeko kontsultetarako? Pertsona bakoitzeko zer kostu izan du horrek?</w:t>
      </w:r>
    </w:p>
    <w:p w14:paraId="2AA75226" w14:textId="52480A8A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Otorrinolaringologiako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aurrerantzeko kontsultetarako? Pertsona bakoitzeko zer kostu izan du horrek?</w:t>
      </w:r>
    </w:p>
    <w:p w14:paraId="6FF53D76" w14:textId="2FC0CE1D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Errehabilitazioko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aurrerantzeko kontsultetarako? Pertsona bakoitzeko zer kostu izan du horrek?</w:t>
      </w:r>
    </w:p>
    <w:p w14:paraId="0A785D96" w14:textId="0507AA85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Traumatologiako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ebakuntzarako? Pertsona bakoitzeko zer kostu izan du horrek?</w:t>
      </w:r>
    </w:p>
    <w:p w14:paraId="32B07157" w14:textId="3D168F94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Kardiologiako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ebakuntzarako? Pertsona bakoitzeko zer kostu izan du horrek?</w:t>
      </w:r>
    </w:p>
    <w:p w14:paraId="6A13BD88" w14:textId="7695FBFB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Oftalmologiako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ebakuntzarako? Pertsona bakoitzeko zer kostu izan du horrek?</w:t>
      </w:r>
    </w:p>
    <w:p w14:paraId="78DF2B4C" w14:textId="1A5989AA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Otorrinolaringologiako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ebakuntzarako? Pertsona bakoitzeko zer kostu izan du horrek?</w:t>
      </w:r>
    </w:p>
    <w:p w14:paraId="65039664" w14:textId="24BA71F8" w:rsidR="006E688E" w:rsidRPr="003417BC" w:rsidRDefault="006E688E" w:rsidP="006E688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Errehabilitazioko espezialitatetik, 2023an zenbat pertsona izan dira Nafarroako Klinika Unibertsitariora igorriak "</w:t>
      </w:r>
      <w:r w:rsidR="000D18C4">
        <w:rPr>
          <w:rFonts w:ascii="Calibri" w:hAnsi="Calibri"/>
          <w:sz w:val="22"/>
        </w:rPr>
        <w:t>Itxaron-</w:t>
      </w:r>
      <w:r>
        <w:rPr>
          <w:rFonts w:ascii="Calibri" w:hAnsi="Calibri"/>
          <w:sz w:val="22"/>
        </w:rPr>
        <w:t>zerrendetarako estrategiak" aurrekontu-partidaren kargura, ebakuntzarako? Pertsona bakoitzeko zer kostu izan du horrek?</w:t>
      </w:r>
    </w:p>
    <w:p w14:paraId="54F1766E" w14:textId="3663ED4A" w:rsidR="008D7F85" w:rsidRDefault="006E688E" w:rsidP="006E68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urriaren 24an</w:t>
      </w:r>
    </w:p>
    <w:p w14:paraId="4E89C8A3" w14:textId="4D094E04" w:rsidR="003417BC" w:rsidRPr="006E688E" w:rsidRDefault="003417BC" w:rsidP="006E68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Domingo González Martínez</w:t>
      </w:r>
    </w:p>
    <w:sectPr w:rsidR="003417BC" w:rsidRPr="006E6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19A3"/>
    <w:multiLevelType w:val="hybridMultilevel"/>
    <w:tmpl w:val="95FEDB24"/>
    <w:lvl w:ilvl="0" w:tplc="506E26C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54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8E"/>
    <w:rsid w:val="000D18C4"/>
    <w:rsid w:val="003417BC"/>
    <w:rsid w:val="003E3E22"/>
    <w:rsid w:val="005762CC"/>
    <w:rsid w:val="00600DE2"/>
    <w:rsid w:val="0066283F"/>
    <w:rsid w:val="006E688E"/>
    <w:rsid w:val="008D7F85"/>
    <w:rsid w:val="00A36075"/>
    <w:rsid w:val="00A877BA"/>
    <w:rsid w:val="00B0049F"/>
    <w:rsid w:val="00B06247"/>
    <w:rsid w:val="00C01BD6"/>
    <w:rsid w:val="00CB15DC"/>
    <w:rsid w:val="00E2340F"/>
    <w:rsid w:val="00E51D07"/>
    <w:rsid w:val="00E872DF"/>
    <w:rsid w:val="00F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700A"/>
  <w15:chartTrackingRefBased/>
  <w15:docId w15:val="{63D2D2A4-8173-4A7E-A827-79D8156C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6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8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8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8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8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8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8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68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8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68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8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4</cp:revision>
  <dcterms:created xsi:type="dcterms:W3CDTF">2024-10-25T06:04:00Z</dcterms:created>
  <dcterms:modified xsi:type="dcterms:W3CDTF">2024-10-30T13:45:00Z</dcterms:modified>
</cp:coreProperties>
</file>