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E4BDB" w14:textId="77777777" w:rsidR="003D66E3" w:rsidRPr="003D66E3" w:rsidRDefault="003D66E3" w:rsidP="003D66E3">
      <w:pPr>
        <w:jc w:val="both"/>
        <w:rPr>
          <w:sz w:val="22"/>
          <w:szCs w:val="22"/>
          <w:rFonts w:ascii="Calibri" w:hAnsi="Calibri" w:cs="Calibri"/>
        </w:rPr>
      </w:pPr>
      <w:r>
        <w:rPr>
          <w:sz w:val="22"/>
          <w:rFonts w:ascii="Calibri" w:hAnsi="Calibri"/>
        </w:rPr>
        <w:t xml:space="preserve">24MOC-133</w:t>
      </w:r>
    </w:p>
    <w:p w14:paraId="2DB8843A" w14:textId="144C164B" w:rsidR="003D66E3" w:rsidRPr="003D66E3" w:rsidRDefault="003D66E3" w:rsidP="003D66E3">
      <w:pPr>
        <w:jc w:val="both"/>
        <w:rPr>
          <w:sz w:val="22"/>
          <w:szCs w:val="22"/>
          <w:rFonts w:ascii="Calibri" w:hAnsi="Calibri" w:cs="Calibri"/>
        </w:rPr>
      </w:pPr>
      <w:r>
        <w:rPr>
          <w:sz w:val="22"/>
          <w:rFonts w:ascii="Calibri" w:hAnsi="Calibri"/>
        </w:rPr>
        <w:t xml:space="preserve">Contigo Navarra-Zurekin Nafarroa talde parlamentarioko eledun Carlos Guzmán Pérezek, Parlamentuko Erregelamenduan ezartzen denaren babesean, honako mozio hau aurkezten du, Osoko Bilkuran eztabaidatua izateko:</w:t>
      </w:r>
    </w:p>
    <w:p w14:paraId="3C5D2A26" w14:textId="082434BC" w:rsidR="003D66E3" w:rsidRPr="003D66E3" w:rsidRDefault="003D66E3" w:rsidP="003D66E3">
      <w:pPr>
        <w:jc w:val="both"/>
        <w:rPr>
          <w:sz w:val="22"/>
          <w:szCs w:val="22"/>
          <w:rFonts w:ascii="Calibri" w:hAnsi="Calibri" w:cs="Calibri"/>
        </w:rPr>
      </w:pPr>
      <w:r>
        <w:rPr>
          <w:sz w:val="22"/>
          <w:rFonts w:ascii="Calibri" w:hAnsi="Calibri"/>
        </w:rPr>
        <w:t xml:space="preserve">Eskatzen dugu mozio hau betetzeari buruzko jarraipena Nafarroako Parlamentuko Eskubide Sozialetako, Ekonomia Sozialeko eta Enpleguko Batzordean egin dadila.</w:t>
      </w:r>
    </w:p>
    <w:p w14:paraId="5D26D07D" w14:textId="029BFA87" w:rsidR="003D66E3" w:rsidRPr="003D66E3" w:rsidRDefault="003D66E3" w:rsidP="003D66E3">
      <w:pPr>
        <w:jc w:val="both"/>
        <w:rPr>
          <w:sz w:val="22"/>
          <w:szCs w:val="22"/>
          <w:rFonts w:ascii="Calibri" w:hAnsi="Calibri" w:cs="Calibri"/>
        </w:rPr>
      </w:pPr>
      <w:r>
        <w:rPr>
          <w:sz w:val="22"/>
          <w:rFonts w:ascii="Calibri" w:hAnsi="Calibri"/>
        </w:rPr>
        <w:t xml:space="preserve">Zioen azalpena</w:t>
      </w:r>
    </w:p>
    <w:p w14:paraId="3593B0D2" w14:textId="77777777" w:rsidR="003D66E3" w:rsidRDefault="003D66E3" w:rsidP="003D66E3">
      <w:pPr>
        <w:jc w:val="both"/>
        <w:rPr>
          <w:sz w:val="22"/>
          <w:szCs w:val="22"/>
          <w:rFonts w:ascii="Calibri" w:hAnsi="Calibri" w:cs="Calibri"/>
        </w:rPr>
      </w:pPr>
      <w:r>
        <w:rPr>
          <w:sz w:val="22"/>
          <w:rFonts w:ascii="Calibri" w:hAnsi="Calibri"/>
        </w:rPr>
        <w:t xml:space="preserve">2016ko azaroaren 3an, Gizarteratzerako eta Errenta Bermaturako Eskubideak arautzen dituen Foru Legea onetsi zuen Nafarroako Parlamentuaren Osoko Bilkurak.</w:t>
      </w:r>
      <w:r>
        <w:rPr>
          <w:sz w:val="22"/>
          <w:rFonts w:ascii="Calibri" w:hAnsi="Calibri"/>
        </w:rPr>
        <w:t xml:space="preserve"> </w:t>
      </w:r>
      <w:r>
        <w:rPr>
          <w:sz w:val="22"/>
          <w:rFonts w:ascii="Calibri" w:hAnsi="Calibri"/>
        </w:rPr>
        <w:t xml:space="preserve">Legearen xedea zen gizarteratzea eta laneratzea sustatzea prozesu pertsonalizatuen bidez, eta errenta bermatua eskuratzeko modua arautzea, oinarrizko beharrak aseta ez dituzten pertsonei zuzendutako prestazio oinarrizkoa, ekonomikoa eta aldizkakoa den heinean.</w:t>
      </w:r>
      <w:r>
        <w:rPr>
          <w:sz w:val="22"/>
          <w:rFonts w:ascii="Calibri" w:hAnsi="Calibri"/>
        </w:rPr>
        <w:t xml:space="preserve"> </w:t>
      </w:r>
      <w:r>
        <w:rPr>
          <w:sz w:val="22"/>
          <w:rFonts w:ascii="Calibri" w:hAnsi="Calibri"/>
        </w:rPr>
        <w:t xml:space="preserve">Sortu zen prestazio berri horren bidez, errenta bermatuaren bidez, orduan indarrean zegoen Gizarteratze Errenta ordeztu nahi zen.</w:t>
      </w:r>
    </w:p>
    <w:p w14:paraId="455878BF" w14:textId="04169011" w:rsidR="003D66E3" w:rsidRPr="003D66E3" w:rsidRDefault="003D66E3" w:rsidP="003D66E3">
      <w:pPr>
        <w:jc w:val="both"/>
        <w:rPr>
          <w:sz w:val="22"/>
          <w:szCs w:val="22"/>
          <w:rFonts w:ascii="Calibri" w:hAnsi="Calibri" w:cs="Calibri"/>
        </w:rPr>
      </w:pPr>
      <w:r>
        <w:rPr>
          <w:sz w:val="22"/>
          <w:rFonts w:ascii="Calibri" w:hAnsi="Calibri"/>
        </w:rPr>
        <w:t xml:space="preserve">Geroago, apirilaren 25eko 26/2018 Foru Dekretua onetsi zuen Nafarroako Gobernuak, Gizarteratzerako eta errenta bermaturako eskubideen garapenerakoa, lehen aipatutako legearen erregelamenduzko garapena ezartzeko, bi eskubide horiek ahalik eta modu garden, objektibo eta arinenean eskuratu eta baliatu ahal izateko.</w:t>
      </w:r>
    </w:p>
    <w:p w14:paraId="0ABE5FC1" w14:textId="3667CBD9" w:rsidR="003D66E3" w:rsidRPr="003D66E3" w:rsidRDefault="003D66E3" w:rsidP="003D66E3">
      <w:pPr>
        <w:jc w:val="both"/>
        <w:rPr>
          <w:sz w:val="22"/>
          <w:szCs w:val="22"/>
          <w:rFonts w:ascii="Calibri" w:hAnsi="Calibri" w:cs="Calibri"/>
        </w:rPr>
      </w:pPr>
      <w:r>
        <w:rPr>
          <w:sz w:val="22"/>
          <w:rFonts w:ascii="Calibri" w:hAnsi="Calibri"/>
        </w:rPr>
        <w:t xml:space="preserve">Nafarroako Gobernuaren webgunean bertan jasota dagoen bezala, prestazio ekonomiko horren xedea da bizitza duina izan ahal izateko gutxieneko bat bermatzea pobrezia-egoeran dauden pertsona nahiz familia-unitateentzat, eta eskubidez eskuratzen ahal den beste edozein diru-sarreraren osagarria da.</w:t>
      </w:r>
      <w:r>
        <w:rPr>
          <w:sz w:val="22"/>
          <w:rFonts w:ascii="Calibri" w:hAnsi="Calibri"/>
        </w:rPr>
        <w:t xml:space="preserve"> </w:t>
      </w:r>
      <w:r>
        <w:rPr>
          <w:sz w:val="22"/>
          <w:rFonts w:ascii="Calibri" w:hAnsi="Calibri"/>
        </w:rPr>
        <w:t xml:space="preserve">Gainera, prestazio hori haurrak babestera bideratuta dago argi eta garbi.</w:t>
      </w:r>
      <w:r>
        <w:rPr>
          <w:sz w:val="22"/>
          <w:rFonts w:ascii="Calibri" w:hAnsi="Calibri"/>
        </w:rPr>
        <w:t xml:space="preserve"> </w:t>
      </w:r>
      <w:r>
        <w:rPr>
          <w:sz w:val="22"/>
          <w:rFonts w:ascii="Calibri" w:hAnsi="Calibri"/>
        </w:rPr>
        <w:t xml:space="preserve">Gogora dezagun gurasoek lanik edo diru-sarrerarik ez izatea dela haurren pobreziaren arrazoi nagusia.</w:t>
      </w:r>
    </w:p>
    <w:p w14:paraId="3EA254A0" w14:textId="4B329110" w:rsidR="003D66E3" w:rsidRPr="003D66E3" w:rsidRDefault="003D66E3" w:rsidP="003D66E3">
      <w:pPr>
        <w:jc w:val="both"/>
        <w:rPr>
          <w:sz w:val="22"/>
          <w:szCs w:val="22"/>
          <w:rFonts w:ascii="Calibri" w:hAnsi="Calibri" w:cs="Calibri"/>
        </w:rPr>
      </w:pPr>
      <w:r>
        <w:rPr>
          <w:sz w:val="22"/>
          <w:rFonts w:ascii="Calibri" w:hAnsi="Calibri"/>
        </w:rPr>
        <w:t xml:space="preserve">Giza Eskubideen Adierazpen Unibertsalaren 25.1. artikuluan eta adierazpen hori garatzeko tresna guztietan honako eskubide hau ezartzen da, beste eskubide ekonomiko, sozial eta kultural batzuen artean: pertsona orok du eskubidea bizi-maila egokia izateko, bai berari eta bai bere familiari osasuna eta ongizatea bermatuko diena, eta batez ere janaria, jantziak, bizitokia, mediku-sorospena eta gizarte-zerbitzuak; eta baita lanik eza, gaixotasuna, elbarritasuna, alarguntasuna, zahartzaroa edo bizibidea nahi gabe galtzearen beste kasuren bat gertatzen denerako asegurua izateko eskubidea ere.</w:t>
      </w:r>
      <w:r>
        <w:rPr>
          <w:sz w:val="22"/>
          <w:rFonts w:ascii="Calibri" w:hAnsi="Calibri"/>
        </w:rPr>
        <w:t xml:space="preserve"> </w:t>
      </w:r>
      <w:r>
        <w:rPr>
          <w:sz w:val="22"/>
          <w:rFonts w:ascii="Calibri" w:hAnsi="Calibri"/>
        </w:rPr>
        <w:t xml:space="preserve">Bizi-maila egokia izateko eskubide horixe da babes sozialaren oinarria ahulezia edo bazterketa sozialeko egoeretan edo horietarako arriskua dagoenean, eta horrenbestez, berarekin dakar botere publikoek erantzukizuna izatea dena delakoagatik egoera horietan dauden pertsonekiko.</w:t>
      </w:r>
    </w:p>
    <w:p w14:paraId="12894578" w14:textId="60DC9B9F" w:rsidR="003D66E3" w:rsidRPr="003D66E3" w:rsidRDefault="003D66E3" w:rsidP="003D66E3">
      <w:pPr>
        <w:jc w:val="both"/>
        <w:rPr>
          <w:sz w:val="22"/>
          <w:szCs w:val="22"/>
          <w:rFonts w:ascii="Calibri" w:hAnsi="Calibri" w:cs="Calibri"/>
        </w:rPr>
      </w:pPr>
      <w:r>
        <w:rPr>
          <w:sz w:val="22"/>
          <w:rFonts w:ascii="Calibri" w:hAnsi="Calibri"/>
        </w:rPr>
        <w:t xml:space="preserve">Eskubide Sozialen Europako Zutabeak asmo handiagoko estrategia du, Europako lehenagoko beste jarduketa batzuekin alderatuta, gutxieneko diru-sarrerak bermatzeari dagokionez.</w:t>
      </w:r>
      <w:r>
        <w:rPr>
          <w:sz w:val="22"/>
          <w:rFonts w:ascii="Calibri" w:hAnsi="Calibri"/>
        </w:rPr>
        <w:t xml:space="preserve"> </w:t>
      </w:r>
      <w:r>
        <w:rPr>
          <w:sz w:val="22"/>
          <w:rFonts w:ascii="Calibri" w:hAnsi="Calibri"/>
        </w:rPr>
        <w:t xml:space="preserve">Zutabe horren 14. Printzipioari jarraikiz, "behar besteko baliabiderik ez duen pertsona orok du eskubidea gutxieneko errenta-prestazio egokiak jasotzeko, zeinek bizitza duina bermatuko duten bizitzako etapa guztietan, bai eta ondasunak eta gaikuntza-zerbitzuak lortzeko modua izatea ere.</w:t>
      </w:r>
      <w:r>
        <w:rPr>
          <w:sz w:val="22"/>
          <w:rFonts w:ascii="Calibri" w:hAnsi="Calibri"/>
        </w:rPr>
        <w:t xml:space="preserve"> </w:t>
      </w:r>
      <w:r>
        <w:rPr>
          <w:sz w:val="22"/>
          <w:rFonts w:ascii="Calibri" w:hAnsi="Calibri"/>
        </w:rPr>
        <w:t xml:space="preserve">Lan egiteko moduan dauden pertsonen kasuan, (bir)laneratzeko pizgarriekin osatu behar dira gutxieneko errentako prestazioak”.</w:t>
      </w:r>
      <w:r>
        <w:rPr>
          <w:sz w:val="22"/>
          <w:rFonts w:ascii="Calibri" w:hAnsi="Calibri"/>
        </w:rPr>
        <w:t xml:space="preserve"> </w:t>
      </w:r>
      <w:r>
        <w:rPr>
          <w:sz w:val="22"/>
          <w:rFonts w:ascii="Calibri" w:hAnsi="Calibri"/>
        </w:rPr>
        <w:t xml:space="preserve">2021ean abiarazitako Ekintza Planaren xedea da pobreziaren aurkako borrokan goitiko parekatze bat lortzea.</w:t>
      </w:r>
      <w:r>
        <w:rPr>
          <w:sz w:val="22"/>
          <w:rFonts w:ascii="Calibri" w:hAnsi="Calibri"/>
        </w:rPr>
        <w:t xml:space="preserve"> </w:t>
      </w:r>
      <w:r>
        <w:rPr>
          <w:sz w:val="22"/>
          <w:rFonts w:ascii="Calibri" w:hAnsi="Calibri"/>
        </w:rPr>
        <w:t xml:space="preserve">Horretarako, Europako Batzordeak Kontseilu Europarrari egindako gomendioen proposamenean honako eginbehar hauek finkatzen dira: zenbatekoen egokitasuna hobetzea, estaldura hobetzea, enplegu inklusiborako eta oinarrizko zerbitzuetarako irispidea sendotzea eta banakako laguntza sustatzea.</w:t>
      </w:r>
    </w:p>
    <w:p w14:paraId="347BF8D1" w14:textId="61E6593D" w:rsidR="003D66E3" w:rsidRPr="003D66E3" w:rsidRDefault="003D66E3" w:rsidP="003D66E3">
      <w:pPr>
        <w:jc w:val="both"/>
        <w:rPr>
          <w:sz w:val="22"/>
          <w:szCs w:val="22"/>
          <w:rFonts w:ascii="Calibri" w:hAnsi="Calibri" w:cs="Calibri"/>
        </w:rPr>
      </w:pPr>
      <w:r>
        <w:rPr>
          <w:sz w:val="22"/>
          <w:rFonts w:ascii="Calibri" w:hAnsi="Calibri"/>
        </w:rPr>
        <w:t xml:space="preserve">Europako Batzordearen proposamen horren arabera, errenta bermatua egokia izan dadin, haren zenbatekoak Estatu kide bakoitzeko pobrezia-atalasetik gertukoa izan behar du.</w:t>
      </w:r>
      <w:r>
        <w:rPr>
          <w:sz w:val="22"/>
          <w:rFonts w:ascii="Calibri" w:hAnsi="Calibri"/>
        </w:rPr>
        <w:t xml:space="preserve"> </w:t>
      </w:r>
      <w:r>
        <w:rPr>
          <w:sz w:val="22"/>
          <w:rFonts w:ascii="Calibri" w:hAnsi="Calibri"/>
        </w:rPr>
        <w:t xml:space="preserve">Zenbateko hori 10.989,50 €-koa zen Espainian 2023an, eta Nafarroako errenta bermatua oso urrun dago hortik, 9.144 €-koa denez gero.</w:t>
      </w:r>
    </w:p>
    <w:p w14:paraId="37649596" w14:textId="41E6E5AB" w:rsidR="003D66E3" w:rsidRPr="003D66E3" w:rsidRDefault="003D66E3" w:rsidP="003D66E3">
      <w:pPr>
        <w:jc w:val="both"/>
        <w:rPr>
          <w:sz w:val="22"/>
          <w:szCs w:val="22"/>
          <w:rFonts w:ascii="Calibri" w:hAnsi="Calibri" w:cs="Calibri"/>
        </w:rPr>
      </w:pPr>
      <w:r>
        <w:rPr>
          <w:sz w:val="22"/>
          <w:rFonts w:ascii="Calibri" w:hAnsi="Calibri"/>
        </w:rPr>
        <w:t xml:space="preserve">Bizitzeko gutxieneko diru-sarrera (BGD) abiarazi izanak arindu egin du foru-komunitatearen aurrekontu-ahalegina, baina, halere, behartzen du ahalegin osagarria egitera, Nafarroaren behar espezifikoetara egokitzeko, Estatuko batez bestekoak baino handiagoak baitira argi eta garbi errenta-maila, prezioak eta behar sozialak.</w:t>
      </w:r>
      <w:r>
        <w:rPr>
          <w:sz w:val="22"/>
          <w:rFonts w:ascii="Calibri" w:hAnsi="Calibri"/>
        </w:rPr>
        <w:t xml:space="preserve"> </w:t>
      </w:r>
      <w:r>
        <w:rPr>
          <w:sz w:val="22"/>
          <w:rFonts w:ascii="Calibri" w:hAnsi="Calibri"/>
        </w:rPr>
        <w:t xml:space="preserve">Arrazoizkoa iruditzen zaigu BGDk foru-komunitatearen funtsetara ekarritako finantza-aurrezpena ez dadila ken Nafarroak pobreziaren aurka egiten duen borrokatik; eta, aldiz, erabil dadila errenta bermatuaren estaldura hobetzeko eta gizarteratze-tresnak sustatzeko.</w:t>
      </w:r>
    </w:p>
    <w:p w14:paraId="305AB2C8" w14:textId="497C3517" w:rsidR="003D66E3" w:rsidRPr="003D66E3" w:rsidRDefault="003D66E3" w:rsidP="003D66E3">
      <w:pPr>
        <w:jc w:val="both"/>
        <w:rPr>
          <w:sz w:val="22"/>
          <w:szCs w:val="22"/>
          <w:rFonts w:ascii="Calibri" w:hAnsi="Calibri" w:cs="Calibri"/>
        </w:rPr>
      </w:pPr>
      <w:r>
        <w:rPr>
          <w:sz w:val="22"/>
          <w:rFonts w:ascii="Calibri" w:hAnsi="Calibri"/>
        </w:rPr>
        <w:t xml:space="preserve">AROPE tasak eta antzeko beste adierazle batzuek modu frogagarrian erakusten dute errenta bermatua Nafarroako administrazio publikoak duen tresna onenetako bat dela pobreziaren eta gizarte-zaurgarritasunaren aurka borrokatzeko.</w:t>
      </w:r>
      <w:r>
        <w:rPr>
          <w:sz w:val="22"/>
          <w:rFonts w:ascii="Calibri" w:hAnsi="Calibri"/>
        </w:rPr>
        <w:t xml:space="preserve"> </w:t>
      </w:r>
      <w:r>
        <w:rPr>
          <w:sz w:val="22"/>
          <w:rFonts w:ascii="Calibri" w:hAnsi="Calibri"/>
        </w:rPr>
        <w:t xml:space="preserve">Hala eta guztiz ere, etengabe sortzen dira prestazio hori kritikatzen duten diskurtsoak, eta murriztua izaterantz erreformatu dadin aldarrikatzen dute.</w:t>
      </w:r>
      <w:r>
        <w:rPr>
          <w:sz w:val="22"/>
          <w:rFonts w:ascii="Calibri" w:hAnsi="Calibri"/>
        </w:rPr>
        <w:t xml:space="preserve"> </w:t>
      </w:r>
      <w:r>
        <w:rPr>
          <w:sz w:val="22"/>
          <w:rFonts w:ascii="Calibri" w:hAnsi="Calibri"/>
        </w:rPr>
        <w:t xml:space="preserve">Diskurtso interesatu horien aurrez aurre, gizarte-justizian sinesten dugunok beharrezkoa den eskubide sozial hori defendatzen jarraitu behar dugu.</w:t>
      </w:r>
    </w:p>
    <w:p w14:paraId="22897155" w14:textId="0FDB5FCB" w:rsidR="003D66E3" w:rsidRPr="003D66E3" w:rsidRDefault="003D66E3" w:rsidP="003D66E3">
      <w:pPr>
        <w:jc w:val="both"/>
        <w:rPr>
          <w:sz w:val="22"/>
          <w:szCs w:val="22"/>
          <w:rFonts w:ascii="Calibri" w:hAnsi="Calibri" w:cs="Calibri"/>
        </w:rPr>
      </w:pPr>
      <w:r>
        <w:rPr>
          <w:sz w:val="22"/>
          <w:rFonts w:ascii="Calibri" w:hAnsi="Calibri"/>
        </w:rPr>
        <w:t xml:space="preserve">Erabaki-proposamena:</w:t>
      </w:r>
    </w:p>
    <w:p w14:paraId="116233DF" w14:textId="389500EE" w:rsidR="003D66E3" w:rsidRPr="003D66E3" w:rsidRDefault="003D66E3" w:rsidP="003D66E3">
      <w:pPr>
        <w:jc w:val="both"/>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errenta bermatua babesten du, Nafarroako administrazio publikoak pobreziaren eta gizarte-zaurgarritasunaren aurka borrokatzeko duen tresna onenetako bat den aldetik.</w:t>
      </w:r>
    </w:p>
    <w:p w14:paraId="4B8BEA0E" w14:textId="61001FBD" w:rsidR="003D66E3" w:rsidRPr="003D66E3" w:rsidRDefault="003D66E3" w:rsidP="003D66E3">
      <w:pPr>
        <w:jc w:val="both"/>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Nafarroako Gobernuko Eskubide Sozialetako, Ekonomia Sozialeko eta Enpleguko Departamentua premiatzen du errenta bermatua finkatzera, sendotzera eta hedatzera, funtsezko eskubide soziala den heinean, bermatzearren ezen horren beharrean dauden pertsona guztiei iritsiko zaiela, zenbatekoak etxe bakoitzeko beharretara egokituta.</w:t>
      </w:r>
    </w:p>
    <w:p w14:paraId="616E7DDC" w14:textId="7FB63B64" w:rsidR="003D66E3" w:rsidRPr="003D66E3" w:rsidRDefault="003D66E3" w:rsidP="003D66E3">
      <w:pPr>
        <w:jc w:val="both"/>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Parlamentuak Nafarroako Gobernuko Eskubide Sozialetako, Ekonomia Sozialeko eta Enpleguko Departamentua premiatzen du garatu ditzan indarreko foru legean aurreikusita dauden enplegurako pizgarriak, zeinak, ebaluazio positiboa izan badute ere, lehenengo fasean soilik garatu baitira.</w:t>
      </w:r>
    </w:p>
    <w:p w14:paraId="2FC0EE00" w14:textId="726EC202" w:rsidR="003D66E3" w:rsidRPr="003D66E3" w:rsidRDefault="003D66E3" w:rsidP="003D66E3">
      <w:pPr>
        <w:jc w:val="both"/>
        <w:rPr>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Nafarroako Parlamentuak Eskubide Sozialetako, Ekonomia Sozialeko eta Enpleguko Departamentua premiatzen du garatu ditzan gizarte-zerbitzuen eta enplegu-zerbitzuen arteko lankidetzarako protokoloak eta mekanismoak, eraginkor egiteko foru lege horrek eta hura garatzeko foru dekretuak lan egiteko moduan dauden pertsona guztientzat bermatzen duten enplegu-eskaintza egokia.</w:t>
      </w:r>
    </w:p>
    <w:p w14:paraId="1A43EDB7" w14:textId="4343CFE4" w:rsidR="008D7F85" w:rsidRDefault="003D66E3" w:rsidP="003D66E3">
      <w:pPr>
        <w:jc w:val="both"/>
        <w:rPr>
          <w:sz w:val="22"/>
          <w:szCs w:val="22"/>
          <w:rFonts w:ascii="Calibri"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Nafarroako Parlamentuak Eskubide Sozialetako, Ekonomia Sozialeko eta Enpleguko Departamentua premiatzen du sendotu ditzan gizarte-zerbitzuen oinarrizko laguntzako inklusio-programak, zenbait gizarte-entitatek landutakoekin lankidetzan, kalitatezko akonpainamendu soziala eman ahal izateko errenta bermatua edo bizitzeko gutxieneko diru-sarrera jasorik hala nahi duten pertsona guztiei.</w:t>
      </w:r>
    </w:p>
    <w:p w14:paraId="3CDABB27" w14:textId="624748B0" w:rsidR="00E153BC" w:rsidRDefault="00E153BC" w:rsidP="003D66E3">
      <w:pPr>
        <w:jc w:val="both"/>
        <w:rPr>
          <w:sz w:val="22"/>
          <w:szCs w:val="22"/>
          <w:rFonts w:ascii="Calibri" w:hAnsi="Calibri" w:cs="Calibri"/>
        </w:rPr>
      </w:pPr>
      <w:r>
        <w:rPr>
          <w:sz w:val="22"/>
          <w:rFonts w:ascii="Calibri" w:hAnsi="Calibri"/>
        </w:rPr>
        <w:t xml:space="preserve">Iruñean, 2024ko urriaren 17an</w:t>
      </w:r>
    </w:p>
    <w:p w14:paraId="4FAEE20E" w14:textId="02CB2F5A" w:rsidR="00E153BC" w:rsidRPr="003D66E3" w:rsidRDefault="00E153BC" w:rsidP="003D66E3">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E153BC" w:rsidRPr="003D66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E3"/>
    <w:rsid w:val="00324E01"/>
    <w:rsid w:val="003D66E3"/>
    <w:rsid w:val="003E3E22"/>
    <w:rsid w:val="005762CC"/>
    <w:rsid w:val="00600DE2"/>
    <w:rsid w:val="00635DCF"/>
    <w:rsid w:val="0066283F"/>
    <w:rsid w:val="008D7F85"/>
    <w:rsid w:val="00A36075"/>
    <w:rsid w:val="00A877BA"/>
    <w:rsid w:val="00B0049F"/>
    <w:rsid w:val="00C01BD6"/>
    <w:rsid w:val="00E153BC"/>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CEF9"/>
  <w15:chartTrackingRefBased/>
  <w15:docId w15:val="{1675697F-133D-4F05-90CB-83252C71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6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6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66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66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66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66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66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66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66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6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66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66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66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66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66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66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66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66E3"/>
    <w:rPr>
      <w:rFonts w:eastAsiaTheme="majorEastAsia" w:cstheme="majorBidi"/>
      <w:color w:val="272727" w:themeColor="text1" w:themeTint="D8"/>
    </w:rPr>
  </w:style>
  <w:style w:type="paragraph" w:styleId="Ttulo">
    <w:name w:val="Title"/>
    <w:basedOn w:val="Normal"/>
    <w:next w:val="Normal"/>
    <w:link w:val="TtuloCar"/>
    <w:uiPriority w:val="10"/>
    <w:qFormat/>
    <w:rsid w:val="003D6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66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66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66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66E3"/>
    <w:pPr>
      <w:spacing w:before="160"/>
      <w:jc w:val="center"/>
    </w:pPr>
    <w:rPr>
      <w:i/>
      <w:iCs/>
      <w:color w:val="404040" w:themeColor="text1" w:themeTint="BF"/>
    </w:rPr>
  </w:style>
  <w:style w:type="character" w:customStyle="1" w:styleId="CitaCar">
    <w:name w:val="Cita Car"/>
    <w:basedOn w:val="Fuentedeprrafopredeter"/>
    <w:link w:val="Cita"/>
    <w:uiPriority w:val="29"/>
    <w:rsid w:val="003D66E3"/>
    <w:rPr>
      <w:i/>
      <w:iCs/>
      <w:color w:val="404040" w:themeColor="text1" w:themeTint="BF"/>
    </w:rPr>
  </w:style>
  <w:style w:type="paragraph" w:styleId="Prrafodelista">
    <w:name w:val="List Paragraph"/>
    <w:basedOn w:val="Normal"/>
    <w:uiPriority w:val="34"/>
    <w:qFormat/>
    <w:rsid w:val="003D66E3"/>
    <w:pPr>
      <w:ind w:left="720"/>
      <w:contextualSpacing/>
    </w:pPr>
  </w:style>
  <w:style w:type="character" w:styleId="nfasisintenso">
    <w:name w:val="Intense Emphasis"/>
    <w:basedOn w:val="Fuentedeprrafopredeter"/>
    <w:uiPriority w:val="21"/>
    <w:qFormat/>
    <w:rsid w:val="003D66E3"/>
    <w:rPr>
      <w:i/>
      <w:iCs/>
      <w:color w:val="0F4761" w:themeColor="accent1" w:themeShade="BF"/>
    </w:rPr>
  </w:style>
  <w:style w:type="paragraph" w:styleId="Citadestacada">
    <w:name w:val="Intense Quote"/>
    <w:basedOn w:val="Normal"/>
    <w:next w:val="Normal"/>
    <w:link w:val="CitadestacadaCar"/>
    <w:uiPriority w:val="30"/>
    <w:qFormat/>
    <w:rsid w:val="003D6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66E3"/>
    <w:rPr>
      <w:i/>
      <w:iCs/>
      <w:color w:val="0F4761" w:themeColor="accent1" w:themeShade="BF"/>
    </w:rPr>
  </w:style>
  <w:style w:type="character" w:styleId="Referenciaintensa">
    <w:name w:val="Intense Reference"/>
    <w:basedOn w:val="Fuentedeprrafopredeter"/>
    <w:uiPriority w:val="32"/>
    <w:qFormat/>
    <w:rsid w:val="003D66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1064</Words>
  <Characters>5858</Characters>
  <Application>Microsoft Office Word</Application>
  <DocSecurity>0</DocSecurity>
  <Lines>48</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2024-10-18T07:27:00Z</dcterms:created>
  <dcterms:modified xsi:type="dcterms:W3CDTF">2024-10-18T07:41:00Z</dcterms:modified>
</cp:coreProperties>
</file>