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F6712E" w14:textId="5E072E16" w:rsidR="00F36611" w:rsidRPr="004B0F15" w:rsidRDefault="00F36611" w:rsidP="00252DB7">
      <w:pPr>
        <w:pStyle w:val="Style"/>
        <w:spacing w:before="100" w:beforeAutospacing="1" w:after="200" w:line="276" w:lineRule="auto"/>
        <w:ind w:rightChars="567" w:right="1247"/>
        <w:textAlignment w:val="baseline"/>
        <w:rPr>
          <w:rFonts w:ascii="Calibri" w:hAnsi="Calibri" w:cs="Calibri"/>
          <w:sz w:val="22"/>
          <w:szCs w:val="22"/>
        </w:rPr>
      </w:pPr>
    </w:p>
    <w:p w14:paraId="668B6FF2" w14:textId="77777777" w:rsidR="004B0F15" w:rsidRPr="004B0F15" w:rsidRDefault="004B0F15" w:rsidP="00252DB7">
      <w:pPr>
        <w:pStyle w:val="Style"/>
        <w:spacing w:before="100" w:beforeAutospacing="1" w:after="200" w:line="276" w:lineRule="auto"/>
        <w:ind w:rightChars="567" w:right="1247" w:firstLine="708"/>
        <w:jc w:val="both"/>
        <w:textAlignment w:val="baseline"/>
        <w:rPr>
          <w:rFonts w:ascii="Calibri" w:eastAsia="Arial" w:hAnsi="Calibri" w:cs="Calibri"/>
          <w:sz w:val="22"/>
          <w:szCs w:val="22"/>
        </w:rPr>
      </w:pPr>
      <w:r w:rsidRPr="004B0F15">
        <w:rPr>
          <w:rFonts w:ascii="Calibri" w:eastAsia="Arial" w:hAnsi="Calibri" w:cs="Calibri"/>
          <w:sz w:val="22"/>
          <w:szCs w:val="22"/>
        </w:rPr>
        <w:t>24MOC-115</w:t>
      </w:r>
    </w:p>
    <w:p w14:paraId="2FD5F4B0" w14:textId="5BE52DFC" w:rsidR="004B0F15" w:rsidRDefault="00252DB7" w:rsidP="004B0F15">
      <w:pPr>
        <w:pStyle w:val="Style"/>
        <w:spacing w:before="100" w:beforeAutospacing="1" w:after="200" w:line="276" w:lineRule="auto"/>
        <w:ind w:left="708" w:rightChars="567" w:right="1247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4B0F15">
        <w:rPr>
          <w:rFonts w:ascii="Calibri" w:eastAsia="Arial" w:hAnsi="Calibri" w:cs="Calibri"/>
          <w:sz w:val="22"/>
          <w:szCs w:val="22"/>
        </w:rPr>
        <w:t xml:space="preserve">Los grupos abajo firmantes, al amparo de lo establecido en el Reglamento de la Cámara, presentan la siguiente </w:t>
      </w:r>
      <w:r w:rsidR="004B0F15" w:rsidRPr="004B0F15">
        <w:rPr>
          <w:rFonts w:ascii="Calibri" w:eastAsia="Arial" w:hAnsi="Calibri" w:cs="Calibri"/>
          <w:bCs/>
          <w:w w:val="92"/>
          <w:sz w:val="22"/>
          <w:szCs w:val="22"/>
        </w:rPr>
        <w:t>moción</w:t>
      </w:r>
      <w:r w:rsidRPr="004B0F15">
        <w:rPr>
          <w:rFonts w:ascii="Calibri" w:eastAsia="Arial" w:hAnsi="Calibri" w:cs="Calibri"/>
          <w:b/>
          <w:w w:val="92"/>
          <w:sz w:val="22"/>
          <w:szCs w:val="22"/>
        </w:rPr>
        <w:t xml:space="preserve"> </w:t>
      </w:r>
      <w:r w:rsidRPr="004B0F15">
        <w:rPr>
          <w:rFonts w:ascii="Calibri" w:eastAsia="Arial" w:hAnsi="Calibri" w:cs="Calibri"/>
          <w:sz w:val="22"/>
          <w:szCs w:val="22"/>
        </w:rPr>
        <w:t xml:space="preserve">para su debate y votación en el </w:t>
      </w:r>
      <w:r w:rsidR="004B0F15" w:rsidRPr="004B0F15">
        <w:rPr>
          <w:rFonts w:ascii="Calibri" w:eastAsia="Arial" w:hAnsi="Calibri" w:cs="Calibri"/>
          <w:sz w:val="22"/>
          <w:szCs w:val="22"/>
        </w:rPr>
        <w:t>Pleno</w:t>
      </w:r>
      <w:r w:rsidRPr="004B0F15">
        <w:rPr>
          <w:rFonts w:ascii="Calibri" w:eastAsia="Arial" w:hAnsi="Calibri" w:cs="Calibri"/>
          <w:sz w:val="22"/>
          <w:szCs w:val="22"/>
        </w:rPr>
        <w:t xml:space="preserve"> de la Cámara. </w:t>
      </w:r>
    </w:p>
    <w:p w14:paraId="5979FE8D" w14:textId="6AA0760F" w:rsidR="004B0F15" w:rsidRPr="004B0F15" w:rsidRDefault="004B0F15" w:rsidP="004B0F15">
      <w:pPr>
        <w:pStyle w:val="Style"/>
        <w:spacing w:before="100" w:beforeAutospacing="1" w:after="200" w:line="276" w:lineRule="auto"/>
        <w:ind w:rightChars="567" w:right="1247" w:firstLine="708"/>
        <w:textAlignment w:val="baseline"/>
        <w:rPr>
          <w:rFonts w:ascii="Calibri" w:hAnsi="Calibri" w:cs="Calibri"/>
          <w:bCs/>
          <w:sz w:val="22"/>
          <w:szCs w:val="22"/>
        </w:rPr>
      </w:pPr>
      <w:r w:rsidRPr="004B0F15">
        <w:rPr>
          <w:rFonts w:ascii="Calibri" w:eastAsia="Arial" w:hAnsi="Calibri" w:cs="Calibri"/>
          <w:bCs/>
          <w:sz w:val="22"/>
          <w:szCs w:val="22"/>
        </w:rPr>
        <w:t xml:space="preserve">Exposición de motivos: </w:t>
      </w:r>
    </w:p>
    <w:p w14:paraId="554B27FB" w14:textId="3E18D396" w:rsidR="00F36611" w:rsidRPr="004B0F15" w:rsidRDefault="00252DB7" w:rsidP="004B0F15">
      <w:pPr>
        <w:pStyle w:val="Style"/>
        <w:spacing w:before="100" w:beforeAutospacing="1" w:after="200" w:line="276" w:lineRule="auto"/>
        <w:ind w:left="708" w:rightChars="567" w:right="1247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4B0F15">
        <w:rPr>
          <w:rFonts w:ascii="Calibri" w:eastAsia="Arial" w:hAnsi="Calibri" w:cs="Calibri"/>
          <w:sz w:val="22"/>
          <w:szCs w:val="22"/>
        </w:rPr>
        <w:t xml:space="preserve">La violencia contra mujeres y niñas sigue estando, relativamente, silenciada por un sistema que facilita la impunidad de los perpetradores, la estigmatización social y la vergüenza que sufren las víctimas. </w:t>
      </w:r>
    </w:p>
    <w:p w14:paraId="3F499E80" w14:textId="77777777" w:rsidR="00F36611" w:rsidRPr="004B0F15" w:rsidRDefault="00252DB7" w:rsidP="004B0F15">
      <w:pPr>
        <w:pStyle w:val="Style"/>
        <w:spacing w:before="100" w:beforeAutospacing="1" w:after="200" w:line="276" w:lineRule="auto"/>
        <w:ind w:rightChars="567" w:right="1247" w:firstLine="708"/>
        <w:textAlignment w:val="baseline"/>
        <w:rPr>
          <w:rFonts w:ascii="Calibri" w:hAnsi="Calibri" w:cs="Calibri"/>
          <w:sz w:val="22"/>
          <w:szCs w:val="22"/>
        </w:rPr>
      </w:pPr>
      <w:r w:rsidRPr="004B0F15">
        <w:rPr>
          <w:rFonts w:ascii="Calibri" w:eastAsia="Arial" w:hAnsi="Calibri" w:cs="Calibri"/>
          <w:sz w:val="22"/>
          <w:szCs w:val="22"/>
        </w:rPr>
        <w:t xml:space="preserve">De forma general, la violencia se manifiesta de forma física, sexual y psicológica. </w:t>
      </w:r>
    </w:p>
    <w:p w14:paraId="065277EF" w14:textId="5B256393" w:rsidR="00F36611" w:rsidRPr="004B0F15" w:rsidRDefault="00252DB7" w:rsidP="004B0F15">
      <w:pPr>
        <w:pStyle w:val="Style"/>
        <w:spacing w:before="100" w:beforeAutospacing="1" w:after="200" w:line="276" w:lineRule="auto"/>
        <w:ind w:left="708" w:rightChars="567" w:right="1247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4B0F15">
        <w:rPr>
          <w:rFonts w:ascii="Calibri" w:eastAsia="Arial" w:hAnsi="Calibri" w:cs="Calibri"/>
          <w:sz w:val="22"/>
          <w:szCs w:val="22"/>
        </w:rPr>
        <w:t xml:space="preserve">Aunque hoy en día hemos avanzado en el reconocimiento de los derechos de las mujeres, en estos momentos estamos viviendo una escalada de negación y anulación de estos en ciertos países. </w:t>
      </w:r>
    </w:p>
    <w:p w14:paraId="58676CE9" w14:textId="7D1FE45F" w:rsidR="004B0F15" w:rsidRDefault="00252DB7" w:rsidP="004B0F15">
      <w:pPr>
        <w:pStyle w:val="Style"/>
        <w:spacing w:before="100" w:beforeAutospacing="1" w:after="200" w:line="276" w:lineRule="auto"/>
        <w:ind w:rightChars="567" w:right="1247" w:firstLine="708"/>
        <w:textAlignment w:val="baseline"/>
        <w:rPr>
          <w:rFonts w:ascii="Calibri" w:hAnsi="Calibri" w:cs="Calibri"/>
          <w:sz w:val="22"/>
          <w:szCs w:val="22"/>
        </w:rPr>
      </w:pPr>
      <w:r w:rsidRPr="004B0F15">
        <w:rPr>
          <w:rFonts w:ascii="Calibri" w:eastAsia="Arial" w:hAnsi="Calibri" w:cs="Calibri"/>
          <w:sz w:val="22"/>
          <w:szCs w:val="22"/>
        </w:rPr>
        <w:t>Por todo ello, los grupos abajo firmantes presentan la siguiente</w:t>
      </w:r>
      <w:r w:rsidR="004B0F15">
        <w:rPr>
          <w:rFonts w:ascii="Calibri" w:eastAsia="Arial" w:hAnsi="Calibri" w:cs="Calibri"/>
          <w:sz w:val="22"/>
          <w:szCs w:val="22"/>
        </w:rPr>
        <w:t xml:space="preserve"> propuesta de resolución:</w:t>
      </w:r>
    </w:p>
    <w:p w14:paraId="09F77393" w14:textId="4A9A8209" w:rsidR="00F36611" w:rsidRPr="004B0F15" w:rsidRDefault="00252DB7" w:rsidP="004B0F15">
      <w:pPr>
        <w:pStyle w:val="Style"/>
        <w:spacing w:before="100" w:beforeAutospacing="1" w:after="200" w:line="276" w:lineRule="auto"/>
        <w:ind w:left="708" w:rightChars="567" w:right="1247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4B0F15">
        <w:rPr>
          <w:rFonts w:ascii="Calibri" w:eastAsia="Arial" w:hAnsi="Calibri" w:cs="Calibri"/>
          <w:sz w:val="22"/>
          <w:szCs w:val="22"/>
        </w:rPr>
        <w:t>El Parlamento de Navarra muestra su rechazo frente a estas situaciones de violencia y retroceso de los derechos humanos de las mujeres e insta al Gobierno del Estado a que, dentro de sus responsabilidades como miembro activo dentro de Naciones Unidas</w:t>
      </w:r>
      <w:r w:rsidR="004B0F15">
        <w:rPr>
          <w:rFonts w:ascii="Calibri" w:eastAsia="Arial" w:hAnsi="Calibri" w:cs="Calibri"/>
          <w:sz w:val="22"/>
          <w:szCs w:val="22"/>
        </w:rPr>
        <w:t>,</w:t>
      </w:r>
      <w:r w:rsidRPr="004B0F15">
        <w:rPr>
          <w:rFonts w:ascii="Calibri" w:eastAsia="Arial" w:hAnsi="Calibri" w:cs="Calibri"/>
          <w:sz w:val="22"/>
          <w:szCs w:val="22"/>
        </w:rPr>
        <w:t xml:space="preserve"> pida: </w:t>
      </w:r>
    </w:p>
    <w:p w14:paraId="75199282" w14:textId="77777777" w:rsidR="00F36611" w:rsidRPr="004B0F15" w:rsidRDefault="00252DB7" w:rsidP="004B0F15">
      <w:pPr>
        <w:pStyle w:val="Style"/>
        <w:numPr>
          <w:ilvl w:val="0"/>
          <w:numId w:val="1"/>
        </w:numPr>
        <w:spacing w:before="100" w:beforeAutospacing="1" w:after="200" w:line="276" w:lineRule="auto"/>
        <w:ind w:leftChars="567" w:left="1545" w:rightChars="567" w:right="1247" w:hanging="298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4B0F15">
        <w:rPr>
          <w:rFonts w:ascii="Calibri" w:eastAsia="Arial" w:hAnsi="Calibri" w:cs="Calibri"/>
          <w:sz w:val="22"/>
          <w:szCs w:val="22"/>
        </w:rPr>
        <w:t xml:space="preserve">La rendición de cuentas y la investigación del gobierno talibán ante la continua violación de los derechos humanos contra las mujeres en Afganistán. </w:t>
      </w:r>
    </w:p>
    <w:p w14:paraId="7A74D5DD" w14:textId="77777777" w:rsidR="004B0F15" w:rsidRDefault="004B0F15" w:rsidP="004B0F15">
      <w:pPr>
        <w:pStyle w:val="Style"/>
        <w:numPr>
          <w:ilvl w:val="0"/>
          <w:numId w:val="2"/>
        </w:numPr>
        <w:spacing w:before="100" w:beforeAutospacing="1" w:after="200" w:line="276" w:lineRule="auto"/>
        <w:ind w:leftChars="567" w:left="1535" w:rightChars="567" w:right="1247" w:hanging="288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4B0F15">
        <w:rPr>
          <w:rFonts w:ascii="Calibri" w:eastAsia="Arial" w:hAnsi="Calibri" w:cs="Calibri"/>
          <w:sz w:val="22"/>
          <w:szCs w:val="22"/>
        </w:rPr>
        <w:t xml:space="preserve">Adoptar medidas que puedan influir en los talibanes sin perjudicar al pueblo afgano, como sanciones específicas o prohibiciones de viaje impuestas a través de una resolución del Consejo de Seguridad de la ONU, de manera coordinada y enérgica, para poner fin a las violaciones de los derechos de las mujeres y las niñas por parte de los talibanes. </w:t>
      </w:r>
    </w:p>
    <w:p w14:paraId="6F3D8AA6" w14:textId="5E4BCA38" w:rsidR="004B0F15" w:rsidRDefault="004B0F15" w:rsidP="004B0F15">
      <w:pPr>
        <w:pStyle w:val="Style"/>
        <w:numPr>
          <w:ilvl w:val="0"/>
          <w:numId w:val="3"/>
        </w:numPr>
        <w:spacing w:before="100" w:beforeAutospacing="1" w:after="200" w:line="276" w:lineRule="auto"/>
        <w:ind w:leftChars="567" w:left="1549" w:rightChars="567" w:right="1247" w:hanging="302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4B0F15">
        <w:rPr>
          <w:rFonts w:ascii="Calibri" w:eastAsia="Arial" w:hAnsi="Calibri" w:cs="Calibri"/>
          <w:sz w:val="22"/>
          <w:szCs w:val="22"/>
        </w:rPr>
        <w:t>Denunci</w:t>
      </w:r>
      <w:r>
        <w:rPr>
          <w:rFonts w:ascii="Calibri" w:eastAsia="Arial" w:hAnsi="Calibri" w:cs="Calibri"/>
          <w:sz w:val="22"/>
          <w:szCs w:val="22"/>
        </w:rPr>
        <w:t>ar</w:t>
      </w:r>
      <w:r w:rsidRPr="004B0F15">
        <w:rPr>
          <w:rFonts w:ascii="Calibri" w:eastAsia="Arial" w:hAnsi="Calibri" w:cs="Calibri"/>
          <w:sz w:val="22"/>
          <w:szCs w:val="22"/>
        </w:rPr>
        <w:t xml:space="preserve"> y acti</w:t>
      </w:r>
      <w:r>
        <w:rPr>
          <w:rFonts w:ascii="Calibri" w:eastAsia="Arial" w:hAnsi="Calibri" w:cs="Calibri"/>
          <w:sz w:val="22"/>
          <w:szCs w:val="22"/>
        </w:rPr>
        <w:t>var</w:t>
      </w:r>
      <w:r w:rsidRPr="004B0F15">
        <w:rPr>
          <w:rFonts w:ascii="Calibri" w:eastAsia="Arial" w:hAnsi="Calibri" w:cs="Calibri"/>
          <w:sz w:val="22"/>
          <w:szCs w:val="22"/>
        </w:rPr>
        <w:t xml:space="preserve"> medidas para frenar los castigos corporales producidos en Afganistán, incluidas la flagelación pública, la ejecución pública, la amputación de miembros, la lapidación y otras formas de malos tratos y tortura que violan el Derecho Internacional de las mujeres en Afganistán. </w:t>
      </w:r>
    </w:p>
    <w:p w14:paraId="26FCFCD0" w14:textId="77777777" w:rsidR="004B0F15" w:rsidRDefault="004B0F15" w:rsidP="004B0F15">
      <w:pPr>
        <w:pStyle w:val="Style"/>
        <w:numPr>
          <w:ilvl w:val="0"/>
          <w:numId w:val="4"/>
        </w:numPr>
        <w:spacing w:before="100" w:beforeAutospacing="1" w:after="200" w:line="276" w:lineRule="auto"/>
        <w:ind w:leftChars="567" w:left="1545" w:rightChars="567" w:right="1247" w:hanging="298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4B0F15">
        <w:rPr>
          <w:rFonts w:ascii="Calibri" w:eastAsia="Arial" w:hAnsi="Calibri" w:cs="Calibri"/>
          <w:sz w:val="22"/>
          <w:szCs w:val="22"/>
        </w:rPr>
        <w:t xml:space="preserve">Velar por el desarrollo de juicios justos, así como garantizar el acceso a recursos legales que permitan a las mujeres ejercer su derecho a la defensa en Irán. </w:t>
      </w:r>
    </w:p>
    <w:p w14:paraId="527B90CD" w14:textId="1673DB43" w:rsidR="004B0F15" w:rsidRDefault="004B0F15" w:rsidP="004B0F15">
      <w:pPr>
        <w:pStyle w:val="Style"/>
        <w:numPr>
          <w:ilvl w:val="0"/>
          <w:numId w:val="6"/>
        </w:numPr>
        <w:spacing w:before="100" w:beforeAutospacing="1" w:after="200" w:line="276" w:lineRule="auto"/>
        <w:ind w:left="1554" w:rightChars="567" w:right="1247" w:hanging="307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4B0F15">
        <w:rPr>
          <w:rFonts w:ascii="Calibri" w:eastAsia="Arial" w:hAnsi="Calibri" w:cs="Calibri"/>
          <w:sz w:val="22"/>
          <w:szCs w:val="22"/>
        </w:rPr>
        <w:t>Denunci</w:t>
      </w:r>
      <w:r>
        <w:rPr>
          <w:rFonts w:ascii="Calibri" w:eastAsia="Arial" w:hAnsi="Calibri" w:cs="Calibri"/>
          <w:sz w:val="22"/>
          <w:szCs w:val="22"/>
        </w:rPr>
        <w:t xml:space="preserve">ar </w:t>
      </w:r>
      <w:r w:rsidRPr="004B0F15">
        <w:rPr>
          <w:rFonts w:ascii="Calibri" w:eastAsia="Arial" w:hAnsi="Calibri" w:cs="Calibri"/>
          <w:sz w:val="22"/>
          <w:szCs w:val="22"/>
        </w:rPr>
        <w:t>y recha</w:t>
      </w:r>
      <w:r>
        <w:rPr>
          <w:rFonts w:ascii="Calibri" w:eastAsia="Arial" w:hAnsi="Calibri" w:cs="Calibri"/>
          <w:sz w:val="22"/>
          <w:szCs w:val="22"/>
        </w:rPr>
        <w:t>zar</w:t>
      </w:r>
      <w:r w:rsidRPr="004B0F15">
        <w:rPr>
          <w:rFonts w:ascii="Calibri" w:eastAsia="Arial" w:hAnsi="Calibri" w:cs="Calibri"/>
          <w:sz w:val="22"/>
          <w:szCs w:val="22"/>
        </w:rPr>
        <w:t xml:space="preserve"> la implantación de la </w:t>
      </w:r>
      <w:r>
        <w:rPr>
          <w:rFonts w:ascii="Calibri" w:eastAsia="Arial" w:hAnsi="Calibri" w:cs="Calibri"/>
          <w:sz w:val="22"/>
          <w:szCs w:val="22"/>
        </w:rPr>
        <w:t>“</w:t>
      </w:r>
      <w:r w:rsidRPr="004B0F15">
        <w:rPr>
          <w:rFonts w:ascii="Calibri" w:eastAsia="Arial" w:hAnsi="Calibri" w:cs="Calibri"/>
          <w:sz w:val="22"/>
          <w:szCs w:val="22"/>
        </w:rPr>
        <w:t>Ley de Moralidad</w:t>
      </w:r>
      <w:r>
        <w:rPr>
          <w:rFonts w:ascii="Calibri" w:eastAsia="Arial" w:hAnsi="Calibri" w:cs="Calibri"/>
          <w:sz w:val="22"/>
          <w:szCs w:val="22"/>
        </w:rPr>
        <w:t>”</w:t>
      </w:r>
      <w:r w:rsidRPr="004B0F15">
        <w:rPr>
          <w:rFonts w:ascii="Calibri" w:eastAsia="Arial" w:hAnsi="Calibri" w:cs="Calibri"/>
          <w:sz w:val="22"/>
          <w:szCs w:val="22"/>
        </w:rPr>
        <w:t xml:space="preserve"> impuesta en Afganistán y que anula los derechos de las mujeres. </w:t>
      </w:r>
    </w:p>
    <w:p w14:paraId="696EEF1F" w14:textId="44E4A408" w:rsidR="004B0F15" w:rsidRDefault="004B0F15" w:rsidP="004B0F15">
      <w:pPr>
        <w:pStyle w:val="Style"/>
        <w:numPr>
          <w:ilvl w:val="0"/>
          <w:numId w:val="6"/>
        </w:numPr>
        <w:spacing w:before="100" w:beforeAutospacing="1" w:after="200" w:line="276" w:lineRule="auto"/>
        <w:ind w:leftChars="567" w:left="1545" w:rightChars="567" w:right="1247" w:hanging="298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eastAsia="Arial" w:hAnsi="Calibri" w:cs="Calibri"/>
          <w:sz w:val="22"/>
          <w:szCs w:val="22"/>
        </w:rPr>
        <w:t>Apoyar</w:t>
      </w:r>
      <w:r w:rsidRPr="004B0F15">
        <w:rPr>
          <w:rFonts w:ascii="Calibri" w:eastAsia="Arial" w:hAnsi="Calibri" w:cs="Calibri"/>
          <w:sz w:val="22"/>
          <w:szCs w:val="22"/>
        </w:rPr>
        <w:t xml:space="preserve"> los programas de derechos humanos centrados en iniciativas a corto y largo plazo, investigación académica, proyectos que aborden la igualdad, la equidad y la tolerancia utilizando una justicia transformadora y un enfoque de </w:t>
      </w:r>
      <w:r>
        <w:rPr>
          <w:rFonts w:ascii="Calibri" w:eastAsia="Arial" w:hAnsi="Calibri" w:cs="Calibri"/>
          <w:sz w:val="22"/>
          <w:szCs w:val="22"/>
        </w:rPr>
        <w:t>“</w:t>
      </w:r>
      <w:r w:rsidRPr="004B0F15">
        <w:rPr>
          <w:rFonts w:ascii="Calibri" w:eastAsia="Arial" w:hAnsi="Calibri" w:cs="Calibri"/>
          <w:sz w:val="22"/>
          <w:szCs w:val="22"/>
        </w:rPr>
        <w:t>abajo hacia arriba</w:t>
      </w:r>
      <w:r>
        <w:rPr>
          <w:rFonts w:ascii="Calibri" w:eastAsia="Arial" w:hAnsi="Calibri" w:cs="Calibri"/>
          <w:sz w:val="22"/>
          <w:szCs w:val="22"/>
        </w:rPr>
        <w:t>”</w:t>
      </w:r>
      <w:r w:rsidRPr="004B0F15">
        <w:rPr>
          <w:rFonts w:ascii="Calibri" w:eastAsia="Arial" w:hAnsi="Calibri" w:cs="Calibri"/>
          <w:sz w:val="22"/>
          <w:szCs w:val="22"/>
        </w:rPr>
        <w:t xml:space="preserve"> dirigido a las comunidades. </w:t>
      </w:r>
    </w:p>
    <w:p w14:paraId="5FD8729E" w14:textId="77777777" w:rsidR="004B0F15" w:rsidRDefault="004B0F15" w:rsidP="004B0F15">
      <w:pPr>
        <w:pStyle w:val="Style"/>
        <w:numPr>
          <w:ilvl w:val="0"/>
          <w:numId w:val="7"/>
        </w:numPr>
        <w:spacing w:before="100" w:beforeAutospacing="1" w:after="200" w:line="276" w:lineRule="auto"/>
        <w:ind w:leftChars="567" w:left="1549" w:rightChars="567" w:right="1247" w:hanging="302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4B0F15">
        <w:rPr>
          <w:rFonts w:ascii="Calibri" w:eastAsia="Arial" w:hAnsi="Calibri" w:cs="Calibri"/>
          <w:sz w:val="22"/>
          <w:szCs w:val="22"/>
        </w:rPr>
        <w:t xml:space="preserve">Que la comunidad internacional y la ONU deben ampliar su compromiso, más allá de las redes habituales, entablando una relación de colaboración real y comunicación con las mujeres manifestantes, defensoras de los derechos humanos, representantes de la sociedad civil y ONG que están activamente comprometidas en la defensa de los derechos humanos y la abogacía en Afganistán. </w:t>
      </w:r>
    </w:p>
    <w:p w14:paraId="0DB208FE" w14:textId="02D4B1F8" w:rsidR="004B0F15" w:rsidRDefault="004B0F15" w:rsidP="004B0F15">
      <w:pPr>
        <w:pStyle w:val="Style"/>
        <w:spacing w:before="100" w:beforeAutospacing="1" w:after="200" w:line="276" w:lineRule="auto"/>
        <w:ind w:leftChars="567" w:left="1247" w:rightChars="567" w:right="1247"/>
        <w:textAlignment w:val="baseline"/>
        <w:rPr>
          <w:rFonts w:ascii="Calibri" w:eastAsia="Arial" w:hAnsi="Calibri" w:cs="Calibri"/>
          <w:sz w:val="22"/>
          <w:szCs w:val="22"/>
        </w:rPr>
      </w:pPr>
      <w:r w:rsidRPr="004B0F15">
        <w:rPr>
          <w:rFonts w:ascii="Calibri" w:eastAsia="Arial" w:hAnsi="Calibri" w:cs="Calibri"/>
          <w:sz w:val="22"/>
          <w:szCs w:val="22"/>
        </w:rPr>
        <w:lastRenderedPageBreak/>
        <w:t>En Pamplona,</w:t>
      </w:r>
      <w:r w:rsidR="00A07E2D">
        <w:rPr>
          <w:rFonts w:ascii="Calibri" w:eastAsia="Arial" w:hAnsi="Calibri" w:cs="Calibri"/>
          <w:sz w:val="22"/>
          <w:szCs w:val="22"/>
        </w:rPr>
        <w:t xml:space="preserve"> </w:t>
      </w:r>
      <w:r w:rsidRPr="004B0F15">
        <w:rPr>
          <w:rFonts w:ascii="Calibri" w:eastAsia="Arial" w:hAnsi="Calibri" w:cs="Calibri"/>
          <w:sz w:val="22"/>
          <w:szCs w:val="22"/>
        </w:rPr>
        <w:t>26 de septiembre de 2024</w:t>
      </w:r>
    </w:p>
    <w:p w14:paraId="753CB6DE" w14:textId="6B058284" w:rsidR="004B0F15" w:rsidRPr="004B0F15" w:rsidRDefault="004B0F15" w:rsidP="004B0F15">
      <w:pPr>
        <w:pStyle w:val="Style"/>
        <w:spacing w:before="100" w:beforeAutospacing="1" w:after="200" w:line="276" w:lineRule="auto"/>
        <w:ind w:leftChars="567" w:left="1247" w:rightChars="567" w:right="1247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eastAsia="Arial" w:hAnsi="Calibri" w:cs="Calibri"/>
          <w:sz w:val="22"/>
          <w:szCs w:val="22"/>
        </w:rPr>
        <w:t>Los Parlamentarios Forales: Miren Itxaso Soto Díaz de Cero, Irati Jiménez Aragón, Carlos Guzmán Pérez</w:t>
      </w:r>
    </w:p>
    <w:sectPr w:rsidR="004B0F15" w:rsidRPr="004B0F15" w:rsidSect="004B0F15">
      <w:type w:val="continuous"/>
      <w:pgSz w:w="12240" w:h="20160"/>
      <w:pgMar w:top="1440" w:right="1080" w:bottom="1440" w:left="1080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464B0D"/>
    <w:multiLevelType w:val="singleLevel"/>
    <w:tmpl w:val="E6D633FC"/>
    <w:lvl w:ilvl="0">
      <w:start w:val="1"/>
      <w:numFmt w:val="decimal"/>
      <w:lvlText w:val="%1."/>
      <w:legacy w:legacy="1" w:legacySpace="0" w:legacyIndent="0"/>
      <w:lvlJc w:val="left"/>
      <w:rPr>
        <w:rFonts w:ascii="Arial" w:hAnsi="Arial" w:cs="Arial" w:hint="default"/>
        <w:sz w:val="20"/>
        <w:szCs w:val="20"/>
      </w:rPr>
    </w:lvl>
  </w:abstractNum>
  <w:abstractNum w:abstractNumId="1" w15:restartNumberingAfterBreak="0">
    <w:nsid w:val="51B12DA4"/>
    <w:multiLevelType w:val="singleLevel"/>
    <w:tmpl w:val="3A9A9546"/>
    <w:lvl w:ilvl="0">
      <w:start w:val="5"/>
      <w:numFmt w:val="decimal"/>
      <w:lvlText w:val="%1."/>
      <w:legacy w:legacy="1" w:legacySpace="0" w:legacyIndent="0"/>
      <w:lvlJc w:val="left"/>
      <w:rPr>
        <w:rFonts w:ascii="Arial" w:hAnsi="Arial" w:cs="Arial" w:hint="default"/>
        <w:sz w:val="20"/>
        <w:szCs w:val="20"/>
      </w:rPr>
    </w:lvl>
  </w:abstractNum>
  <w:abstractNum w:abstractNumId="2" w15:restartNumberingAfterBreak="0">
    <w:nsid w:val="569014A0"/>
    <w:multiLevelType w:val="singleLevel"/>
    <w:tmpl w:val="C178A85C"/>
    <w:lvl w:ilvl="0">
      <w:start w:val="19"/>
      <w:numFmt w:val="upperLetter"/>
      <w:lvlText w:val="%1."/>
      <w:legacy w:legacy="1" w:legacySpace="0" w:legacyIndent="0"/>
      <w:lvlJc w:val="left"/>
      <w:rPr>
        <w:rFonts w:ascii="Arial" w:hAnsi="Arial" w:cs="Arial" w:hint="default"/>
        <w:sz w:val="20"/>
        <w:szCs w:val="20"/>
      </w:rPr>
    </w:lvl>
  </w:abstractNum>
  <w:abstractNum w:abstractNumId="3" w15:restartNumberingAfterBreak="0">
    <w:nsid w:val="56E66D1B"/>
    <w:multiLevelType w:val="singleLevel"/>
    <w:tmpl w:val="F3B047D8"/>
    <w:lvl w:ilvl="0">
      <w:start w:val="4"/>
      <w:numFmt w:val="decimal"/>
      <w:lvlText w:val="%1."/>
      <w:legacy w:legacy="1" w:legacySpace="0" w:legacyIndent="0"/>
      <w:lvlJc w:val="left"/>
      <w:rPr>
        <w:rFonts w:ascii="Arial" w:hAnsi="Arial" w:cs="Arial" w:hint="default"/>
        <w:sz w:val="20"/>
        <w:szCs w:val="20"/>
      </w:rPr>
    </w:lvl>
  </w:abstractNum>
  <w:abstractNum w:abstractNumId="4" w15:restartNumberingAfterBreak="0">
    <w:nsid w:val="5A0B25F4"/>
    <w:multiLevelType w:val="singleLevel"/>
    <w:tmpl w:val="60CA8616"/>
    <w:lvl w:ilvl="0">
      <w:start w:val="3"/>
      <w:numFmt w:val="decimal"/>
      <w:lvlText w:val="%1."/>
      <w:legacy w:legacy="1" w:legacySpace="0" w:legacyIndent="0"/>
      <w:lvlJc w:val="left"/>
      <w:rPr>
        <w:rFonts w:ascii="Arial" w:hAnsi="Arial" w:cs="Arial" w:hint="default"/>
        <w:sz w:val="20"/>
        <w:szCs w:val="20"/>
      </w:rPr>
    </w:lvl>
  </w:abstractNum>
  <w:abstractNum w:abstractNumId="5" w15:restartNumberingAfterBreak="0">
    <w:nsid w:val="5D8F6E0D"/>
    <w:multiLevelType w:val="singleLevel"/>
    <w:tmpl w:val="6C9C135E"/>
    <w:lvl w:ilvl="0">
      <w:start w:val="2"/>
      <w:numFmt w:val="decimal"/>
      <w:lvlText w:val="%1."/>
      <w:legacy w:legacy="1" w:legacySpace="0" w:legacyIndent="0"/>
      <w:lvlJc w:val="left"/>
      <w:rPr>
        <w:rFonts w:ascii="Arial" w:hAnsi="Arial" w:cs="Arial" w:hint="default"/>
        <w:sz w:val="20"/>
        <w:szCs w:val="20"/>
      </w:rPr>
    </w:lvl>
  </w:abstractNum>
  <w:abstractNum w:abstractNumId="6" w15:restartNumberingAfterBreak="0">
    <w:nsid w:val="60A8606A"/>
    <w:multiLevelType w:val="singleLevel"/>
    <w:tmpl w:val="3200987C"/>
    <w:lvl w:ilvl="0">
      <w:start w:val="7"/>
      <w:numFmt w:val="decimal"/>
      <w:lvlText w:val="%1."/>
      <w:legacy w:legacy="1" w:legacySpace="0" w:legacyIndent="0"/>
      <w:lvlJc w:val="left"/>
      <w:rPr>
        <w:rFonts w:ascii="Arial" w:hAnsi="Arial" w:cs="Arial" w:hint="default"/>
        <w:sz w:val="20"/>
        <w:szCs w:val="20"/>
      </w:rPr>
    </w:lvl>
  </w:abstractNum>
  <w:num w:numId="1" w16cid:durableId="1189832155">
    <w:abstractNumId w:val="0"/>
  </w:num>
  <w:num w:numId="2" w16cid:durableId="1799689601">
    <w:abstractNumId w:val="5"/>
  </w:num>
  <w:num w:numId="3" w16cid:durableId="859706395">
    <w:abstractNumId w:val="4"/>
  </w:num>
  <w:num w:numId="4" w16cid:durableId="1023701610">
    <w:abstractNumId w:val="3"/>
  </w:num>
  <w:num w:numId="5" w16cid:durableId="1569415288">
    <w:abstractNumId w:val="2"/>
  </w:num>
  <w:num w:numId="6" w16cid:durableId="2047101039">
    <w:abstractNumId w:val="1"/>
  </w:num>
  <w:num w:numId="7" w16cid:durableId="5300717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36611"/>
    <w:rsid w:val="00195B76"/>
    <w:rsid w:val="00252DB7"/>
    <w:rsid w:val="004B0F15"/>
    <w:rsid w:val="004F3146"/>
    <w:rsid w:val="00A07E2D"/>
    <w:rsid w:val="00F36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E04AD"/>
  <w15:docId w15:val="{A64CD3C6-64C6-4DF5-AD54-9BD95F1A1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Arab" typeface="Arial"/>
        <a:font script="Hebr" typeface="Arial"/>
      </a:majorFont>
      <a:minorFont>
        <a:latin typeface="Arial"/>
        <a:ea typeface=""/>
        <a:cs typeface=""/>
        <a:font script="Arab" typeface="Arial"/>
        <a:font script="Hebr"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447</Words>
  <Characters>2464</Characters>
  <Application>Microsoft Office Word</Application>
  <DocSecurity>0</DocSecurity>
  <Lines>20</Lines>
  <Paragraphs>5</Paragraphs>
  <ScaleCrop>false</ScaleCrop>
  <Company>HP Inc.</Company>
  <LinksUpToDate>false</LinksUpToDate>
  <CharactersWithSpaces>2906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24MOC-115</dc:title>
  <dc:creator>informatica</dc:creator>
  <cp:keywords>CreatedByIRIS_Readiris_17.0</cp:keywords>
  <cp:lastModifiedBy>Mauleón, Fernando</cp:lastModifiedBy>
  <cp:revision>4</cp:revision>
  <dcterms:created xsi:type="dcterms:W3CDTF">2024-09-27T08:01:00Z</dcterms:created>
  <dcterms:modified xsi:type="dcterms:W3CDTF">2024-09-27T08:12:00Z</dcterms:modified>
</cp:coreProperties>
</file>