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FF78" w14:textId="77777777" w:rsidR="003772FB" w:rsidRDefault="003772FB">
      <w:pPr>
        <w:pStyle w:val="Style"/>
        <w:spacing w:line="312" w:lineRule="exact"/>
        <w:ind w:left="5"/>
        <w:jc w:val="both"/>
        <w:textAlignment w:val="baseline"/>
        <w:rPr>
          <w:rFonts w:ascii="Calibri" w:eastAsia="Arial" w:hAnsi="Calibri" w:cs="Calibri"/>
          <w:sz w:val="22"/>
          <w:szCs w:val="22"/>
        </w:rPr>
      </w:pPr>
      <w:r>
        <w:rPr>
          <w:rFonts w:ascii="Calibri" w:hAnsi="Calibri"/>
          <w:sz w:val="22"/>
        </w:rPr>
        <w:t>23MOC-39</w:t>
      </w:r>
    </w:p>
    <w:p w14:paraId="722D7103" w14:textId="41EAFF77" w:rsidR="00B276AC" w:rsidRPr="004C69AD" w:rsidRDefault="00A43AAF">
      <w:pPr>
        <w:pStyle w:val="Style"/>
        <w:spacing w:line="312" w:lineRule="exact"/>
        <w:ind w:left="5"/>
        <w:jc w:val="both"/>
        <w:textAlignment w:val="baseline"/>
        <w:rPr>
          <w:rFonts w:ascii="Calibri" w:hAnsi="Calibri" w:cs="Calibri"/>
          <w:sz w:val="22"/>
          <w:szCs w:val="22"/>
        </w:rPr>
      </w:pPr>
      <w:r>
        <w:rPr>
          <w:rFonts w:ascii="Calibri" w:hAnsi="Calibri"/>
          <w:sz w:val="22"/>
        </w:rPr>
        <w:t xml:space="preserve">Alderdi Popularra talde parlamentarioaren eledun Javier García Jiménez jaunak, Legebiltzarraren Erregelamenduan ezarritakoaren babesean, honako mozio hau aurkezten du, Osoko Bilkuran eztabaidatzeko: </w:t>
      </w:r>
    </w:p>
    <w:p w14:paraId="545578CC" w14:textId="77777777" w:rsidR="00B276AC" w:rsidRPr="004C69AD" w:rsidRDefault="00A43AAF">
      <w:pPr>
        <w:pStyle w:val="Style"/>
        <w:spacing w:before="157" w:line="312" w:lineRule="exact"/>
        <w:jc w:val="both"/>
        <w:textAlignment w:val="baseline"/>
        <w:rPr>
          <w:rFonts w:ascii="Calibri" w:hAnsi="Calibri" w:cs="Calibri"/>
          <w:sz w:val="22"/>
          <w:szCs w:val="22"/>
        </w:rPr>
      </w:pPr>
      <w:r>
        <w:rPr>
          <w:rFonts w:ascii="Calibri" w:hAnsi="Calibri"/>
          <w:sz w:val="22"/>
        </w:rPr>
        <w:t xml:space="preserve">Nafarroan Gizarteratzeko eta errenta bermaturako eskubideak arautzen dituen 15/2016 Foru Legean jasotako definizioaren arabera, pobrezia egoeran dauden pertsonei nahiz familia-unitateei bizitza duina bermatzeko prestazio ekonomiko bat da errenta bermatua. Pertsona edo familia-unitate horiek jaso dezaketen bestelako edozein diru-sarreraren osagarria da. </w:t>
      </w:r>
    </w:p>
    <w:p w14:paraId="6E081BEC" w14:textId="77777777" w:rsidR="00B276AC" w:rsidRPr="004C69AD" w:rsidRDefault="00A43AAF">
      <w:pPr>
        <w:pStyle w:val="Style"/>
        <w:spacing w:before="157" w:line="312" w:lineRule="exact"/>
        <w:jc w:val="both"/>
        <w:textAlignment w:val="baseline"/>
        <w:rPr>
          <w:rFonts w:ascii="Calibri" w:hAnsi="Calibri" w:cs="Calibri"/>
          <w:sz w:val="22"/>
          <w:szCs w:val="22"/>
        </w:rPr>
      </w:pPr>
      <w:r>
        <w:rPr>
          <w:rFonts w:ascii="Calibri" w:hAnsi="Calibri"/>
          <w:sz w:val="22"/>
        </w:rPr>
        <w:t xml:space="preserve">Tresna hori –errenta bermatua– beharrezkoa da ziurtatzeko pertsona guztiek dauzkatela eskura bizitza duin baterako eta desberdinkeria ekonomiko eta sozialak murrizteko oinarrizko zerbitzuak eta ondasunak. Justifikatutako salbuespenak salbuespen, garrantzitsua da errenta bermatua prestazio koiuntural gisa hartzea, errenta hori beharrezkoa duten pertsonei laguntzera bideratua enplegu bat lortzen duten arte. Hori da bilatu beharreko helburua, hala Nafarroako Gobernuak nola Nafarroako Parlamentuak bultzatu beharko luketena. </w:t>
      </w:r>
    </w:p>
    <w:p w14:paraId="48242991" w14:textId="77777777" w:rsidR="002546DD" w:rsidRPr="009D73CA" w:rsidRDefault="00A43AAF" w:rsidP="002546DD">
      <w:pPr>
        <w:pStyle w:val="Style"/>
        <w:spacing w:before="157" w:line="312" w:lineRule="exact"/>
        <w:jc w:val="both"/>
        <w:textAlignment w:val="baseline"/>
        <w:rPr>
          <w:rFonts w:ascii="Calibri" w:eastAsia="Arial" w:hAnsi="Calibri" w:cs="Calibri"/>
          <w:sz w:val="22"/>
          <w:szCs w:val="22"/>
        </w:rPr>
        <w:sectPr w:rsidR="002546DD" w:rsidRPr="009D73CA" w:rsidSect="00C55018">
          <w:type w:val="continuous"/>
          <w:pgSz w:w="11900" w:h="16840"/>
          <w:pgMar w:top="1417" w:right="1701" w:bottom="1417" w:left="1701" w:header="0" w:footer="0" w:gutter="0"/>
          <w:cols w:space="720"/>
          <w:docGrid w:linePitch="299"/>
        </w:sectPr>
      </w:pPr>
      <w:r>
        <w:rPr>
          <w:rFonts w:ascii="Calibri" w:hAnsi="Calibri"/>
          <w:sz w:val="22"/>
        </w:rPr>
        <w:t>Funtsezkoa da ziurta dezagun ezen prestazioa jasotzeko eskubidea duten pertsonak egiaz sartzen direla lan-merkatuan, bestela ez baitu balioko sortzez izan zuen helbururako. Datuek erakusten digutenez, errenta bermatuaren aplikazioa, bere horretan, ez da eraginkorra izaten ari helburu hori lortzeko, enplegua sortzen ari baita baina prestazioa jasotzen ari diren unitateen kopurua ia-ia jaitsi gabe. Horren arrazoia da ia ez dagoela loturarik prestazio ekonomikoaren eta laneratze planaren artean.</w:t>
      </w:r>
    </w:p>
    <w:p w14:paraId="2E5B6AD5" w14:textId="77777777" w:rsidR="00B276AC" w:rsidRPr="004C69AD" w:rsidRDefault="00A43AAF">
      <w:pPr>
        <w:pStyle w:val="Style"/>
        <w:spacing w:line="312" w:lineRule="exact"/>
        <w:jc w:val="both"/>
        <w:textAlignment w:val="baseline"/>
        <w:rPr>
          <w:rFonts w:ascii="Calibri" w:hAnsi="Calibri" w:cs="Calibri"/>
          <w:sz w:val="22"/>
          <w:szCs w:val="22"/>
        </w:rPr>
      </w:pPr>
      <w:r>
        <w:rPr>
          <w:rFonts w:ascii="Calibri" w:hAnsi="Calibri"/>
          <w:sz w:val="22"/>
        </w:rPr>
        <w:t xml:space="preserve">Testuinguru zail honetan beharrezkoa da errenta bermatuari buruzko araudia berraztertzea eta lehenbailehen aldatzea Nafarroan, halako moduan non prestazioa zuzenean lotuko baita haren beharra gehien daukaten pertsonak eta familiak laneratzearekin. </w:t>
      </w:r>
    </w:p>
    <w:p w14:paraId="041E27FA" w14:textId="77777777" w:rsidR="002546DD" w:rsidRDefault="00A43AAF" w:rsidP="002546DD">
      <w:pPr>
        <w:pStyle w:val="Style"/>
        <w:spacing w:line="470" w:lineRule="exact"/>
        <w:ind w:left="10"/>
        <w:jc w:val="both"/>
        <w:textAlignment w:val="baseline"/>
        <w:rPr>
          <w:rFonts w:ascii="Calibri" w:eastAsia="Arial" w:hAnsi="Calibri" w:cs="Calibri"/>
          <w:sz w:val="22"/>
          <w:szCs w:val="22"/>
        </w:rPr>
      </w:pPr>
      <w:r>
        <w:rPr>
          <w:rFonts w:ascii="Calibri" w:hAnsi="Calibri"/>
          <w:sz w:val="22"/>
        </w:rPr>
        <w:t>Horregatik guztiagatik, honako mozio hau aurkezten dugu:</w:t>
      </w:r>
    </w:p>
    <w:p w14:paraId="13F056F3" w14:textId="77777777" w:rsidR="002546DD" w:rsidRDefault="00A43AAF" w:rsidP="002546DD">
      <w:pPr>
        <w:pStyle w:val="Style"/>
        <w:spacing w:line="470" w:lineRule="exact"/>
        <w:ind w:left="10"/>
        <w:jc w:val="both"/>
        <w:textAlignment w:val="baseline"/>
        <w:rPr>
          <w:rFonts w:ascii="Calibri" w:hAnsi="Calibri" w:cs="Calibri"/>
          <w:sz w:val="22"/>
          <w:szCs w:val="22"/>
        </w:rPr>
      </w:pPr>
      <w:r>
        <w:rPr>
          <w:rFonts w:ascii="Calibri" w:hAnsi="Calibri"/>
          <w:sz w:val="22"/>
        </w:rPr>
        <w:t xml:space="preserve">Nafarroako Parlamentuak Nafarroako Gobernua premiatzen du: </w:t>
      </w:r>
    </w:p>
    <w:p w14:paraId="06445371" w14:textId="77777777" w:rsidR="00C55018" w:rsidRPr="002546DD" w:rsidRDefault="00A43AAF" w:rsidP="00A43AAF">
      <w:pPr>
        <w:pStyle w:val="Style"/>
        <w:numPr>
          <w:ilvl w:val="0"/>
          <w:numId w:val="7"/>
        </w:numPr>
        <w:spacing w:line="470" w:lineRule="exact"/>
        <w:textAlignment w:val="baseline"/>
        <w:rPr>
          <w:rFonts w:ascii="Calibri" w:hAnsi="Calibri" w:cs="Calibri"/>
          <w:sz w:val="22"/>
          <w:szCs w:val="22"/>
        </w:rPr>
      </w:pPr>
      <w:r>
        <w:rPr>
          <w:rFonts w:ascii="Calibri" w:hAnsi="Calibri"/>
          <w:sz w:val="22"/>
        </w:rPr>
        <w:t xml:space="preserve">Lehenbailehen alda dezan errenta bermatuari buruzko araudia, horren azken helburua laneratzea izan dadin. </w:t>
      </w:r>
    </w:p>
    <w:p w14:paraId="0641BB25" w14:textId="77777777" w:rsidR="00C55018" w:rsidRDefault="00A43AAF" w:rsidP="002546DD">
      <w:pPr>
        <w:pStyle w:val="Style"/>
        <w:spacing w:before="100" w:beforeAutospacing="1"/>
        <w:jc w:val="both"/>
        <w:textAlignment w:val="baseline"/>
        <w:rPr>
          <w:rFonts w:ascii="Calibri" w:eastAsia="Arial" w:hAnsi="Calibri" w:cs="Calibri"/>
          <w:sz w:val="22"/>
          <w:szCs w:val="22"/>
        </w:rPr>
      </w:pPr>
      <w:r>
        <w:rPr>
          <w:rFonts w:ascii="Calibri" w:hAnsi="Calibri"/>
          <w:sz w:val="22"/>
        </w:rPr>
        <w:t xml:space="preserve">Iruñean, 2023ko irailaren 25ean </w:t>
      </w:r>
    </w:p>
    <w:p w14:paraId="22B52A8C" w14:textId="77777777" w:rsidR="00B276AC" w:rsidRPr="004C69AD" w:rsidRDefault="002546DD" w:rsidP="002546DD">
      <w:pPr>
        <w:pStyle w:val="Style"/>
        <w:spacing w:before="100" w:beforeAutospacing="1"/>
        <w:jc w:val="both"/>
        <w:textAlignment w:val="baseline"/>
        <w:rPr>
          <w:rFonts w:ascii="Calibri" w:hAnsi="Calibri" w:cs="Calibri"/>
          <w:sz w:val="22"/>
          <w:szCs w:val="22"/>
        </w:rPr>
      </w:pPr>
      <w:r>
        <w:rPr>
          <w:rFonts w:ascii="Calibri" w:hAnsi="Calibri"/>
          <w:sz w:val="22"/>
        </w:rPr>
        <w:t xml:space="preserve">Foru parlamentaria: Javier García Jiménez </w:t>
      </w:r>
    </w:p>
    <w:sectPr w:rsidR="00B276AC" w:rsidRPr="004C69AD" w:rsidSect="00C55018">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3EA"/>
    <w:multiLevelType w:val="hybridMultilevel"/>
    <w:tmpl w:val="EE2EF798"/>
    <w:lvl w:ilvl="0" w:tplc="C55001D0">
      <w:start w:val="1"/>
      <w:numFmt w:val="decimal"/>
      <w:lvlText w:val="%1."/>
      <w:lvlJc w:val="left"/>
      <w:pPr>
        <w:ind w:left="2438" w:hanging="360"/>
      </w:pPr>
      <w:rPr>
        <w:rFonts w:eastAsia="Arial" w:hint="default"/>
      </w:rPr>
    </w:lvl>
    <w:lvl w:ilvl="1" w:tplc="0C0A0019" w:tentative="1">
      <w:start w:val="1"/>
      <w:numFmt w:val="lowerLetter"/>
      <w:lvlText w:val="%2."/>
      <w:lvlJc w:val="left"/>
      <w:pPr>
        <w:ind w:left="3158" w:hanging="360"/>
      </w:pPr>
    </w:lvl>
    <w:lvl w:ilvl="2" w:tplc="0C0A001B" w:tentative="1">
      <w:start w:val="1"/>
      <w:numFmt w:val="lowerRoman"/>
      <w:lvlText w:val="%3."/>
      <w:lvlJc w:val="right"/>
      <w:pPr>
        <w:ind w:left="3878" w:hanging="180"/>
      </w:pPr>
    </w:lvl>
    <w:lvl w:ilvl="3" w:tplc="0C0A000F" w:tentative="1">
      <w:start w:val="1"/>
      <w:numFmt w:val="decimal"/>
      <w:lvlText w:val="%4."/>
      <w:lvlJc w:val="left"/>
      <w:pPr>
        <w:ind w:left="4598" w:hanging="360"/>
      </w:pPr>
    </w:lvl>
    <w:lvl w:ilvl="4" w:tplc="0C0A0019" w:tentative="1">
      <w:start w:val="1"/>
      <w:numFmt w:val="lowerLetter"/>
      <w:lvlText w:val="%5."/>
      <w:lvlJc w:val="left"/>
      <w:pPr>
        <w:ind w:left="5318" w:hanging="360"/>
      </w:pPr>
    </w:lvl>
    <w:lvl w:ilvl="5" w:tplc="0C0A001B" w:tentative="1">
      <w:start w:val="1"/>
      <w:numFmt w:val="lowerRoman"/>
      <w:lvlText w:val="%6."/>
      <w:lvlJc w:val="right"/>
      <w:pPr>
        <w:ind w:left="6038" w:hanging="180"/>
      </w:pPr>
    </w:lvl>
    <w:lvl w:ilvl="6" w:tplc="0C0A000F" w:tentative="1">
      <w:start w:val="1"/>
      <w:numFmt w:val="decimal"/>
      <w:lvlText w:val="%7."/>
      <w:lvlJc w:val="left"/>
      <w:pPr>
        <w:ind w:left="6758" w:hanging="360"/>
      </w:pPr>
    </w:lvl>
    <w:lvl w:ilvl="7" w:tplc="0C0A0019" w:tentative="1">
      <w:start w:val="1"/>
      <w:numFmt w:val="lowerLetter"/>
      <w:lvlText w:val="%8."/>
      <w:lvlJc w:val="left"/>
      <w:pPr>
        <w:ind w:left="7478" w:hanging="360"/>
      </w:pPr>
    </w:lvl>
    <w:lvl w:ilvl="8" w:tplc="0C0A001B" w:tentative="1">
      <w:start w:val="1"/>
      <w:numFmt w:val="lowerRoman"/>
      <w:lvlText w:val="%9."/>
      <w:lvlJc w:val="right"/>
      <w:pPr>
        <w:ind w:left="8198" w:hanging="180"/>
      </w:pPr>
    </w:lvl>
  </w:abstractNum>
  <w:abstractNum w:abstractNumId="1" w15:restartNumberingAfterBreak="0">
    <w:nsid w:val="2C8F3360"/>
    <w:multiLevelType w:val="hybridMultilevel"/>
    <w:tmpl w:val="CA7A2630"/>
    <w:lvl w:ilvl="0" w:tplc="F370DA06">
      <w:start w:val="1"/>
      <w:numFmt w:val="decimal"/>
      <w:lvlText w:val="%1."/>
      <w:lvlJc w:val="left"/>
      <w:pPr>
        <w:ind w:left="370" w:hanging="360"/>
      </w:pPr>
      <w:rPr>
        <w:rFonts w:hint="default"/>
      </w:rPr>
    </w:lvl>
    <w:lvl w:ilvl="1" w:tplc="0C0A0019" w:tentative="1">
      <w:start w:val="1"/>
      <w:numFmt w:val="lowerLetter"/>
      <w:lvlText w:val="%2."/>
      <w:lvlJc w:val="left"/>
      <w:pPr>
        <w:ind w:left="1090" w:hanging="360"/>
      </w:pPr>
    </w:lvl>
    <w:lvl w:ilvl="2" w:tplc="0C0A001B" w:tentative="1">
      <w:start w:val="1"/>
      <w:numFmt w:val="lowerRoman"/>
      <w:lvlText w:val="%3."/>
      <w:lvlJc w:val="righ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abstractNum w:abstractNumId="2" w15:restartNumberingAfterBreak="0">
    <w:nsid w:val="4E445A67"/>
    <w:multiLevelType w:val="singleLevel"/>
    <w:tmpl w:val="B3CC3162"/>
    <w:lvl w:ilvl="0">
      <w:start w:val="12"/>
      <w:numFmt w:val="lowerLetter"/>
      <w:lvlText w:val="%1."/>
      <w:legacy w:legacy="1" w:legacySpace="0" w:legacyIndent="0"/>
      <w:lvlJc w:val="left"/>
      <w:rPr>
        <w:rFonts w:ascii="Times New Roman" w:hAnsi="Times New Roman" w:cs="Times New Roman" w:hint="default"/>
        <w:sz w:val="24"/>
        <w:szCs w:val="24"/>
      </w:rPr>
    </w:lvl>
  </w:abstractNum>
  <w:abstractNum w:abstractNumId="3" w15:restartNumberingAfterBreak="0">
    <w:nsid w:val="6AE532C6"/>
    <w:multiLevelType w:val="hybridMultilevel"/>
    <w:tmpl w:val="F8B6FEE2"/>
    <w:lvl w:ilvl="0" w:tplc="9A80A27C">
      <w:start w:val="1"/>
      <w:numFmt w:val="decimal"/>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B9E5DFA"/>
    <w:multiLevelType w:val="hybridMultilevel"/>
    <w:tmpl w:val="EF8C5E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36D70F0"/>
    <w:multiLevelType w:val="hybridMultilevel"/>
    <w:tmpl w:val="63284C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FBE70E7"/>
    <w:multiLevelType w:val="hybridMultilevel"/>
    <w:tmpl w:val="E0B2A7F8"/>
    <w:lvl w:ilvl="0" w:tplc="27DEE9E0">
      <w:start w:val="1"/>
      <w:numFmt w:val="decimal"/>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95941151">
    <w:abstractNumId w:val="2"/>
  </w:num>
  <w:num w:numId="2" w16cid:durableId="2125692331">
    <w:abstractNumId w:val="3"/>
  </w:num>
  <w:num w:numId="3" w16cid:durableId="1032993982">
    <w:abstractNumId w:val="1"/>
  </w:num>
  <w:num w:numId="4" w16cid:durableId="1735273906">
    <w:abstractNumId w:val="5"/>
  </w:num>
  <w:num w:numId="5" w16cid:durableId="1914311659">
    <w:abstractNumId w:val="0"/>
  </w:num>
  <w:num w:numId="6" w16cid:durableId="233592310">
    <w:abstractNumId w:val="4"/>
  </w:num>
  <w:num w:numId="7" w16cid:durableId="849761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76AC"/>
    <w:rsid w:val="002546DD"/>
    <w:rsid w:val="003772FB"/>
    <w:rsid w:val="004C69AD"/>
    <w:rsid w:val="007A5BF8"/>
    <w:rsid w:val="009D73CA"/>
    <w:rsid w:val="00A43AAF"/>
    <w:rsid w:val="00AA2D7F"/>
    <w:rsid w:val="00B276AC"/>
    <w:rsid w:val="00C550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7C4E"/>
  <w15:docId w15:val="{FFC7BC67-9163-4316-A0ED-75B6997B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329</Words>
  <Characters>1810</Characters>
  <Application>Microsoft Office Word</Application>
  <DocSecurity>0</DocSecurity>
  <Lines>15</Lines>
  <Paragraphs>4</Paragraphs>
  <ScaleCrop>false</ScaleCrop>
  <Company>HP Inc.</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23MOC-39</dc:title>
  <dc:creator>informatica</dc:creator>
  <cp:keywords>CreatedByIRIS_Readiris_17.0</cp:keywords>
  <cp:lastModifiedBy>Martin Cestao, Nerea</cp:lastModifiedBy>
  <cp:revision>9</cp:revision>
  <dcterms:created xsi:type="dcterms:W3CDTF">2023-09-25T07:57:00Z</dcterms:created>
  <dcterms:modified xsi:type="dcterms:W3CDTF">2023-10-05T11:08:00Z</dcterms:modified>
</cp:coreProperties>
</file>