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D4F7"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PR</w:t>
      </w:r>
      <w:r>
        <w:rPr>
          <w:rFonts w:asciiTheme="minorHAnsi" w:hAnsiTheme="minorHAnsi" w:cstheme="minorHAnsi"/>
          <w:sz w:val="28"/>
          <w:szCs w:val="28"/>
          <w:lang w:val="es-ES_tradnl"/>
        </w:rPr>
        <w:t>O</w:t>
      </w:r>
      <w:r w:rsidRPr="009138FA">
        <w:rPr>
          <w:rFonts w:asciiTheme="minorHAnsi" w:hAnsiTheme="minorHAnsi" w:cstheme="minorHAnsi"/>
          <w:sz w:val="28"/>
          <w:szCs w:val="28"/>
          <w:lang w:val="es-ES_tradnl"/>
        </w:rPr>
        <w:t>-00002</w:t>
      </w:r>
    </w:p>
    <w:p w14:paraId="4DBFFBDE" w14:textId="77777777" w:rsidR="005B16F2" w:rsidRPr="005B16F2" w:rsidRDefault="005B16F2" w:rsidP="005B16F2">
      <w:pPr>
        <w:pStyle w:val="Estilo"/>
        <w:spacing w:before="1" w:beforeAutospacing="1" w:after="1" w:afterAutospacing="1"/>
        <w:rPr>
          <w:rFonts w:asciiTheme="minorHAnsi" w:hAnsiTheme="minorHAnsi" w:cstheme="minorHAnsi"/>
          <w:b/>
          <w:bCs/>
          <w:sz w:val="28"/>
          <w:szCs w:val="28"/>
          <w:lang w:val="es-ES_tradnl"/>
        </w:rPr>
      </w:pPr>
      <w:r w:rsidRPr="005B16F2">
        <w:rPr>
          <w:rFonts w:asciiTheme="minorHAnsi" w:hAnsiTheme="minorHAnsi" w:cstheme="minorHAnsi"/>
          <w:b/>
          <w:bCs/>
          <w:sz w:val="28"/>
          <w:szCs w:val="28"/>
          <w:lang w:val="es-ES_tradnl"/>
        </w:rPr>
        <w:t>Proposición de Ley Foral de modificación de la Ley Foral 11/2000, de 16 de noviembre, de Sanidad Animal de Navarra.</w:t>
      </w:r>
    </w:p>
    <w:p w14:paraId="592E6277" w14:textId="57D46D5A" w:rsidR="005B16F2" w:rsidRDefault="00D92860"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EXPOSICIÓN DE MOTIVOS</w:t>
      </w:r>
    </w:p>
    <w:p w14:paraId="638461DE"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 xml:space="preserve">Las enfermedades transmisibles de los animales pueden tener repercusiones devastadoras, tanto para los animales como para los ganaderos y la economía. Asimismo, pueden tener consecuencias en la salud pública y en la seguridad alimentaria. La Unión Europea ya optó desde el año 2007 por una nueva estrategia en sanidad animal en la que </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más vale prevenir que curar</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fue establecido como un principio para el desarrollo normativo. La publicación del Reglamento 2016/429, la llamada ley de sanidad animal europea</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refuerza la necesidad de seguir trabajando en esta dirección.</w:t>
      </w:r>
    </w:p>
    <w:p w14:paraId="68AB7E67"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Uno de los principales condicionantes para afrontar la prevención es la ubicación y el diseño de los establecimientos ganaderos. La densidad ganadera de la zona donde se emplace condiciona el riesgo de padecer enfermedades transmisibles. Por ello es necesario establecer el tamaño máximo de las explotaciones y la distancia entre establecimientos ganaderos, limitando de esta manera la densidad ganadera. Esta actuación mitigará el riesgo de difusión de enfermedades, facilitando la actuación destinada a su control y erradicación en caso de detectarse un foco de enfermedad, minimizando así sus repercusiones.</w:t>
      </w:r>
    </w:p>
    <w:p w14:paraId="161D1FD2"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La actual Ley Foral de Sanidad Animal hace referencia a estos elementos en los artículos 28 y 29</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distancias y densidad ganadera. La presente norma modifica la redacción de estos artículos y añade un anexo que establece el tamaño máximo del establecimiento ganadero.</w:t>
      </w:r>
    </w:p>
    <w:p w14:paraId="765A6C10"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Además, modifica el artículo 39 con objeto de limitar la cuantía máxima de indemnización por establecimiento ganadero con el objeto de incentivar la corresponsabilidad y el establecimiento de medidas de prevención de las grandes explotaciones ante los riesgos sanitarios.</w:t>
      </w:r>
    </w:p>
    <w:p w14:paraId="05F0AB89"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Por otra parte, ha de tenerse en cuenta que mediante Real Decreto 1053/2022, de 27 de diciembre, se han establecido las normas básicas de ordenación de las granjas bovinas.</w:t>
      </w:r>
    </w:p>
    <w:p w14:paraId="7CF154D9"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 xml:space="preserve">A tenor de la regulación contenida en esta norma, la capacidad productiva </w:t>
      </w:r>
      <w:r w:rsidRPr="009138FA">
        <w:rPr>
          <w:rFonts w:asciiTheme="minorHAnsi" w:hAnsiTheme="minorHAnsi" w:cstheme="minorHAnsi"/>
          <w:sz w:val="28"/>
          <w:szCs w:val="28"/>
          <w:lang w:val="es-ES_tradnl"/>
        </w:rPr>
        <w:lastRenderedPageBreak/>
        <w:t xml:space="preserve">de las granjas bovinas queda fijada </w:t>
      </w:r>
      <w:r>
        <w:rPr>
          <w:rFonts w:asciiTheme="minorHAnsi" w:hAnsiTheme="minorHAnsi" w:cstheme="minorHAnsi"/>
          <w:sz w:val="28"/>
          <w:szCs w:val="28"/>
          <w:lang w:val="es-ES_tradnl"/>
        </w:rPr>
        <w:t xml:space="preserve">en </w:t>
      </w:r>
      <w:r w:rsidRPr="009138FA">
        <w:rPr>
          <w:rFonts w:asciiTheme="minorHAnsi" w:hAnsiTheme="minorHAnsi" w:cstheme="minorHAnsi"/>
          <w:sz w:val="28"/>
          <w:szCs w:val="28"/>
          <w:lang w:val="es-ES_tradnl"/>
        </w:rPr>
        <w:t>850 UGM. Además, se prevé que las explotaciones en funcionamiento cuya capacidad productiva antes de la entrada en vigor del real decreto supere la capacidad productiva máxima establecida en el artículo 1.2 podrán mantener dicha capacidad, pero no podrán en ningún caso ampliarla.</w:t>
      </w:r>
    </w:p>
    <w:p w14:paraId="5150FDDF"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La disposición transitoria primera del mencionado real decreto señala que los expedientes correspondientes a la autorización de explotaciones en fase de tramitación sobre los que no ha recaído resolución firme en vía administrativa, pero hubieran satisfecho todos y cada uno de los trámites necesarios para iniciar la construcción de</w:t>
      </w:r>
      <w:r>
        <w:rPr>
          <w:rFonts w:asciiTheme="minorHAnsi" w:hAnsiTheme="minorHAnsi" w:cstheme="minorHAnsi"/>
          <w:sz w:val="28"/>
          <w:szCs w:val="28"/>
          <w:lang w:val="es-ES_tradnl"/>
        </w:rPr>
        <w:t xml:space="preserve"> </w:t>
      </w:r>
      <w:r w:rsidRPr="009138FA">
        <w:rPr>
          <w:rFonts w:asciiTheme="minorHAnsi" w:hAnsiTheme="minorHAnsi" w:cstheme="minorHAnsi"/>
          <w:sz w:val="28"/>
          <w:szCs w:val="28"/>
          <w:lang w:val="es-ES_tradnl"/>
        </w:rPr>
        <w:t>las instalaciones directamente implicadas en el proceso de producción con anterioridad al 6 de abril de 2022, fecha en que la norma finalizó el trámite de audiencia pública, se resolverán conforme a la normativa en vigor en el momento en que se produjo el cumplimiento de dichos trámites.</w:t>
      </w:r>
    </w:p>
    <w:p w14:paraId="2B28235D"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Esta previsión establece, por una parte, una fecha de referencia y, por otra, los requisitos que las solicitudes presentadas antes de dicha fecha han de cumplir para que no les sean de aplicación las previsiones del real decreto, lo que hace oportuna la regulación en la norma foral de varios aspectos.</w:t>
      </w:r>
    </w:p>
    <w:p w14:paraId="3DE167F9"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En primer lugar, ha de precisarse que las explotaciones en funcionamiento cuya capacidad productiva antes de la entrada en vigor del real decreto supere la capacidad productiva máxima establecida en el mismo podrán mantener dicha capacidad, pero no podrán en ningún caso ampliarla. A estos efectos se tendrá en cuenta la capacidad máxima contemplada en su licencia medioambiental vigente.</w:t>
      </w:r>
    </w:p>
    <w:p w14:paraId="0B5E9659"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En segundo lugar, procede determinar el régimen jurídico aplicable a la resolución de los expedientes en tramitación, tomando para ello como referencia la fecha establecida en la disposición transitoria primera del real decreto, de modo que los expedientes correspondientes a la autorización de explotaciones de ganado bovino presentados con anterioridad al 6 de abril de 2022</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sobre los que no haya recaído resolución firme en vía administrativa, se rijan por lo dispuesto en la disposición transitoria primera del Real Decreto 1053/2022, de 27 de diciembre, por el que se establecen normas básicas de ordenación de las granjas bovinas, y los presentados con posterioridad por lo dispuesto en la presente ley foral.</w:t>
      </w:r>
    </w:p>
    <w:p w14:paraId="46BA9478"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lastRenderedPageBreak/>
        <w:t>En atención a lo expuesto</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se presenta para su tramitación la siguiente proposición de Ley Foral de modificación de la Ley Foral 11/2000, de 16 de noviembre, de Sanidad Animal de Navarra.</w:t>
      </w:r>
    </w:p>
    <w:p w14:paraId="7EDEAC03"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Pr>
          <w:rFonts w:asciiTheme="minorHAnsi" w:hAnsiTheme="minorHAnsi" w:cstheme="minorHAnsi"/>
          <w:sz w:val="28"/>
          <w:szCs w:val="28"/>
          <w:lang w:val="es-ES_tradnl"/>
        </w:rPr>
        <w:t>Artículo único.</w:t>
      </w:r>
      <w:r w:rsidRPr="009138FA">
        <w:rPr>
          <w:rFonts w:asciiTheme="minorHAnsi" w:hAnsiTheme="minorHAnsi" w:cstheme="minorHAnsi"/>
          <w:sz w:val="28"/>
          <w:szCs w:val="28"/>
          <w:lang w:val="es-ES_tradnl"/>
        </w:rPr>
        <w:t xml:space="preserve"> Se modifican los preceptos de la Ley Foral 11/2000</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de 16 de noviembre</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de sanidad animal de Navarra</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que a continuación se relacionan, que quedan redactados del siguiente modo:</w:t>
      </w:r>
    </w:p>
    <w:p w14:paraId="3F79E8EC"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Uno. Se modifica el</w:t>
      </w:r>
      <w:r>
        <w:rPr>
          <w:rFonts w:asciiTheme="minorHAnsi" w:hAnsiTheme="minorHAnsi" w:cstheme="minorHAnsi"/>
          <w:sz w:val="28"/>
          <w:szCs w:val="28"/>
          <w:lang w:val="es-ES_tradnl"/>
        </w:rPr>
        <w:t xml:space="preserve"> artículo</w:t>
      </w:r>
      <w:r w:rsidRPr="009138FA">
        <w:rPr>
          <w:rFonts w:asciiTheme="minorHAnsi" w:hAnsiTheme="minorHAnsi" w:cstheme="minorHAnsi"/>
          <w:sz w:val="28"/>
          <w:szCs w:val="28"/>
          <w:lang w:val="es-ES_tradnl"/>
        </w:rPr>
        <w:t xml:space="preserve"> 28</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cuya redacción será la siguiente:</w:t>
      </w:r>
    </w:p>
    <w:p w14:paraId="42E98D10"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Ar</w:t>
      </w:r>
      <w:r>
        <w:rPr>
          <w:rFonts w:asciiTheme="minorHAnsi" w:hAnsiTheme="minorHAnsi" w:cstheme="minorHAnsi"/>
          <w:sz w:val="28"/>
          <w:szCs w:val="28"/>
          <w:lang w:val="es-ES_tradnl"/>
        </w:rPr>
        <w:t>tículo</w:t>
      </w:r>
      <w:r w:rsidRPr="009138FA">
        <w:rPr>
          <w:rFonts w:asciiTheme="minorHAnsi" w:hAnsiTheme="minorHAnsi" w:cstheme="minorHAnsi"/>
          <w:sz w:val="28"/>
          <w:szCs w:val="28"/>
          <w:lang w:val="es-ES_tradnl"/>
        </w:rPr>
        <w:t xml:space="preserve"> 28</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Distancias y tamaños máximos</w:t>
      </w:r>
      <w:r>
        <w:rPr>
          <w:rFonts w:asciiTheme="minorHAnsi" w:hAnsiTheme="minorHAnsi" w:cstheme="minorHAnsi"/>
          <w:sz w:val="28"/>
          <w:szCs w:val="28"/>
          <w:lang w:val="es-ES_tradnl"/>
        </w:rPr>
        <w:t>.</w:t>
      </w:r>
    </w:p>
    <w:p w14:paraId="14D564CC"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Como medida preventiva para evitar la difusión de enfermedades y la repercusión de las mismas:</w:t>
      </w:r>
    </w:p>
    <w:p w14:paraId="5988B29C"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1. Las explotaciones ganaderas mantendrán entre sí y, recíprocamente, con las instalaciones destinadas a concentraciones ganaderas y otras actividades de riesgo para la sanidad animal o relacionadas las distancias que se establezcan reglamentariamente. Para la fijación de estas distancias se tendrán en cuenta las circunstancias geográficas y las características de las especies ganaderas, tamaño de explotación, tipo de explotación y riesgo epidemiológico.</w:t>
      </w:r>
    </w:p>
    <w:p w14:paraId="6C38F5F8"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 xml:space="preserve">2. Se establecen unos tamaños máximos de explotaciones ganaderas, de forma que las explotaciones nuevas o las ampliaciones de las existentes no podrán superar los tamaños máximos que se establecen en el anexo </w:t>
      </w:r>
      <w:r>
        <w:rPr>
          <w:rFonts w:asciiTheme="minorHAnsi" w:hAnsiTheme="minorHAnsi" w:cstheme="minorHAnsi"/>
          <w:sz w:val="28"/>
          <w:szCs w:val="28"/>
          <w:lang w:val="es-ES_tradnl"/>
        </w:rPr>
        <w:t>I</w:t>
      </w:r>
      <w:r w:rsidRPr="009138FA">
        <w:rPr>
          <w:rFonts w:asciiTheme="minorHAnsi" w:hAnsiTheme="minorHAnsi" w:cstheme="minorHAnsi"/>
          <w:sz w:val="28"/>
          <w:szCs w:val="28"/>
          <w:lang w:val="es-ES_tradnl"/>
        </w:rPr>
        <w:t xml:space="preserve"> de la presente ley foral</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w:t>
      </w:r>
    </w:p>
    <w:p w14:paraId="60410921"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Dos. Se modifica el apartado 2 del artículo 39, cuya redacción será la siguiente:</w:t>
      </w:r>
    </w:p>
    <w:p w14:paraId="3A080F54"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2. El sacrificio que se declare obligatorio por la autoridad competente deberá llevar consigo la correspondiente indemnización, de acuerdo con la normativa y baremos vigentes. Se indemnizará como máximo por el número de plazas</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UGM o animales establecido en el anexo l</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w:t>
      </w:r>
    </w:p>
    <w:p w14:paraId="6240E946"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Tres. Se añade una nueva disposición adicional quinta, cuya redacción será la siguiente:</w:t>
      </w:r>
    </w:p>
    <w:p w14:paraId="6F420183"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Disposición adicional quinta. Explotaciones que superen los límites máximos establecidos.</w:t>
      </w:r>
    </w:p>
    <w:p w14:paraId="5240EBAF"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lastRenderedPageBreak/>
        <w:t>Las explotaciones en funcionamiento cuya capacidad productiva antes de la entrada en vigor del Real Decreto 1053/2022, de 27 de diciembre, por el que se establecen las normas básicas de ordenación de las granjas bovinas</w:t>
      </w: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 xml:space="preserve"> superen la capacidad productiva máxima establecida en el mismo podrán mantener dicha capacidad, pero no podrán en ningún caso ampliarla. A estos efectos se tendrá en cuenta la capacidad máxima contemplada en su licencia medioambiental vigente. No podrán realizar modificaciones de instalaciones o cambios de orientación productiva que supongan aumento de este tamaño máximo</w:t>
      </w:r>
      <w:r>
        <w:rPr>
          <w:rFonts w:asciiTheme="minorHAnsi" w:hAnsiTheme="minorHAnsi" w:cstheme="minorHAnsi"/>
          <w:sz w:val="28"/>
          <w:szCs w:val="28"/>
          <w:lang w:val="es-ES_tradnl"/>
        </w:rPr>
        <w:t>”.</w:t>
      </w:r>
    </w:p>
    <w:p w14:paraId="1F9E8466" w14:textId="4BBC1089" w:rsidR="005B16F2" w:rsidRDefault="00A30384" w:rsidP="005B16F2">
      <w:pPr>
        <w:pStyle w:val="Estilo"/>
        <w:spacing w:before="1" w:beforeAutospacing="1" w:after="1" w:afterAutospacing="1"/>
        <w:rPr>
          <w:rFonts w:asciiTheme="minorHAnsi" w:hAnsiTheme="minorHAnsi" w:cstheme="minorHAnsi"/>
          <w:sz w:val="28"/>
          <w:szCs w:val="28"/>
          <w:lang w:val="es-ES_tradnl"/>
        </w:rPr>
      </w:pPr>
      <w:r>
        <w:rPr>
          <w:rFonts w:asciiTheme="minorHAnsi" w:hAnsiTheme="minorHAnsi" w:cstheme="minorHAnsi"/>
          <w:sz w:val="28"/>
          <w:szCs w:val="28"/>
          <w:lang w:val="es-ES_tradnl"/>
        </w:rPr>
        <w:t>Cuatro</w:t>
      </w:r>
      <w:r w:rsidR="005B16F2" w:rsidRPr="009138FA">
        <w:rPr>
          <w:rFonts w:asciiTheme="minorHAnsi" w:hAnsiTheme="minorHAnsi" w:cstheme="minorHAnsi"/>
          <w:sz w:val="28"/>
          <w:szCs w:val="28"/>
          <w:lang w:val="es-ES_tradnl"/>
        </w:rPr>
        <w:t>. Se modifica la disposición transitoria tercera, cuya redacción será la siguiente:</w:t>
      </w:r>
    </w:p>
    <w:p w14:paraId="1F49FF25"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Pr>
          <w:rFonts w:asciiTheme="minorHAnsi" w:hAnsiTheme="minorHAnsi" w:cstheme="minorHAnsi"/>
          <w:sz w:val="28"/>
          <w:szCs w:val="28"/>
          <w:lang w:val="es-ES_tradnl"/>
        </w:rPr>
        <w:t>“</w:t>
      </w:r>
      <w:r w:rsidRPr="009138FA">
        <w:rPr>
          <w:rFonts w:asciiTheme="minorHAnsi" w:hAnsiTheme="minorHAnsi" w:cstheme="minorHAnsi"/>
          <w:sz w:val="28"/>
          <w:szCs w:val="28"/>
          <w:lang w:val="es-ES_tradnl"/>
        </w:rPr>
        <w:t>Disposición transitoria tercera. Resolución de expedientes en tramitación.</w:t>
      </w:r>
    </w:p>
    <w:p w14:paraId="74CDE9DB"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1. Los expedientes correspondientes a la autorización de explotaciones de ganado bovino presentados con anterioridad al 6 de abril de 2022 sobre los que no haya recaído resolución firme en vía administrativa se regirán por lo dispuesto en la disposición transitoria primera de Real Decreto 1053/2022, de 27 de diciembre, por el que se establecen normas básicas de ordenación de las granjas bovinas.</w:t>
      </w:r>
    </w:p>
    <w:p w14:paraId="1A917856"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 xml:space="preserve">2. Los expedientes correspondientes a la autorización explotaciones de ganado bovino presentados con posterioridad al 6 de abril de 2022 sobre los que no haya recaído resolución firme en vía administrativa se regirán por lo dispuesto en la presente ley foral y, en consecuencia, no podrán superar los tamaños máximos que se establezcan en el anexo </w:t>
      </w:r>
      <w:r>
        <w:rPr>
          <w:rFonts w:asciiTheme="minorHAnsi" w:hAnsiTheme="minorHAnsi" w:cstheme="minorHAnsi"/>
          <w:sz w:val="28"/>
          <w:szCs w:val="28"/>
          <w:lang w:val="es-ES_tradnl"/>
        </w:rPr>
        <w:t>I”</w:t>
      </w:r>
      <w:r w:rsidRPr="009138FA">
        <w:rPr>
          <w:rFonts w:asciiTheme="minorHAnsi" w:hAnsiTheme="minorHAnsi" w:cstheme="minorHAnsi"/>
          <w:sz w:val="28"/>
          <w:szCs w:val="28"/>
          <w:lang w:val="es-ES_tradnl"/>
        </w:rPr>
        <w:t>.</w:t>
      </w:r>
    </w:p>
    <w:p w14:paraId="59C245CB" w14:textId="5D6ADB86" w:rsidR="005B16F2" w:rsidRDefault="00A30384" w:rsidP="005B16F2">
      <w:pPr>
        <w:pStyle w:val="Estilo"/>
        <w:spacing w:before="1" w:beforeAutospacing="1" w:after="1" w:afterAutospacing="1"/>
        <w:rPr>
          <w:rFonts w:asciiTheme="minorHAnsi" w:hAnsiTheme="minorHAnsi" w:cstheme="minorHAnsi"/>
          <w:sz w:val="28"/>
          <w:szCs w:val="28"/>
          <w:lang w:val="es-ES_tradnl"/>
        </w:rPr>
      </w:pPr>
      <w:r>
        <w:rPr>
          <w:rFonts w:asciiTheme="minorHAnsi" w:hAnsiTheme="minorHAnsi" w:cstheme="minorHAnsi"/>
          <w:sz w:val="28"/>
          <w:szCs w:val="28"/>
          <w:lang w:val="es-ES_tradnl"/>
        </w:rPr>
        <w:t>Cinco</w:t>
      </w:r>
      <w:r w:rsidR="005B16F2" w:rsidRPr="009138FA">
        <w:rPr>
          <w:rFonts w:asciiTheme="minorHAnsi" w:hAnsiTheme="minorHAnsi" w:cstheme="minorHAnsi"/>
          <w:sz w:val="28"/>
          <w:szCs w:val="28"/>
          <w:lang w:val="es-ES_tradnl"/>
        </w:rPr>
        <w:t>. Se añade un nuevo anexo I cuya redacción será la siguiente:</w:t>
      </w:r>
    </w:p>
    <w:p w14:paraId="0CFC72B0" w14:textId="77777777" w:rsidR="005B16F2" w:rsidRPr="00745667" w:rsidRDefault="005B16F2" w:rsidP="005B16F2">
      <w:pPr>
        <w:pStyle w:val="Estilo"/>
        <w:spacing w:before="1" w:beforeAutospacing="1" w:after="1" w:afterAutospacing="1"/>
        <w:jc w:val="center"/>
        <w:rPr>
          <w:rFonts w:asciiTheme="minorHAnsi" w:hAnsiTheme="minorHAnsi" w:cstheme="minorHAnsi"/>
          <w:sz w:val="28"/>
          <w:szCs w:val="28"/>
          <w:lang w:val="es-ES_tradnl"/>
        </w:rPr>
      </w:pPr>
      <w:r>
        <w:rPr>
          <w:rFonts w:asciiTheme="minorHAnsi" w:hAnsiTheme="minorHAnsi" w:cstheme="minorHAnsi"/>
          <w:sz w:val="28"/>
          <w:szCs w:val="28"/>
          <w:lang w:val="es-ES_tradnl"/>
        </w:rPr>
        <w:br w:type="page"/>
      </w:r>
      <w:bookmarkStart w:id="0" w:name="_Hlk124763427"/>
      <w:r w:rsidRPr="00745667">
        <w:rPr>
          <w:rFonts w:asciiTheme="minorHAnsi" w:hAnsiTheme="minorHAnsi" w:cstheme="minorHAnsi"/>
          <w:sz w:val="28"/>
          <w:szCs w:val="28"/>
          <w:lang w:val="es-ES_tradnl"/>
        </w:rPr>
        <w:lastRenderedPageBreak/>
        <w:t>“Anexo 1</w:t>
      </w:r>
      <w:r w:rsidRPr="00745667">
        <w:rPr>
          <w:rFonts w:asciiTheme="minorHAnsi" w:hAnsiTheme="minorHAnsi" w:cstheme="minorHAnsi"/>
          <w:sz w:val="28"/>
          <w:szCs w:val="28"/>
          <w:lang w:val="es-ES_tradnl"/>
        </w:rPr>
        <w:br/>
        <w:t>Tamaño máximo de las explotaciones ganaderas (En UGM o plazas)</w:t>
      </w:r>
    </w:p>
    <w:tbl>
      <w:tblPr>
        <w:tblW w:w="8637" w:type="dxa"/>
        <w:tblInd w:w="-5" w:type="dxa"/>
        <w:tblLayout w:type="fixed"/>
        <w:tblCellMar>
          <w:left w:w="0" w:type="dxa"/>
          <w:right w:w="0" w:type="dxa"/>
        </w:tblCellMar>
        <w:tblLook w:val="0000" w:firstRow="0" w:lastRow="0" w:firstColumn="0" w:lastColumn="0" w:noHBand="0" w:noVBand="0"/>
      </w:tblPr>
      <w:tblGrid>
        <w:gridCol w:w="4385"/>
        <w:gridCol w:w="4252"/>
      </w:tblGrid>
      <w:tr w:rsidR="005B16F2" w:rsidRPr="00597F31" w14:paraId="752B9890"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4BC879AB"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Tamaño de explotación porcino </w:t>
            </w:r>
          </w:p>
        </w:tc>
        <w:tc>
          <w:tcPr>
            <w:tcW w:w="4252" w:type="dxa"/>
            <w:tcBorders>
              <w:top w:val="single" w:sz="4" w:space="0" w:color="auto"/>
              <w:left w:val="single" w:sz="4" w:space="0" w:color="auto"/>
              <w:bottom w:val="single" w:sz="4" w:space="0" w:color="auto"/>
              <w:right w:val="single" w:sz="4" w:space="0" w:color="auto"/>
            </w:tcBorders>
            <w:vAlign w:val="center"/>
          </w:tcPr>
          <w:p w14:paraId="64F063A5" w14:textId="0B740C89"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UGM (1)</w:t>
            </w:r>
            <w:r w:rsidR="00D92860">
              <w:rPr>
                <w:rFonts w:ascii="Calibri" w:hAnsi="Calibri" w:cs="Calibri"/>
                <w:sz w:val="28"/>
                <w:szCs w:val="28"/>
                <w:lang w:val="es-ES_tradnl"/>
              </w:rPr>
              <w:t xml:space="preserve"> </w:t>
            </w:r>
            <w:r w:rsidRPr="00597F31">
              <w:rPr>
                <w:rFonts w:ascii="Calibri" w:hAnsi="Calibri" w:cs="Calibri"/>
                <w:sz w:val="28"/>
                <w:szCs w:val="28"/>
                <w:lang w:val="es-ES_tradnl"/>
              </w:rPr>
              <w:t xml:space="preserve">/ plazas 864 UGM </w:t>
            </w:r>
          </w:p>
        </w:tc>
      </w:tr>
      <w:tr w:rsidR="005B16F2" w:rsidRPr="00597F31" w14:paraId="462A968F"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2488D489"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Broilers y aves en general </w:t>
            </w:r>
          </w:p>
        </w:tc>
        <w:tc>
          <w:tcPr>
            <w:tcW w:w="4252" w:type="dxa"/>
            <w:tcBorders>
              <w:top w:val="single" w:sz="4" w:space="0" w:color="auto"/>
              <w:left w:val="single" w:sz="4" w:space="0" w:color="auto"/>
              <w:bottom w:val="single" w:sz="4" w:space="0" w:color="auto"/>
              <w:right w:val="single" w:sz="4" w:space="0" w:color="auto"/>
            </w:tcBorders>
            <w:vAlign w:val="center"/>
          </w:tcPr>
          <w:p w14:paraId="304E47F0"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300.000 plazas </w:t>
            </w:r>
          </w:p>
        </w:tc>
      </w:tr>
      <w:tr w:rsidR="005B16F2" w:rsidRPr="00597F31" w14:paraId="7BE9E0EE"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ADEB3A7"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Gallinas puesta y recría </w:t>
            </w:r>
          </w:p>
        </w:tc>
        <w:tc>
          <w:tcPr>
            <w:tcW w:w="4252" w:type="dxa"/>
            <w:tcBorders>
              <w:top w:val="single" w:sz="4" w:space="0" w:color="auto"/>
              <w:left w:val="single" w:sz="4" w:space="0" w:color="auto"/>
              <w:bottom w:val="single" w:sz="4" w:space="0" w:color="auto"/>
              <w:right w:val="single" w:sz="4" w:space="0" w:color="auto"/>
            </w:tcBorders>
            <w:vAlign w:val="center"/>
          </w:tcPr>
          <w:p w14:paraId="7C9F0759"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300.000 plazas </w:t>
            </w:r>
          </w:p>
        </w:tc>
      </w:tr>
      <w:tr w:rsidR="005B16F2" w:rsidRPr="00597F31" w14:paraId="1DC3736B"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667178D"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Gallinas reproductoras y su recría </w:t>
            </w:r>
          </w:p>
        </w:tc>
        <w:tc>
          <w:tcPr>
            <w:tcW w:w="4252" w:type="dxa"/>
            <w:tcBorders>
              <w:top w:val="single" w:sz="4" w:space="0" w:color="auto"/>
              <w:left w:val="single" w:sz="4" w:space="0" w:color="auto"/>
              <w:bottom w:val="single" w:sz="4" w:space="0" w:color="auto"/>
              <w:right w:val="single" w:sz="4" w:space="0" w:color="auto"/>
            </w:tcBorders>
            <w:vAlign w:val="center"/>
          </w:tcPr>
          <w:p w14:paraId="4BFF5743"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60.000 plazas </w:t>
            </w:r>
          </w:p>
        </w:tc>
      </w:tr>
      <w:tr w:rsidR="005B16F2" w:rsidRPr="00597F31" w14:paraId="1B7777AB"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E2F8DAF"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Aves con salida a parques </w:t>
            </w:r>
          </w:p>
        </w:tc>
        <w:tc>
          <w:tcPr>
            <w:tcW w:w="4252" w:type="dxa"/>
            <w:tcBorders>
              <w:top w:val="single" w:sz="4" w:space="0" w:color="auto"/>
              <w:left w:val="single" w:sz="4" w:space="0" w:color="auto"/>
              <w:bottom w:val="single" w:sz="4" w:space="0" w:color="auto"/>
              <w:right w:val="single" w:sz="4" w:space="0" w:color="auto"/>
            </w:tcBorders>
            <w:vAlign w:val="center"/>
          </w:tcPr>
          <w:p w14:paraId="315B6D28"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50.000 plazas </w:t>
            </w:r>
          </w:p>
        </w:tc>
      </w:tr>
      <w:tr w:rsidR="005B16F2" w:rsidRPr="00597F31" w14:paraId="2A6BFB7D"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1369052"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Codornices </w:t>
            </w:r>
          </w:p>
        </w:tc>
        <w:tc>
          <w:tcPr>
            <w:tcW w:w="4252" w:type="dxa"/>
            <w:tcBorders>
              <w:top w:val="single" w:sz="4" w:space="0" w:color="auto"/>
              <w:left w:val="single" w:sz="4" w:space="0" w:color="auto"/>
              <w:bottom w:val="single" w:sz="4" w:space="0" w:color="auto"/>
              <w:right w:val="single" w:sz="4" w:space="0" w:color="auto"/>
            </w:tcBorders>
            <w:vAlign w:val="center"/>
          </w:tcPr>
          <w:p w14:paraId="354B7248"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600.000 plazas </w:t>
            </w:r>
          </w:p>
        </w:tc>
      </w:tr>
      <w:tr w:rsidR="005B16F2" w:rsidRPr="00597F31" w14:paraId="63C4577F"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0B9BC141"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Vacuno de leche </w:t>
            </w:r>
          </w:p>
        </w:tc>
        <w:tc>
          <w:tcPr>
            <w:tcW w:w="4252" w:type="dxa"/>
            <w:tcBorders>
              <w:top w:val="single" w:sz="4" w:space="0" w:color="auto"/>
              <w:left w:val="single" w:sz="4" w:space="0" w:color="auto"/>
              <w:bottom w:val="single" w:sz="4" w:space="0" w:color="auto"/>
              <w:right w:val="single" w:sz="4" w:space="0" w:color="auto"/>
            </w:tcBorders>
            <w:vAlign w:val="center"/>
          </w:tcPr>
          <w:p w14:paraId="7151A218"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850 UGM </w:t>
            </w:r>
          </w:p>
        </w:tc>
      </w:tr>
      <w:tr w:rsidR="005B16F2" w:rsidRPr="00597F31" w14:paraId="427B99E3"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7E5D88D0"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Vacuno de carne (2) </w:t>
            </w:r>
          </w:p>
        </w:tc>
        <w:tc>
          <w:tcPr>
            <w:tcW w:w="4252" w:type="dxa"/>
            <w:tcBorders>
              <w:top w:val="single" w:sz="4" w:space="0" w:color="auto"/>
              <w:left w:val="single" w:sz="4" w:space="0" w:color="auto"/>
              <w:bottom w:val="single" w:sz="4" w:space="0" w:color="auto"/>
              <w:right w:val="single" w:sz="4" w:space="0" w:color="auto"/>
            </w:tcBorders>
            <w:vAlign w:val="center"/>
          </w:tcPr>
          <w:p w14:paraId="6556800F"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850 UGM </w:t>
            </w:r>
          </w:p>
        </w:tc>
      </w:tr>
      <w:tr w:rsidR="005B16F2" w:rsidRPr="00597F31" w14:paraId="1CB98BAC"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1ACB7C86"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Ovino-caprino de leche </w:t>
            </w:r>
          </w:p>
        </w:tc>
        <w:tc>
          <w:tcPr>
            <w:tcW w:w="4252" w:type="dxa"/>
            <w:tcBorders>
              <w:top w:val="single" w:sz="4" w:space="0" w:color="auto"/>
              <w:left w:val="single" w:sz="4" w:space="0" w:color="auto"/>
              <w:bottom w:val="single" w:sz="4" w:space="0" w:color="auto"/>
              <w:right w:val="single" w:sz="4" w:space="0" w:color="auto"/>
            </w:tcBorders>
            <w:vAlign w:val="center"/>
          </w:tcPr>
          <w:p w14:paraId="0B74D91B"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6.000 reproductores o 600 UGM </w:t>
            </w:r>
          </w:p>
        </w:tc>
      </w:tr>
      <w:tr w:rsidR="005B16F2" w:rsidRPr="00597F31" w14:paraId="0A8921B6"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152FF511"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Ovino-caprino de carne </w:t>
            </w:r>
          </w:p>
        </w:tc>
        <w:tc>
          <w:tcPr>
            <w:tcW w:w="4252" w:type="dxa"/>
            <w:tcBorders>
              <w:top w:val="single" w:sz="4" w:space="0" w:color="auto"/>
              <w:left w:val="single" w:sz="4" w:space="0" w:color="auto"/>
              <w:bottom w:val="single" w:sz="4" w:space="0" w:color="auto"/>
              <w:right w:val="single" w:sz="4" w:space="0" w:color="auto"/>
            </w:tcBorders>
            <w:vAlign w:val="center"/>
          </w:tcPr>
          <w:p w14:paraId="6BD94DC3"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8.000 reproductores o 800 UGM </w:t>
            </w:r>
          </w:p>
        </w:tc>
      </w:tr>
      <w:tr w:rsidR="005B16F2" w:rsidRPr="00597F31" w14:paraId="1C4EEB81"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49DEFDF0"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Equino </w:t>
            </w:r>
          </w:p>
        </w:tc>
        <w:tc>
          <w:tcPr>
            <w:tcW w:w="4252" w:type="dxa"/>
            <w:tcBorders>
              <w:top w:val="single" w:sz="4" w:space="0" w:color="auto"/>
              <w:left w:val="single" w:sz="4" w:space="0" w:color="auto"/>
              <w:bottom w:val="single" w:sz="4" w:space="0" w:color="auto"/>
              <w:right w:val="single" w:sz="4" w:space="0" w:color="auto"/>
            </w:tcBorders>
            <w:vAlign w:val="center"/>
          </w:tcPr>
          <w:p w14:paraId="0AC0AA38"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1250 UGM </w:t>
            </w:r>
          </w:p>
        </w:tc>
      </w:tr>
      <w:tr w:rsidR="005B16F2" w:rsidRPr="00597F31" w14:paraId="68537C8D"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1AAD8071"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Conejos </w:t>
            </w:r>
          </w:p>
        </w:tc>
        <w:tc>
          <w:tcPr>
            <w:tcW w:w="4252" w:type="dxa"/>
            <w:tcBorders>
              <w:top w:val="single" w:sz="4" w:space="0" w:color="auto"/>
              <w:left w:val="single" w:sz="4" w:space="0" w:color="auto"/>
              <w:bottom w:val="single" w:sz="4" w:space="0" w:color="auto"/>
              <w:right w:val="single" w:sz="4" w:space="0" w:color="auto"/>
            </w:tcBorders>
            <w:vAlign w:val="center"/>
          </w:tcPr>
          <w:p w14:paraId="0D253AF5"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600 UGM </w:t>
            </w:r>
          </w:p>
        </w:tc>
      </w:tr>
      <w:tr w:rsidR="005B16F2" w:rsidRPr="00597F31" w14:paraId="79BC1234"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5DE2C39"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Asentamiento apícola (3) </w:t>
            </w:r>
          </w:p>
        </w:tc>
        <w:tc>
          <w:tcPr>
            <w:tcW w:w="4252" w:type="dxa"/>
            <w:tcBorders>
              <w:top w:val="single" w:sz="4" w:space="0" w:color="auto"/>
              <w:left w:val="single" w:sz="4" w:space="0" w:color="auto"/>
              <w:bottom w:val="single" w:sz="4" w:space="0" w:color="auto"/>
              <w:right w:val="single" w:sz="4" w:space="0" w:color="auto"/>
            </w:tcBorders>
            <w:vAlign w:val="center"/>
          </w:tcPr>
          <w:p w14:paraId="17538257"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200 colmenas </w:t>
            </w:r>
          </w:p>
        </w:tc>
      </w:tr>
      <w:tr w:rsidR="005B16F2" w:rsidRPr="00597F31" w14:paraId="5C19E069"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3F13437C" w14:textId="77777777" w:rsidR="005B16F2" w:rsidRPr="00597F31" w:rsidRDefault="005B16F2" w:rsidP="00FD37C9">
            <w:pPr>
              <w:pStyle w:val="Estilo"/>
              <w:spacing w:before="40" w:after="40"/>
              <w:ind w:left="119"/>
              <w:rPr>
                <w:rFonts w:ascii="Calibri" w:hAnsi="Calibri" w:cs="Calibri"/>
                <w:sz w:val="28"/>
                <w:szCs w:val="28"/>
                <w:lang w:val="es-ES_tradnl"/>
              </w:rPr>
            </w:pPr>
            <w:r w:rsidRPr="00597F31">
              <w:rPr>
                <w:rFonts w:ascii="Calibri" w:hAnsi="Calibri" w:cs="Calibri"/>
                <w:sz w:val="28"/>
                <w:szCs w:val="28"/>
                <w:lang w:val="es-ES_tradnl"/>
              </w:rPr>
              <w:t xml:space="preserve">Explotación con varias especies </w:t>
            </w:r>
          </w:p>
        </w:tc>
        <w:tc>
          <w:tcPr>
            <w:tcW w:w="4252" w:type="dxa"/>
            <w:tcBorders>
              <w:top w:val="single" w:sz="4" w:space="0" w:color="auto"/>
              <w:left w:val="single" w:sz="4" w:space="0" w:color="auto"/>
              <w:bottom w:val="single" w:sz="4" w:space="0" w:color="auto"/>
              <w:right w:val="single" w:sz="4" w:space="0" w:color="auto"/>
            </w:tcBorders>
            <w:vAlign w:val="center"/>
          </w:tcPr>
          <w:p w14:paraId="6110C9C8" w14:textId="77777777" w:rsidR="005B16F2" w:rsidRPr="00597F31" w:rsidRDefault="005B16F2" w:rsidP="00FD37C9">
            <w:pPr>
              <w:pStyle w:val="Estilo"/>
              <w:spacing w:before="40" w:after="40"/>
              <w:ind w:left="124"/>
              <w:rPr>
                <w:rFonts w:ascii="Calibri" w:hAnsi="Calibri" w:cs="Calibri"/>
                <w:sz w:val="28"/>
                <w:szCs w:val="28"/>
                <w:lang w:val="es-ES_tradnl"/>
              </w:rPr>
            </w:pPr>
            <w:r w:rsidRPr="00597F31">
              <w:rPr>
                <w:rFonts w:ascii="Calibri" w:hAnsi="Calibri" w:cs="Calibri"/>
                <w:sz w:val="28"/>
                <w:szCs w:val="28"/>
                <w:lang w:val="es-ES_tradnl"/>
              </w:rPr>
              <w:t xml:space="preserve">1250 UGM </w:t>
            </w:r>
          </w:p>
        </w:tc>
      </w:tr>
    </w:tbl>
    <w:p w14:paraId="5C25A822" w14:textId="77777777" w:rsidR="005B16F2" w:rsidRDefault="005B16F2" w:rsidP="005B16F2">
      <w:pPr>
        <w:pStyle w:val="Estilo"/>
        <w:ind w:left="283" w:right="-284" w:hanging="340"/>
        <w:rPr>
          <w:rFonts w:ascii="Calibri" w:hAnsi="Calibri" w:cs="Calibri"/>
          <w:i/>
          <w:iCs/>
          <w:lang w:val="es-ES_tradnl"/>
        </w:rPr>
      </w:pPr>
      <w:r w:rsidRPr="00597F31">
        <w:rPr>
          <w:rFonts w:ascii="Calibri" w:hAnsi="Calibri" w:cs="Calibri"/>
          <w:i/>
          <w:iCs/>
          <w:lang w:val="es-ES_tradnl"/>
        </w:rPr>
        <w:t>(1) UGM. A efectos de cálculo de UGM de este cuadro se consideran las equivalencias de UGM del anexo 1 del Decreto Foral 31/2019</w:t>
      </w:r>
    </w:p>
    <w:p w14:paraId="3FB3BB94" w14:textId="7C2CC244" w:rsidR="005B16F2" w:rsidRPr="00597F31" w:rsidRDefault="005B16F2" w:rsidP="005B16F2">
      <w:pPr>
        <w:pStyle w:val="Estilo"/>
        <w:ind w:left="283" w:right="-284" w:hanging="340"/>
        <w:rPr>
          <w:rFonts w:ascii="Calibri" w:hAnsi="Calibri" w:cs="Calibri"/>
          <w:i/>
          <w:iCs/>
          <w:lang w:val="es-ES_tradnl"/>
        </w:rPr>
      </w:pPr>
      <w:r w:rsidRPr="00597F31">
        <w:rPr>
          <w:rFonts w:ascii="Calibri" w:hAnsi="Calibri" w:cs="Calibri"/>
          <w:i/>
          <w:iCs/>
          <w:lang w:val="es-ES_tradnl"/>
        </w:rPr>
        <w:t>(2) Incluido las explotaciones de ganado bravo</w:t>
      </w:r>
    </w:p>
    <w:p w14:paraId="6D2FF135" w14:textId="5D67B4FE" w:rsidR="005B16F2" w:rsidRPr="00597F31" w:rsidRDefault="005B16F2" w:rsidP="005B16F2">
      <w:pPr>
        <w:spacing w:line="240" w:lineRule="auto"/>
        <w:ind w:left="283" w:right="-284" w:hanging="340"/>
        <w:rPr>
          <w:i/>
          <w:iCs/>
          <w:sz w:val="24"/>
          <w:szCs w:val="24"/>
        </w:rPr>
      </w:pPr>
      <w:r w:rsidRPr="00597F31">
        <w:rPr>
          <w:rFonts w:cs="Calibri"/>
          <w:i/>
          <w:iCs/>
          <w:sz w:val="24"/>
          <w:szCs w:val="24"/>
          <w:lang w:val="es-ES_tradnl"/>
        </w:rPr>
        <w:t>(3) El tamaño máximo es de los asentamientos apícolas, pudiendo tener una misma explotación varios asentamientos</w:t>
      </w:r>
      <w:r>
        <w:rPr>
          <w:rFonts w:cs="Calibri"/>
          <w:i/>
          <w:iCs/>
          <w:sz w:val="24"/>
          <w:szCs w:val="24"/>
          <w:lang w:val="es-ES_tradnl"/>
        </w:rPr>
        <w:t>”</w:t>
      </w:r>
      <w:r w:rsidR="00745667">
        <w:rPr>
          <w:rFonts w:cs="Calibri"/>
          <w:i/>
          <w:iCs/>
          <w:sz w:val="24"/>
          <w:szCs w:val="24"/>
          <w:lang w:val="es-ES_tradnl"/>
        </w:rPr>
        <w:t>.</w:t>
      </w:r>
    </w:p>
    <w:bookmarkEnd w:id="0"/>
    <w:p w14:paraId="6345734A" w14:textId="77777777" w:rsidR="005B16F2" w:rsidRDefault="005B16F2" w:rsidP="005B16F2">
      <w:pPr>
        <w:pStyle w:val="Estilo"/>
        <w:spacing w:before="1" w:beforeAutospacing="1" w:after="1" w:afterAutospacing="1"/>
        <w:rPr>
          <w:rFonts w:asciiTheme="minorHAnsi" w:hAnsiTheme="minorHAnsi" w:cstheme="minorHAnsi"/>
          <w:sz w:val="28"/>
          <w:szCs w:val="28"/>
          <w:lang w:val="es-ES_tradnl"/>
        </w:rPr>
      </w:pPr>
      <w:r w:rsidRPr="009138FA">
        <w:rPr>
          <w:rFonts w:asciiTheme="minorHAnsi" w:hAnsiTheme="minorHAnsi" w:cstheme="minorHAnsi"/>
          <w:sz w:val="28"/>
          <w:szCs w:val="28"/>
          <w:lang w:val="es-ES_tradnl"/>
        </w:rPr>
        <w:t>Disposición final. Entrada en vigor</w:t>
      </w:r>
    </w:p>
    <w:p w14:paraId="30C7E30A" w14:textId="7AE59C4D" w:rsidR="005B16F2" w:rsidRPr="005B16F2" w:rsidRDefault="005B16F2" w:rsidP="005B16F2">
      <w:pPr>
        <w:pStyle w:val="Estilo"/>
        <w:spacing w:before="1" w:beforeAutospacing="1" w:after="1" w:afterAutospacing="1"/>
        <w:rPr>
          <w:lang w:val="es-ES_tradnl"/>
        </w:rPr>
      </w:pPr>
      <w:r w:rsidRPr="009138FA">
        <w:rPr>
          <w:rFonts w:asciiTheme="minorHAnsi" w:hAnsiTheme="minorHAnsi" w:cstheme="minorHAnsi"/>
          <w:sz w:val="28"/>
          <w:szCs w:val="28"/>
          <w:lang w:val="es-ES_tradnl"/>
        </w:rPr>
        <w:t>La presente ley entrará en vigor el día siguiente al de su publicación en el Boletín Oficial de Navarra.</w:t>
      </w:r>
    </w:p>
    <w:sectPr w:rsidR="005B16F2" w:rsidRPr="005B16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F2"/>
    <w:rsid w:val="005B16F2"/>
    <w:rsid w:val="00745667"/>
    <w:rsid w:val="00A30384"/>
    <w:rsid w:val="00CA7540"/>
    <w:rsid w:val="00D92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0201"/>
  <w15:chartTrackingRefBased/>
  <w15:docId w15:val="{76B87A22-130D-4821-AD96-4FCC80DE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F2"/>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B16F2"/>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7492</Characters>
  <Application>Microsoft Office Word</Application>
  <DocSecurity>0</DocSecurity>
  <Lines>356</Lines>
  <Paragraphs>372</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Aranaz, Carlota</cp:lastModifiedBy>
  <cp:revision>3</cp:revision>
  <dcterms:created xsi:type="dcterms:W3CDTF">2023-01-16T12:50:00Z</dcterms:created>
  <dcterms:modified xsi:type="dcterms:W3CDTF">2023-01-16T12:51:00Z</dcterms:modified>
</cp:coreProperties>
</file>