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ak, 2021eko irailaren 16an egin</w:t>
        <w:softHyphen/>
        <w:t xml:space="preserve">da</w:t>
        <w:softHyphen/>
        <w:t xml:space="preserve">ko Osoko Bilkuran, honako era</w:t>
        <w:softHyphen/>
        <w:t xml:space="preserve">ba</w:t>
        <w:softHyphen/>
        <w:t xml:space="preserve">ki hau one</w:t>
        <w:softHyphen/>
        <w:softHyphen/>
        <w:softHyphen/>
        <w:t xml:space="preserve">tsi zuen: “Erabakia. Horren bidez, Nafarroako Gobernua premiatzen da Nafarroako administrazio publikoen zerbitzuko langileen Estatutua aldatzeko foru lege proiektua bat igor dezan, zerbitzu ematen hiru urte baino gehiago daramaten administrazio-kontratudunei eta aldi baterako lan-kontratudunei dagokienez”.</w:t>
      </w:r>
    </w:p>
    <w:p>
      <w:pPr>
        <w:pStyle w:val="0"/>
        <w:suppressAutoHyphens w:val="false"/>
        <w:rPr>
          <w:rStyle w:val="1"/>
        </w:rPr>
      </w:pPr>
      <w:r>
        <w:rPr>
          <w:rStyle w:val="1"/>
        </w:rPr>
        <w:t xml:space="preserve">Lege</w:t>
        <w:softHyphen/>
        <w:t xml:space="preserve">bil</w:t>
        <w:softHyphen/>
        <w:softHyphen/>
        <w:softHyphen/>
        <w:t xml:space="preserve">tza</w:t>
        <w:softHyphen/>
        <w:t xml:space="preserve">rre</w:t>
        <w:softHyphen/>
        <w:t xml:space="preserve">ko Erre</w:t>
        <w:softHyphen/>
        <w:t xml:space="preserve">ge</w:t>
        <w:softHyphen/>
        <w:t xml:space="preserve">la</w:t>
        <w:softHyphen/>
        <w:t xml:space="preserve">men</w:t>
        <w:softHyphen/>
        <w:t xml:space="preserve">du</w:t>
        <w:softHyphen/>
        <w:t xml:space="preserve">ko 114. arti</w:t>
        <w:softHyphen/>
        <w:t xml:space="preserve">ku</w:t>
        <w:softHyphen/>
        <w:t xml:space="preserve">lu</w:t>
        <w:softHyphen/>
        <w:t xml:space="preserve">an eza</w:t>
        <w:softHyphen/>
        <w:t xml:space="preserve">rri</w:t>
        <w:softHyphen/>
        <w:t xml:space="preserve">ta</w:t>
        <w:softHyphen/>
        <w:t xml:space="preserve">koa betez, aipa</w:t>
        <w:softHyphen/>
        <w:t xml:space="preserve">tu era</w:t>
        <w:softHyphen/>
        <w:t xml:space="preserve">ba</w:t>
        <w:softHyphen/>
        <w:t xml:space="preserve">kia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t xml:space="preserve">tzen dut. Hona tes</w:t>
        <w:softHyphen/>
        <w:t xml:space="preserve">tua:</w:t>
      </w:r>
    </w:p>
    <w:p>
      <w:pPr>
        <w:pStyle w:val="0"/>
        <w:suppressAutoHyphens w:val="false"/>
        <w:rPr>
          <w:rStyle w:val="1"/>
        </w:rPr>
      </w:pPr>
      <w:r>
        <w:rPr>
          <w:rStyle w:val="1"/>
        </w:rPr>
        <w:t xml:space="preserve">“Nafarroako Parlamentuak Nafarroako Gobernua premiatzen du, bere eskumenak erabiliz, hiru hilabeteko epean eta Funtzio Publikoaren Mahai Orokorrean negoziatu ondoren, foru lege proiektu bat aurkez dezan Parlamentuan, Nafarroako Administrazio Publikoen zerbitzuko Langileen Estatutua —haren testua abuztuaren 30eko 251/1993 Legegintzako Foru Dekretuaren bitartez onetsi zen—  aldatuko duena. Horrekin arautu nahi da Nafarroako administrazio publikoen zerbitzura hiru urte baino gehiago daramaten aldi baterako lan- eta administrazio-araubideaz kontratatutako langileen egoera, eta horrela, Kontseiluaren 1999ko ekainaren 28ko 1999/70/EE Zuzentarauaren xedapenak eta Europar Batasuneko Justizia Auzitegiaren jurisprudentzia kontuan hartuta, administrazio publiko horietan behin-behinekotasuna hiru urteko epean % 8ra murriztuko da”.</w:t>
      </w:r>
    </w:p>
    <w:p>
      <w:pPr>
        <w:pStyle w:val="0"/>
        <w:suppressAutoHyphens w:val="false"/>
        <w:rPr>
          <w:rStyle w:val="1"/>
        </w:rPr>
      </w:pPr>
      <w:r>
        <w:rPr>
          <w:rStyle w:val="1"/>
        </w:rPr>
        <w:t xml:space="preserve">Iruñean, 2021eko irailaren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