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E227F" w:rsidRDefault="00FA495F" w:rsidP="00D244F1">
      <w:pPr>
        <w:pStyle w:val="EstiloPortada"/>
        <w:tabs>
          <w:tab w:val="left" w:pos="8647"/>
        </w:tabs>
        <w:ind w:left="3686" w:right="-58"/>
        <w:rPr>
          <w:b w:val="0"/>
          <w:sz w:val="40"/>
          <w:szCs w:val="40"/>
        </w:rPr>
      </w:pPr>
      <w:r w:rsidRPr="00A8137F">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-175260</wp:posOffset>
                </wp:positionH>
                <wp:positionV relativeFrom="paragraph">
                  <wp:posOffset>-861060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C6011" w:rsidRPr="003A7956" w:rsidRDefault="004C6011" w:rsidP="004C3423">
                            <w:pPr>
                              <w:spacing w:after="0"/>
                              <w:ind w:firstLine="0"/>
                              <w:jc w:val="center"/>
                              <w:rPr>
                                <w:sz w:val="18"/>
                                <w:szCs w:val="18"/>
                                <w:lang w:val="es-ES"/>
                              </w:rPr>
                            </w:pPr>
                            <w:r w:rsidRPr="003A7956">
                              <w:rPr>
                                <w:sz w:val="18"/>
                                <w:szCs w:val="18"/>
                                <w:lang w:val="es-ES"/>
                              </w:rPr>
                              <w:t>CAMARA DE</w:t>
                            </w:r>
                          </w:p>
                          <w:p w:rsidR="004C6011" w:rsidRPr="003A7956" w:rsidRDefault="004C6011" w:rsidP="004C3423">
                            <w:pPr>
                              <w:spacing w:after="0"/>
                              <w:ind w:firstLine="0"/>
                              <w:jc w:val="center"/>
                              <w:rPr>
                                <w:sz w:val="18"/>
                                <w:szCs w:val="18"/>
                                <w:lang w:val="es-ES"/>
                              </w:rPr>
                            </w:pPr>
                            <w:r w:rsidRPr="003A7956">
                              <w:rPr>
                                <w:sz w:val="18"/>
                                <w:szCs w:val="18"/>
                                <w:lang w:val="es-ES"/>
                              </w:rPr>
                              <w:t>COMPTOS</w:t>
                            </w:r>
                          </w:p>
                          <w:p w:rsidR="004C6011" w:rsidRPr="003A7956" w:rsidRDefault="004C6011" w:rsidP="004C3423">
                            <w:pPr>
                              <w:spacing w:after="0"/>
                              <w:ind w:firstLine="0"/>
                              <w:jc w:val="center"/>
                              <w:rPr>
                                <w:sz w:val="18"/>
                                <w:szCs w:val="18"/>
                                <w:lang w:val="es-ES"/>
                              </w:rPr>
                            </w:pPr>
                            <w:r w:rsidRPr="003A7956">
                              <w:rPr>
                                <w:sz w:val="18"/>
                                <w:szCs w:val="18"/>
                                <w:lang w:val="es-ES"/>
                              </w:rPr>
                              <w:t>DE NAVARRA</w:t>
                            </w:r>
                          </w:p>
                          <w:p w:rsidR="004C6011" w:rsidRPr="003A7956" w:rsidRDefault="004C6011" w:rsidP="004C3423">
                            <w:pPr>
                              <w:spacing w:after="0"/>
                              <w:ind w:firstLine="0"/>
                              <w:jc w:val="center"/>
                              <w:rPr>
                                <w:color w:val="808080"/>
                                <w:sz w:val="18"/>
                                <w:szCs w:val="18"/>
                                <w:lang w:val="es-ES"/>
                              </w:rPr>
                            </w:pPr>
                            <w:r w:rsidRPr="003A7956">
                              <w:rPr>
                                <w:color w:val="808080"/>
                                <w:sz w:val="18"/>
                                <w:szCs w:val="18"/>
                                <w:lang w:val="es-ES"/>
                              </w:rPr>
                              <w:t>NAFARROAKO</w:t>
                            </w:r>
                          </w:p>
                          <w:p w:rsidR="004C6011" w:rsidRPr="003A7956" w:rsidRDefault="004C6011" w:rsidP="004C3423">
                            <w:pPr>
                              <w:spacing w:after="0"/>
                              <w:ind w:firstLine="0"/>
                              <w:jc w:val="center"/>
                              <w:rPr>
                                <w:color w:val="808080"/>
                                <w:sz w:val="18"/>
                                <w:szCs w:val="18"/>
                                <w:lang w:val="es-ES"/>
                              </w:rPr>
                            </w:pPr>
                            <w:r w:rsidRPr="003A7956">
                              <w:rPr>
                                <w:color w:val="808080"/>
                                <w:sz w:val="18"/>
                                <w:szCs w:val="18"/>
                                <w:lang w:val="es-ES"/>
                              </w:rPr>
                              <w:t>KONTUEN</w:t>
                            </w:r>
                          </w:p>
                          <w:p w:rsidR="004C6011" w:rsidRPr="003A7956" w:rsidRDefault="004C6011" w:rsidP="004C3423">
                            <w:pPr>
                              <w:spacing w:after="0"/>
                              <w:ind w:firstLine="0"/>
                              <w:jc w:val="center"/>
                              <w:rPr>
                                <w:color w:val="808080"/>
                                <w:sz w:val="18"/>
                                <w:szCs w:val="18"/>
                                <w:lang w:val="es-ES"/>
                              </w:rPr>
                            </w:pPr>
                            <w:r w:rsidRPr="003A7956">
                              <w:rPr>
                                <w:color w:val="808080"/>
                                <w:sz w:val="18"/>
                                <w:szCs w:val="18"/>
                                <w:lang w:val="es-ES"/>
                              </w:rPr>
                              <w:t>GANBERA</w:t>
                            </w:r>
                          </w:p>
                          <w:p w:rsidR="004C6011" w:rsidRPr="002C7026" w:rsidRDefault="004C6011"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3.8pt;margin-top:-67.8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" stroked="f" strokecolor="white">
                <v:textbox>
                  <w:txbxContent>
                    <w:p w:rsidR="004C6011" w:rsidRPr="003A7956" w:rsidRDefault="004C6011" w:rsidP="004C3423">
                      <w:pPr>
                        <w:spacing w:after="0"/>
                        <w:ind w:firstLine="0"/>
                        <w:jc w:val="center"/>
                        <w:rPr>
                          <w:sz w:val="18"/>
                          <w:szCs w:val="18"/>
                          <w:lang w:val="es-ES"/>
                        </w:rPr>
                      </w:pPr>
                      <w:r w:rsidRPr="003A7956">
                        <w:rPr>
                          <w:sz w:val="18"/>
                          <w:szCs w:val="18"/>
                          <w:lang w:val="es-ES"/>
                        </w:rPr>
                        <w:t>CAMARA DE</w:t>
                      </w:r>
                    </w:p>
                    <w:p w:rsidR="004C6011" w:rsidRPr="003A7956" w:rsidRDefault="004C6011" w:rsidP="004C3423">
                      <w:pPr>
                        <w:spacing w:after="0"/>
                        <w:ind w:firstLine="0"/>
                        <w:jc w:val="center"/>
                        <w:rPr>
                          <w:sz w:val="18"/>
                          <w:szCs w:val="18"/>
                          <w:lang w:val="es-ES"/>
                        </w:rPr>
                      </w:pPr>
                      <w:r w:rsidRPr="003A7956">
                        <w:rPr>
                          <w:sz w:val="18"/>
                          <w:szCs w:val="18"/>
                          <w:lang w:val="es-ES"/>
                        </w:rPr>
                        <w:t>COMPTOS</w:t>
                      </w:r>
                    </w:p>
                    <w:p w:rsidR="004C6011" w:rsidRPr="003A7956" w:rsidRDefault="004C6011" w:rsidP="004C3423">
                      <w:pPr>
                        <w:spacing w:after="0"/>
                        <w:ind w:firstLine="0"/>
                        <w:jc w:val="center"/>
                        <w:rPr>
                          <w:sz w:val="18"/>
                          <w:szCs w:val="18"/>
                          <w:lang w:val="es-ES"/>
                        </w:rPr>
                      </w:pPr>
                      <w:r w:rsidRPr="003A7956">
                        <w:rPr>
                          <w:sz w:val="18"/>
                          <w:szCs w:val="18"/>
                          <w:lang w:val="es-ES"/>
                        </w:rPr>
                        <w:t>DE NAVARRA</w:t>
                      </w:r>
                    </w:p>
                    <w:p w:rsidR="004C6011" w:rsidRPr="003A7956" w:rsidRDefault="004C6011" w:rsidP="004C3423">
                      <w:pPr>
                        <w:spacing w:after="0"/>
                        <w:ind w:firstLine="0"/>
                        <w:jc w:val="center"/>
                        <w:rPr>
                          <w:color w:val="808080"/>
                          <w:sz w:val="18"/>
                          <w:szCs w:val="18"/>
                          <w:lang w:val="es-ES"/>
                        </w:rPr>
                      </w:pPr>
                      <w:r w:rsidRPr="003A7956">
                        <w:rPr>
                          <w:color w:val="808080"/>
                          <w:sz w:val="18"/>
                          <w:szCs w:val="18"/>
                          <w:lang w:val="es-ES"/>
                        </w:rPr>
                        <w:t>NAFARROAKO</w:t>
                      </w:r>
                    </w:p>
                    <w:p w:rsidR="004C6011" w:rsidRPr="003A7956" w:rsidRDefault="004C6011" w:rsidP="004C3423">
                      <w:pPr>
                        <w:spacing w:after="0"/>
                        <w:ind w:firstLine="0"/>
                        <w:jc w:val="center"/>
                        <w:rPr>
                          <w:color w:val="808080"/>
                          <w:sz w:val="18"/>
                          <w:szCs w:val="18"/>
                          <w:lang w:val="es-ES"/>
                        </w:rPr>
                      </w:pPr>
                      <w:r w:rsidRPr="003A7956">
                        <w:rPr>
                          <w:color w:val="808080"/>
                          <w:sz w:val="18"/>
                          <w:szCs w:val="18"/>
                          <w:lang w:val="es-ES"/>
                        </w:rPr>
                        <w:t>KONTUEN</w:t>
                      </w:r>
                    </w:p>
                    <w:p w:rsidR="004C6011" w:rsidRPr="003A7956" w:rsidRDefault="004C6011" w:rsidP="004C3423">
                      <w:pPr>
                        <w:spacing w:after="0"/>
                        <w:ind w:firstLine="0"/>
                        <w:jc w:val="center"/>
                        <w:rPr>
                          <w:color w:val="808080"/>
                          <w:sz w:val="18"/>
                          <w:szCs w:val="18"/>
                          <w:lang w:val="es-ES"/>
                        </w:rPr>
                      </w:pPr>
                      <w:r w:rsidRPr="003A7956">
                        <w:rPr>
                          <w:color w:val="808080"/>
                          <w:sz w:val="18"/>
                          <w:szCs w:val="18"/>
                          <w:lang w:val="es-ES"/>
                        </w:rPr>
                        <w:t>GANBERA</w:t>
                      </w:r>
                    </w:p>
                    <w:p w:rsidR="004C6011" w:rsidRPr="002C7026" w:rsidRDefault="004C6011" w:rsidP="002C7026">
                      <w:pPr>
                        <w:spacing w:after="0"/>
                        <w:ind w:firstLine="0"/>
                        <w:jc w:val="center"/>
                        <w:rPr>
                          <w:rFonts w:ascii="Trajan" w:hAnsi="Trajan"/>
                          <w:color w:val="808080"/>
                          <w:sz w:val="18"/>
                          <w:szCs w:val="18"/>
                          <w:lang w:val="es-ES"/>
                        </w:rPr>
                      </w:pPr>
                    </w:p>
                  </w:txbxContent>
                </v:textbox>
              </v:shape>
            </w:pict>
          </mc:Fallback>
        </mc:AlternateContent>
      </w:r>
    </w:p>
    <w:p w:rsidR="00414999" w:rsidRPr="00F62558" w:rsidRDefault="00414999" w:rsidP="00F44C41">
      <w:pPr>
        <w:pStyle w:val="texto"/>
        <w:tabs>
          <w:tab w:val="clear" w:pos="3969"/>
          <w:tab w:val="left" w:pos="8647"/>
          <w:tab w:val="left" w:pos="8931"/>
        </w:tabs>
        <w:spacing w:after="0"/>
        <w:ind w:left="3544" w:right="-709" w:firstLine="0"/>
        <w:jc w:val="left"/>
        <w:rPr>
          <w:b/>
          <w:sz w:val="40"/>
          <w:szCs w:val="40"/>
        </w:rPr>
      </w:pPr>
      <w:r w:rsidRPr="00F62558">
        <w:rPr>
          <w:b/>
          <w:sz w:val="40"/>
          <w:szCs w:val="40"/>
        </w:rPr>
        <w:t>Implantación de la</w:t>
      </w:r>
      <w:r>
        <w:rPr>
          <w:b/>
          <w:sz w:val="40"/>
          <w:szCs w:val="40"/>
        </w:rPr>
        <w:t xml:space="preserve"> </w:t>
      </w:r>
      <w:r w:rsidR="00451A80">
        <w:rPr>
          <w:b/>
          <w:sz w:val="40"/>
          <w:szCs w:val="40"/>
        </w:rPr>
        <w:t xml:space="preserve">contabilidad analítica </w:t>
      </w:r>
      <w:r w:rsidRPr="00F62558">
        <w:rPr>
          <w:b/>
          <w:sz w:val="40"/>
          <w:szCs w:val="40"/>
        </w:rPr>
        <w:t>y seguimiento de</w:t>
      </w:r>
      <w:r>
        <w:rPr>
          <w:b/>
          <w:sz w:val="40"/>
          <w:szCs w:val="40"/>
        </w:rPr>
        <w:t xml:space="preserve"> </w:t>
      </w:r>
      <w:r w:rsidRPr="00F62558">
        <w:rPr>
          <w:b/>
          <w:sz w:val="40"/>
          <w:szCs w:val="40"/>
        </w:rPr>
        <w:t>rec</w:t>
      </w:r>
      <w:r w:rsidRPr="00F62558">
        <w:rPr>
          <w:b/>
          <w:sz w:val="40"/>
          <w:szCs w:val="40"/>
        </w:rPr>
        <w:t>o</w:t>
      </w:r>
      <w:r w:rsidRPr="00F62558">
        <w:rPr>
          <w:b/>
          <w:sz w:val="40"/>
          <w:szCs w:val="40"/>
        </w:rPr>
        <w:t xml:space="preserve">mendaciones </w:t>
      </w:r>
      <w:r w:rsidR="00451A80">
        <w:rPr>
          <w:b/>
          <w:sz w:val="40"/>
          <w:szCs w:val="40"/>
        </w:rPr>
        <w:t>en la Universidad Pública de Navarra</w:t>
      </w:r>
      <w:r w:rsidRPr="00F62558">
        <w:rPr>
          <w:b/>
          <w:sz w:val="40"/>
          <w:szCs w:val="40"/>
        </w:rPr>
        <w:t xml:space="preserve"> </w:t>
      </w:r>
    </w:p>
    <w:p w:rsidR="001C3A32" w:rsidRPr="00204979" w:rsidRDefault="001C3A32" w:rsidP="00F44C41">
      <w:pPr>
        <w:pStyle w:val="texto"/>
        <w:tabs>
          <w:tab w:val="left" w:pos="8647"/>
        </w:tabs>
      </w:pPr>
    </w:p>
    <w:p w:rsidR="001C3A32" w:rsidRPr="00204979" w:rsidRDefault="001C3A32" w:rsidP="00F44C41">
      <w:pPr>
        <w:pStyle w:val="texto"/>
        <w:tabs>
          <w:tab w:val="left" w:pos="8647"/>
        </w:tabs>
      </w:pPr>
    </w:p>
    <w:p w:rsidR="002F2530" w:rsidRPr="00204979" w:rsidRDefault="002F2530" w:rsidP="00F44C41">
      <w:pPr>
        <w:pStyle w:val="texto"/>
        <w:tabs>
          <w:tab w:val="left" w:pos="8647"/>
        </w:tabs>
      </w:pPr>
    </w:p>
    <w:p w:rsidR="002F2530" w:rsidRPr="00204979" w:rsidRDefault="002F2530" w:rsidP="00F44C41">
      <w:pPr>
        <w:pStyle w:val="texto"/>
        <w:tabs>
          <w:tab w:val="left" w:pos="8647"/>
        </w:tabs>
      </w:pPr>
    </w:p>
    <w:p w:rsidR="001C3A32" w:rsidRPr="00204979" w:rsidRDefault="001C3A32" w:rsidP="00F44C41">
      <w:pPr>
        <w:pStyle w:val="texto"/>
        <w:tabs>
          <w:tab w:val="left" w:pos="8647"/>
        </w:tabs>
      </w:pPr>
    </w:p>
    <w:p w:rsidR="001C3A32" w:rsidRPr="00204979" w:rsidRDefault="001C3A32" w:rsidP="00F44C41">
      <w:pPr>
        <w:pStyle w:val="texto"/>
        <w:tabs>
          <w:tab w:val="left" w:pos="8647"/>
        </w:tabs>
      </w:pPr>
    </w:p>
    <w:p w:rsidR="001C3A32" w:rsidRPr="00204979" w:rsidRDefault="001C3A32" w:rsidP="00F44C41">
      <w:pPr>
        <w:pStyle w:val="texto"/>
        <w:tabs>
          <w:tab w:val="left" w:pos="8647"/>
        </w:tabs>
      </w:pPr>
    </w:p>
    <w:p w:rsidR="001C3A32" w:rsidRDefault="001C3A32" w:rsidP="00F44C41">
      <w:pPr>
        <w:pStyle w:val="texto"/>
        <w:tabs>
          <w:tab w:val="left" w:pos="8647"/>
        </w:tabs>
      </w:pPr>
    </w:p>
    <w:p w:rsidR="00414999" w:rsidRDefault="00414999" w:rsidP="00F44C41">
      <w:pPr>
        <w:pStyle w:val="texto"/>
        <w:tabs>
          <w:tab w:val="left" w:pos="8647"/>
        </w:tabs>
      </w:pPr>
    </w:p>
    <w:p w:rsidR="00414999" w:rsidRDefault="00414999" w:rsidP="00F44C41">
      <w:pPr>
        <w:pStyle w:val="texto"/>
        <w:tabs>
          <w:tab w:val="left" w:pos="8647"/>
        </w:tabs>
      </w:pPr>
    </w:p>
    <w:p w:rsidR="00414999" w:rsidRDefault="00414999" w:rsidP="00F44C41">
      <w:pPr>
        <w:pStyle w:val="texto"/>
        <w:tabs>
          <w:tab w:val="left" w:pos="8647"/>
        </w:tabs>
      </w:pPr>
    </w:p>
    <w:p w:rsidR="00020AD7" w:rsidRPr="00204979" w:rsidRDefault="00020AD7" w:rsidP="00F44C41">
      <w:pPr>
        <w:pStyle w:val="texto"/>
        <w:tabs>
          <w:tab w:val="left" w:pos="8647"/>
        </w:tabs>
      </w:pPr>
    </w:p>
    <w:p w:rsidR="00844F74" w:rsidRPr="00204979" w:rsidRDefault="00844F74" w:rsidP="00F44C41">
      <w:pPr>
        <w:pStyle w:val="texto"/>
        <w:tabs>
          <w:tab w:val="left" w:pos="8647"/>
        </w:tabs>
      </w:pPr>
    </w:p>
    <w:p w:rsidR="00844F74" w:rsidRDefault="00844F74" w:rsidP="00F44C41">
      <w:pPr>
        <w:pStyle w:val="texto"/>
        <w:tabs>
          <w:tab w:val="left" w:pos="8647"/>
        </w:tabs>
      </w:pPr>
    </w:p>
    <w:p w:rsidR="00991EBE" w:rsidRDefault="00991EBE" w:rsidP="00F44C41">
      <w:pPr>
        <w:pStyle w:val="texto"/>
        <w:tabs>
          <w:tab w:val="left" w:pos="8647"/>
        </w:tabs>
      </w:pPr>
    </w:p>
    <w:p w:rsidR="00991EBE" w:rsidRPr="00204979" w:rsidRDefault="00991EBE" w:rsidP="00F44C41">
      <w:pPr>
        <w:pStyle w:val="texto"/>
        <w:tabs>
          <w:tab w:val="left" w:pos="8647"/>
        </w:tabs>
      </w:pPr>
    </w:p>
    <w:p w:rsidR="00716463" w:rsidRDefault="00020AD7" w:rsidP="00F44C41">
      <w:pPr>
        <w:pStyle w:val="Fechaportada"/>
        <w:tabs>
          <w:tab w:val="left" w:pos="8647"/>
        </w:tabs>
      </w:pPr>
      <w:r>
        <w:t>Diciembr</w:t>
      </w:r>
      <w:r w:rsidR="00414999">
        <w:t>e de 2020</w:t>
      </w:r>
    </w:p>
    <w:p w:rsidR="00F44C41" w:rsidRPr="001D4F09" w:rsidRDefault="00F44C41" w:rsidP="00F44C41">
      <w:pPr>
        <w:pStyle w:val="Fechaportada"/>
        <w:tabs>
          <w:tab w:val="left" w:pos="8647"/>
        </w:tabs>
        <w:jc w:val="left"/>
      </w:pPr>
    </w:p>
    <w:p w:rsidR="008E3FFE" w:rsidRPr="001D4F09" w:rsidRDefault="008E3FFE" w:rsidP="00F44C41">
      <w:pPr>
        <w:pStyle w:val="ndice"/>
        <w:tabs>
          <w:tab w:val="left" w:pos="8647"/>
        </w:tabs>
        <w:rPr>
          <w:rFonts w:ascii="Times New Roman" w:hAnsi="Times New Roman"/>
        </w:rPr>
        <w:sectPr w:rsidR="008E3FFE" w:rsidRPr="001D4F09" w:rsidSect="0002640C">
          <w:headerReference w:type="default" r:id="rId9"/>
          <w:footerReference w:type="even" r:id="rId10"/>
          <w:footerReference w:type="default" r:id="rId11"/>
          <w:headerReference w:type="first" r:id="rId12"/>
          <w:footerReference w:type="first" r:id="rId13"/>
          <w:type w:val="nextColumn"/>
          <w:pgSz w:w="11907" w:h="16840" w:code="9"/>
          <w:pgMar w:top="2977" w:right="1559" w:bottom="1644" w:left="1559" w:header="369" w:footer="136" w:gutter="0"/>
          <w:pgNumType w:start="1"/>
          <w:cols w:space="720"/>
          <w:titlePg/>
          <w:docGrid w:linePitch="360"/>
        </w:sectPr>
      </w:pPr>
    </w:p>
    <w:p w:rsidR="00767115" w:rsidRDefault="00767115" w:rsidP="00F44C41">
      <w:pPr>
        <w:pStyle w:val="ndice"/>
      </w:pPr>
    </w:p>
    <w:p w:rsidR="00F44C41" w:rsidRDefault="00F44C41" w:rsidP="00F44C41">
      <w:pPr>
        <w:pStyle w:val="ndice"/>
      </w:pPr>
      <w:r w:rsidRPr="00891D73">
        <w:t>Índice</w:t>
      </w:r>
    </w:p>
    <w:p w:rsidR="00AF2018" w:rsidRDefault="00F44C41">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7285450" w:history="1">
        <w:r w:rsidR="00AF2018" w:rsidRPr="00791317">
          <w:rPr>
            <w:rStyle w:val="Hipervnculo"/>
            <w:noProof/>
            <w:spacing w:val="6"/>
          </w:rPr>
          <w:t>I. Introducción</w:t>
        </w:r>
        <w:r w:rsidR="00AF2018">
          <w:rPr>
            <w:noProof/>
            <w:webHidden/>
          </w:rPr>
          <w:tab/>
        </w:r>
        <w:r w:rsidR="00AF2018">
          <w:rPr>
            <w:noProof/>
            <w:webHidden/>
          </w:rPr>
          <w:fldChar w:fldCharType="begin"/>
        </w:r>
        <w:r w:rsidR="00AF2018">
          <w:rPr>
            <w:noProof/>
            <w:webHidden/>
          </w:rPr>
          <w:instrText xml:space="preserve"> PAGEREF _Toc57285450 \h </w:instrText>
        </w:r>
        <w:r w:rsidR="00AF2018">
          <w:rPr>
            <w:noProof/>
            <w:webHidden/>
          </w:rPr>
        </w:r>
        <w:r w:rsidR="00AF2018">
          <w:rPr>
            <w:noProof/>
            <w:webHidden/>
          </w:rPr>
          <w:fldChar w:fldCharType="separate"/>
        </w:r>
        <w:r w:rsidR="003A0A02">
          <w:rPr>
            <w:noProof/>
            <w:webHidden/>
          </w:rPr>
          <w:t>3</w:t>
        </w:r>
        <w:r w:rsidR="00AF2018">
          <w:rPr>
            <w:noProof/>
            <w:webHidden/>
          </w:rPr>
          <w:fldChar w:fldCharType="end"/>
        </w:r>
      </w:hyperlink>
    </w:p>
    <w:p w:rsidR="00AF2018" w:rsidRDefault="001B5DFE">
      <w:pPr>
        <w:pStyle w:val="TDC1"/>
        <w:rPr>
          <w:rFonts w:asciiTheme="minorHAnsi" w:eastAsiaTheme="minorEastAsia" w:hAnsiTheme="minorHAnsi" w:cstheme="minorBidi"/>
          <w:smallCaps w:val="0"/>
          <w:noProof/>
          <w:szCs w:val="22"/>
          <w:lang w:val="es-ES" w:eastAsia="es-ES"/>
        </w:rPr>
      </w:pPr>
      <w:hyperlink w:anchor="_Toc57285451" w:history="1">
        <w:r w:rsidR="00AF2018" w:rsidRPr="00791317">
          <w:rPr>
            <w:rStyle w:val="Hipervnculo"/>
            <w:noProof/>
            <w:spacing w:val="6"/>
          </w:rPr>
          <w:t>II. La Universidad Pública de Navarra</w:t>
        </w:r>
        <w:r w:rsidR="00AF2018">
          <w:rPr>
            <w:noProof/>
            <w:webHidden/>
          </w:rPr>
          <w:tab/>
        </w:r>
        <w:r w:rsidR="00AF2018">
          <w:rPr>
            <w:noProof/>
            <w:webHidden/>
          </w:rPr>
          <w:fldChar w:fldCharType="begin"/>
        </w:r>
        <w:r w:rsidR="00AF2018">
          <w:rPr>
            <w:noProof/>
            <w:webHidden/>
          </w:rPr>
          <w:instrText xml:space="preserve"> PAGEREF _Toc57285451 \h </w:instrText>
        </w:r>
        <w:r w:rsidR="00AF2018">
          <w:rPr>
            <w:noProof/>
            <w:webHidden/>
          </w:rPr>
        </w:r>
        <w:r w:rsidR="00AF2018">
          <w:rPr>
            <w:noProof/>
            <w:webHidden/>
          </w:rPr>
          <w:fldChar w:fldCharType="separate"/>
        </w:r>
        <w:r w:rsidR="003A0A02">
          <w:rPr>
            <w:noProof/>
            <w:webHidden/>
          </w:rPr>
          <w:t>4</w:t>
        </w:r>
        <w:r w:rsidR="00AF2018">
          <w:rPr>
            <w:noProof/>
            <w:webHidden/>
          </w:rPr>
          <w:fldChar w:fldCharType="end"/>
        </w:r>
      </w:hyperlink>
    </w:p>
    <w:p w:rsidR="00AF2018" w:rsidRDefault="001B5DFE">
      <w:pPr>
        <w:pStyle w:val="TDC1"/>
        <w:rPr>
          <w:rFonts w:asciiTheme="minorHAnsi" w:eastAsiaTheme="minorEastAsia" w:hAnsiTheme="minorHAnsi" w:cstheme="minorBidi"/>
          <w:smallCaps w:val="0"/>
          <w:noProof/>
          <w:szCs w:val="22"/>
          <w:lang w:val="es-ES" w:eastAsia="es-ES"/>
        </w:rPr>
      </w:pPr>
      <w:hyperlink w:anchor="_Toc57285452" w:history="1">
        <w:r w:rsidR="00AF2018" w:rsidRPr="00791317">
          <w:rPr>
            <w:rStyle w:val="Hipervnculo"/>
            <w:noProof/>
            <w:spacing w:val="6"/>
          </w:rPr>
          <w:t>III. Objetivos y alcance</w:t>
        </w:r>
        <w:r w:rsidR="00AF2018">
          <w:rPr>
            <w:noProof/>
            <w:webHidden/>
          </w:rPr>
          <w:tab/>
        </w:r>
        <w:r w:rsidR="00AF2018">
          <w:rPr>
            <w:noProof/>
            <w:webHidden/>
          </w:rPr>
          <w:fldChar w:fldCharType="begin"/>
        </w:r>
        <w:r w:rsidR="00AF2018">
          <w:rPr>
            <w:noProof/>
            <w:webHidden/>
          </w:rPr>
          <w:instrText xml:space="preserve"> PAGEREF _Toc57285452 \h </w:instrText>
        </w:r>
        <w:r w:rsidR="00AF2018">
          <w:rPr>
            <w:noProof/>
            <w:webHidden/>
          </w:rPr>
        </w:r>
        <w:r w:rsidR="00AF2018">
          <w:rPr>
            <w:noProof/>
            <w:webHidden/>
          </w:rPr>
          <w:fldChar w:fldCharType="separate"/>
        </w:r>
        <w:r w:rsidR="003A0A02">
          <w:rPr>
            <w:noProof/>
            <w:webHidden/>
          </w:rPr>
          <w:t>7</w:t>
        </w:r>
        <w:r w:rsidR="00AF2018">
          <w:rPr>
            <w:noProof/>
            <w:webHidden/>
          </w:rPr>
          <w:fldChar w:fldCharType="end"/>
        </w:r>
      </w:hyperlink>
    </w:p>
    <w:p w:rsidR="00AF2018" w:rsidRDefault="001B5DFE">
      <w:pPr>
        <w:pStyle w:val="TDC1"/>
        <w:rPr>
          <w:rFonts w:asciiTheme="minorHAnsi" w:eastAsiaTheme="minorEastAsia" w:hAnsiTheme="minorHAnsi" w:cstheme="minorBidi"/>
          <w:smallCaps w:val="0"/>
          <w:noProof/>
          <w:szCs w:val="22"/>
          <w:lang w:val="es-ES" w:eastAsia="es-ES"/>
        </w:rPr>
      </w:pPr>
      <w:hyperlink w:anchor="_Toc57285453" w:history="1">
        <w:r w:rsidR="00AF2018" w:rsidRPr="00791317">
          <w:rPr>
            <w:rStyle w:val="Hipervnculo"/>
            <w:noProof/>
            <w:spacing w:val="6"/>
          </w:rPr>
          <w:t>IV. Conclusiones y recomendaciones</w:t>
        </w:r>
        <w:r w:rsidR="00AF2018">
          <w:rPr>
            <w:noProof/>
            <w:webHidden/>
          </w:rPr>
          <w:tab/>
        </w:r>
        <w:r w:rsidR="00AF2018">
          <w:rPr>
            <w:noProof/>
            <w:webHidden/>
          </w:rPr>
          <w:fldChar w:fldCharType="begin"/>
        </w:r>
        <w:r w:rsidR="00AF2018">
          <w:rPr>
            <w:noProof/>
            <w:webHidden/>
          </w:rPr>
          <w:instrText xml:space="preserve"> PAGEREF _Toc57285453 \h </w:instrText>
        </w:r>
        <w:r w:rsidR="00AF2018">
          <w:rPr>
            <w:noProof/>
            <w:webHidden/>
          </w:rPr>
        </w:r>
        <w:r w:rsidR="00AF2018">
          <w:rPr>
            <w:noProof/>
            <w:webHidden/>
          </w:rPr>
          <w:fldChar w:fldCharType="separate"/>
        </w:r>
        <w:r w:rsidR="003A0A02">
          <w:rPr>
            <w:noProof/>
            <w:webHidden/>
          </w:rPr>
          <w:t>8</w:t>
        </w:r>
        <w:r w:rsidR="00AF2018">
          <w:rPr>
            <w:noProof/>
            <w:webHidden/>
          </w:rPr>
          <w:fldChar w:fldCharType="end"/>
        </w:r>
      </w:hyperlink>
    </w:p>
    <w:p w:rsidR="00AF2018" w:rsidRDefault="001B5DFE">
      <w:pPr>
        <w:pStyle w:val="TDC2"/>
        <w:rPr>
          <w:rFonts w:asciiTheme="minorHAnsi" w:eastAsiaTheme="minorEastAsia" w:hAnsiTheme="minorHAnsi" w:cstheme="minorBidi"/>
          <w:noProof/>
          <w:szCs w:val="22"/>
          <w:lang w:val="es-ES" w:eastAsia="es-ES"/>
        </w:rPr>
      </w:pPr>
      <w:hyperlink w:anchor="_Toc57285454" w:history="1">
        <w:r w:rsidR="00AF2018" w:rsidRPr="00791317">
          <w:rPr>
            <w:rStyle w:val="Hipervnculo"/>
            <w:noProof/>
            <w:spacing w:val="6"/>
          </w:rPr>
          <w:t>IV.1. Contabilidad analítica</w:t>
        </w:r>
        <w:r w:rsidR="00AF2018">
          <w:rPr>
            <w:noProof/>
            <w:webHidden/>
          </w:rPr>
          <w:tab/>
        </w:r>
        <w:r w:rsidR="00AF2018">
          <w:rPr>
            <w:noProof/>
            <w:webHidden/>
          </w:rPr>
          <w:fldChar w:fldCharType="begin"/>
        </w:r>
        <w:r w:rsidR="00AF2018">
          <w:rPr>
            <w:noProof/>
            <w:webHidden/>
          </w:rPr>
          <w:instrText xml:space="preserve"> PAGEREF _Toc57285454 \h </w:instrText>
        </w:r>
        <w:r w:rsidR="00AF2018">
          <w:rPr>
            <w:noProof/>
            <w:webHidden/>
          </w:rPr>
        </w:r>
        <w:r w:rsidR="00AF2018">
          <w:rPr>
            <w:noProof/>
            <w:webHidden/>
          </w:rPr>
          <w:fldChar w:fldCharType="separate"/>
        </w:r>
        <w:r w:rsidR="003A0A02">
          <w:rPr>
            <w:noProof/>
            <w:webHidden/>
          </w:rPr>
          <w:t>9</w:t>
        </w:r>
        <w:r w:rsidR="00AF2018">
          <w:rPr>
            <w:noProof/>
            <w:webHidden/>
          </w:rPr>
          <w:fldChar w:fldCharType="end"/>
        </w:r>
      </w:hyperlink>
    </w:p>
    <w:p w:rsidR="00AF2018" w:rsidRDefault="001B5DFE">
      <w:pPr>
        <w:pStyle w:val="TDC2"/>
        <w:rPr>
          <w:rFonts w:asciiTheme="minorHAnsi" w:eastAsiaTheme="minorEastAsia" w:hAnsiTheme="minorHAnsi" w:cstheme="minorBidi"/>
          <w:noProof/>
          <w:szCs w:val="22"/>
          <w:lang w:val="es-ES" w:eastAsia="es-ES"/>
        </w:rPr>
      </w:pPr>
      <w:hyperlink w:anchor="_Toc57285455" w:history="1">
        <w:r w:rsidR="00AF2018" w:rsidRPr="00791317">
          <w:rPr>
            <w:rStyle w:val="Hipervnculo"/>
            <w:noProof/>
          </w:rPr>
          <w:t>IV.1.1 Implantación de la contabilidad analítica en la UPNA</w:t>
        </w:r>
        <w:r w:rsidR="00AF2018">
          <w:rPr>
            <w:noProof/>
            <w:webHidden/>
          </w:rPr>
          <w:tab/>
        </w:r>
        <w:r w:rsidR="00AF2018">
          <w:rPr>
            <w:noProof/>
            <w:webHidden/>
          </w:rPr>
          <w:fldChar w:fldCharType="begin"/>
        </w:r>
        <w:r w:rsidR="00AF2018">
          <w:rPr>
            <w:noProof/>
            <w:webHidden/>
          </w:rPr>
          <w:instrText xml:space="preserve"> PAGEREF _Toc57285455 \h </w:instrText>
        </w:r>
        <w:r w:rsidR="00AF2018">
          <w:rPr>
            <w:noProof/>
            <w:webHidden/>
          </w:rPr>
        </w:r>
        <w:r w:rsidR="00AF2018">
          <w:rPr>
            <w:noProof/>
            <w:webHidden/>
          </w:rPr>
          <w:fldChar w:fldCharType="separate"/>
        </w:r>
        <w:r w:rsidR="003A0A02">
          <w:rPr>
            <w:noProof/>
            <w:webHidden/>
          </w:rPr>
          <w:t>12</w:t>
        </w:r>
        <w:r w:rsidR="00AF2018">
          <w:rPr>
            <w:noProof/>
            <w:webHidden/>
          </w:rPr>
          <w:fldChar w:fldCharType="end"/>
        </w:r>
      </w:hyperlink>
    </w:p>
    <w:p w:rsidR="00AF2018" w:rsidRDefault="001B5DFE">
      <w:pPr>
        <w:pStyle w:val="TDC2"/>
        <w:rPr>
          <w:rFonts w:asciiTheme="minorHAnsi" w:eastAsiaTheme="minorEastAsia" w:hAnsiTheme="minorHAnsi" w:cstheme="minorBidi"/>
          <w:noProof/>
          <w:szCs w:val="22"/>
          <w:lang w:val="es-ES" w:eastAsia="es-ES"/>
        </w:rPr>
      </w:pPr>
      <w:hyperlink w:anchor="_Toc57285456" w:history="1">
        <w:r w:rsidR="00AF2018" w:rsidRPr="00791317">
          <w:rPr>
            <w:rStyle w:val="Hipervnculo"/>
            <w:noProof/>
            <w:spacing w:val="6"/>
          </w:rPr>
          <w:t>IV.1.2 Procedimiento de fijación de precios</w:t>
        </w:r>
        <w:r w:rsidR="00AF2018">
          <w:rPr>
            <w:noProof/>
            <w:webHidden/>
          </w:rPr>
          <w:tab/>
        </w:r>
        <w:r w:rsidR="00AF2018">
          <w:rPr>
            <w:noProof/>
            <w:webHidden/>
          </w:rPr>
          <w:fldChar w:fldCharType="begin"/>
        </w:r>
        <w:r w:rsidR="00AF2018">
          <w:rPr>
            <w:noProof/>
            <w:webHidden/>
          </w:rPr>
          <w:instrText xml:space="preserve"> PAGEREF _Toc57285456 \h </w:instrText>
        </w:r>
        <w:r w:rsidR="00AF2018">
          <w:rPr>
            <w:noProof/>
            <w:webHidden/>
          </w:rPr>
        </w:r>
        <w:r w:rsidR="00AF2018">
          <w:rPr>
            <w:noProof/>
            <w:webHidden/>
          </w:rPr>
          <w:fldChar w:fldCharType="separate"/>
        </w:r>
        <w:r w:rsidR="003A0A02">
          <w:rPr>
            <w:noProof/>
            <w:webHidden/>
          </w:rPr>
          <w:t>14</w:t>
        </w:r>
        <w:r w:rsidR="00AF2018">
          <w:rPr>
            <w:noProof/>
            <w:webHidden/>
          </w:rPr>
          <w:fldChar w:fldCharType="end"/>
        </w:r>
      </w:hyperlink>
    </w:p>
    <w:p w:rsidR="00AF2018" w:rsidRDefault="001B5DFE">
      <w:pPr>
        <w:pStyle w:val="TDC2"/>
        <w:rPr>
          <w:rFonts w:asciiTheme="minorHAnsi" w:eastAsiaTheme="minorEastAsia" w:hAnsiTheme="minorHAnsi" w:cstheme="minorBidi"/>
          <w:noProof/>
          <w:szCs w:val="22"/>
          <w:lang w:val="es-ES" w:eastAsia="es-ES"/>
        </w:rPr>
      </w:pPr>
      <w:hyperlink w:anchor="_Toc57285457" w:history="1">
        <w:r w:rsidR="00AF2018" w:rsidRPr="00791317">
          <w:rPr>
            <w:rStyle w:val="Hipervnculo"/>
            <w:noProof/>
            <w:spacing w:val="6"/>
          </w:rPr>
          <w:t>IV.1.3 Financiación ordinaria de la universidad</w:t>
        </w:r>
        <w:r w:rsidR="00AF2018">
          <w:rPr>
            <w:noProof/>
            <w:webHidden/>
          </w:rPr>
          <w:tab/>
        </w:r>
        <w:r w:rsidR="00AF2018">
          <w:rPr>
            <w:noProof/>
            <w:webHidden/>
          </w:rPr>
          <w:fldChar w:fldCharType="begin"/>
        </w:r>
        <w:r w:rsidR="00AF2018">
          <w:rPr>
            <w:noProof/>
            <w:webHidden/>
          </w:rPr>
          <w:instrText xml:space="preserve"> PAGEREF _Toc57285457 \h </w:instrText>
        </w:r>
        <w:r w:rsidR="00AF2018">
          <w:rPr>
            <w:noProof/>
            <w:webHidden/>
          </w:rPr>
        </w:r>
        <w:r w:rsidR="00AF2018">
          <w:rPr>
            <w:noProof/>
            <w:webHidden/>
          </w:rPr>
          <w:fldChar w:fldCharType="separate"/>
        </w:r>
        <w:r w:rsidR="003A0A02">
          <w:rPr>
            <w:noProof/>
            <w:webHidden/>
          </w:rPr>
          <w:t>18</w:t>
        </w:r>
        <w:r w:rsidR="00AF2018">
          <w:rPr>
            <w:noProof/>
            <w:webHidden/>
          </w:rPr>
          <w:fldChar w:fldCharType="end"/>
        </w:r>
      </w:hyperlink>
    </w:p>
    <w:p w:rsidR="00AF2018" w:rsidRDefault="001B5DFE">
      <w:pPr>
        <w:pStyle w:val="TDC2"/>
        <w:rPr>
          <w:rFonts w:asciiTheme="minorHAnsi" w:eastAsiaTheme="minorEastAsia" w:hAnsiTheme="minorHAnsi" w:cstheme="minorBidi"/>
          <w:noProof/>
          <w:szCs w:val="22"/>
          <w:lang w:val="es-ES" w:eastAsia="es-ES"/>
        </w:rPr>
      </w:pPr>
      <w:hyperlink w:anchor="_Toc57285458" w:history="1">
        <w:r w:rsidR="00AF2018" w:rsidRPr="00791317">
          <w:rPr>
            <w:rStyle w:val="Hipervnculo"/>
            <w:noProof/>
            <w:spacing w:val="6"/>
          </w:rPr>
          <w:t>IV.1.4 Ayudas al estudio universitario</w:t>
        </w:r>
        <w:r w:rsidR="00AF2018">
          <w:rPr>
            <w:noProof/>
            <w:webHidden/>
          </w:rPr>
          <w:tab/>
        </w:r>
        <w:r w:rsidR="00AF2018">
          <w:rPr>
            <w:noProof/>
            <w:webHidden/>
          </w:rPr>
          <w:fldChar w:fldCharType="begin"/>
        </w:r>
        <w:r w:rsidR="00AF2018">
          <w:rPr>
            <w:noProof/>
            <w:webHidden/>
          </w:rPr>
          <w:instrText xml:space="preserve"> PAGEREF _Toc57285458 \h </w:instrText>
        </w:r>
        <w:r w:rsidR="00AF2018">
          <w:rPr>
            <w:noProof/>
            <w:webHidden/>
          </w:rPr>
        </w:r>
        <w:r w:rsidR="00AF2018">
          <w:rPr>
            <w:noProof/>
            <w:webHidden/>
          </w:rPr>
          <w:fldChar w:fldCharType="separate"/>
        </w:r>
        <w:r w:rsidR="003A0A02">
          <w:rPr>
            <w:noProof/>
            <w:webHidden/>
          </w:rPr>
          <w:t>21</w:t>
        </w:r>
        <w:r w:rsidR="00AF2018">
          <w:rPr>
            <w:noProof/>
            <w:webHidden/>
          </w:rPr>
          <w:fldChar w:fldCharType="end"/>
        </w:r>
      </w:hyperlink>
    </w:p>
    <w:p w:rsidR="00AF2018" w:rsidRDefault="001B5DFE">
      <w:pPr>
        <w:pStyle w:val="TDC2"/>
        <w:rPr>
          <w:rFonts w:asciiTheme="minorHAnsi" w:eastAsiaTheme="minorEastAsia" w:hAnsiTheme="minorHAnsi" w:cstheme="minorBidi"/>
          <w:noProof/>
          <w:szCs w:val="22"/>
          <w:lang w:val="es-ES" w:eastAsia="es-ES"/>
        </w:rPr>
      </w:pPr>
      <w:hyperlink w:anchor="_Toc57285459" w:history="1">
        <w:r w:rsidR="00AF2018" w:rsidRPr="00791317">
          <w:rPr>
            <w:rStyle w:val="Hipervnculo"/>
            <w:noProof/>
            <w:spacing w:val="6"/>
          </w:rPr>
          <w:t>IV.2. Seguimiento de las recomendaciones del informe, UPNA 2017</w:t>
        </w:r>
        <w:r w:rsidR="00AF2018">
          <w:rPr>
            <w:noProof/>
            <w:webHidden/>
          </w:rPr>
          <w:tab/>
        </w:r>
        <w:r w:rsidR="00AF2018">
          <w:rPr>
            <w:noProof/>
            <w:webHidden/>
          </w:rPr>
          <w:fldChar w:fldCharType="begin"/>
        </w:r>
        <w:r w:rsidR="00AF2018">
          <w:rPr>
            <w:noProof/>
            <w:webHidden/>
          </w:rPr>
          <w:instrText xml:space="preserve"> PAGEREF _Toc57285459 \h </w:instrText>
        </w:r>
        <w:r w:rsidR="00AF2018">
          <w:rPr>
            <w:noProof/>
            <w:webHidden/>
          </w:rPr>
        </w:r>
        <w:r w:rsidR="00AF2018">
          <w:rPr>
            <w:noProof/>
            <w:webHidden/>
          </w:rPr>
          <w:fldChar w:fldCharType="separate"/>
        </w:r>
        <w:r w:rsidR="003A0A02">
          <w:rPr>
            <w:noProof/>
            <w:webHidden/>
          </w:rPr>
          <w:t>22</w:t>
        </w:r>
        <w:r w:rsidR="00AF2018">
          <w:rPr>
            <w:noProof/>
            <w:webHidden/>
          </w:rPr>
          <w:fldChar w:fldCharType="end"/>
        </w:r>
      </w:hyperlink>
    </w:p>
    <w:p w:rsidR="00AF2018" w:rsidRDefault="00AF2018">
      <w:pPr>
        <w:pStyle w:val="TDC1"/>
        <w:rPr>
          <w:rStyle w:val="Hipervnculo"/>
          <w:noProof/>
        </w:rPr>
      </w:pPr>
    </w:p>
    <w:p w:rsidR="00AF2018" w:rsidRDefault="001B5DFE">
      <w:pPr>
        <w:pStyle w:val="TDC1"/>
        <w:rPr>
          <w:rFonts w:asciiTheme="minorHAnsi" w:eastAsiaTheme="minorEastAsia" w:hAnsiTheme="minorHAnsi" w:cstheme="minorBidi"/>
          <w:smallCaps w:val="0"/>
          <w:noProof/>
          <w:szCs w:val="22"/>
          <w:lang w:val="es-ES" w:eastAsia="es-ES"/>
        </w:rPr>
      </w:pPr>
      <w:hyperlink w:anchor="_Toc57285460" w:history="1">
        <w:r w:rsidR="00AF2018" w:rsidRPr="00791317">
          <w:rPr>
            <w:rStyle w:val="Hipervnculo"/>
            <w:rFonts w:ascii="Times New Roman" w:eastAsiaTheme="majorEastAsia" w:hAnsi="Times New Roman"/>
            <w:noProof/>
            <w:spacing w:val="6"/>
            <w:lang w:eastAsia="es-ES"/>
          </w:rPr>
          <w:t>ANEXOS</w:t>
        </w:r>
        <w:r w:rsidR="00AF2018">
          <w:rPr>
            <w:noProof/>
            <w:webHidden/>
          </w:rPr>
          <w:tab/>
        </w:r>
        <w:r w:rsidR="00AF2018">
          <w:rPr>
            <w:noProof/>
            <w:webHidden/>
          </w:rPr>
          <w:fldChar w:fldCharType="begin"/>
        </w:r>
        <w:r w:rsidR="00AF2018">
          <w:rPr>
            <w:noProof/>
            <w:webHidden/>
          </w:rPr>
          <w:instrText xml:space="preserve"> PAGEREF _Toc57285460 \h </w:instrText>
        </w:r>
        <w:r w:rsidR="00AF2018">
          <w:rPr>
            <w:noProof/>
            <w:webHidden/>
          </w:rPr>
        </w:r>
        <w:r w:rsidR="00AF2018">
          <w:rPr>
            <w:noProof/>
            <w:webHidden/>
          </w:rPr>
          <w:fldChar w:fldCharType="separate"/>
        </w:r>
        <w:r w:rsidR="003A0A02">
          <w:rPr>
            <w:noProof/>
            <w:webHidden/>
          </w:rPr>
          <w:t>28</w:t>
        </w:r>
        <w:r w:rsidR="00AF2018">
          <w:rPr>
            <w:noProof/>
            <w:webHidden/>
          </w:rPr>
          <w:fldChar w:fldCharType="end"/>
        </w:r>
      </w:hyperlink>
    </w:p>
    <w:p w:rsidR="00AF2018" w:rsidRDefault="001B5DFE">
      <w:pPr>
        <w:pStyle w:val="TDC1"/>
        <w:rPr>
          <w:rFonts w:asciiTheme="minorHAnsi" w:eastAsiaTheme="minorEastAsia" w:hAnsiTheme="minorHAnsi" w:cstheme="minorBidi"/>
          <w:smallCaps w:val="0"/>
          <w:noProof/>
          <w:szCs w:val="22"/>
          <w:lang w:val="es-ES" w:eastAsia="es-ES"/>
        </w:rPr>
      </w:pPr>
      <w:hyperlink w:anchor="_Toc57285461" w:history="1">
        <w:r w:rsidR="00AF2018" w:rsidRPr="00791317">
          <w:rPr>
            <w:rStyle w:val="Hipervnculo"/>
            <w:noProof/>
          </w:rPr>
          <w:t>Anexo 1.- Evolución de los precios públicos por prestación de servicios académicos 2012-2018</w:t>
        </w:r>
        <w:r w:rsidR="00AF2018">
          <w:rPr>
            <w:noProof/>
            <w:webHidden/>
          </w:rPr>
          <w:tab/>
        </w:r>
        <w:r w:rsidR="00AF2018">
          <w:rPr>
            <w:noProof/>
            <w:webHidden/>
          </w:rPr>
          <w:fldChar w:fldCharType="begin"/>
        </w:r>
        <w:r w:rsidR="00AF2018">
          <w:rPr>
            <w:noProof/>
            <w:webHidden/>
          </w:rPr>
          <w:instrText xml:space="preserve"> PAGEREF _Toc57285461 \h </w:instrText>
        </w:r>
        <w:r w:rsidR="00AF2018">
          <w:rPr>
            <w:noProof/>
            <w:webHidden/>
          </w:rPr>
        </w:r>
        <w:r w:rsidR="00AF2018">
          <w:rPr>
            <w:noProof/>
            <w:webHidden/>
          </w:rPr>
          <w:fldChar w:fldCharType="separate"/>
        </w:r>
        <w:r w:rsidR="003A0A02">
          <w:rPr>
            <w:noProof/>
            <w:webHidden/>
          </w:rPr>
          <w:t>29</w:t>
        </w:r>
        <w:r w:rsidR="00AF2018">
          <w:rPr>
            <w:noProof/>
            <w:webHidden/>
          </w:rPr>
          <w:fldChar w:fldCharType="end"/>
        </w:r>
      </w:hyperlink>
    </w:p>
    <w:p w:rsidR="00AF2018" w:rsidRDefault="001B5DFE">
      <w:pPr>
        <w:pStyle w:val="TDC1"/>
        <w:rPr>
          <w:rFonts w:asciiTheme="minorHAnsi" w:eastAsiaTheme="minorEastAsia" w:hAnsiTheme="minorHAnsi" w:cstheme="minorBidi"/>
          <w:smallCaps w:val="0"/>
          <w:noProof/>
          <w:szCs w:val="22"/>
          <w:lang w:val="es-ES" w:eastAsia="es-ES"/>
        </w:rPr>
      </w:pPr>
      <w:hyperlink w:anchor="_Toc57285462" w:history="1">
        <w:r w:rsidR="00AF2018" w:rsidRPr="00791317">
          <w:rPr>
            <w:rStyle w:val="Hipervnculo"/>
            <w:noProof/>
            <w:spacing w:val="6"/>
          </w:rPr>
          <w:t>Anexo 2.- Convenio de financiación plurianual de la UPNA 2018-2020</w:t>
        </w:r>
        <w:r w:rsidR="00AF2018">
          <w:rPr>
            <w:noProof/>
            <w:webHidden/>
          </w:rPr>
          <w:tab/>
        </w:r>
        <w:r w:rsidR="00AF2018">
          <w:rPr>
            <w:noProof/>
            <w:webHidden/>
          </w:rPr>
          <w:fldChar w:fldCharType="begin"/>
        </w:r>
        <w:r w:rsidR="00AF2018">
          <w:rPr>
            <w:noProof/>
            <w:webHidden/>
          </w:rPr>
          <w:instrText xml:space="preserve"> PAGEREF _Toc57285462 \h </w:instrText>
        </w:r>
        <w:r w:rsidR="00AF2018">
          <w:rPr>
            <w:noProof/>
            <w:webHidden/>
          </w:rPr>
        </w:r>
        <w:r w:rsidR="00AF2018">
          <w:rPr>
            <w:noProof/>
            <w:webHidden/>
          </w:rPr>
          <w:fldChar w:fldCharType="separate"/>
        </w:r>
        <w:r w:rsidR="003A0A02">
          <w:rPr>
            <w:noProof/>
            <w:webHidden/>
          </w:rPr>
          <w:t>30</w:t>
        </w:r>
        <w:r w:rsidR="00AF2018">
          <w:rPr>
            <w:noProof/>
            <w:webHidden/>
          </w:rPr>
          <w:fldChar w:fldCharType="end"/>
        </w:r>
      </w:hyperlink>
    </w:p>
    <w:p w:rsidR="00891D73" w:rsidRDefault="00F44C41" w:rsidP="00F44C41">
      <w:pPr>
        <w:pStyle w:val="texto"/>
        <w:tabs>
          <w:tab w:val="left" w:pos="8647"/>
        </w:tabs>
      </w:pPr>
      <w:r>
        <w:fldChar w:fldCharType="end"/>
      </w:r>
    </w:p>
    <w:p w:rsidR="00891D73" w:rsidRDefault="00891D73" w:rsidP="00F44C41">
      <w:pPr>
        <w:pStyle w:val="texto"/>
        <w:tabs>
          <w:tab w:val="left" w:pos="8647"/>
        </w:tabs>
      </w:pPr>
    </w:p>
    <w:p w:rsidR="00891D73" w:rsidRPr="00E703B6" w:rsidRDefault="00891D73" w:rsidP="00F44C41">
      <w:pPr>
        <w:tabs>
          <w:tab w:val="left" w:pos="8647"/>
        </w:tabs>
      </w:pPr>
    </w:p>
    <w:p w:rsidR="008E3FFE" w:rsidRDefault="008E3FFE" w:rsidP="00F44C41">
      <w:pPr>
        <w:pStyle w:val="texto"/>
        <w:tabs>
          <w:tab w:val="left" w:pos="8647"/>
        </w:tabs>
      </w:pPr>
    </w:p>
    <w:p w:rsidR="00097AA7" w:rsidRDefault="00097AA7" w:rsidP="00F44C41">
      <w:pPr>
        <w:pStyle w:val="texto"/>
        <w:tabs>
          <w:tab w:val="left" w:pos="8647"/>
        </w:tabs>
        <w:sectPr w:rsidR="00097AA7" w:rsidSect="00F44C41">
          <w:headerReference w:type="default" r:id="rId14"/>
          <w:type w:val="nextColumn"/>
          <w:pgSz w:w="11907" w:h="16840" w:code="9"/>
          <w:pgMar w:top="2109" w:right="1559" w:bottom="1644" w:left="1559" w:header="369" w:footer="136" w:gutter="0"/>
          <w:pgNumType w:start="3"/>
          <w:cols w:space="720"/>
          <w:docGrid w:linePitch="360"/>
        </w:sectPr>
      </w:pPr>
    </w:p>
    <w:p w:rsidR="00414999" w:rsidRPr="00631CEA" w:rsidRDefault="00414999" w:rsidP="00F44C41">
      <w:pPr>
        <w:pStyle w:val="atitulo1"/>
        <w:tabs>
          <w:tab w:val="left" w:pos="8647"/>
        </w:tabs>
        <w:ind w:right="283"/>
        <w:rPr>
          <w:spacing w:val="6"/>
        </w:rPr>
      </w:pPr>
      <w:bookmarkStart w:id="1" w:name="_Toc35845260"/>
      <w:bookmarkStart w:id="2" w:name="_Toc47614724"/>
      <w:bookmarkStart w:id="3" w:name="_Toc56752463"/>
      <w:bookmarkStart w:id="4" w:name="_Toc57285450"/>
      <w:r w:rsidRPr="00631CEA">
        <w:rPr>
          <w:spacing w:val="6"/>
        </w:rPr>
        <w:lastRenderedPageBreak/>
        <w:t>I. Introducción</w:t>
      </w:r>
      <w:bookmarkEnd w:id="1"/>
      <w:bookmarkEnd w:id="2"/>
      <w:bookmarkEnd w:id="3"/>
      <w:bookmarkEnd w:id="4"/>
      <w:r w:rsidRPr="00631CEA">
        <w:rPr>
          <w:spacing w:val="6"/>
        </w:rPr>
        <w:t xml:space="preserve"> </w:t>
      </w:r>
    </w:p>
    <w:p w:rsidR="00414999" w:rsidRPr="007A71EC" w:rsidRDefault="00414999" w:rsidP="00D20463">
      <w:pPr>
        <w:pStyle w:val="texto"/>
        <w:tabs>
          <w:tab w:val="clear" w:pos="2835"/>
          <w:tab w:val="clear" w:pos="3969"/>
          <w:tab w:val="clear" w:pos="5103"/>
          <w:tab w:val="clear" w:pos="6237"/>
          <w:tab w:val="clear" w:pos="7371"/>
          <w:tab w:val="left" w:pos="8647"/>
        </w:tabs>
        <w:rPr>
          <w:szCs w:val="26"/>
        </w:rPr>
      </w:pPr>
      <w:r w:rsidRPr="007A71EC">
        <w:rPr>
          <w:szCs w:val="26"/>
        </w:rPr>
        <w:t>La Cámara de Comptos de Navarra incluyó en su programa anual de fiscal</w:t>
      </w:r>
      <w:r w:rsidRPr="007A71EC">
        <w:rPr>
          <w:szCs w:val="26"/>
        </w:rPr>
        <w:t>i</w:t>
      </w:r>
      <w:r w:rsidRPr="007A71EC">
        <w:rPr>
          <w:szCs w:val="26"/>
        </w:rPr>
        <w:t>zación la realización de un informe de auditoría sobre la implantación de la contabilidad analítica en la Universidad Pública de Navarra (UPNA en adela</w:t>
      </w:r>
      <w:r w:rsidRPr="007A71EC">
        <w:rPr>
          <w:szCs w:val="26"/>
        </w:rPr>
        <w:t>n</w:t>
      </w:r>
      <w:r w:rsidRPr="007A71EC">
        <w:rPr>
          <w:szCs w:val="26"/>
        </w:rPr>
        <w:t>te) y el seguimiento de las recomendaciones del informe de auditoría, UPNA 2017.</w:t>
      </w:r>
    </w:p>
    <w:p w:rsidR="00414999" w:rsidRPr="007A71EC" w:rsidRDefault="00414999" w:rsidP="00D20463">
      <w:pPr>
        <w:pStyle w:val="texto"/>
        <w:tabs>
          <w:tab w:val="clear" w:pos="2835"/>
          <w:tab w:val="clear" w:pos="3969"/>
          <w:tab w:val="clear" w:pos="5103"/>
          <w:tab w:val="clear" w:pos="6237"/>
          <w:tab w:val="clear" w:pos="7371"/>
          <w:tab w:val="left" w:pos="8647"/>
        </w:tabs>
        <w:rPr>
          <w:szCs w:val="26"/>
        </w:rPr>
      </w:pPr>
      <w:r w:rsidRPr="007A71EC">
        <w:rPr>
          <w:szCs w:val="26"/>
        </w:rPr>
        <w:t>El informe se estructura en cuatro epígrafes, incluida esta introducción; en el segundo se describen aspectos generales de la UPNA; en el tercero se exponen los objetivos y alcance del trabajo realizado y, el cuarto y último contiene las principales conclusiones y recomendaciones.</w:t>
      </w:r>
    </w:p>
    <w:p w:rsidR="00414999" w:rsidRPr="007A71EC" w:rsidRDefault="009F30D8" w:rsidP="00D20463">
      <w:pPr>
        <w:pStyle w:val="texto"/>
        <w:tabs>
          <w:tab w:val="clear" w:pos="2835"/>
          <w:tab w:val="clear" w:pos="3969"/>
          <w:tab w:val="clear" w:pos="5103"/>
          <w:tab w:val="clear" w:pos="6237"/>
          <w:tab w:val="clear" w:pos="7371"/>
          <w:tab w:val="left" w:pos="8647"/>
        </w:tabs>
        <w:rPr>
          <w:szCs w:val="26"/>
        </w:rPr>
      </w:pPr>
      <w:r w:rsidRPr="007A71EC">
        <w:rPr>
          <w:szCs w:val="26"/>
        </w:rPr>
        <w:t xml:space="preserve">Además, </w:t>
      </w:r>
      <w:r w:rsidR="00B41D30" w:rsidRPr="007A71EC">
        <w:rPr>
          <w:szCs w:val="26"/>
        </w:rPr>
        <w:t>incluye</w:t>
      </w:r>
      <w:r w:rsidRPr="007A71EC">
        <w:rPr>
          <w:szCs w:val="26"/>
        </w:rPr>
        <w:t xml:space="preserve"> dos anexos, que contienen</w:t>
      </w:r>
      <w:r w:rsidR="00414999" w:rsidRPr="007A71EC">
        <w:rPr>
          <w:szCs w:val="26"/>
        </w:rPr>
        <w:t xml:space="preserve"> </w:t>
      </w:r>
      <w:r w:rsidR="0016603A" w:rsidRPr="007A71EC">
        <w:rPr>
          <w:szCs w:val="26"/>
        </w:rPr>
        <w:t>la evolución de los precios p</w:t>
      </w:r>
      <w:r w:rsidR="0016603A" w:rsidRPr="007A71EC">
        <w:rPr>
          <w:szCs w:val="26"/>
        </w:rPr>
        <w:t>ú</w:t>
      </w:r>
      <w:r w:rsidR="0016603A" w:rsidRPr="007A71EC">
        <w:rPr>
          <w:szCs w:val="26"/>
        </w:rPr>
        <w:t xml:space="preserve">blicos por prestación de servicios académicos en el periodo 2012-2018 y </w:t>
      </w:r>
      <w:r w:rsidR="00414999" w:rsidRPr="007A71EC">
        <w:rPr>
          <w:szCs w:val="26"/>
        </w:rPr>
        <w:t>las c</w:t>
      </w:r>
      <w:r w:rsidR="00414999" w:rsidRPr="007A71EC">
        <w:rPr>
          <w:szCs w:val="26"/>
        </w:rPr>
        <w:t>a</w:t>
      </w:r>
      <w:r w:rsidR="00414999" w:rsidRPr="007A71EC">
        <w:rPr>
          <w:szCs w:val="26"/>
        </w:rPr>
        <w:t>racterísticas del Convenio de Financiación Plurianual de la Universid</w:t>
      </w:r>
      <w:r w:rsidRPr="007A71EC">
        <w:rPr>
          <w:szCs w:val="26"/>
        </w:rPr>
        <w:t>ad Pública de Navarra 2018-2020</w:t>
      </w:r>
      <w:r w:rsidR="0016603A" w:rsidRPr="007A71EC">
        <w:rPr>
          <w:szCs w:val="26"/>
        </w:rPr>
        <w:t>.</w:t>
      </w:r>
      <w:r w:rsidRPr="007A71EC">
        <w:rPr>
          <w:szCs w:val="26"/>
        </w:rPr>
        <w:t xml:space="preserve"> </w:t>
      </w:r>
    </w:p>
    <w:p w:rsidR="002C31A2" w:rsidRDefault="00414999" w:rsidP="00D20463">
      <w:pPr>
        <w:pStyle w:val="texto"/>
        <w:tabs>
          <w:tab w:val="left" w:pos="8647"/>
        </w:tabs>
        <w:spacing w:before="120"/>
        <w:rPr>
          <w:szCs w:val="26"/>
          <w:lang w:eastAsia="es-ES"/>
        </w:rPr>
      </w:pPr>
      <w:r w:rsidRPr="007A71EC">
        <w:rPr>
          <w:szCs w:val="26"/>
          <w:lang w:eastAsia="es-ES"/>
        </w:rPr>
        <w:t xml:space="preserve">La primera parte del trabajo, implantación de la contabilidad analítica en la UPNA, se realiza en coordinación con el Tribunal de Cuentas y los Órganos de Control Externo (OCEX). </w:t>
      </w:r>
    </w:p>
    <w:p w:rsidR="00BE523D" w:rsidRPr="00451A80" w:rsidRDefault="00BE523D" w:rsidP="00BE523D">
      <w:pPr>
        <w:pStyle w:val="texto"/>
        <w:tabs>
          <w:tab w:val="left" w:pos="8647"/>
        </w:tabs>
        <w:spacing w:before="120" w:after="120"/>
        <w:rPr>
          <w:szCs w:val="26"/>
        </w:rPr>
      </w:pPr>
      <w:r w:rsidRPr="00451A80">
        <w:rPr>
          <w:szCs w:val="26"/>
        </w:rPr>
        <w:t>La segunda parte del trabajo ha consistido en el seguimiento de las recome</w:t>
      </w:r>
      <w:r w:rsidRPr="00451A80">
        <w:rPr>
          <w:szCs w:val="26"/>
        </w:rPr>
        <w:t>n</w:t>
      </w:r>
      <w:r w:rsidRPr="00451A80">
        <w:rPr>
          <w:szCs w:val="26"/>
        </w:rPr>
        <w:t>daciones del informe de fiscalización, Universidad Pública de Navarra, ejerc</w:t>
      </w:r>
      <w:r w:rsidRPr="00451A80">
        <w:rPr>
          <w:szCs w:val="26"/>
        </w:rPr>
        <w:t>i</w:t>
      </w:r>
      <w:r w:rsidRPr="00451A80">
        <w:rPr>
          <w:szCs w:val="26"/>
        </w:rPr>
        <w:t>cio 2017, que esta Cámara publicó en marzo de 2019.</w:t>
      </w:r>
    </w:p>
    <w:p w:rsidR="00414999" w:rsidRPr="007A71EC" w:rsidRDefault="00414999" w:rsidP="00D20463">
      <w:pPr>
        <w:pStyle w:val="texto"/>
        <w:tabs>
          <w:tab w:val="clear" w:pos="2835"/>
          <w:tab w:val="clear" w:pos="3969"/>
          <w:tab w:val="clear" w:pos="5103"/>
          <w:tab w:val="clear" w:pos="6237"/>
          <w:tab w:val="clear" w:pos="7371"/>
          <w:tab w:val="left" w:pos="8647"/>
        </w:tabs>
        <w:rPr>
          <w:szCs w:val="26"/>
        </w:rPr>
      </w:pPr>
      <w:r w:rsidRPr="007A71EC">
        <w:rPr>
          <w:szCs w:val="26"/>
        </w:rPr>
        <w:t>El trabajo lo realizó en los meses de octubre y noviembre de 2020 un equipo integrado por una técnica de auditoría y una auditora, con la colaboración de los servicios jurídicos y administrativos de la Cámara de Comptos.</w:t>
      </w:r>
    </w:p>
    <w:p w:rsidR="00F864E9" w:rsidRDefault="00F864E9" w:rsidP="00F864E9">
      <w:pPr>
        <w:pStyle w:val="texto"/>
        <w:tabs>
          <w:tab w:val="clear" w:pos="2835"/>
          <w:tab w:val="clear" w:pos="3969"/>
          <w:tab w:val="clear" w:pos="5103"/>
          <w:tab w:val="clear" w:pos="6237"/>
          <w:tab w:val="clear" w:pos="7371"/>
        </w:tabs>
        <w:ind w:right="142"/>
      </w:pPr>
      <w:r w:rsidRPr="002F4D81">
        <w:t>De conformidad con lo previsto en el artículo 11 de la Ley Foral 19/1984, reguladora de la Cámara de Comptos de Navarra, los resultados de este trab</w:t>
      </w:r>
      <w:r w:rsidRPr="002F4D81">
        <w:t>a</w:t>
      </w:r>
      <w:r w:rsidRPr="002F4D81">
        <w:t>jo se pusieron de manifiesto, con el fin de que formularan alegaciones, a</w:t>
      </w:r>
      <w:r w:rsidR="009D70E2" w:rsidRPr="002F4D81">
        <w:t xml:space="preserve">l </w:t>
      </w:r>
      <w:r w:rsidR="00741221">
        <w:t>r</w:t>
      </w:r>
      <w:r w:rsidR="009D70E2" w:rsidRPr="002F4D81">
        <w:t>e</w:t>
      </w:r>
      <w:r w:rsidR="009D70E2" w:rsidRPr="002F4D81">
        <w:t>c</w:t>
      </w:r>
      <w:r w:rsidR="009D70E2" w:rsidRPr="002F4D81">
        <w:t xml:space="preserve">tor, al </w:t>
      </w:r>
      <w:r w:rsidR="00741221">
        <w:t>g</w:t>
      </w:r>
      <w:r w:rsidR="009D70E2" w:rsidRPr="002F4D81">
        <w:t xml:space="preserve">erente y al </w:t>
      </w:r>
      <w:r w:rsidR="00741221">
        <w:t>p</w:t>
      </w:r>
      <w:r w:rsidR="009D70E2" w:rsidRPr="002F4D81">
        <w:t>residente del Consejo Social, todos ellos de la Univers</w:t>
      </w:r>
      <w:r w:rsidR="009D70E2" w:rsidRPr="002F4D81">
        <w:t>i</w:t>
      </w:r>
      <w:r w:rsidR="009D70E2" w:rsidRPr="002F4D81">
        <w:t>dad Pública de Navarra, así como al consejero de</w:t>
      </w:r>
      <w:r w:rsidR="00362A9A">
        <w:t>l Departamento de</w:t>
      </w:r>
      <w:r w:rsidR="009D70E2" w:rsidRPr="002F4D81">
        <w:t xml:space="preserve"> Univers</w:t>
      </w:r>
      <w:r w:rsidR="009D70E2" w:rsidRPr="002F4D81">
        <w:t>i</w:t>
      </w:r>
      <w:r w:rsidR="009D70E2" w:rsidRPr="002F4D81">
        <w:t>dad, Innovación y Transformación Digital del Gobierno de Navarra.</w:t>
      </w:r>
    </w:p>
    <w:p w:rsidR="00D244F1" w:rsidRPr="002F4D81" w:rsidRDefault="00D244F1" w:rsidP="00F864E9">
      <w:pPr>
        <w:pStyle w:val="texto"/>
        <w:tabs>
          <w:tab w:val="clear" w:pos="2835"/>
          <w:tab w:val="clear" w:pos="3969"/>
          <w:tab w:val="clear" w:pos="5103"/>
          <w:tab w:val="clear" w:pos="6237"/>
          <w:tab w:val="clear" w:pos="7371"/>
        </w:tabs>
        <w:ind w:right="142"/>
      </w:pPr>
      <w:r>
        <w:t>Transcurrido el plazo fijado, no se han presentado alegaciones.</w:t>
      </w:r>
    </w:p>
    <w:p w:rsidR="00414999" w:rsidRPr="007A71EC" w:rsidRDefault="00414999" w:rsidP="00D20463">
      <w:pPr>
        <w:pStyle w:val="texto"/>
        <w:tabs>
          <w:tab w:val="clear" w:pos="2835"/>
          <w:tab w:val="clear" w:pos="3969"/>
          <w:tab w:val="clear" w:pos="5103"/>
          <w:tab w:val="clear" w:pos="6237"/>
          <w:tab w:val="clear" w:pos="7371"/>
          <w:tab w:val="left" w:pos="8647"/>
        </w:tabs>
        <w:rPr>
          <w:szCs w:val="26"/>
        </w:rPr>
      </w:pPr>
      <w:r w:rsidRPr="007A71EC">
        <w:rPr>
          <w:szCs w:val="26"/>
        </w:rPr>
        <w:t>Agradecemos al personal de la UPNA y del Departamento de Universidad, Innovación y Transformación Digital la colaboración prestada en la realización del presente trabajo.</w:t>
      </w:r>
    </w:p>
    <w:p w:rsidR="00414999" w:rsidRPr="007A71EC" w:rsidRDefault="00414999" w:rsidP="00F44C41">
      <w:pPr>
        <w:tabs>
          <w:tab w:val="left" w:pos="8647"/>
        </w:tabs>
        <w:spacing w:after="0"/>
        <w:ind w:right="283" w:firstLine="0"/>
        <w:jc w:val="left"/>
        <w:rPr>
          <w:spacing w:val="6"/>
          <w:sz w:val="26"/>
          <w:szCs w:val="26"/>
        </w:rPr>
      </w:pPr>
      <w:r w:rsidRPr="007A71EC">
        <w:rPr>
          <w:sz w:val="26"/>
          <w:szCs w:val="26"/>
        </w:rPr>
        <w:br w:type="page"/>
      </w:r>
    </w:p>
    <w:p w:rsidR="00414999" w:rsidRPr="00631CEA" w:rsidRDefault="00414999" w:rsidP="00F44C41">
      <w:pPr>
        <w:pStyle w:val="atitulo1"/>
        <w:tabs>
          <w:tab w:val="left" w:pos="8647"/>
        </w:tabs>
        <w:ind w:right="283"/>
        <w:rPr>
          <w:spacing w:val="6"/>
        </w:rPr>
      </w:pPr>
      <w:bookmarkStart w:id="5" w:name="_Toc35845261"/>
      <w:bookmarkStart w:id="6" w:name="_Toc47614725"/>
      <w:bookmarkStart w:id="7" w:name="_Toc56752464"/>
      <w:bookmarkStart w:id="8" w:name="_Toc57285451"/>
      <w:r w:rsidRPr="00631CEA">
        <w:rPr>
          <w:spacing w:val="6"/>
        </w:rPr>
        <w:lastRenderedPageBreak/>
        <w:t xml:space="preserve">II. </w:t>
      </w:r>
      <w:bookmarkEnd w:id="5"/>
      <w:bookmarkEnd w:id="6"/>
      <w:r w:rsidRPr="00631CEA">
        <w:rPr>
          <w:spacing w:val="6"/>
        </w:rPr>
        <w:t xml:space="preserve">La </w:t>
      </w:r>
      <w:r>
        <w:rPr>
          <w:spacing w:val="6"/>
        </w:rPr>
        <w:t>Universidad P</w:t>
      </w:r>
      <w:r w:rsidRPr="00631CEA">
        <w:rPr>
          <w:spacing w:val="6"/>
        </w:rPr>
        <w:t>ública de Navarra</w:t>
      </w:r>
      <w:bookmarkEnd w:id="7"/>
      <w:bookmarkEnd w:id="8"/>
    </w:p>
    <w:p w:rsidR="00414999" w:rsidRPr="00631CEA" w:rsidRDefault="00414999" w:rsidP="00D20463">
      <w:pPr>
        <w:tabs>
          <w:tab w:val="left" w:pos="8647"/>
        </w:tabs>
        <w:ind w:firstLine="284"/>
        <w:rPr>
          <w:spacing w:val="6"/>
          <w:sz w:val="26"/>
          <w:szCs w:val="26"/>
          <w:lang w:eastAsia="es-ES"/>
        </w:rPr>
      </w:pPr>
      <w:r w:rsidRPr="00631CEA">
        <w:rPr>
          <w:spacing w:val="6"/>
          <w:sz w:val="26"/>
          <w:szCs w:val="26"/>
        </w:rPr>
        <w:t>La U</w:t>
      </w:r>
      <w:r>
        <w:rPr>
          <w:spacing w:val="6"/>
          <w:sz w:val="26"/>
          <w:szCs w:val="26"/>
        </w:rPr>
        <w:t>PNA</w:t>
      </w:r>
      <w:r w:rsidRPr="00631CEA">
        <w:rPr>
          <w:spacing w:val="6"/>
          <w:sz w:val="26"/>
          <w:szCs w:val="26"/>
        </w:rPr>
        <w:t xml:space="preserve"> es una institución de derecho público,</w:t>
      </w:r>
      <w:r>
        <w:rPr>
          <w:spacing w:val="6"/>
          <w:sz w:val="26"/>
          <w:szCs w:val="26"/>
        </w:rPr>
        <w:t xml:space="preserve"> con personalidad jurídica propia,</w:t>
      </w:r>
      <w:r w:rsidRPr="00631CEA">
        <w:rPr>
          <w:spacing w:val="6"/>
          <w:sz w:val="26"/>
          <w:szCs w:val="26"/>
        </w:rPr>
        <w:t xml:space="preserve"> creada por </w:t>
      </w:r>
      <w:r>
        <w:rPr>
          <w:spacing w:val="6"/>
          <w:sz w:val="26"/>
          <w:szCs w:val="26"/>
        </w:rPr>
        <w:t>Ley Foral 8/1987, de 21 de abril</w:t>
      </w:r>
      <w:r w:rsidRPr="00631CEA">
        <w:rPr>
          <w:spacing w:val="6"/>
          <w:sz w:val="26"/>
          <w:szCs w:val="26"/>
        </w:rPr>
        <w:t xml:space="preserve">, </w:t>
      </w:r>
      <w:r w:rsidR="00947029">
        <w:rPr>
          <w:spacing w:val="6"/>
          <w:sz w:val="26"/>
          <w:szCs w:val="26"/>
        </w:rPr>
        <w:t>de creación de la Univers</w:t>
      </w:r>
      <w:r w:rsidR="00947029">
        <w:rPr>
          <w:spacing w:val="6"/>
          <w:sz w:val="26"/>
          <w:szCs w:val="26"/>
        </w:rPr>
        <w:t>i</w:t>
      </w:r>
      <w:r w:rsidR="00947029">
        <w:rPr>
          <w:spacing w:val="6"/>
          <w:sz w:val="26"/>
          <w:szCs w:val="26"/>
        </w:rPr>
        <w:t xml:space="preserve">dad Pública de Navarra, </w:t>
      </w:r>
      <w:r w:rsidRPr="00631CEA">
        <w:rPr>
          <w:spacing w:val="6"/>
          <w:sz w:val="26"/>
          <w:szCs w:val="26"/>
        </w:rPr>
        <w:t>que tiene encomendado el servicio público de la ed</w:t>
      </w:r>
      <w:r w:rsidRPr="00631CEA">
        <w:rPr>
          <w:spacing w:val="6"/>
          <w:sz w:val="26"/>
          <w:szCs w:val="26"/>
        </w:rPr>
        <w:t>u</w:t>
      </w:r>
      <w:r w:rsidRPr="00631CEA">
        <w:rPr>
          <w:spacing w:val="6"/>
          <w:sz w:val="26"/>
          <w:szCs w:val="26"/>
        </w:rPr>
        <w:t>cación superior, mediante la docencia</w:t>
      </w:r>
      <w:r>
        <w:rPr>
          <w:spacing w:val="6"/>
          <w:sz w:val="26"/>
          <w:szCs w:val="26"/>
        </w:rPr>
        <w:t>, el estudio</w:t>
      </w:r>
      <w:r w:rsidRPr="00631CEA">
        <w:rPr>
          <w:spacing w:val="6"/>
          <w:sz w:val="26"/>
          <w:szCs w:val="26"/>
        </w:rPr>
        <w:t xml:space="preserve"> y la investigación.</w:t>
      </w:r>
      <w:r w:rsidRPr="00631CEA">
        <w:rPr>
          <w:spacing w:val="6"/>
          <w:sz w:val="26"/>
          <w:szCs w:val="26"/>
          <w:lang w:eastAsia="es-ES"/>
        </w:rPr>
        <w:t xml:space="preserve">  </w:t>
      </w:r>
    </w:p>
    <w:p w:rsidR="00414999" w:rsidRPr="00414999" w:rsidRDefault="00414999" w:rsidP="00D20463">
      <w:pPr>
        <w:pStyle w:val="atitulo3"/>
        <w:tabs>
          <w:tab w:val="left" w:pos="8647"/>
        </w:tabs>
        <w:spacing w:before="240" w:after="120"/>
      </w:pPr>
      <w:r w:rsidRPr="00414999">
        <w:t>Órganos de gobierno y administración</w:t>
      </w:r>
    </w:p>
    <w:p w:rsidR="00414999" w:rsidRPr="00414999" w:rsidRDefault="00414999" w:rsidP="00D20463">
      <w:pPr>
        <w:tabs>
          <w:tab w:val="left" w:pos="8647"/>
        </w:tabs>
        <w:ind w:firstLine="284"/>
        <w:rPr>
          <w:spacing w:val="6"/>
          <w:sz w:val="26"/>
          <w:szCs w:val="26"/>
        </w:rPr>
      </w:pPr>
      <w:r w:rsidRPr="00414999">
        <w:rPr>
          <w:spacing w:val="6"/>
          <w:sz w:val="26"/>
          <w:szCs w:val="26"/>
        </w:rPr>
        <w:t>El gobierno y la administración de la universidad se ejercen a través de ó</w:t>
      </w:r>
      <w:r w:rsidRPr="00414999">
        <w:rPr>
          <w:spacing w:val="6"/>
          <w:sz w:val="26"/>
          <w:szCs w:val="26"/>
        </w:rPr>
        <w:t>r</w:t>
      </w:r>
      <w:r w:rsidRPr="00414999">
        <w:rPr>
          <w:spacing w:val="6"/>
          <w:sz w:val="26"/>
          <w:szCs w:val="26"/>
        </w:rPr>
        <w:t>ganos colegiados de ámbito general (Consejo Social, Consejo de Gobierno y Claustro Universitario) y de ámbito particular (Junta de Centro y Consejo de Departamento); con órganos unipersonales de ámbito general (Rector, Vic</w:t>
      </w:r>
      <w:r w:rsidRPr="00414999">
        <w:rPr>
          <w:spacing w:val="6"/>
          <w:sz w:val="26"/>
          <w:szCs w:val="26"/>
        </w:rPr>
        <w:t>e</w:t>
      </w:r>
      <w:r w:rsidRPr="00414999">
        <w:rPr>
          <w:spacing w:val="6"/>
          <w:sz w:val="26"/>
          <w:szCs w:val="26"/>
        </w:rPr>
        <w:t>rrectores, Secretario General y Gerente) y de ámbito particular (Decano o D</w:t>
      </w:r>
      <w:r w:rsidRPr="00414999">
        <w:rPr>
          <w:spacing w:val="6"/>
          <w:sz w:val="26"/>
          <w:szCs w:val="26"/>
        </w:rPr>
        <w:t>i</w:t>
      </w:r>
      <w:r w:rsidRPr="00414999">
        <w:rPr>
          <w:spacing w:val="6"/>
          <w:sz w:val="26"/>
          <w:szCs w:val="26"/>
        </w:rPr>
        <w:t>rector de la Escuela y Director de Departamento).</w:t>
      </w:r>
    </w:p>
    <w:p w:rsidR="00414999" w:rsidRPr="00414999" w:rsidRDefault="00414999" w:rsidP="00D20463">
      <w:pPr>
        <w:pStyle w:val="atitulo3"/>
        <w:tabs>
          <w:tab w:val="left" w:pos="8647"/>
        </w:tabs>
        <w:spacing w:before="240" w:after="120"/>
      </w:pPr>
      <w:r w:rsidRPr="00414999">
        <w:t xml:space="preserve">Estructura organizativa </w:t>
      </w:r>
    </w:p>
    <w:p w:rsidR="00414999" w:rsidRPr="00414999" w:rsidRDefault="00414999" w:rsidP="00D20463">
      <w:pPr>
        <w:tabs>
          <w:tab w:val="left" w:pos="8647"/>
        </w:tabs>
        <w:ind w:firstLine="284"/>
        <w:rPr>
          <w:spacing w:val="6"/>
          <w:sz w:val="26"/>
          <w:szCs w:val="26"/>
        </w:rPr>
      </w:pPr>
      <w:r w:rsidRPr="00414999">
        <w:rPr>
          <w:spacing w:val="6"/>
          <w:sz w:val="26"/>
          <w:szCs w:val="26"/>
        </w:rPr>
        <w:t xml:space="preserve">La docencia en la UPNA se organiza en dos campus, situados en Pamplona y Tudela, en torno a cuatro </w:t>
      </w:r>
      <w:r w:rsidR="00563A8B">
        <w:rPr>
          <w:spacing w:val="6"/>
          <w:sz w:val="26"/>
          <w:szCs w:val="26"/>
        </w:rPr>
        <w:t>f</w:t>
      </w:r>
      <w:r w:rsidRPr="00414999">
        <w:rPr>
          <w:spacing w:val="6"/>
          <w:sz w:val="26"/>
          <w:szCs w:val="26"/>
        </w:rPr>
        <w:t xml:space="preserve">acultades, dos </w:t>
      </w:r>
      <w:r w:rsidR="00563A8B">
        <w:rPr>
          <w:spacing w:val="6"/>
          <w:sz w:val="26"/>
          <w:szCs w:val="26"/>
        </w:rPr>
        <w:t>e</w:t>
      </w:r>
      <w:r w:rsidRPr="00414999">
        <w:rPr>
          <w:spacing w:val="6"/>
          <w:sz w:val="26"/>
          <w:szCs w:val="26"/>
        </w:rPr>
        <w:t xml:space="preserve">scuelas </w:t>
      </w:r>
      <w:r w:rsidR="00563A8B">
        <w:rPr>
          <w:spacing w:val="6"/>
          <w:sz w:val="26"/>
          <w:szCs w:val="26"/>
        </w:rPr>
        <w:t>s</w:t>
      </w:r>
      <w:r w:rsidRPr="00414999">
        <w:rPr>
          <w:spacing w:val="6"/>
          <w:sz w:val="26"/>
          <w:szCs w:val="26"/>
        </w:rPr>
        <w:t xml:space="preserve">uperiores, 11 </w:t>
      </w:r>
      <w:r w:rsidR="00563A8B">
        <w:rPr>
          <w:spacing w:val="6"/>
          <w:sz w:val="26"/>
          <w:szCs w:val="26"/>
        </w:rPr>
        <w:t>d</w:t>
      </w:r>
      <w:r w:rsidRPr="00414999">
        <w:rPr>
          <w:spacing w:val="6"/>
          <w:sz w:val="26"/>
          <w:szCs w:val="26"/>
        </w:rPr>
        <w:t>epartame</w:t>
      </w:r>
      <w:r w:rsidRPr="00414999">
        <w:rPr>
          <w:spacing w:val="6"/>
          <w:sz w:val="26"/>
          <w:szCs w:val="26"/>
        </w:rPr>
        <w:t>n</w:t>
      </w:r>
      <w:r w:rsidRPr="00414999">
        <w:rPr>
          <w:spacing w:val="6"/>
          <w:sz w:val="26"/>
          <w:szCs w:val="26"/>
        </w:rPr>
        <w:t xml:space="preserve">tos, una </w:t>
      </w:r>
      <w:r w:rsidR="00563A8B">
        <w:rPr>
          <w:spacing w:val="6"/>
          <w:sz w:val="26"/>
          <w:szCs w:val="26"/>
        </w:rPr>
        <w:t>e</w:t>
      </w:r>
      <w:r w:rsidRPr="00414999">
        <w:rPr>
          <w:spacing w:val="6"/>
          <w:sz w:val="26"/>
          <w:szCs w:val="26"/>
        </w:rPr>
        <w:t xml:space="preserve">scuela de </w:t>
      </w:r>
      <w:r w:rsidR="00563A8B">
        <w:rPr>
          <w:spacing w:val="6"/>
          <w:sz w:val="26"/>
          <w:szCs w:val="26"/>
        </w:rPr>
        <w:t>d</w:t>
      </w:r>
      <w:r w:rsidRPr="00414999">
        <w:rPr>
          <w:spacing w:val="6"/>
          <w:sz w:val="26"/>
          <w:szCs w:val="26"/>
        </w:rPr>
        <w:t xml:space="preserve">octorado, </w:t>
      </w:r>
      <w:r w:rsidR="00796389">
        <w:rPr>
          <w:spacing w:val="6"/>
          <w:sz w:val="26"/>
          <w:szCs w:val="26"/>
        </w:rPr>
        <w:t>siete</w:t>
      </w:r>
      <w:r w:rsidRPr="00414999">
        <w:rPr>
          <w:spacing w:val="6"/>
          <w:sz w:val="26"/>
          <w:szCs w:val="26"/>
        </w:rPr>
        <w:t xml:space="preserve"> </w:t>
      </w:r>
      <w:r w:rsidR="00563A8B">
        <w:rPr>
          <w:spacing w:val="6"/>
          <w:sz w:val="26"/>
          <w:szCs w:val="26"/>
        </w:rPr>
        <w:t>i</w:t>
      </w:r>
      <w:r w:rsidRPr="00414999">
        <w:rPr>
          <w:spacing w:val="6"/>
          <w:sz w:val="26"/>
          <w:szCs w:val="26"/>
        </w:rPr>
        <w:t xml:space="preserve">nstitutos de </w:t>
      </w:r>
      <w:r w:rsidR="00563A8B">
        <w:rPr>
          <w:spacing w:val="6"/>
          <w:sz w:val="26"/>
          <w:szCs w:val="26"/>
        </w:rPr>
        <w:t>i</w:t>
      </w:r>
      <w:r w:rsidRPr="00414999">
        <w:rPr>
          <w:spacing w:val="6"/>
          <w:sz w:val="26"/>
          <w:szCs w:val="26"/>
        </w:rPr>
        <w:t>n</w:t>
      </w:r>
      <w:r w:rsidR="00D312BC">
        <w:rPr>
          <w:spacing w:val="6"/>
          <w:sz w:val="26"/>
          <w:szCs w:val="26"/>
        </w:rPr>
        <w:t xml:space="preserve">vestigación, un </w:t>
      </w:r>
      <w:r w:rsidR="00563A8B">
        <w:rPr>
          <w:spacing w:val="6"/>
          <w:sz w:val="26"/>
          <w:szCs w:val="26"/>
        </w:rPr>
        <w:t>c</w:t>
      </w:r>
      <w:r w:rsidR="00D312BC">
        <w:rPr>
          <w:spacing w:val="6"/>
          <w:sz w:val="26"/>
          <w:szCs w:val="26"/>
        </w:rPr>
        <w:t>entro I+D, dieciséis</w:t>
      </w:r>
      <w:r w:rsidRPr="00414999">
        <w:rPr>
          <w:spacing w:val="6"/>
          <w:sz w:val="26"/>
          <w:szCs w:val="26"/>
        </w:rPr>
        <w:t xml:space="preserve"> </w:t>
      </w:r>
      <w:r w:rsidR="00563A8B">
        <w:rPr>
          <w:spacing w:val="6"/>
          <w:sz w:val="26"/>
          <w:szCs w:val="26"/>
        </w:rPr>
        <w:t>c</w:t>
      </w:r>
      <w:r w:rsidRPr="00414999">
        <w:rPr>
          <w:spacing w:val="6"/>
          <w:sz w:val="26"/>
          <w:szCs w:val="26"/>
        </w:rPr>
        <w:t xml:space="preserve">átedras y un </w:t>
      </w:r>
      <w:r w:rsidR="00563A8B">
        <w:rPr>
          <w:spacing w:val="6"/>
          <w:sz w:val="26"/>
          <w:szCs w:val="26"/>
        </w:rPr>
        <w:t>c</w:t>
      </w:r>
      <w:r w:rsidRPr="00414999">
        <w:rPr>
          <w:spacing w:val="6"/>
          <w:sz w:val="26"/>
          <w:szCs w:val="26"/>
        </w:rPr>
        <w:t xml:space="preserve">entro </w:t>
      </w:r>
      <w:r w:rsidR="00563A8B">
        <w:rPr>
          <w:spacing w:val="6"/>
          <w:sz w:val="26"/>
          <w:szCs w:val="26"/>
        </w:rPr>
        <w:t>s</w:t>
      </w:r>
      <w:r w:rsidRPr="00414999">
        <w:rPr>
          <w:spacing w:val="6"/>
          <w:sz w:val="26"/>
          <w:szCs w:val="26"/>
        </w:rPr>
        <w:t xml:space="preserve">uperior de </w:t>
      </w:r>
      <w:r w:rsidR="00563A8B">
        <w:rPr>
          <w:spacing w:val="6"/>
          <w:sz w:val="26"/>
          <w:szCs w:val="26"/>
        </w:rPr>
        <w:t>i</w:t>
      </w:r>
      <w:r w:rsidRPr="00414999">
        <w:rPr>
          <w:spacing w:val="6"/>
          <w:sz w:val="26"/>
          <w:szCs w:val="26"/>
        </w:rPr>
        <w:t xml:space="preserve">nnovación </w:t>
      </w:r>
      <w:r w:rsidR="00563A8B">
        <w:rPr>
          <w:spacing w:val="6"/>
          <w:sz w:val="26"/>
          <w:szCs w:val="26"/>
        </w:rPr>
        <w:t>e</w:t>
      </w:r>
      <w:r w:rsidRPr="00414999">
        <w:rPr>
          <w:spacing w:val="6"/>
          <w:sz w:val="26"/>
          <w:szCs w:val="26"/>
        </w:rPr>
        <w:t>ducativa.</w:t>
      </w:r>
    </w:p>
    <w:p w:rsidR="00414999" w:rsidRPr="00414999" w:rsidRDefault="00414999" w:rsidP="00D20463">
      <w:pPr>
        <w:tabs>
          <w:tab w:val="left" w:pos="8647"/>
        </w:tabs>
        <w:ind w:firstLine="284"/>
        <w:rPr>
          <w:spacing w:val="6"/>
          <w:sz w:val="26"/>
          <w:szCs w:val="26"/>
        </w:rPr>
      </w:pPr>
      <w:r w:rsidRPr="00414999">
        <w:rPr>
          <w:spacing w:val="6"/>
          <w:sz w:val="26"/>
          <w:szCs w:val="26"/>
        </w:rPr>
        <w:t xml:space="preserve">Para la gestión de su actividad, la universidad se estructura en servicios y unidades que dependen del </w:t>
      </w:r>
      <w:r w:rsidR="00741221">
        <w:rPr>
          <w:spacing w:val="6"/>
          <w:sz w:val="26"/>
          <w:szCs w:val="26"/>
        </w:rPr>
        <w:t>r</w:t>
      </w:r>
      <w:r w:rsidRPr="00414999">
        <w:rPr>
          <w:spacing w:val="6"/>
          <w:sz w:val="26"/>
          <w:szCs w:val="26"/>
        </w:rPr>
        <w:t xml:space="preserve">ector, </w:t>
      </w:r>
      <w:r w:rsidR="00464001">
        <w:rPr>
          <w:spacing w:val="6"/>
          <w:sz w:val="26"/>
          <w:szCs w:val="26"/>
        </w:rPr>
        <w:t xml:space="preserve">de </w:t>
      </w:r>
      <w:r w:rsidR="00741221">
        <w:rPr>
          <w:spacing w:val="6"/>
          <w:sz w:val="26"/>
          <w:szCs w:val="26"/>
        </w:rPr>
        <w:t>v</w:t>
      </w:r>
      <w:r w:rsidRPr="00414999">
        <w:rPr>
          <w:spacing w:val="6"/>
          <w:sz w:val="26"/>
          <w:szCs w:val="26"/>
        </w:rPr>
        <w:t xml:space="preserve">icerrectores/Secretaría General y del </w:t>
      </w:r>
      <w:r w:rsidR="00741221">
        <w:rPr>
          <w:spacing w:val="6"/>
          <w:sz w:val="26"/>
          <w:szCs w:val="26"/>
        </w:rPr>
        <w:t>g</w:t>
      </w:r>
      <w:r w:rsidRPr="00414999">
        <w:rPr>
          <w:spacing w:val="6"/>
          <w:sz w:val="26"/>
          <w:szCs w:val="26"/>
        </w:rPr>
        <w:t>e</w:t>
      </w:r>
      <w:r w:rsidRPr="00414999">
        <w:rPr>
          <w:spacing w:val="6"/>
          <w:sz w:val="26"/>
          <w:szCs w:val="26"/>
        </w:rPr>
        <w:t>rente/Viceger</w:t>
      </w:r>
      <w:r w:rsidR="00796389">
        <w:rPr>
          <w:spacing w:val="6"/>
          <w:sz w:val="26"/>
          <w:szCs w:val="26"/>
        </w:rPr>
        <w:t>encia de Planificación del Capital Humano</w:t>
      </w:r>
      <w:r w:rsidRPr="00414999">
        <w:rPr>
          <w:spacing w:val="6"/>
          <w:sz w:val="26"/>
          <w:szCs w:val="26"/>
        </w:rPr>
        <w:t>.</w:t>
      </w:r>
    </w:p>
    <w:p w:rsidR="00414999" w:rsidRPr="00414999" w:rsidRDefault="00414999" w:rsidP="00D20463">
      <w:pPr>
        <w:pStyle w:val="atitulo3"/>
        <w:tabs>
          <w:tab w:val="left" w:pos="8647"/>
        </w:tabs>
        <w:spacing w:before="240" w:after="120"/>
      </w:pPr>
      <w:r w:rsidRPr="00414999">
        <w:t>Entidades vinculadas</w:t>
      </w:r>
    </w:p>
    <w:p w:rsidR="00414999" w:rsidRPr="00414999" w:rsidRDefault="00BE523D" w:rsidP="00D20463">
      <w:pPr>
        <w:tabs>
          <w:tab w:val="left" w:pos="8647"/>
        </w:tabs>
        <w:ind w:firstLine="284"/>
        <w:rPr>
          <w:spacing w:val="6"/>
          <w:sz w:val="26"/>
          <w:szCs w:val="26"/>
        </w:rPr>
      </w:pPr>
      <w:r w:rsidRPr="00451A80">
        <w:rPr>
          <w:spacing w:val="6"/>
          <w:sz w:val="26"/>
          <w:szCs w:val="26"/>
        </w:rPr>
        <w:t xml:space="preserve">La UPNA participa de forma mayoritaria en </w:t>
      </w:r>
      <w:r>
        <w:rPr>
          <w:spacing w:val="6"/>
          <w:sz w:val="26"/>
          <w:szCs w:val="26"/>
        </w:rPr>
        <w:t>l</w:t>
      </w:r>
      <w:r w:rsidR="00414999" w:rsidRPr="00414999">
        <w:rPr>
          <w:spacing w:val="6"/>
          <w:sz w:val="26"/>
          <w:szCs w:val="26"/>
        </w:rPr>
        <w:t>a Fundación Universidad-Sociedad, creada por Acuerdo de la Junta de Gobierno de 20 de diciembre de 1996, con el objeto fundacional de fomentar el diálogo y canalizar la cooper</w:t>
      </w:r>
      <w:r w:rsidR="00414999" w:rsidRPr="00414999">
        <w:rPr>
          <w:spacing w:val="6"/>
          <w:sz w:val="26"/>
          <w:szCs w:val="26"/>
        </w:rPr>
        <w:t>a</w:t>
      </w:r>
      <w:r w:rsidR="00414999" w:rsidRPr="00414999">
        <w:rPr>
          <w:spacing w:val="6"/>
          <w:sz w:val="26"/>
          <w:szCs w:val="26"/>
        </w:rPr>
        <w:t>ción entre la universidad y la sociedad navarra</w:t>
      </w:r>
      <w:r>
        <w:rPr>
          <w:spacing w:val="6"/>
          <w:sz w:val="26"/>
          <w:szCs w:val="26"/>
        </w:rPr>
        <w:t>.</w:t>
      </w:r>
    </w:p>
    <w:p w:rsidR="00414999" w:rsidRPr="00D042F0" w:rsidRDefault="00414999" w:rsidP="00D20463">
      <w:pPr>
        <w:tabs>
          <w:tab w:val="left" w:pos="8647"/>
        </w:tabs>
        <w:ind w:firstLine="284"/>
        <w:rPr>
          <w:szCs w:val="26"/>
        </w:rPr>
      </w:pPr>
      <w:r w:rsidRPr="00414999">
        <w:rPr>
          <w:spacing w:val="6"/>
          <w:sz w:val="26"/>
          <w:szCs w:val="26"/>
        </w:rPr>
        <w:t>Los órganos de gobierno, di</w:t>
      </w:r>
      <w:r w:rsidR="00610894">
        <w:rPr>
          <w:spacing w:val="6"/>
          <w:sz w:val="26"/>
          <w:szCs w:val="26"/>
        </w:rPr>
        <w:t>rección y administración de la f</w:t>
      </w:r>
      <w:r w:rsidRPr="00414999">
        <w:rPr>
          <w:spacing w:val="6"/>
          <w:sz w:val="26"/>
          <w:szCs w:val="26"/>
        </w:rPr>
        <w:t>undación son la Junta del Patronato, la Junta Rectora y la Directora Gerent</w:t>
      </w:r>
      <w:r w:rsidR="00964B53">
        <w:rPr>
          <w:spacing w:val="6"/>
          <w:sz w:val="26"/>
          <w:szCs w:val="26"/>
        </w:rPr>
        <w:t>e</w:t>
      </w:r>
      <w:r w:rsidRPr="00D042F0">
        <w:rPr>
          <w:szCs w:val="26"/>
        </w:rPr>
        <w:t>.</w:t>
      </w:r>
    </w:p>
    <w:p w:rsidR="00414999" w:rsidRPr="00414999" w:rsidRDefault="00414999" w:rsidP="00D20463">
      <w:pPr>
        <w:pStyle w:val="atitulo3"/>
        <w:tabs>
          <w:tab w:val="left" w:pos="8647"/>
        </w:tabs>
        <w:spacing w:before="240" w:after="120"/>
      </w:pPr>
      <w:r w:rsidRPr="00414999">
        <w:t>Régimen económico financiero</w:t>
      </w:r>
    </w:p>
    <w:p w:rsidR="00414999" w:rsidRPr="00414999" w:rsidRDefault="00414999" w:rsidP="00D20463">
      <w:pPr>
        <w:tabs>
          <w:tab w:val="left" w:pos="8647"/>
        </w:tabs>
        <w:ind w:firstLine="284"/>
        <w:rPr>
          <w:spacing w:val="6"/>
          <w:sz w:val="26"/>
          <w:szCs w:val="26"/>
        </w:rPr>
      </w:pPr>
      <w:r w:rsidRPr="00414999">
        <w:rPr>
          <w:spacing w:val="6"/>
          <w:sz w:val="26"/>
          <w:szCs w:val="26"/>
        </w:rPr>
        <w:t xml:space="preserve">La UPNA </w:t>
      </w:r>
      <w:r w:rsidR="00464001" w:rsidRPr="00E5095A">
        <w:rPr>
          <w:spacing w:val="6"/>
          <w:sz w:val="26"/>
          <w:szCs w:val="26"/>
        </w:rPr>
        <w:t>tiene</w:t>
      </w:r>
      <w:r w:rsidRPr="00414999">
        <w:rPr>
          <w:spacing w:val="6"/>
          <w:sz w:val="26"/>
          <w:szCs w:val="26"/>
        </w:rPr>
        <w:t xml:space="preserve"> autonomía económica y financiera, y se rige en el ejercicio de su actividad económico-financiera por lo establecido en la L</w:t>
      </w:r>
      <w:r w:rsidR="00610894">
        <w:rPr>
          <w:spacing w:val="6"/>
          <w:sz w:val="26"/>
          <w:szCs w:val="26"/>
        </w:rPr>
        <w:t>ey Orgánica de Universidades (LOU en adelante),</w:t>
      </w:r>
      <w:r w:rsidRPr="00414999">
        <w:rPr>
          <w:spacing w:val="6"/>
          <w:sz w:val="26"/>
          <w:szCs w:val="26"/>
        </w:rPr>
        <w:t xml:space="preserve"> en la legislación financiera y presupuestaria aplicable al sector público de la Comunidad Foral de Navarra </w:t>
      </w:r>
      <w:r w:rsidR="00610894">
        <w:rPr>
          <w:spacing w:val="6"/>
          <w:sz w:val="26"/>
          <w:szCs w:val="26"/>
        </w:rPr>
        <w:t>(CFN en adela</w:t>
      </w:r>
      <w:r w:rsidR="00610894">
        <w:rPr>
          <w:spacing w:val="6"/>
          <w:sz w:val="26"/>
          <w:szCs w:val="26"/>
        </w:rPr>
        <w:t>n</w:t>
      </w:r>
      <w:r w:rsidR="00610894">
        <w:rPr>
          <w:spacing w:val="6"/>
          <w:sz w:val="26"/>
          <w:szCs w:val="26"/>
        </w:rPr>
        <w:t xml:space="preserve">te) </w:t>
      </w:r>
      <w:r w:rsidRPr="00414999">
        <w:rPr>
          <w:spacing w:val="6"/>
          <w:sz w:val="26"/>
          <w:szCs w:val="26"/>
        </w:rPr>
        <w:t>y en sus estatutos.</w:t>
      </w:r>
    </w:p>
    <w:p w:rsidR="00F368A5" w:rsidRDefault="00F368A5" w:rsidP="00D20463">
      <w:pPr>
        <w:tabs>
          <w:tab w:val="left" w:pos="8647"/>
        </w:tabs>
        <w:ind w:firstLine="284"/>
        <w:rPr>
          <w:spacing w:val="6"/>
          <w:sz w:val="26"/>
          <w:szCs w:val="26"/>
        </w:rPr>
      </w:pPr>
    </w:p>
    <w:p w:rsidR="00BE523D" w:rsidRDefault="00414999" w:rsidP="00D20463">
      <w:pPr>
        <w:tabs>
          <w:tab w:val="left" w:pos="8647"/>
        </w:tabs>
        <w:ind w:firstLine="284"/>
        <w:rPr>
          <w:spacing w:val="6"/>
          <w:sz w:val="26"/>
          <w:szCs w:val="26"/>
        </w:rPr>
      </w:pPr>
      <w:r w:rsidRPr="00414999">
        <w:rPr>
          <w:spacing w:val="6"/>
          <w:sz w:val="26"/>
          <w:szCs w:val="26"/>
        </w:rPr>
        <w:lastRenderedPageBreak/>
        <w:t>Los presupuestos de la UPNA se elaboran dentro del marco de las líneas e</w:t>
      </w:r>
      <w:r w:rsidRPr="00414999">
        <w:rPr>
          <w:spacing w:val="6"/>
          <w:sz w:val="26"/>
          <w:szCs w:val="26"/>
        </w:rPr>
        <w:t>s</w:t>
      </w:r>
      <w:r w:rsidRPr="00414999">
        <w:rPr>
          <w:spacing w:val="6"/>
          <w:sz w:val="26"/>
          <w:szCs w:val="26"/>
        </w:rPr>
        <w:t>tratégicas establecidas por el Consejo de Gobierno</w:t>
      </w:r>
      <w:r w:rsidR="00BE523D">
        <w:rPr>
          <w:spacing w:val="6"/>
          <w:sz w:val="26"/>
          <w:szCs w:val="26"/>
        </w:rPr>
        <w:t>.</w:t>
      </w:r>
    </w:p>
    <w:p w:rsidR="00414999" w:rsidRPr="00414999" w:rsidRDefault="00BE523D" w:rsidP="00D20463">
      <w:pPr>
        <w:tabs>
          <w:tab w:val="left" w:pos="8647"/>
        </w:tabs>
        <w:ind w:firstLine="284"/>
        <w:rPr>
          <w:spacing w:val="6"/>
          <w:sz w:val="26"/>
          <w:szCs w:val="26"/>
        </w:rPr>
      </w:pPr>
      <w:r w:rsidRPr="00451A80">
        <w:rPr>
          <w:spacing w:val="6"/>
          <w:sz w:val="26"/>
          <w:szCs w:val="26"/>
        </w:rPr>
        <w:t>E</w:t>
      </w:r>
      <w:r w:rsidR="00414999" w:rsidRPr="00451A80">
        <w:rPr>
          <w:spacing w:val="6"/>
          <w:sz w:val="26"/>
          <w:szCs w:val="26"/>
        </w:rPr>
        <w:t xml:space="preserve">n diciembre de 2017 </w:t>
      </w:r>
      <w:r w:rsidR="00414999" w:rsidRPr="00414999">
        <w:rPr>
          <w:spacing w:val="6"/>
          <w:sz w:val="26"/>
          <w:szCs w:val="26"/>
        </w:rPr>
        <w:t>se firm</w:t>
      </w:r>
      <w:r w:rsidR="00947029">
        <w:rPr>
          <w:spacing w:val="6"/>
          <w:sz w:val="26"/>
          <w:szCs w:val="26"/>
        </w:rPr>
        <w:t>ó</w:t>
      </w:r>
      <w:r w:rsidR="00414999" w:rsidRPr="00414999">
        <w:rPr>
          <w:spacing w:val="6"/>
          <w:sz w:val="26"/>
          <w:szCs w:val="26"/>
        </w:rPr>
        <w:t xml:space="preserve"> el convenio de financiación plurianual para el periodo 2018-2020</w:t>
      </w:r>
      <w:r w:rsidR="00464001">
        <w:rPr>
          <w:spacing w:val="6"/>
          <w:sz w:val="26"/>
          <w:szCs w:val="26"/>
        </w:rPr>
        <w:t xml:space="preserve"> </w:t>
      </w:r>
      <w:r w:rsidR="00464001" w:rsidRPr="00414999">
        <w:rPr>
          <w:spacing w:val="6"/>
          <w:sz w:val="26"/>
          <w:szCs w:val="26"/>
        </w:rPr>
        <w:t>entre el Gobierno de Navarra y la UPNA</w:t>
      </w:r>
      <w:r w:rsidR="00414999" w:rsidRPr="00414999">
        <w:rPr>
          <w:spacing w:val="6"/>
          <w:sz w:val="26"/>
          <w:szCs w:val="26"/>
        </w:rPr>
        <w:t xml:space="preserve">, con el objetivo de garantizar la estabilidad y viabilidad financiera de la </w:t>
      </w:r>
      <w:r w:rsidR="00464001">
        <w:rPr>
          <w:spacing w:val="6"/>
          <w:sz w:val="26"/>
          <w:szCs w:val="26"/>
        </w:rPr>
        <w:t>u</w:t>
      </w:r>
      <w:r w:rsidR="00414999" w:rsidRPr="00414999">
        <w:rPr>
          <w:spacing w:val="6"/>
          <w:sz w:val="26"/>
          <w:szCs w:val="26"/>
        </w:rPr>
        <w:t>niversidad.</w:t>
      </w:r>
    </w:p>
    <w:p w:rsidR="00414999" w:rsidRPr="00414999" w:rsidRDefault="00414999" w:rsidP="00D20463">
      <w:pPr>
        <w:tabs>
          <w:tab w:val="left" w:pos="8647"/>
        </w:tabs>
        <w:ind w:firstLine="284"/>
        <w:rPr>
          <w:spacing w:val="6"/>
          <w:sz w:val="26"/>
          <w:szCs w:val="26"/>
        </w:rPr>
      </w:pPr>
      <w:r w:rsidRPr="00414999">
        <w:rPr>
          <w:spacing w:val="6"/>
          <w:sz w:val="26"/>
          <w:szCs w:val="26"/>
        </w:rPr>
        <w:t xml:space="preserve">Las </w:t>
      </w:r>
      <w:r w:rsidR="00610894">
        <w:rPr>
          <w:spacing w:val="6"/>
          <w:sz w:val="26"/>
          <w:szCs w:val="26"/>
        </w:rPr>
        <w:t>c</w:t>
      </w:r>
      <w:r w:rsidRPr="00414999">
        <w:rPr>
          <w:spacing w:val="6"/>
          <w:sz w:val="26"/>
          <w:szCs w:val="26"/>
        </w:rPr>
        <w:t xml:space="preserve">uentas </w:t>
      </w:r>
      <w:r w:rsidR="00610894">
        <w:rPr>
          <w:spacing w:val="6"/>
          <w:sz w:val="26"/>
          <w:szCs w:val="26"/>
        </w:rPr>
        <w:t>a</w:t>
      </w:r>
      <w:r w:rsidRPr="00414999">
        <w:rPr>
          <w:spacing w:val="6"/>
          <w:sz w:val="26"/>
          <w:szCs w:val="26"/>
        </w:rPr>
        <w:t>nuales de la universidad se presentan conforme al Plan General de Contabilidad Pública 1994.</w:t>
      </w:r>
    </w:p>
    <w:p w:rsidR="00414999" w:rsidRDefault="00414999" w:rsidP="00D20463">
      <w:pPr>
        <w:tabs>
          <w:tab w:val="left" w:pos="8647"/>
        </w:tabs>
        <w:spacing w:after="100"/>
        <w:ind w:firstLine="284"/>
        <w:rPr>
          <w:spacing w:val="6"/>
          <w:sz w:val="26"/>
          <w:szCs w:val="26"/>
          <w:lang w:eastAsia="es-ES"/>
        </w:rPr>
      </w:pPr>
      <w:r>
        <w:rPr>
          <w:spacing w:val="6"/>
          <w:sz w:val="26"/>
          <w:szCs w:val="26"/>
          <w:lang w:eastAsia="es-ES"/>
        </w:rPr>
        <w:t>Las fuentes de financiación de la UPNA son las siguientes:</w:t>
      </w:r>
    </w:p>
    <w:p w:rsidR="00414999" w:rsidRPr="00010C80"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010C80">
        <w:rPr>
          <w:spacing w:val="6"/>
          <w:sz w:val="26"/>
          <w:szCs w:val="26"/>
          <w:lang w:eastAsia="es-ES"/>
        </w:rPr>
        <w:t>Las transferencias corrientes y de capital procedentes de los Presupuestos Generales de Navarra.</w:t>
      </w:r>
    </w:p>
    <w:p w:rsidR="00414999" w:rsidRPr="00010C80"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010C80">
        <w:rPr>
          <w:spacing w:val="6"/>
          <w:sz w:val="26"/>
          <w:szCs w:val="26"/>
          <w:lang w:eastAsia="es-ES"/>
        </w:rPr>
        <w:t>Los ingresos por tasas y precios públicos por la prestación de servicios ac</w:t>
      </w:r>
      <w:r w:rsidRPr="00010C80">
        <w:rPr>
          <w:spacing w:val="6"/>
          <w:sz w:val="26"/>
          <w:szCs w:val="26"/>
          <w:lang w:eastAsia="es-ES"/>
        </w:rPr>
        <w:t>a</w:t>
      </w:r>
      <w:r w:rsidRPr="00010C80">
        <w:rPr>
          <w:spacing w:val="6"/>
          <w:sz w:val="26"/>
          <w:szCs w:val="26"/>
          <w:lang w:eastAsia="es-ES"/>
        </w:rPr>
        <w:t xml:space="preserve">démicos y demás derechos conducentes a títulos oficiales. </w:t>
      </w:r>
    </w:p>
    <w:p w:rsidR="00414999" w:rsidRPr="00010C80"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010C80">
        <w:rPr>
          <w:spacing w:val="6"/>
          <w:sz w:val="26"/>
          <w:szCs w:val="26"/>
          <w:lang w:eastAsia="es-ES"/>
        </w:rPr>
        <w:t>Los precios de enseñanzas propias, cursos de especialización y otras activ</w:t>
      </w:r>
      <w:r w:rsidRPr="00010C80">
        <w:rPr>
          <w:spacing w:val="6"/>
          <w:sz w:val="26"/>
          <w:szCs w:val="26"/>
          <w:lang w:eastAsia="es-ES"/>
        </w:rPr>
        <w:t>i</w:t>
      </w:r>
      <w:r w:rsidRPr="00010C80">
        <w:rPr>
          <w:spacing w:val="6"/>
          <w:sz w:val="26"/>
          <w:szCs w:val="26"/>
          <w:lang w:eastAsia="es-ES"/>
        </w:rPr>
        <w:t>dades aprobados por el Consejo Social.</w:t>
      </w:r>
    </w:p>
    <w:p w:rsidR="00414999" w:rsidRPr="00010C80"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010C80">
        <w:rPr>
          <w:spacing w:val="6"/>
          <w:sz w:val="26"/>
          <w:szCs w:val="26"/>
          <w:lang w:eastAsia="es-ES"/>
        </w:rPr>
        <w:t xml:space="preserve">Las subvenciones procedentes de entidades públicas o privadas. </w:t>
      </w:r>
    </w:p>
    <w:p w:rsidR="00414999" w:rsidRPr="00010C80"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010C80">
        <w:rPr>
          <w:spacing w:val="6"/>
          <w:sz w:val="26"/>
          <w:szCs w:val="26"/>
          <w:lang w:eastAsia="es-ES"/>
        </w:rPr>
        <w:t>Ingresos de contratos y convenios.</w:t>
      </w:r>
    </w:p>
    <w:p w:rsidR="00414999" w:rsidRPr="00010C80"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010C80">
        <w:rPr>
          <w:spacing w:val="6"/>
          <w:sz w:val="26"/>
          <w:szCs w:val="26"/>
          <w:lang w:eastAsia="es-ES"/>
        </w:rPr>
        <w:t>Remanente de tesorería y otros ingresos</w:t>
      </w:r>
      <w:r>
        <w:rPr>
          <w:spacing w:val="6"/>
          <w:sz w:val="26"/>
          <w:szCs w:val="26"/>
          <w:lang w:eastAsia="es-ES"/>
        </w:rPr>
        <w:t>.</w:t>
      </w:r>
    </w:p>
    <w:p w:rsidR="00414999" w:rsidRPr="00414999" w:rsidRDefault="00414999" w:rsidP="00D20463">
      <w:pPr>
        <w:pStyle w:val="atitulo3"/>
        <w:tabs>
          <w:tab w:val="left" w:pos="8647"/>
        </w:tabs>
        <w:spacing w:before="240" w:after="120"/>
      </w:pPr>
      <w:r w:rsidRPr="00414999">
        <w:t>Marco regulador aplicable</w:t>
      </w:r>
    </w:p>
    <w:p w:rsidR="00414999" w:rsidRPr="00CD00BE" w:rsidRDefault="00414999" w:rsidP="00D20463">
      <w:pPr>
        <w:pStyle w:val="texto"/>
        <w:tabs>
          <w:tab w:val="clear" w:pos="2835"/>
          <w:tab w:val="clear" w:pos="3969"/>
          <w:tab w:val="clear" w:pos="5103"/>
          <w:tab w:val="clear" w:pos="6237"/>
          <w:tab w:val="clear" w:pos="7371"/>
          <w:tab w:val="left" w:pos="8647"/>
        </w:tabs>
        <w:spacing w:before="240"/>
        <w:rPr>
          <w:szCs w:val="26"/>
        </w:rPr>
      </w:pPr>
      <w:r w:rsidRPr="00CD00BE">
        <w:rPr>
          <w:szCs w:val="26"/>
        </w:rPr>
        <w:t>El marco normativo que resulta aplicable a la U</w:t>
      </w:r>
      <w:r>
        <w:rPr>
          <w:szCs w:val="26"/>
        </w:rPr>
        <w:t>PNA</w:t>
      </w:r>
      <w:r w:rsidRPr="00CD00BE">
        <w:rPr>
          <w:szCs w:val="26"/>
        </w:rPr>
        <w:t xml:space="preserve"> está constituido fund</w:t>
      </w:r>
      <w:r w:rsidRPr="00CD00BE">
        <w:rPr>
          <w:szCs w:val="26"/>
        </w:rPr>
        <w:t>a</w:t>
      </w:r>
      <w:r w:rsidRPr="00CD00BE">
        <w:rPr>
          <w:szCs w:val="26"/>
        </w:rPr>
        <w:t>mentalmente por:</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981AF4">
        <w:rPr>
          <w:spacing w:val="6"/>
          <w:sz w:val="26"/>
          <w:szCs w:val="26"/>
          <w:lang w:eastAsia="es-ES"/>
        </w:rPr>
        <w:t>Ley Orgánica de Universidades 6/2001, de 21 de diciembre, de Universid</w:t>
      </w:r>
      <w:r w:rsidRPr="00981AF4">
        <w:rPr>
          <w:spacing w:val="6"/>
          <w:sz w:val="26"/>
          <w:szCs w:val="26"/>
          <w:lang w:eastAsia="es-ES"/>
        </w:rPr>
        <w:t>a</w:t>
      </w:r>
      <w:r w:rsidRPr="00981AF4">
        <w:rPr>
          <w:spacing w:val="6"/>
          <w:sz w:val="26"/>
          <w:szCs w:val="26"/>
          <w:lang w:eastAsia="es-ES"/>
        </w:rPr>
        <w:t>des (LOU), modificada por la Ley Orgánica 4/2007, de 12 de abril, y por el Real Decreto-Ley 14/2012, de 20 de abril, de medidas urgentes de racionaliz</w:t>
      </w:r>
      <w:r w:rsidRPr="00981AF4">
        <w:rPr>
          <w:spacing w:val="6"/>
          <w:sz w:val="26"/>
          <w:szCs w:val="26"/>
          <w:lang w:eastAsia="es-ES"/>
        </w:rPr>
        <w:t>a</w:t>
      </w:r>
      <w:r w:rsidRPr="00981AF4">
        <w:rPr>
          <w:spacing w:val="6"/>
          <w:sz w:val="26"/>
          <w:szCs w:val="26"/>
          <w:lang w:eastAsia="es-ES"/>
        </w:rPr>
        <w:t>ción del gasto público en el ámbito educativo.</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981AF4">
        <w:rPr>
          <w:spacing w:val="6"/>
          <w:sz w:val="26"/>
          <w:szCs w:val="26"/>
          <w:lang w:eastAsia="es-ES"/>
        </w:rPr>
        <w:t>Ley Orgánica 2/2012, de 20 de abril, de Estabilidad Presupuestaria y Sost</w:t>
      </w:r>
      <w:r w:rsidRPr="00981AF4">
        <w:rPr>
          <w:spacing w:val="6"/>
          <w:sz w:val="26"/>
          <w:szCs w:val="26"/>
          <w:lang w:eastAsia="es-ES"/>
        </w:rPr>
        <w:t>e</w:t>
      </w:r>
      <w:r w:rsidRPr="00981AF4">
        <w:rPr>
          <w:spacing w:val="6"/>
          <w:sz w:val="26"/>
          <w:szCs w:val="26"/>
          <w:lang w:eastAsia="es-ES"/>
        </w:rPr>
        <w:t>nibilidad Financiera (LOEPSF).</w:t>
      </w:r>
    </w:p>
    <w:p w:rsidR="00A363FE" w:rsidRPr="00981AF4" w:rsidRDefault="00A363FE"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981AF4">
        <w:rPr>
          <w:spacing w:val="6"/>
          <w:sz w:val="26"/>
          <w:szCs w:val="26"/>
          <w:lang w:eastAsia="es-ES"/>
        </w:rPr>
        <w:t>Ley 3/2017, de 27 de junio, de Presupuestos Generales del Estado para el año 2017.</w:t>
      </w:r>
    </w:p>
    <w:p w:rsidR="00A363FE" w:rsidRPr="00981AF4" w:rsidRDefault="00A363FE"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981AF4">
        <w:rPr>
          <w:spacing w:val="6"/>
          <w:sz w:val="26"/>
          <w:szCs w:val="26"/>
          <w:lang w:eastAsia="es-ES"/>
        </w:rPr>
        <w:t>Ley 6/2018, de 3 de julio, de Presupuestos Generales del Estado para el año 2018.</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981AF4">
        <w:rPr>
          <w:spacing w:val="6"/>
          <w:sz w:val="26"/>
          <w:szCs w:val="26"/>
          <w:lang w:eastAsia="es-ES"/>
        </w:rPr>
        <w:t>Real Decreto 1721/2007, de 21 de diciembre, por el que se establece el r</w:t>
      </w:r>
      <w:r w:rsidRPr="00981AF4">
        <w:rPr>
          <w:spacing w:val="6"/>
          <w:sz w:val="26"/>
          <w:szCs w:val="26"/>
          <w:lang w:eastAsia="es-ES"/>
        </w:rPr>
        <w:t>é</w:t>
      </w:r>
      <w:r w:rsidRPr="00981AF4">
        <w:rPr>
          <w:spacing w:val="6"/>
          <w:sz w:val="26"/>
          <w:szCs w:val="26"/>
          <w:lang w:eastAsia="es-ES"/>
        </w:rPr>
        <w:t>gimen de las becas y ayudas al estudio personalizadas</w:t>
      </w:r>
      <w:r w:rsidR="00610894" w:rsidRPr="00981AF4">
        <w:rPr>
          <w:spacing w:val="6"/>
          <w:sz w:val="26"/>
          <w:szCs w:val="26"/>
          <w:lang w:eastAsia="es-ES"/>
        </w:rPr>
        <w:t>.</w:t>
      </w:r>
    </w:p>
    <w:p w:rsidR="00610894" w:rsidRPr="00981AF4" w:rsidRDefault="00610894"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981AF4">
        <w:rPr>
          <w:spacing w:val="6"/>
          <w:sz w:val="26"/>
          <w:szCs w:val="26"/>
          <w:lang w:eastAsia="es-ES"/>
        </w:rPr>
        <w:t>Reales Decretos por los que se establecen los umbrales de renta y patrim</w:t>
      </w:r>
      <w:r w:rsidRPr="00981AF4">
        <w:rPr>
          <w:spacing w:val="6"/>
          <w:sz w:val="26"/>
          <w:szCs w:val="26"/>
          <w:lang w:eastAsia="es-ES"/>
        </w:rPr>
        <w:t>o</w:t>
      </w:r>
      <w:r w:rsidRPr="00981AF4">
        <w:rPr>
          <w:spacing w:val="6"/>
          <w:sz w:val="26"/>
          <w:szCs w:val="26"/>
          <w:lang w:eastAsia="es-ES"/>
        </w:rPr>
        <w:t>nio familiar y las cuantías de las becas y ayudas al estudio para cada curso ac</w:t>
      </w:r>
      <w:r w:rsidRPr="00981AF4">
        <w:rPr>
          <w:spacing w:val="6"/>
          <w:sz w:val="26"/>
          <w:szCs w:val="26"/>
          <w:lang w:eastAsia="es-ES"/>
        </w:rPr>
        <w:t>a</w:t>
      </w:r>
      <w:r w:rsidRPr="00981AF4">
        <w:rPr>
          <w:spacing w:val="6"/>
          <w:sz w:val="26"/>
          <w:szCs w:val="26"/>
          <w:lang w:eastAsia="es-ES"/>
        </w:rPr>
        <w:t>démico.</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981AF4">
        <w:rPr>
          <w:spacing w:val="6"/>
          <w:sz w:val="26"/>
          <w:szCs w:val="26"/>
          <w:lang w:eastAsia="es-ES"/>
        </w:rPr>
        <w:lastRenderedPageBreak/>
        <w:t>Ley Foral 8/1987, de 21 de abril</w:t>
      </w:r>
      <w:r w:rsidR="00947029" w:rsidRPr="00981AF4">
        <w:rPr>
          <w:spacing w:val="6"/>
          <w:sz w:val="26"/>
          <w:szCs w:val="26"/>
          <w:lang w:eastAsia="es-ES"/>
        </w:rPr>
        <w:t>,</w:t>
      </w:r>
      <w:r w:rsidRPr="00981AF4">
        <w:rPr>
          <w:spacing w:val="6"/>
          <w:sz w:val="26"/>
          <w:szCs w:val="26"/>
          <w:lang w:eastAsia="es-ES"/>
        </w:rPr>
        <w:t xml:space="preserve"> de creación de la Universidad Pública de Navarra.</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981AF4">
        <w:rPr>
          <w:spacing w:val="6"/>
          <w:sz w:val="26"/>
          <w:szCs w:val="26"/>
          <w:lang w:eastAsia="es-ES"/>
        </w:rPr>
        <w:t>Ley Foral 15/2008, de 2 de julio, del Consejo Social de la Universidad P</w:t>
      </w:r>
      <w:r w:rsidRPr="00981AF4">
        <w:rPr>
          <w:spacing w:val="6"/>
          <w:sz w:val="26"/>
          <w:szCs w:val="26"/>
          <w:lang w:eastAsia="es-ES"/>
        </w:rPr>
        <w:t>ú</w:t>
      </w:r>
      <w:r w:rsidRPr="00981AF4">
        <w:rPr>
          <w:spacing w:val="6"/>
          <w:sz w:val="26"/>
          <w:szCs w:val="26"/>
          <w:lang w:eastAsia="es-ES"/>
        </w:rPr>
        <w:t>blica de Navarra.</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981AF4">
        <w:rPr>
          <w:spacing w:val="6"/>
          <w:sz w:val="26"/>
          <w:szCs w:val="26"/>
          <w:lang w:eastAsia="es-ES"/>
        </w:rPr>
        <w:t>Estatutos de la Universidad Pública de Navarra, aprobados por Decreto F</w:t>
      </w:r>
      <w:r w:rsidRPr="00981AF4">
        <w:rPr>
          <w:spacing w:val="6"/>
          <w:sz w:val="26"/>
          <w:szCs w:val="26"/>
          <w:lang w:eastAsia="es-ES"/>
        </w:rPr>
        <w:t>o</w:t>
      </w:r>
      <w:r w:rsidRPr="00981AF4">
        <w:rPr>
          <w:spacing w:val="6"/>
          <w:sz w:val="26"/>
          <w:szCs w:val="26"/>
          <w:lang w:eastAsia="es-ES"/>
        </w:rPr>
        <w:t>ral 110/2003, de 12 de mayo, modificados por Acuerdo del Gobierno de Nav</w:t>
      </w:r>
      <w:r w:rsidRPr="00981AF4">
        <w:rPr>
          <w:spacing w:val="6"/>
          <w:sz w:val="26"/>
          <w:szCs w:val="26"/>
          <w:lang w:eastAsia="es-ES"/>
        </w:rPr>
        <w:t>a</w:t>
      </w:r>
      <w:r w:rsidRPr="00981AF4">
        <w:rPr>
          <w:spacing w:val="6"/>
          <w:sz w:val="26"/>
          <w:szCs w:val="26"/>
          <w:lang w:eastAsia="es-ES"/>
        </w:rPr>
        <w:t>rra de 21 de marzo de 2011.</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981AF4">
        <w:rPr>
          <w:spacing w:val="6"/>
          <w:sz w:val="26"/>
          <w:szCs w:val="26"/>
          <w:lang w:eastAsia="es-ES"/>
        </w:rPr>
        <w:t xml:space="preserve">Estatutos de la Fundación Universidad-Sociedad. </w:t>
      </w:r>
    </w:p>
    <w:p w:rsidR="00414999" w:rsidRPr="00CD00BE" w:rsidRDefault="00414999" w:rsidP="00F44C41">
      <w:pPr>
        <w:pStyle w:val="texto"/>
        <w:tabs>
          <w:tab w:val="clear" w:pos="2835"/>
          <w:tab w:val="clear" w:pos="3969"/>
          <w:tab w:val="clear" w:pos="5103"/>
          <w:tab w:val="clear" w:pos="6237"/>
          <w:tab w:val="clear" w:pos="7371"/>
          <w:tab w:val="left" w:pos="8647"/>
        </w:tabs>
        <w:spacing w:before="240"/>
        <w:ind w:right="283"/>
        <w:rPr>
          <w:szCs w:val="26"/>
        </w:rPr>
      </w:pPr>
      <w:r w:rsidRPr="00CD00BE">
        <w:rPr>
          <w:szCs w:val="26"/>
        </w:rPr>
        <w:br w:type="page"/>
      </w:r>
    </w:p>
    <w:p w:rsidR="00414999" w:rsidRPr="00631CEA" w:rsidRDefault="00414999" w:rsidP="00F44C41">
      <w:pPr>
        <w:pStyle w:val="atitulo1"/>
        <w:tabs>
          <w:tab w:val="left" w:pos="8647"/>
        </w:tabs>
        <w:ind w:right="283"/>
        <w:rPr>
          <w:spacing w:val="6"/>
        </w:rPr>
      </w:pPr>
      <w:bookmarkStart w:id="9" w:name="_Toc56752465"/>
      <w:bookmarkStart w:id="10" w:name="_Toc57285452"/>
      <w:r w:rsidRPr="00631CEA">
        <w:rPr>
          <w:spacing w:val="6"/>
        </w:rPr>
        <w:lastRenderedPageBreak/>
        <w:t>III. Objetivos y alcance</w:t>
      </w:r>
      <w:bookmarkEnd w:id="9"/>
      <w:bookmarkEnd w:id="10"/>
    </w:p>
    <w:p w:rsidR="00414999" w:rsidRPr="00631CEA" w:rsidRDefault="00414999" w:rsidP="00F368A5">
      <w:pPr>
        <w:tabs>
          <w:tab w:val="left" w:pos="8363"/>
          <w:tab w:val="left" w:pos="8647"/>
        </w:tabs>
        <w:spacing w:before="240" w:after="240"/>
        <w:ind w:firstLine="284"/>
        <w:rPr>
          <w:spacing w:val="6"/>
          <w:sz w:val="25"/>
          <w:szCs w:val="25"/>
          <w:lang w:eastAsia="es-ES"/>
        </w:rPr>
      </w:pPr>
      <w:r w:rsidRPr="00631CEA">
        <w:rPr>
          <w:spacing w:val="6"/>
          <w:sz w:val="25"/>
          <w:szCs w:val="25"/>
          <w:lang w:eastAsia="es-ES"/>
        </w:rPr>
        <w:t>Los objetivos de este trabajo son los siguientes:</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981AF4">
        <w:rPr>
          <w:spacing w:val="6"/>
          <w:sz w:val="26"/>
          <w:szCs w:val="26"/>
          <w:lang w:eastAsia="es-ES"/>
        </w:rPr>
        <w:t>Con respecto a la implantación de la contabilidad analítica de costes:</w:t>
      </w:r>
    </w:p>
    <w:p w:rsidR="00414999" w:rsidRPr="00631CEA" w:rsidRDefault="006D7687" w:rsidP="00D20463">
      <w:pPr>
        <w:pStyle w:val="Prrafodelista"/>
        <w:tabs>
          <w:tab w:val="left" w:pos="8647"/>
        </w:tabs>
        <w:spacing w:before="120" w:after="120"/>
        <w:ind w:left="0" w:firstLine="284"/>
        <w:contextualSpacing w:val="0"/>
        <w:rPr>
          <w:spacing w:val="6"/>
          <w:sz w:val="25"/>
          <w:szCs w:val="25"/>
          <w:lang w:eastAsia="es-ES"/>
        </w:rPr>
      </w:pPr>
      <w:r>
        <w:rPr>
          <w:spacing w:val="6"/>
          <w:sz w:val="25"/>
          <w:szCs w:val="25"/>
          <w:lang w:eastAsia="es-ES"/>
        </w:rPr>
        <w:t xml:space="preserve">a) </w:t>
      </w:r>
      <w:r w:rsidR="00414999">
        <w:rPr>
          <w:spacing w:val="6"/>
          <w:sz w:val="25"/>
          <w:szCs w:val="25"/>
          <w:lang w:eastAsia="es-ES"/>
        </w:rPr>
        <w:t>Comprobar</w:t>
      </w:r>
      <w:r w:rsidR="00414999" w:rsidRPr="00631CEA">
        <w:rPr>
          <w:spacing w:val="6"/>
          <w:sz w:val="25"/>
          <w:szCs w:val="25"/>
          <w:lang w:eastAsia="es-ES"/>
        </w:rPr>
        <w:t xml:space="preserve"> el grado de implementación de un modelo de costes por parte de la universidad.</w:t>
      </w:r>
    </w:p>
    <w:p w:rsidR="00414999" w:rsidRPr="006D7687" w:rsidRDefault="006D7687" w:rsidP="00D20463">
      <w:pPr>
        <w:pStyle w:val="Prrafodelista"/>
        <w:tabs>
          <w:tab w:val="left" w:pos="8647"/>
        </w:tabs>
        <w:spacing w:before="120" w:after="120"/>
        <w:ind w:left="0" w:firstLine="284"/>
        <w:contextualSpacing w:val="0"/>
        <w:rPr>
          <w:spacing w:val="6"/>
          <w:sz w:val="25"/>
          <w:szCs w:val="25"/>
          <w:lang w:eastAsia="es-ES"/>
        </w:rPr>
      </w:pPr>
      <w:r>
        <w:rPr>
          <w:spacing w:val="6"/>
          <w:sz w:val="25"/>
          <w:szCs w:val="25"/>
          <w:lang w:eastAsia="es-ES"/>
        </w:rPr>
        <w:t xml:space="preserve">b) </w:t>
      </w:r>
      <w:r w:rsidR="00414999" w:rsidRPr="006D7687">
        <w:rPr>
          <w:spacing w:val="6"/>
          <w:sz w:val="25"/>
          <w:szCs w:val="25"/>
          <w:lang w:eastAsia="es-ES"/>
        </w:rPr>
        <w:t>Verificar el procedimiento de fijación y modificación de los precios públicos relativos a estudios conducentes a títulos oficiales.</w:t>
      </w:r>
    </w:p>
    <w:p w:rsidR="00414999" w:rsidRPr="00631CEA" w:rsidRDefault="006D7687" w:rsidP="00D20463">
      <w:pPr>
        <w:pStyle w:val="Prrafodelista"/>
        <w:tabs>
          <w:tab w:val="left" w:pos="8647"/>
        </w:tabs>
        <w:spacing w:before="120" w:after="120"/>
        <w:ind w:left="0" w:firstLine="284"/>
        <w:contextualSpacing w:val="0"/>
        <w:rPr>
          <w:spacing w:val="6"/>
          <w:sz w:val="25"/>
          <w:szCs w:val="25"/>
          <w:lang w:eastAsia="es-ES"/>
        </w:rPr>
      </w:pPr>
      <w:r>
        <w:rPr>
          <w:spacing w:val="6"/>
          <w:sz w:val="25"/>
          <w:szCs w:val="25"/>
          <w:lang w:eastAsia="es-ES"/>
        </w:rPr>
        <w:t xml:space="preserve">c) </w:t>
      </w:r>
      <w:r w:rsidR="00414999" w:rsidRPr="00631CEA">
        <w:rPr>
          <w:spacing w:val="6"/>
          <w:sz w:val="25"/>
          <w:szCs w:val="25"/>
          <w:lang w:eastAsia="es-ES"/>
        </w:rPr>
        <w:t xml:space="preserve">Describir </w:t>
      </w:r>
      <w:r w:rsidR="00414999">
        <w:rPr>
          <w:spacing w:val="6"/>
          <w:sz w:val="25"/>
          <w:szCs w:val="25"/>
          <w:lang w:eastAsia="es-ES"/>
        </w:rPr>
        <w:t xml:space="preserve">y analizar </w:t>
      </w:r>
      <w:r w:rsidR="00414999" w:rsidRPr="00631CEA">
        <w:rPr>
          <w:spacing w:val="6"/>
          <w:sz w:val="25"/>
          <w:szCs w:val="25"/>
          <w:lang w:eastAsia="es-ES"/>
        </w:rPr>
        <w:t>el modelo de financiación ordinaria de la universidad.</w:t>
      </w:r>
    </w:p>
    <w:p w:rsidR="00414999" w:rsidRPr="00631CEA" w:rsidRDefault="006D7687" w:rsidP="00D20463">
      <w:pPr>
        <w:pStyle w:val="Prrafodelista"/>
        <w:tabs>
          <w:tab w:val="left" w:pos="8647"/>
        </w:tabs>
        <w:spacing w:before="120" w:after="120"/>
        <w:ind w:left="0" w:firstLine="284"/>
        <w:contextualSpacing w:val="0"/>
        <w:rPr>
          <w:spacing w:val="6"/>
          <w:sz w:val="25"/>
          <w:szCs w:val="25"/>
          <w:lang w:eastAsia="es-ES"/>
        </w:rPr>
      </w:pPr>
      <w:r>
        <w:rPr>
          <w:spacing w:val="6"/>
          <w:sz w:val="25"/>
          <w:szCs w:val="25"/>
          <w:lang w:eastAsia="es-ES"/>
        </w:rPr>
        <w:t xml:space="preserve">d) </w:t>
      </w:r>
      <w:r w:rsidR="00414999">
        <w:rPr>
          <w:spacing w:val="6"/>
          <w:sz w:val="25"/>
          <w:szCs w:val="25"/>
          <w:lang w:eastAsia="es-ES"/>
        </w:rPr>
        <w:t>Estudiar</w:t>
      </w:r>
      <w:r w:rsidR="00414999" w:rsidRPr="00631CEA">
        <w:rPr>
          <w:spacing w:val="6"/>
          <w:sz w:val="25"/>
          <w:szCs w:val="25"/>
          <w:lang w:eastAsia="es-ES"/>
        </w:rPr>
        <w:t xml:space="preserve"> las repercusiones de la fijación de precios públicos según el coste del servicio en el sistema transitorio de financiación de ayudas al estudio univers</w:t>
      </w:r>
      <w:r w:rsidR="00414999" w:rsidRPr="00631CEA">
        <w:rPr>
          <w:spacing w:val="6"/>
          <w:sz w:val="25"/>
          <w:szCs w:val="25"/>
          <w:lang w:eastAsia="es-ES"/>
        </w:rPr>
        <w:t>i</w:t>
      </w:r>
      <w:r w:rsidR="00414999" w:rsidRPr="00631CEA">
        <w:rPr>
          <w:spacing w:val="6"/>
          <w:sz w:val="25"/>
          <w:szCs w:val="25"/>
          <w:lang w:eastAsia="es-ES"/>
        </w:rPr>
        <w:t>tario.</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981AF4">
        <w:rPr>
          <w:spacing w:val="6"/>
          <w:sz w:val="26"/>
          <w:szCs w:val="26"/>
          <w:lang w:eastAsia="es-ES"/>
        </w:rPr>
        <w:t>Verificar el grado de cumplimiento de las recomendaciones emitidas por esta Cámara de Comptos en su informe de auditoría, UPNA 2017.</w:t>
      </w:r>
    </w:p>
    <w:p w:rsidR="00414999" w:rsidRPr="00631CEA" w:rsidRDefault="00414999" w:rsidP="00451A80">
      <w:pPr>
        <w:pStyle w:val="texto"/>
        <w:tabs>
          <w:tab w:val="left" w:pos="8647"/>
        </w:tabs>
        <w:spacing w:before="120"/>
        <w:ind w:left="284" w:firstLine="0"/>
        <w:rPr>
          <w:szCs w:val="26"/>
        </w:rPr>
      </w:pPr>
      <w:r w:rsidRPr="00631CEA">
        <w:rPr>
          <w:szCs w:val="26"/>
        </w:rPr>
        <w:t xml:space="preserve">Para realizar nuestro trabajo hemos analizado la siguiente información: </w:t>
      </w:r>
    </w:p>
    <w:p w:rsidR="002C31A2"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981AF4">
        <w:rPr>
          <w:spacing w:val="6"/>
          <w:sz w:val="26"/>
          <w:szCs w:val="26"/>
          <w:lang w:eastAsia="es-ES"/>
        </w:rPr>
        <w:t xml:space="preserve">Documentación aportada por </w:t>
      </w:r>
      <w:r w:rsidR="00CE104B" w:rsidRPr="00981AF4">
        <w:rPr>
          <w:spacing w:val="6"/>
          <w:sz w:val="26"/>
          <w:szCs w:val="26"/>
          <w:lang w:eastAsia="es-ES"/>
        </w:rPr>
        <w:t xml:space="preserve">la UPNA y </w:t>
      </w:r>
      <w:r w:rsidRPr="00981AF4">
        <w:rPr>
          <w:spacing w:val="6"/>
          <w:sz w:val="26"/>
          <w:szCs w:val="26"/>
          <w:lang w:eastAsia="es-ES"/>
        </w:rPr>
        <w:t xml:space="preserve">el Departamento de Universidad, Innovación y Transformación </w:t>
      </w:r>
      <w:r w:rsidR="007E5A1B" w:rsidRPr="00981AF4">
        <w:rPr>
          <w:spacing w:val="6"/>
          <w:sz w:val="26"/>
          <w:szCs w:val="26"/>
          <w:lang w:eastAsia="es-ES"/>
        </w:rPr>
        <w:t>D</w:t>
      </w:r>
      <w:r w:rsidRPr="00981AF4">
        <w:rPr>
          <w:spacing w:val="6"/>
          <w:sz w:val="26"/>
          <w:szCs w:val="26"/>
          <w:lang w:eastAsia="es-ES"/>
        </w:rPr>
        <w:t xml:space="preserve">igital </w:t>
      </w:r>
      <w:r w:rsidR="002C31A2" w:rsidRPr="00981AF4">
        <w:rPr>
          <w:spacing w:val="6"/>
          <w:sz w:val="26"/>
          <w:szCs w:val="26"/>
          <w:lang w:eastAsia="es-ES"/>
        </w:rPr>
        <w:t>del Gobierno de Navarra.</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981AF4">
        <w:rPr>
          <w:spacing w:val="6"/>
          <w:sz w:val="26"/>
          <w:szCs w:val="26"/>
          <w:lang w:eastAsia="es-ES"/>
        </w:rPr>
        <w:t xml:space="preserve">Respuestas de la </w:t>
      </w:r>
      <w:r w:rsidR="006D2F74" w:rsidRPr="00981AF4">
        <w:rPr>
          <w:spacing w:val="6"/>
          <w:sz w:val="26"/>
          <w:szCs w:val="26"/>
          <w:lang w:eastAsia="es-ES"/>
        </w:rPr>
        <w:t>UPNA</w:t>
      </w:r>
      <w:r w:rsidRPr="00981AF4">
        <w:rPr>
          <w:spacing w:val="6"/>
          <w:sz w:val="26"/>
          <w:szCs w:val="26"/>
          <w:lang w:eastAsia="es-ES"/>
        </w:rPr>
        <w:t xml:space="preserve"> al cuestionario remitido por esta Cámara sobre el grado de cumplimiento de </w:t>
      </w:r>
      <w:r w:rsidR="00CE104B" w:rsidRPr="00981AF4">
        <w:rPr>
          <w:spacing w:val="6"/>
          <w:sz w:val="26"/>
          <w:szCs w:val="26"/>
          <w:lang w:eastAsia="es-ES"/>
        </w:rPr>
        <w:t xml:space="preserve">las </w:t>
      </w:r>
      <w:r w:rsidRPr="00981AF4">
        <w:rPr>
          <w:spacing w:val="6"/>
          <w:sz w:val="26"/>
          <w:szCs w:val="26"/>
          <w:lang w:eastAsia="es-ES"/>
        </w:rPr>
        <w:t>recomendaciones del informe U</w:t>
      </w:r>
      <w:r w:rsidR="006D2F74" w:rsidRPr="00981AF4">
        <w:rPr>
          <w:spacing w:val="6"/>
          <w:sz w:val="26"/>
          <w:szCs w:val="26"/>
          <w:lang w:eastAsia="es-ES"/>
        </w:rPr>
        <w:t>niversidad Públ</w:t>
      </w:r>
      <w:r w:rsidR="006D2F74" w:rsidRPr="00981AF4">
        <w:rPr>
          <w:spacing w:val="6"/>
          <w:sz w:val="26"/>
          <w:szCs w:val="26"/>
          <w:lang w:eastAsia="es-ES"/>
        </w:rPr>
        <w:t>i</w:t>
      </w:r>
      <w:r w:rsidR="006D2F74" w:rsidRPr="00981AF4">
        <w:rPr>
          <w:spacing w:val="6"/>
          <w:sz w:val="26"/>
          <w:szCs w:val="26"/>
          <w:lang w:eastAsia="es-ES"/>
        </w:rPr>
        <w:t>ca de Navarra, ejercicio</w:t>
      </w:r>
      <w:r w:rsidRPr="00981AF4">
        <w:rPr>
          <w:spacing w:val="6"/>
          <w:sz w:val="26"/>
          <w:szCs w:val="26"/>
          <w:lang w:eastAsia="es-ES"/>
        </w:rPr>
        <w:t xml:space="preserve"> 2017.</w:t>
      </w:r>
    </w:p>
    <w:p w:rsidR="00414999" w:rsidRPr="008B175C" w:rsidRDefault="00414999" w:rsidP="003F1E6D">
      <w:pPr>
        <w:tabs>
          <w:tab w:val="left" w:pos="8647"/>
        </w:tabs>
        <w:ind w:firstLine="284"/>
        <w:rPr>
          <w:spacing w:val="6"/>
          <w:sz w:val="25"/>
          <w:szCs w:val="25"/>
          <w:lang w:eastAsia="es-ES"/>
        </w:rPr>
      </w:pPr>
      <w:r w:rsidRPr="008B175C">
        <w:rPr>
          <w:spacing w:val="6"/>
          <w:sz w:val="25"/>
          <w:szCs w:val="25"/>
          <w:lang w:eastAsia="es-ES"/>
        </w:rPr>
        <w:t xml:space="preserve">El alcance del trabajo se refiere a los ejercicios 2017 y 2018 (cursos académicos 2017/2018 y 2018/2019), </w:t>
      </w:r>
      <w:r w:rsidR="000945EA">
        <w:rPr>
          <w:spacing w:val="6"/>
          <w:sz w:val="25"/>
          <w:szCs w:val="25"/>
          <w:lang w:eastAsia="es-ES"/>
        </w:rPr>
        <w:t xml:space="preserve">teniendo </w:t>
      </w:r>
      <w:r w:rsidRPr="008B175C">
        <w:rPr>
          <w:spacing w:val="6"/>
          <w:sz w:val="25"/>
          <w:szCs w:val="25"/>
          <w:lang w:eastAsia="es-ES"/>
        </w:rPr>
        <w:t>en cuenta aquella documentación, hechos y a</w:t>
      </w:r>
      <w:r w:rsidRPr="008B175C">
        <w:rPr>
          <w:spacing w:val="6"/>
          <w:sz w:val="25"/>
          <w:szCs w:val="25"/>
          <w:lang w:eastAsia="es-ES"/>
        </w:rPr>
        <w:t>c</w:t>
      </w:r>
      <w:r w:rsidRPr="008B175C">
        <w:rPr>
          <w:spacing w:val="6"/>
          <w:sz w:val="25"/>
          <w:szCs w:val="25"/>
          <w:lang w:eastAsia="es-ES"/>
        </w:rPr>
        <w:t xml:space="preserve">tuaciones que siendo anteriores o posteriores a dichos ejercicios, se </w:t>
      </w:r>
      <w:r w:rsidR="00E5095A" w:rsidRPr="008B175C">
        <w:rPr>
          <w:spacing w:val="6"/>
          <w:sz w:val="25"/>
          <w:szCs w:val="25"/>
          <w:lang w:eastAsia="es-ES"/>
        </w:rPr>
        <w:t xml:space="preserve">han </w:t>
      </w:r>
      <w:r w:rsidR="00BE523D" w:rsidRPr="008B175C">
        <w:rPr>
          <w:spacing w:val="6"/>
          <w:sz w:val="25"/>
          <w:szCs w:val="25"/>
          <w:lang w:eastAsia="es-ES"/>
        </w:rPr>
        <w:t>estimado</w:t>
      </w:r>
      <w:r w:rsidRPr="008B175C">
        <w:rPr>
          <w:spacing w:val="6"/>
          <w:sz w:val="25"/>
          <w:szCs w:val="25"/>
          <w:lang w:eastAsia="es-ES"/>
        </w:rPr>
        <w:t xml:space="preserve"> convenientes para el cumplimiento de los objetivos fijados en la fiscalización; re</w:t>
      </w:r>
      <w:r w:rsidRPr="008B175C">
        <w:rPr>
          <w:spacing w:val="6"/>
          <w:sz w:val="25"/>
          <w:szCs w:val="25"/>
          <w:lang w:eastAsia="es-ES"/>
        </w:rPr>
        <w:t>s</w:t>
      </w:r>
      <w:r w:rsidRPr="008B175C">
        <w:rPr>
          <w:spacing w:val="6"/>
          <w:sz w:val="25"/>
          <w:szCs w:val="25"/>
          <w:lang w:eastAsia="es-ES"/>
        </w:rPr>
        <w:t>pecto al grado de implantación de la contabilidad analítica y el cumplimiento de las recomendaciones</w:t>
      </w:r>
      <w:r w:rsidR="00741221">
        <w:rPr>
          <w:spacing w:val="6"/>
          <w:sz w:val="25"/>
          <w:szCs w:val="25"/>
          <w:lang w:eastAsia="es-ES"/>
        </w:rPr>
        <w:t>,</w:t>
      </w:r>
      <w:r w:rsidRPr="008B175C">
        <w:rPr>
          <w:spacing w:val="6"/>
          <w:sz w:val="25"/>
          <w:szCs w:val="25"/>
          <w:lang w:eastAsia="es-ES"/>
        </w:rPr>
        <w:t xml:space="preserve"> se</w:t>
      </w:r>
      <w:r w:rsidR="00BE523D" w:rsidRPr="008B175C">
        <w:rPr>
          <w:spacing w:val="6"/>
          <w:sz w:val="25"/>
          <w:szCs w:val="25"/>
          <w:lang w:eastAsia="es-ES"/>
        </w:rPr>
        <w:t xml:space="preserve"> han </w:t>
      </w:r>
      <w:r w:rsidR="000945EA">
        <w:rPr>
          <w:spacing w:val="6"/>
          <w:sz w:val="25"/>
          <w:szCs w:val="25"/>
          <w:lang w:eastAsia="es-ES"/>
        </w:rPr>
        <w:t>considerado todas la</w:t>
      </w:r>
      <w:r w:rsidR="00BE523D" w:rsidRPr="008B175C">
        <w:rPr>
          <w:spacing w:val="6"/>
          <w:sz w:val="25"/>
          <w:szCs w:val="25"/>
          <w:lang w:eastAsia="es-ES"/>
        </w:rPr>
        <w:t xml:space="preserve">s actuaciones </w:t>
      </w:r>
      <w:r w:rsidRPr="008B175C">
        <w:rPr>
          <w:spacing w:val="6"/>
          <w:sz w:val="25"/>
          <w:szCs w:val="25"/>
          <w:lang w:eastAsia="es-ES"/>
        </w:rPr>
        <w:t>realizad</w:t>
      </w:r>
      <w:r w:rsidR="00BE523D" w:rsidRPr="008B175C">
        <w:rPr>
          <w:spacing w:val="6"/>
          <w:sz w:val="25"/>
          <w:szCs w:val="25"/>
          <w:lang w:eastAsia="es-ES"/>
        </w:rPr>
        <w:t>a</w:t>
      </w:r>
      <w:r w:rsidRPr="008B175C">
        <w:rPr>
          <w:spacing w:val="6"/>
          <w:sz w:val="25"/>
          <w:szCs w:val="25"/>
          <w:lang w:eastAsia="es-ES"/>
        </w:rPr>
        <w:t xml:space="preserve">s hasta la fecha de elaboración de este informe. </w:t>
      </w:r>
    </w:p>
    <w:p w:rsidR="00414999" w:rsidRPr="00631CEA" w:rsidRDefault="00414999" w:rsidP="00F44C41">
      <w:pPr>
        <w:tabs>
          <w:tab w:val="left" w:pos="8647"/>
        </w:tabs>
        <w:spacing w:after="0"/>
        <w:ind w:right="283" w:firstLine="0"/>
        <w:jc w:val="left"/>
        <w:rPr>
          <w:spacing w:val="6"/>
          <w:sz w:val="26"/>
          <w:szCs w:val="26"/>
        </w:rPr>
      </w:pPr>
      <w:r w:rsidRPr="00631CEA">
        <w:rPr>
          <w:spacing w:val="6"/>
          <w:szCs w:val="26"/>
        </w:rPr>
        <w:br w:type="page"/>
      </w:r>
    </w:p>
    <w:p w:rsidR="00414999" w:rsidRPr="00631CEA" w:rsidRDefault="00414999" w:rsidP="00F44C41">
      <w:pPr>
        <w:pStyle w:val="atitulo1"/>
        <w:tabs>
          <w:tab w:val="left" w:pos="8647"/>
        </w:tabs>
        <w:ind w:right="283"/>
        <w:rPr>
          <w:spacing w:val="6"/>
        </w:rPr>
      </w:pPr>
      <w:bookmarkStart w:id="11" w:name="_Toc47614731"/>
      <w:bookmarkStart w:id="12" w:name="_Toc56752466"/>
      <w:bookmarkStart w:id="13" w:name="_Toc57285453"/>
      <w:r w:rsidRPr="00631CEA">
        <w:rPr>
          <w:spacing w:val="6"/>
        </w:rPr>
        <w:lastRenderedPageBreak/>
        <w:t>IV. Conclusiones y recomendaciones</w:t>
      </w:r>
      <w:bookmarkEnd w:id="11"/>
      <w:bookmarkEnd w:id="12"/>
      <w:bookmarkEnd w:id="13"/>
    </w:p>
    <w:p w:rsidR="00414999" w:rsidRPr="000337C0" w:rsidRDefault="00414999" w:rsidP="00F44C41">
      <w:pPr>
        <w:pStyle w:val="atitulo3"/>
        <w:tabs>
          <w:tab w:val="left" w:pos="8647"/>
        </w:tabs>
        <w:ind w:right="283"/>
        <w:rPr>
          <w:color w:val="auto"/>
          <w:spacing w:val="6"/>
        </w:rPr>
      </w:pPr>
      <w:r w:rsidRPr="000337C0">
        <w:rPr>
          <w:color w:val="auto"/>
          <w:spacing w:val="6"/>
        </w:rPr>
        <w:t>Responsabilidad de la Universidad Pública de Navarra</w:t>
      </w:r>
    </w:p>
    <w:p w:rsidR="00414999" w:rsidRDefault="00414999" w:rsidP="00D20463">
      <w:pPr>
        <w:pStyle w:val="texto"/>
        <w:spacing w:before="120" w:after="120"/>
        <w:rPr>
          <w:szCs w:val="26"/>
        </w:rPr>
      </w:pPr>
      <w:r>
        <w:rPr>
          <w:szCs w:val="26"/>
        </w:rPr>
        <w:t xml:space="preserve">La Gerencia, bajo la dirección del </w:t>
      </w:r>
      <w:r w:rsidR="00741221">
        <w:rPr>
          <w:szCs w:val="26"/>
        </w:rPr>
        <w:t>r</w:t>
      </w:r>
      <w:r>
        <w:rPr>
          <w:szCs w:val="26"/>
        </w:rPr>
        <w:t>ector, es responsable de la implantación de la contabilidad analítica en la universidad y del cumplimiento de las rec</w:t>
      </w:r>
      <w:r>
        <w:rPr>
          <w:szCs w:val="26"/>
        </w:rPr>
        <w:t>o</w:t>
      </w:r>
      <w:r>
        <w:rPr>
          <w:szCs w:val="26"/>
        </w:rPr>
        <w:t>mendaciones emitidas en el informe de fiscalización</w:t>
      </w:r>
      <w:r w:rsidR="00CE104B">
        <w:rPr>
          <w:szCs w:val="26"/>
        </w:rPr>
        <w:t>,</w:t>
      </w:r>
      <w:r>
        <w:rPr>
          <w:szCs w:val="26"/>
        </w:rPr>
        <w:t xml:space="preserve"> Universidad Pública de Navarra ejercicio 2017.</w:t>
      </w:r>
      <w:r w:rsidRPr="00121ADF">
        <w:rPr>
          <w:szCs w:val="26"/>
        </w:rPr>
        <w:t xml:space="preserve"> </w:t>
      </w:r>
    </w:p>
    <w:p w:rsidR="00414999" w:rsidRPr="00631CEA" w:rsidRDefault="00414999" w:rsidP="00D20463">
      <w:pPr>
        <w:pStyle w:val="texto"/>
        <w:spacing w:before="120" w:after="120"/>
        <w:rPr>
          <w:szCs w:val="26"/>
        </w:rPr>
      </w:pPr>
      <w:r>
        <w:rPr>
          <w:szCs w:val="26"/>
        </w:rPr>
        <w:t xml:space="preserve">Además, </w:t>
      </w:r>
      <w:r w:rsidRPr="008B175C">
        <w:rPr>
          <w:szCs w:val="26"/>
        </w:rPr>
        <w:t>la Gerencia debe garantizar que las actividades de gestión realiz</w:t>
      </w:r>
      <w:r w:rsidRPr="008B175C">
        <w:rPr>
          <w:szCs w:val="26"/>
        </w:rPr>
        <w:t>a</w:t>
      </w:r>
      <w:r w:rsidRPr="008B175C">
        <w:rPr>
          <w:szCs w:val="26"/>
        </w:rPr>
        <w:t xml:space="preserve">das para la implantación de </w:t>
      </w:r>
      <w:r>
        <w:rPr>
          <w:szCs w:val="26"/>
        </w:rPr>
        <w:t>la contabilidad analítica y para el cumplimiento de las recomendaciones del informe de fiscalización, Universidad Pública de N</w:t>
      </w:r>
      <w:r>
        <w:rPr>
          <w:szCs w:val="26"/>
        </w:rPr>
        <w:t>a</w:t>
      </w:r>
      <w:r>
        <w:rPr>
          <w:szCs w:val="26"/>
        </w:rPr>
        <w:t>varra</w:t>
      </w:r>
      <w:r w:rsidR="00767115">
        <w:rPr>
          <w:szCs w:val="26"/>
        </w:rPr>
        <w:t>,</w:t>
      </w:r>
      <w:r>
        <w:rPr>
          <w:szCs w:val="26"/>
        </w:rPr>
        <w:t xml:space="preserve"> ejercicio 2017, </w:t>
      </w:r>
      <w:r w:rsidRPr="00E5095A">
        <w:rPr>
          <w:szCs w:val="26"/>
        </w:rPr>
        <w:t xml:space="preserve">resultan conformes con las normas aplicables. </w:t>
      </w:r>
    </w:p>
    <w:p w:rsidR="00414999" w:rsidRPr="00631CEA" w:rsidRDefault="00414999" w:rsidP="00D20463">
      <w:pPr>
        <w:pStyle w:val="atitulo3"/>
        <w:tabs>
          <w:tab w:val="left" w:pos="8505"/>
          <w:tab w:val="left" w:pos="8647"/>
        </w:tabs>
        <w:spacing w:before="240"/>
        <w:ind w:right="284"/>
        <w:rPr>
          <w:spacing w:val="6"/>
        </w:rPr>
      </w:pPr>
      <w:r w:rsidRPr="00631CEA">
        <w:rPr>
          <w:spacing w:val="6"/>
        </w:rPr>
        <w:t>Responsabilidad de la Cámara de Comptos de Navarra</w:t>
      </w:r>
    </w:p>
    <w:p w:rsidR="00414999" w:rsidRDefault="00414999" w:rsidP="00D20463">
      <w:pPr>
        <w:pStyle w:val="texto"/>
        <w:tabs>
          <w:tab w:val="left" w:pos="8647"/>
        </w:tabs>
        <w:spacing w:before="120" w:after="120"/>
      </w:pPr>
      <w:r w:rsidRPr="00631CEA">
        <w:rPr>
          <w:szCs w:val="26"/>
        </w:rPr>
        <w:t xml:space="preserve">Nuestra responsabilidad es expresar </w:t>
      </w:r>
      <w:r>
        <w:t>una opinión basada en nuestra fiscaliz</w:t>
      </w:r>
      <w:r>
        <w:t>a</w:t>
      </w:r>
      <w:r>
        <w:t>ción en relación con el grado de implantación de la contabilidad analítica en la universidad y sobre el cumplimiento de las recomendaciones del informe de fiscalización, Universidad Pública de Navarra</w:t>
      </w:r>
      <w:r w:rsidR="00767115">
        <w:t>,</w:t>
      </w:r>
      <w:r>
        <w:t xml:space="preserve"> ejercicio 2017. </w:t>
      </w:r>
    </w:p>
    <w:p w:rsidR="00414999" w:rsidRPr="00631CEA" w:rsidRDefault="00414999" w:rsidP="00D20463">
      <w:pPr>
        <w:pStyle w:val="texto"/>
        <w:tabs>
          <w:tab w:val="left" w:pos="8647"/>
        </w:tabs>
        <w:spacing w:before="120" w:after="120"/>
        <w:rPr>
          <w:szCs w:val="26"/>
        </w:rPr>
      </w:pPr>
      <w:r w:rsidRPr="00631CEA">
        <w:rPr>
          <w:szCs w:val="26"/>
        </w:rPr>
        <w:t>Para ello, hemos llevado a cabo la misma de conformidad con los principios fundamentales de fiscalización de las Instituciones Públicas de Control E</w:t>
      </w:r>
      <w:r w:rsidRPr="00631CEA">
        <w:rPr>
          <w:szCs w:val="26"/>
        </w:rPr>
        <w:t>x</w:t>
      </w:r>
      <w:r w:rsidRPr="00631CEA">
        <w:rPr>
          <w:szCs w:val="26"/>
        </w:rPr>
        <w:t>terno, establecidos en las ISSAI-ES, aplicándose fundamentalmente la ISSAI-ES 200 y 400. Dichos principios y directrices exigen que cumplamos los requ</w:t>
      </w:r>
      <w:r w:rsidRPr="00631CEA">
        <w:rPr>
          <w:szCs w:val="26"/>
        </w:rPr>
        <w:t>e</w:t>
      </w:r>
      <w:r w:rsidRPr="00631CEA">
        <w:rPr>
          <w:szCs w:val="26"/>
        </w:rPr>
        <w:t>rimientos de ética, así como que planifiquemos y ejecutemos la fiscalización con el fin de obtener una seguridad razonable de que</w:t>
      </w:r>
      <w:r>
        <w:rPr>
          <w:szCs w:val="26"/>
        </w:rPr>
        <w:t xml:space="preserve"> </w:t>
      </w:r>
      <w:r w:rsidRPr="00631CEA">
        <w:rPr>
          <w:szCs w:val="26"/>
        </w:rPr>
        <w:t>la gestión de los recursos públicos resulte, en todos los aspectos significativos, conforme con la normat</w:t>
      </w:r>
      <w:r w:rsidRPr="00631CEA">
        <w:rPr>
          <w:szCs w:val="26"/>
        </w:rPr>
        <w:t>i</w:t>
      </w:r>
      <w:r w:rsidRPr="00631CEA">
        <w:rPr>
          <w:szCs w:val="26"/>
        </w:rPr>
        <w:t>va vigente.</w:t>
      </w:r>
    </w:p>
    <w:p w:rsidR="00414999" w:rsidRPr="00631CEA" w:rsidRDefault="00414999" w:rsidP="00D20463">
      <w:pPr>
        <w:pStyle w:val="texto"/>
        <w:tabs>
          <w:tab w:val="left" w:pos="8647"/>
        </w:tabs>
        <w:spacing w:before="120" w:after="120"/>
      </w:pPr>
      <w:r w:rsidRPr="00631CEA">
        <w:rPr>
          <w:szCs w:val="26"/>
        </w:rPr>
        <w:t>Una fiscalización requiere la aplicación de procedimientos para obtener ev</w:t>
      </w:r>
      <w:r w:rsidRPr="00631CEA">
        <w:rPr>
          <w:szCs w:val="26"/>
        </w:rPr>
        <w:t>i</w:t>
      </w:r>
      <w:r w:rsidRPr="00631CEA">
        <w:rPr>
          <w:szCs w:val="26"/>
        </w:rPr>
        <w:t>dencia de auditoría que fundamenten las conclusiones obtenidas. Consideramos que la evidencia de auditoría que hemos obtenido proporciona una base suf</w:t>
      </w:r>
      <w:r w:rsidRPr="00631CEA">
        <w:rPr>
          <w:szCs w:val="26"/>
        </w:rPr>
        <w:t>i</w:t>
      </w:r>
      <w:r w:rsidRPr="00631CEA">
        <w:rPr>
          <w:szCs w:val="26"/>
        </w:rPr>
        <w:t>ciente y adecuada para fundamentar las conclusiones alcanzadas.</w:t>
      </w:r>
    </w:p>
    <w:p w:rsidR="00414999" w:rsidRDefault="00414999" w:rsidP="00F44C41">
      <w:pPr>
        <w:tabs>
          <w:tab w:val="left" w:pos="8647"/>
        </w:tabs>
        <w:spacing w:after="0"/>
        <w:ind w:right="283" w:firstLine="0"/>
        <w:jc w:val="left"/>
        <w:rPr>
          <w:spacing w:val="6"/>
          <w:sz w:val="26"/>
          <w:szCs w:val="26"/>
        </w:rPr>
      </w:pPr>
      <w:r>
        <w:rPr>
          <w:spacing w:val="6"/>
          <w:sz w:val="26"/>
          <w:szCs w:val="26"/>
        </w:rPr>
        <w:br w:type="page"/>
      </w:r>
    </w:p>
    <w:p w:rsidR="00414999" w:rsidRDefault="00414999" w:rsidP="00F44C41">
      <w:pPr>
        <w:pStyle w:val="atitulo2"/>
        <w:tabs>
          <w:tab w:val="left" w:pos="8647"/>
        </w:tabs>
        <w:ind w:right="283"/>
        <w:rPr>
          <w:spacing w:val="6"/>
        </w:rPr>
      </w:pPr>
      <w:bookmarkStart w:id="14" w:name="_Toc47614734"/>
      <w:bookmarkStart w:id="15" w:name="_Toc56752467"/>
      <w:bookmarkStart w:id="16" w:name="_Toc57285454"/>
      <w:r w:rsidRPr="00631CEA">
        <w:rPr>
          <w:spacing w:val="6"/>
        </w:rPr>
        <w:lastRenderedPageBreak/>
        <w:t xml:space="preserve">IV.1. </w:t>
      </w:r>
      <w:bookmarkEnd w:id="14"/>
      <w:r w:rsidRPr="00631CEA">
        <w:rPr>
          <w:spacing w:val="6"/>
        </w:rPr>
        <w:t>Contabilidad analítica</w:t>
      </w:r>
      <w:bookmarkEnd w:id="15"/>
      <w:bookmarkEnd w:id="16"/>
    </w:p>
    <w:p w:rsidR="00414999" w:rsidRPr="00E5095A" w:rsidRDefault="00414999" w:rsidP="00F44C41">
      <w:pPr>
        <w:pStyle w:val="atitulo3"/>
        <w:tabs>
          <w:tab w:val="left" w:pos="8647"/>
        </w:tabs>
        <w:rPr>
          <w:rFonts w:eastAsia="Calibri"/>
          <w:color w:val="auto"/>
          <w:lang w:eastAsia="es-ES"/>
        </w:rPr>
      </w:pPr>
      <w:r w:rsidRPr="00E5095A">
        <w:rPr>
          <w:rFonts w:eastAsia="Calibri"/>
          <w:color w:val="auto"/>
          <w:lang w:eastAsia="es-ES"/>
        </w:rPr>
        <w:t>Marco legal</w:t>
      </w:r>
    </w:p>
    <w:p w:rsidR="00414999" w:rsidRPr="008B175C" w:rsidRDefault="00414999" w:rsidP="00D20463">
      <w:pPr>
        <w:tabs>
          <w:tab w:val="left" w:pos="8647"/>
        </w:tabs>
        <w:ind w:firstLine="284"/>
        <w:rPr>
          <w:rFonts w:eastAsia="Calibri"/>
          <w:spacing w:val="6"/>
          <w:sz w:val="26"/>
          <w:szCs w:val="26"/>
          <w:lang w:eastAsia="es-ES"/>
        </w:rPr>
      </w:pPr>
      <w:r w:rsidRPr="008E085C">
        <w:rPr>
          <w:rFonts w:eastAsia="Calibri"/>
          <w:spacing w:val="6"/>
          <w:sz w:val="26"/>
          <w:szCs w:val="26"/>
          <w:lang w:eastAsia="es-ES"/>
        </w:rPr>
        <w:t>El establecimiento por parte de la universidad de un sistema de contabilidad analítica está estrechamente vinculado con la relación existente entre el precio del servicio público universitario y su coste, con el modelo de financiación o</w:t>
      </w:r>
      <w:r w:rsidRPr="008E085C">
        <w:rPr>
          <w:rFonts w:eastAsia="Calibri"/>
          <w:spacing w:val="6"/>
          <w:sz w:val="26"/>
          <w:szCs w:val="26"/>
          <w:lang w:eastAsia="es-ES"/>
        </w:rPr>
        <w:t>r</w:t>
      </w:r>
      <w:r w:rsidRPr="008E085C">
        <w:rPr>
          <w:rFonts w:eastAsia="Calibri"/>
          <w:spacing w:val="6"/>
          <w:sz w:val="26"/>
          <w:szCs w:val="26"/>
          <w:lang w:eastAsia="es-ES"/>
        </w:rPr>
        <w:t xml:space="preserve">dinaria de las universidades y con </w:t>
      </w:r>
      <w:r w:rsidRPr="008B175C">
        <w:rPr>
          <w:rFonts w:eastAsia="Calibri"/>
          <w:spacing w:val="6"/>
          <w:sz w:val="26"/>
          <w:szCs w:val="26"/>
          <w:lang w:eastAsia="es-ES"/>
        </w:rPr>
        <w:t>la política de becas, ayudas y créditos para el estudiante universitario.</w:t>
      </w:r>
    </w:p>
    <w:p w:rsidR="00414999" w:rsidRPr="0084324C" w:rsidRDefault="00414999" w:rsidP="00981AF4">
      <w:pPr>
        <w:pStyle w:val="Prrafodelista"/>
        <w:numPr>
          <w:ilvl w:val="0"/>
          <w:numId w:val="17"/>
        </w:numPr>
        <w:tabs>
          <w:tab w:val="left" w:pos="426"/>
          <w:tab w:val="left" w:pos="567"/>
        </w:tabs>
        <w:spacing w:after="100"/>
        <w:ind w:left="0" w:firstLine="284"/>
        <w:contextualSpacing w:val="0"/>
        <w:rPr>
          <w:i/>
          <w:spacing w:val="6"/>
          <w:sz w:val="22"/>
          <w:szCs w:val="22"/>
          <w:lang w:eastAsia="es-ES"/>
        </w:rPr>
      </w:pPr>
      <w:r w:rsidRPr="00981AF4">
        <w:rPr>
          <w:spacing w:val="6"/>
          <w:sz w:val="26"/>
          <w:szCs w:val="26"/>
          <w:lang w:eastAsia="es-ES"/>
        </w:rPr>
        <w:t xml:space="preserve">La LOU estableció la relación precio y coste en su artículo 81, al disponer en su versión inicial que </w:t>
      </w:r>
      <w:r w:rsidRPr="0084324C">
        <w:rPr>
          <w:i/>
          <w:spacing w:val="6"/>
          <w:sz w:val="22"/>
          <w:szCs w:val="22"/>
          <w:lang w:eastAsia="es-ES"/>
        </w:rPr>
        <w:t xml:space="preserve">“los precios públicos y derechos los fijará la </w:t>
      </w:r>
      <w:r w:rsidR="00947029" w:rsidRPr="0084324C">
        <w:rPr>
          <w:i/>
          <w:spacing w:val="6"/>
          <w:sz w:val="22"/>
          <w:szCs w:val="22"/>
          <w:lang w:eastAsia="es-ES"/>
        </w:rPr>
        <w:t>C</w:t>
      </w:r>
      <w:r w:rsidRPr="0084324C">
        <w:rPr>
          <w:i/>
          <w:spacing w:val="6"/>
          <w:sz w:val="22"/>
          <w:szCs w:val="22"/>
          <w:lang w:eastAsia="es-ES"/>
        </w:rPr>
        <w:t xml:space="preserve">omunidad </w:t>
      </w:r>
      <w:r w:rsidR="00947029" w:rsidRPr="0084324C">
        <w:rPr>
          <w:i/>
          <w:spacing w:val="6"/>
          <w:sz w:val="22"/>
          <w:szCs w:val="22"/>
          <w:lang w:eastAsia="es-ES"/>
        </w:rPr>
        <w:t>A</w:t>
      </w:r>
      <w:r w:rsidRPr="0084324C">
        <w:rPr>
          <w:i/>
          <w:spacing w:val="6"/>
          <w:sz w:val="22"/>
          <w:szCs w:val="22"/>
          <w:lang w:eastAsia="es-ES"/>
        </w:rPr>
        <w:t>ut</w:t>
      </w:r>
      <w:r w:rsidRPr="0084324C">
        <w:rPr>
          <w:i/>
          <w:spacing w:val="6"/>
          <w:sz w:val="22"/>
          <w:szCs w:val="22"/>
          <w:lang w:eastAsia="es-ES"/>
        </w:rPr>
        <w:t>ó</w:t>
      </w:r>
      <w:r w:rsidRPr="0084324C">
        <w:rPr>
          <w:i/>
          <w:spacing w:val="6"/>
          <w:sz w:val="22"/>
          <w:szCs w:val="22"/>
          <w:lang w:eastAsia="es-ES"/>
        </w:rPr>
        <w:t>noma, dentro de los límites que establezca el Consejo de Coordinación Universitaria, que estarán relacionados con los costes de prestación del servicio”.</w:t>
      </w:r>
    </w:p>
    <w:p w:rsidR="00414999" w:rsidRPr="008E085C" w:rsidRDefault="00796389" w:rsidP="00D20463">
      <w:pPr>
        <w:tabs>
          <w:tab w:val="left" w:pos="8647"/>
        </w:tabs>
        <w:ind w:firstLine="284"/>
        <w:rPr>
          <w:rFonts w:eastAsia="Calibri"/>
          <w:spacing w:val="6"/>
          <w:sz w:val="26"/>
          <w:szCs w:val="26"/>
          <w:lang w:eastAsia="es-ES"/>
        </w:rPr>
      </w:pPr>
      <w:r>
        <w:rPr>
          <w:rFonts w:eastAsia="Calibri"/>
          <w:spacing w:val="6"/>
          <w:sz w:val="26"/>
          <w:szCs w:val="26"/>
          <w:lang w:eastAsia="es-ES"/>
        </w:rPr>
        <w:t>Hasta 2012, l</w:t>
      </w:r>
      <w:r w:rsidR="00414999">
        <w:rPr>
          <w:rFonts w:eastAsia="Calibri"/>
          <w:spacing w:val="6"/>
          <w:sz w:val="26"/>
          <w:szCs w:val="26"/>
          <w:lang w:eastAsia="es-ES"/>
        </w:rPr>
        <w:t>a Conferencia General de Política Universitaria</w:t>
      </w:r>
      <w:r w:rsidR="00414999">
        <w:rPr>
          <w:rStyle w:val="Refdenotaalpie"/>
          <w:rFonts w:eastAsia="Calibri"/>
          <w:spacing w:val="6"/>
          <w:sz w:val="26"/>
          <w:szCs w:val="26"/>
          <w:lang w:eastAsia="es-ES"/>
        </w:rPr>
        <w:footnoteReference w:id="1"/>
      </w:r>
      <w:r w:rsidR="00414999">
        <w:rPr>
          <w:rFonts w:eastAsia="Calibri"/>
          <w:spacing w:val="6"/>
          <w:sz w:val="26"/>
          <w:szCs w:val="26"/>
          <w:lang w:eastAsia="es-ES"/>
        </w:rPr>
        <w:t xml:space="preserve"> fijaba anua</w:t>
      </w:r>
      <w:r w:rsidR="00414999">
        <w:rPr>
          <w:rFonts w:eastAsia="Calibri"/>
          <w:spacing w:val="6"/>
          <w:sz w:val="26"/>
          <w:szCs w:val="26"/>
          <w:lang w:eastAsia="es-ES"/>
        </w:rPr>
        <w:t>l</w:t>
      </w:r>
      <w:r w:rsidR="00414999">
        <w:rPr>
          <w:rFonts w:eastAsia="Calibri"/>
          <w:spacing w:val="6"/>
          <w:sz w:val="26"/>
          <w:szCs w:val="26"/>
          <w:lang w:eastAsia="es-ES"/>
        </w:rPr>
        <w:t xml:space="preserve">mente una horquilla de incremento de precios </w:t>
      </w:r>
      <w:r>
        <w:rPr>
          <w:rFonts w:eastAsia="Calibri"/>
          <w:spacing w:val="6"/>
          <w:sz w:val="26"/>
          <w:szCs w:val="26"/>
          <w:lang w:eastAsia="es-ES"/>
        </w:rPr>
        <w:t xml:space="preserve">respecto del curso anterior </w:t>
      </w:r>
      <w:r w:rsidR="00414999">
        <w:rPr>
          <w:rFonts w:eastAsia="Calibri"/>
          <w:spacing w:val="6"/>
          <w:sz w:val="26"/>
          <w:szCs w:val="26"/>
          <w:lang w:eastAsia="es-ES"/>
        </w:rPr>
        <w:t xml:space="preserve">y cada </w:t>
      </w:r>
      <w:r w:rsidR="00964B53">
        <w:rPr>
          <w:rFonts w:eastAsia="Calibri"/>
          <w:spacing w:val="6"/>
          <w:sz w:val="26"/>
          <w:szCs w:val="26"/>
          <w:lang w:eastAsia="es-ES"/>
        </w:rPr>
        <w:t>c</w:t>
      </w:r>
      <w:r w:rsidR="00414999">
        <w:rPr>
          <w:rFonts w:eastAsia="Calibri"/>
          <w:spacing w:val="6"/>
          <w:sz w:val="26"/>
          <w:szCs w:val="26"/>
          <w:lang w:eastAsia="es-ES"/>
        </w:rPr>
        <w:t xml:space="preserve">omunidad </w:t>
      </w:r>
      <w:r w:rsidR="00964B53">
        <w:rPr>
          <w:rFonts w:eastAsia="Calibri"/>
          <w:spacing w:val="6"/>
          <w:sz w:val="26"/>
          <w:szCs w:val="26"/>
          <w:lang w:eastAsia="es-ES"/>
        </w:rPr>
        <w:t>a</w:t>
      </w:r>
      <w:r w:rsidR="00414999">
        <w:rPr>
          <w:rFonts w:eastAsia="Calibri"/>
          <w:spacing w:val="6"/>
          <w:sz w:val="26"/>
          <w:szCs w:val="26"/>
          <w:lang w:eastAsia="es-ES"/>
        </w:rPr>
        <w:t>utónoma escogía el incremento que deseaba aplicar a los precios públicos, dentro de los márgenes establecidos.</w:t>
      </w:r>
    </w:p>
    <w:p w:rsidR="00414999" w:rsidRDefault="00414999" w:rsidP="00D20463">
      <w:pPr>
        <w:tabs>
          <w:tab w:val="left" w:pos="8647"/>
        </w:tabs>
        <w:ind w:firstLine="284"/>
        <w:rPr>
          <w:rFonts w:eastAsia="Calibri"/>
          <w:spacing w:val="6"/>
          <w:sz w:val="26"/>
          <w:szCs w:val="26"/>
          <w:lang w:eastAsia="es-ES"/>
        </w:rPr>
      </w:pPr>
      <w:r w:rsidRPr="00D87D91">
        <w:rPr>
          <w:rFonts w:eastAsia="Calibri"/>
          <w:spacing w:val="6"/>
          <w:sz w:val="26"/>
          <w:szCs w:val="26"/>
          <w:lang w:eastAsia="es-ES"/>
        </w:rPr>
        <w:t>El Real Decreto-ley 14/2012, de 20 de abril, de medidas urgentes de racion</w:t>
      </w:r>
      <w:r w:rsidRPr="00D87D91">
        <w:rPr>
          <w:rFonts w:eastAsia="Calibri"/>
          <w:spacing w:val="6"/>
          <w:sz w:val="26"/>
          <w:szCs w:val="26"/>
          <w:lang w:eastAsia="es-ES"/>
        </w:rPr>
        <w:t>a</w:t>
      </w:r>
      <w:r w:rsidRPr="00D87D91">
        <w:rPr>
          <w:rFonts w:eastAsia="Calibri"/>
          <w:spacing w:val="6"/>
          <w:sz w:val="26"/>
          <w:szCs w:val="26"/>
          <w:lang w:eastAsia="es-ES"/>
        </w:rPr>
        <w:t xml:space="preserve">lización del gasto público en el ámbito educativo, modificó el artículo 81.3 b) de la LOU, </w:t>
      </w:r>
      <w:r w:rsidR="00767115" w:rsidRPr="00D87D91">
        <w:rPr>
          <w:rFonts w:eastAsia="Calibri"/>
          <w:spacing w:val="6"/>
          <w:sz w:val="26"/>
          <w:szCs w:val="26"/>
          <w:lang w:eastAsia="es-ES"/>
        </w:rPr>
        <w:t>añadiendo</w:t>
      </w:r>
      <w:r w:rsidRPr="00D87D91">
        <w:rPr>
          <w:rFonts w:eastAsia="Calibri"/>
          <w:spacing w:val="6"/>
          <w:sz w:val="26"/>
          <w:szCs w:val="26"/>
          <w:lang w:eastAsia="es-ES"/>
        </w:rPr>
        <w:t xml:space="preserve"> a lo dispuesto anteriormente, los márgenes dentro de los cuales los precios públicos habrían de cubrir los costes en las Enseñanzas d</w:t>
      </w:r>
      <w:r>
        <w:rPr>
          <w:rFonts w:eastAsia="Calibri"/>
          <w:spacing w:val="6"/>
          <w:sz w:val="26"/>
          <w:szCs w:val="26"/>
          <w:lang w:eastAsia="es-ES"/>
        </w:rPr>
        <w:t>e Grado y Master:</w:t>
      </w:r>
    </w:p>
    <w:p w:rsidR="00414999" w:rsidRPr="00741FF5" w:rsidRDefault="00414999" w:rsidP="00D20463">
      <w:pPr>
        <w:widowControl w:val="0"/>
        <w:tabs>
          <w:tab w:val="left" w:pos="8647"/>
        </w:tabs>
        <w:ind w:firstLine="284"/>
        <w:rPr>
          <w:rFonts w:eastAsia="Calibri"/>
          <w:i/>
          <w:spacing w:val="6"/>
          <w:sz w:val="22"/>
          <w:szCs w:val="22"/>
          <w:lang w:eastAsia="es-ES"/>
        </w:rPr>
      </w:pPr>
      <w:r w:rsidRPr="00741FF5">
        <w:rPr>
          <w:rFonts w:eastAsia="Calibri"/>
          <w:i/>
          <w:spacing w:val="6"/>
          <w:sz w:val="22"/>
          <w:szCs w:val="22"/>
          <w:lang w:eastAsia="es-ES"/>
        </w:rPr>
        <w:t>1.º Enseñanzas de Grado: los precios públicos cubrirán entre el 15 por 100 y el 25 por 100 de los costes en primera matrícula; entre el 30 por 100 y el 40 por 100 de los costes en segunda matrícula; entre el 65 por 100 y el 75 por 100 de los costes en la tercera matrícula; y entre el 90 por 100 y el 100 por 100 de los costes a partir de la cuarta matrícula.</w:t>
      </w:r>
    </w:p>
    <w:p w:rsidR="00414999" w:rsidRPr="00741FF5" w:rsidRDefault="00414999" w:rsidP="00D20463">
      <w:pPr>
        <w:widowControl w:val="0"/>
        <w:tabs>
          <w:tab w:val="left" w:pos="8647"/>
        </w:tabs>
        <w:ind w:firstLine="284"/>
        <w:rPr>
          <w:rFonts w:eastAsia="Calibri"/>
          <w:i/>
          <w:spacing w:val="6"/>
          <w:sz w:val="22"/>
          <w:szCs w:val="22"/>
          <w:lang w:eastAsia="es-ES"/>
        </w:rPr>
      </w:pPr>
      <w:r w:rsidRPr="00741FF5">
        <w:rPr>
          <w:rFonts w:eastAsia="Calibri"/>
          <w:i/>
          <w:spacing w:val="6"/>
          <w:sz w:val="22"/>
          <w:szCs w:val="22"/>
          <w:lang w:eastAsia="es-ES"/>
        </w:rPr>
        <w:t>2.º Enseñanzas de Máster que habiliten para el ejercicio de actividades profesionales r</w:t>
      </w:r>
      <w:r w:rsidRPr="00741FF5">
        <w:rPr>
          <w:rFonts w:eastAsia="Calibri"/>
          <w:i/>
          <w:spacing w:val="6"/>
          <w:sz w:val="22"/>
          <w:szCs w:val="22"/>
          <w:lang w:eastAsia="es-ES"/>
        </w:rPr>
        <w:t>e</w:t>
      </w:r>
      <w:r w:rsidRPr="00741FF5">
        <w:rPr>
          <w:rFonts w:eastAsia="Calibri"/>
          <w:i/>
          <w:spacing w:val="6"/>
          <w:sz w:val="22"/>
          <w:szCs w:val="22"/>
          <w:lang w:eastAsia="es-ES"/>
        </w:rPr>
        <w:t>guladas en España: los precios públicos cubrirán entre el 15 por 100 y el 25 por 100 de los costes en primera matrícula; entre el 30 por 100 y el 40 por 100 de los costes en segunda matrícula; entre el 65 por 100 y el 75 por 100 de los costes en la tercera matrícula; y entre el 90 por 100 y el 100 por 100 de los costes a partir de la cuarta matrícula.</w:t>
      </w:r>
    </w:p>
    <w:p w:rsidR="00414999" w:rsidRPr="00741FF5" w:rsidRDefault="00414999" w:rsidP="00D20463">
      <w:pPr>
        <w:widowControl w:val="0"/>
        <w:tabs>
          <w:tab w:val="left" w:pos="8647"/>
        </w:tabs>
        <w:ind w:firstLine="284"/>
        <w:rPr>
          <w:rFonts w:eastAsia="Calibri"/>
          <w:i/>
          <w:spacing w:val="6"/>
          <w:sz w:val="22"/>
          <w:szCs w:val="22"/>
          <w:lang w:eastAsia="es-ES"/>
        </w:rPr>
      </w:pPr>
      <w:r w:rsidRPr="00741FF5">
        <w:rPr>
          <w:rFonts w:eastAsia="Calibri"/>
          <w:i/>
          <w:spacing w:val="6"/>
          <w:sz w:val="22"/>
          <w:szCs w:val="22"/>
          <w:lang w:eastAsia="es-ES"/>
        </w:rPr>
        <w:t>3.º Enseñanzas de Máster no comprendidas en el número anterior: los precios públicos cubrirán entre el 40 por 100 y el 50 por 100 de los costes en primera matrícula; y entre el 65 por 100 y el 75 por 100 de los costes a partir de la segunda matrícula.</w:t>
      </w:r>
    </w:p>
    <w:p w:rsidR="00414999" w:rsidRDefault="00414999" w:rsidP="002F4D81">
      <w:pPr>
        <w:ind w:firstLine="284"/>
        <w:rPr>
          <w:rFonts w:eastAsia="Calibri"/>
          <w:spacing w:val="6"/>
          <w:sz w:val="26"/>
          <w:szCs w:val="26"/>
          <w:lang w:eastAsia="es-ES"/>
        </w:rPr>
      </w:pPr>
      <w:r>
        <w:rPr>
          <w:rFonts w:eastAsia="Calibri"/>
          <w:spacing w:val="6"/>
          <w:sz w:val="26"/>
          <w:szCs w:val="26"/>
          <w:lang w:eastAsia="es-ES"/>
        </w:rPr>
        <w:t xml:space="preserve">Posteriormente, la Ley 3/2017, de 27 de junio, de Presupuestos Generales del Estado para el año 2017 </w:t>
      </w:r>
      <w:r w:rsidR="00964B53" w:rsidRPr="00451A80">
        <w:rPr>
          <w:rFonts w:eastAsia="Calibri"/>
          <w:spacing w:val="6"/>
          <w:sz w:val="26"/>
          <w:szCs w:val="26"/>
          <w:lang w:eastAsia="es-ES"/>
        </w:rPr>
        <w:t>modificó</w:t>
      </w:r>
      <w:r>
        <w:rPr>
          <w:rFonts w:eastAsia="Calibri"/>
          <w:spacing w:val="6"/>
          <w:sz w:val="26"/>
          <w:szCs w:val="26"/>
          <w:lang w:eastAsia="es-ES"/>
        </w:rPr>
        <w:t xml:space="preserve"> la franja de costes en las enseñanzas de má</w:t>
      </w:r>
      <w:r>
        <w:rPr>
          <w:rFonts w:eastAsia="Calibri"/>
          <w:spacing w:val="6"/>
          <w:sz w:val="26"/>
          <w:szCs w:val="26"/>
          <w:lang w:eastAsia="es-ES"/>
        </w:rPr>
        <w:t>s</w:t>
      </w:r>
      <w:r>
        <w:rPr>
          <w:rFonts w:eastAsia="Calibri"/>
          <w:spacing w:val="6"/>
          <w:sz w:val="26"/>
          <w:szCs w:val="26"/>
          <w:lang w:eastAsia="es-ES"/>
        </w:rPr>
        <w:t xml:space="preserve">ter no habilitantes para el ejercicio de actividades profesionales, señalando que </w:t>
      </w:r>
      <w:r w:rsidR="00A363FE" w:rsidRPr="002F4D81">
        <w:rPr>
          <w:rFonts w:eastAsia="Calibri"/>
          <w:spacing w:val="6"/>
          <w:sz w:val="22"/>
          <w:szCs w:val="22"/>
          <w:lang w:eastAsia="es-ES"/>
        </w:rPr>
        <w:t>“</w:t>
      </w:r>
      <w:r w:rsidRPr="002F4D81">
        <w:rPr>
          <w:rFonts w:eastAsia="Calibri"/>
          <w:i/>
          <w:spacing w:val="6"/>
          <w:sz w:val="22"/>
          <w:szCs w:val="22"/>
          <w:lang w:eastAsia="es-ES"/>
        </w:rPr>
        <w:t>los precios públicos cubrirán el 15 y el 50 por ciento de los costes en primera matrícula; entre el 30 y el 65 por ciento en segunda y entre el 65 y el 100 por ciento a partir de la te</w:t>
      </w:r>
      <w:r w:rsidRPr="002F4D81">
        <w:rPr>
          <w:rFonts w:eastAsia="Calibri"/>
          <w:i/>
          <w:spacing w:val="6"/>
          <w:sz w:val="22"/>
          <w:szCs w:val="22"/>
          <w:lang w:eastAsia="es-ES"/>
        </w:rPr>
        <w:t>r</w:t>
      </w:r>
      <w:r w:rsidRPr="002F4D81">
        <w:rPr>
          <w:rFonts w:eastAsia="Calibri"/>
          <w:i/>
          <w:spacing w:val="6"/>
          <w:sz w:val="22"/>
          <w:szCs w:val="22"/>
          <w:lang w:eastAsia="es-ES"/>
        </w:rPr>
        <w:lastRenderedPageBreak/>
        <w:t>cera</w:t>
      </w:r>
      <w:r w:rsidR="00A363FE" w:rsidRPr="00A363FE">
        <w:rPr>
          <w:rFonts w:eastAsia="Calibri"/>
          <w:i/>
          <w:spacing w:val="6"/>
          <w:sz w:val="26"/>
          <w:szCs w:val="26"/>
          <w:lang w:eastAsia="es-ES"/>
        </w:rPr>
        <w:t>”</w:t>
      </w:r>
      <w:r>
        <w:rPr>
          <w:rFonts w:eastAsia="Calibri"/>
          <w:spacing w:val="6"/>
          <w:sz w:val="26"/>
          <w:szCs w:val="26"/>
          <w:lang w:eastAsia="es-ES"/>
        </w:rPr>
        <w:t>, y la Ley 6/2018, de 3 de julio, de Presupuestos Generales del Estado para el año 2018, suprimió el porcentaje mínimo de cobertura del coste del grado en primera matrícula, pasando del 15 al cero por ciento.</w:t>
      </w:r>
    </w:p>
    <w:p w:rsidR="00414999" w:rsidRPr="00C1115D" w:rsidRDefault="00414999" w:rsidP="002F4D81">
      <w:pPr>
        <w:tabs>
          <w:tab w:val="left" w:pos="8647"/>
        </w:tabs>
        <w:ind w:firstLine="284"/>
        <w:rPr>
          <w:rFonts w:eastAsia="Calibri"/>
          <w:spacing w:val="6"/>
          <w:sz w:val="26"/>
          <w:szCs w:val="26"/>
          <w:lang w:eastAsia="es-ES"/>
        </w:rPr>
      </w:pPr>
      <w:r>
        <w:rPr>
          <w:rFonts w:eastAsia="Calibri"/>
          <w:spacing w:val="6"/>
          <w:sz w:val="26"/>
          <w:szCs w:val="26"/>
          <w:lang w:eastAsia="es-ES"/>
        </w:rPr>
        <w:t>Por último, debemos señalar que ante la situación socioeconómica provocada por la COVID</w:t>
      </w:r>
      <w:r w:rsidR="00947029">
        <w:rPr>
          <w:rFonts w:eastAsia="Calibri"/>
          <w:spacing w:val="6"/>
          <w:sz w:val="26"/>
          <w:szCs w:val="26"/>
          <w:lang w:eastAsia="es-ES"/>
        </w:rPr>
        <w:t>-</w:t>
      </w:r>
      <w:r>
        <w:rPr>
          <w:rFonts w:eastAsia="Calibri"/>
          <w:spacing w:val="6"/>
          <w:sz w:val="26"/>
          <w:szCs w:val="26"/>
          <w:lang w:eastAsia="es-ES"/>
        </w:rPr>
        <w:t>19</w:t>
      </w:r>
      <w:r w:rsidR="00464001">
        <w:rPr>
          <w:rFonts w:eastAsia="Calibri"/>
          <w:spacing w:val="6"/>
          <w:sz w:val="26"/>
          <w:szCs w:val="26"/>
          <w:lang w:eastAsia="es-ES"/>
        </w:rPr>
        <w:t>,</w:t>
      </w:r>
      <w:r>
        <w:rPr>
          <w:rFonts w:eastAsia="Calibri"/>
          <w:spacing w:val="6"/>
          <w:sz w:val="26"/>
          <w:szCs w:val="26"/>
          <w:lang w:eastAsia="es-ES"/>
        </w:rPr>
        <w:t xml:space="preserve"> se adoptan medidas urgentes para modificar el sistema de precios públicos universitarios con vistas al curso 2020-2021. La disposición final </w:t>
      </w:r>
      <w:r w:rsidR="00947029">
        <w:rPr>
          <w:rFonts w:eastAsia="Calibri"/>
          <w:spacing w:val="6"/>
          <w:sz w:val="26"/>
          <w:szCs w:val="26"/>
          <w:lang w:eastAsia="es-ES"/>
        </w:rPr>
        <w:t xml:space="preserve">sexta </w:t>
      </w:r>
      <w:r>
        <w:rPr>
          <w:rFonts w:eastAsia="Calibri"/>
          <w:spacing w:val="6"/>
          <w:sz w:val="26"/>
          <w:szCs w:val="26"/>
          <w:lang w:eastAsia="es-ES"/>
        </w:rPr>
        <w:t xml:space="preserve">del Real Decreto-ley </w:t>
      </w:r>
      <w:r w:rsidRPr="00350888">
        <w:rPr>
          <w:rFonts w:eastAsia="Calibri"/>
          <w:spacing w:val="6"/>
          <w:sz w:val="26"/>
          <w:szCs w:val="26"/>
          <w:lang w:eastAsia="es-ES"/>
        </w:rPr>
        <w:t xml:space="preserve">17/2020, de 5 de mayo, </w:t>
      </w:r>
      <w:r w:rsidR="00947029">
        <w:rPr>
          <w:rFonts w:eastAsia="Calibri"/>
          <w:spacing w:val="6"/>
          <w:sz w:val="26"/>
          <w:szCs w:val="26"/>
          <w:lang w:eastAsia="es-ES"/>
        </w:rPr>
        <w:t>por el que se aprueban medidas de apoyo al sector cultural y de carácter tributario para hacer frente al impacto económico y social del COVID-19</w:t>
      </w:r>
      <w:r>
        <w:rPr>
          <w:rFonts w:eastAsia="Calibri"/>
          <w:spacing w:val="6"/>
          <w:sz w:val="26"/>
          <w:szCs w:val="26"/>
          <w:lang w:eastAsia="es-ES"/>
        </w:rPr>
        <w:t>, elimina el sistema de horquillas y redacta el artículo 81.3.b)</w:t>
      </w:r>
      <w:r w:rsidRPr="00C1115D">
        <w:rPr>
          <w:rFonts w:eastAsia="Calibri"/>
          <w:spacing w:val="6"/>
          <w:sz w:val="26"/>
          <w:szCs w:val="26"/>
          <w:lang w:eastAsia="es-ES"/>
        </w:rPr>
        <w:t xml:space="preserve"> como sigue:</w:t>
      </w:r>
    </w:p>
    <w:p w:rsidR="00414999" w:rsidRPr="00424A34" w:rsidRDefault="00414999" w:rsidP="002F4D81">
      <w:pPr>
        <w:tabs>
          <w:tab w:val="left" w:pos="8647"/>
        </w:tabs>
        <w:spacing w:line="100" w:lineRule="atLeast"/>
        <w:ind w:left="142" w:firstLine="425"/>
        <w:rPr>
          <w:rFonts w:eastAsia="Calibri"/>
          <w:i/>
          <w:spacing w:val="6"/>
          <w:sz w:val="22"/>
          <w:szCs w:val="22"/>
          <w:lang w:eastAsia="es-ES"/>
        </w:rPr>
      </w:pPr>
      <w:r w:rsidRPr="00424A34">
        <w:rPr>
          <w:rFonts w:eastAsia="Calibri"/>
          <w:i/>
          <w:spacing w:val="6"/>
          <w:sz w:val="22"/>
          <w:szCs w:val="22"/>
          <w:lang w:eastAsia="es-ES"/>
        </w:rPr>
        <w:t>«b). En el caso de estudios conducentes a la obtención de títulos de carácter oficial y validez en todo el territorio nacional, los precios públicos y derechos los fijará la Comun</w:t>
      </w:r>
      <w:r w:rsidRPr="00424A34">
        <w:rPr>
          <w:rFonts w:eastAsia="Calibri"/>
          <w:i/>
          <w:spacing w:val="6"/>
          <w:sz w:val="22"/>
          <w:szCs w:val="22"/>
          <w:lang w:eastAsia="es-ES"/>
        </w:rPr>
        <w:t>i</w:t>
      </w:r>
      <w:r w:rsidRPr="00424A34">
        <w:rPr>
          <w:rFonts w:eastAsia="Calibri"/>
          <w:i/>
          <w:spacing w:val="6"/>
          <w:sz w:val="22"/>
          <w:szCs w:val="22"/>
          <w:lang w:eastAsia="es-ES"/>
        </w:rPr>
        <w:t>dad Autónoma, dentro de los límites máximos que establezca la Conferencia General de Política Universitaria, y que estarán relacionados con los costes de prestación del serv</w:t>
      </w:r>
      <w:r w:rsidRPr="00424A34">
        <w:rPr>
          <w:rFonts w:eastAsia="Calibri"/>
          <w:i/>
          <w:spacing w:val="6"/>
          <w:sz w:val="22"/>
          <w:szCs w:val="22"/>
          <w:lang w:eastAsia="es-ES"/>
        </w:rPr>
        <w:t>i</w:t>
      </w:r>
      <w:r w:rsidRPr="00424A34">
        <w:rPr>
          <w:rFonts w:eastAsia="Calibri"/>
          <w:i/>
          <w:spacing w:val="6"/>
          <w:sz w:val="22"/>
          <w:szCs w:val="22"/>
          <w:lang w:eastAsia="es-ES"/>
        </w:rPr>
        <w:t>cio.</w:t>
      </w:r>
    </w:p>
    <w:p w:rsidR="00414999" w:rsidRDefault="00414999" w:rsidP="002F4D81">
      <w:pPr>
        <w:tabs>
          <w:tab w:val="left" w:pos="8647"/>
        </w:tabs>
        <w:spacing w:line="100" w:lineRule="atLeast"/>
        <w:ind w:left="142" w:firstLine="425"/>
        <w:rPr>
          <w:rFonts w:eastAsia="Calibri"/>
          <w:i/>
          <w:spacing w:val="6"/>
          <w:sz w:val="22"/>
          <w:szCs w:val="22"/>
          <w:lang w:eastAsia="es-ES"/>
        </w:rPr>
      </w:pPr>
      <w:r w:rsidRPr="00424A34">
        <w:rPr>
          <w:rFonts w:eastAsia="Calibri"/>
          <w:i/>
          <w:spacing w:val="6"/>
          <w:sz w:val="22"/>
          <w:szCs w:val="22"/>
          <w:lang w:eastAsia="es-ES"/>
        </w:rPr>
        <w:t>Asimismo, se consignarán las compensaciones correspondientes a los importes deriv</w:t>
      </w:r>
      <w:r w:rsidRPr="00424A34">
        <w:rPr>
          <w:rFonts w:eastAsia="Calibri"/>
          <w:i/>
          <w:spacing w:val="6"/>
          <w:sz w:val="22"/>
          <w:szCs w:val="22"/>
          <w:lang w:eastAsia="es-ES"/>
        </w:rPr>
        <w:t>a</w:t>
      </w:r>
      <w:r w:rsidRPr="00424A34">
        <w:rPr>
          <w:rFonts w:eastAsia="Calibri"/>
          <w:i/>
          <w:spacing w:val="6"/>
          <w:sz w:val="22"/>
          <w:szCs w:val="22"/>
          <w:lang w:eastAsia="es-ES"/>
        </w:rPr>
        <w:t>dos de las exenciones y reducciones que legalmente se dispongan en materia de precios públicos y demás derechos.»</w:t>
      </w:r>
    </w:p>
    <w:p w:rsidR="00414999" w:rsidRDefault="00414999" w:rsidP="002F4D81">
      <w:pPr>
        <w:tabs>
          <w:tab w:val="left" w:pos="8647"/>
        </w:tabs>
        <w:ind w:firstLine="284"/>
        <w:rPr>
          <w:rFonts w:eastAsia="Calibri"/>
          <w:spacing w:val="6"/>
          <w:sz w:val="26"/>
          <w:szCs w:val="26"/>
          <w:lang w:eastAsia="es-ES"/>
        </w:rPr>
      </w:pPr>
      <w:r w:rsidRPr="004B73D5">
        <w:rPr>
          <w:rFonts w:eastAsia="Calibri"/>
          <w:spacing w:val="6"/>
          <w:sz w:val="26"/>
          <w:szCs w:val="26"/>
          <w:lang w:eastAsia="es-ES"/>
        </w:rPr>
        <w:t>E</w:t>
      </w:r>
      <w:r>
        <w:rPr>
          <w:rFonts w:eastAsia="Calibri"/>
          <w:spacing w:val="6"/>
          <w:sz w:val="26"/>
          <w:szCs w:val="26"/>
          <w:lang w:eastAsia="es-ES"/>
        </w:rPr>
        <w:t>l 27 de</w:t>
      </w:r>
      <w:r w:rsidRPr="004B73D5">
        <w:rPr>
          <w:rFonts w:eastAsia="Calibri"/>
          <w:spacing w:val="6"/>
          <w:sz w:val="26"/>
          <w:szCs w:val="26"/>
          <w:lang w:eastAsia="es-ES"/>
        </w:rPr>
        <w:t xml:space="preserve"> mayo de 2020, la Conferencia General de Política Universitaria </w:t>
      </w:r>
      <w:r>
        <w:rPr>
          <w:rFonts w:eastAsia="Calibri"/>
          <w:spacing w:val="6"/>
          <w:sz w:val="26"/>
          <w:szCs w:val="26"/>
          <w:lang w:eastAsia="es-ES"/>
        </w:rPr>
        <w:t>ac</w:t>
      </w:r>
      <w:r w:rsidR="00796389">
        <w:rPr>
          <w:rFonts w:eastAsia="Calibri"/>
          <w:spacing w:val="6"/>
          <w:sz w:val="26"/>
          <w:szCs w:val="26"/>
          <w:lang w:eastAsia="es-ES"/>
        </w:rPr>
        <w:t>uerda</w:t>
      </w:r>
      <w:r w:rsidRPr="004B73D5">
        <w:rPr>
          <w:rFonts w:eastAsia="Calibri"/>
          <w:spacing w:val="6"/>
          <w:sz w:val="26"/>
          <w:szCs w:val="26"/>
          <w:lang w:eastAsia="es-ES"/>
        </w:rPr>
        <w:t xml:space="preserve"> reducir los precios en primera matrícula </w:t>
      </w:r>
      <w:r w:rsidR="00796389">
        <w:rPr>
          <w:rFonts w:eastAsia="Calibri"/>
          <w:spacing w:val="6"/>
          <w:sz w:val="26"/>
          <w:szCs w:val="26"/>
          <w:lang w:eastAsia="es-ES"/>
        </w:rPr>
        <w:t>de grado tomando como ref</w:t>
      </w:r>
      <w:r w:rsidR="00796389">
        <w:rPr>
          <w:rFonts w:eastAsia="Calibri"/>
          <w:spacing w:val="6"/>
          <w:sz w:val="26"/>
          <w:szCs w:val="26"/>
          <w:lang w:eastAsia="es-ES"/>
        </w:rPr>
        <w:t>e</w:t>
      </w:r>
      <w:r w:rsidR="00796389">
        <w:rPr>
          <w:rFonts w:eastAsia="Calibri"/>
          <w:spacing w:val="6"/>
          <w:sz w:val="26"/>
          <w:szCs w:val="26"/>
          <w:lang w:eastAsia="es-ES"/>
        </w:rPr>
        <w:t>rencia los precios medios existentes en el curso 2011/2012 y</w:t>
      </w:r>
      <w:r>
        <w:rPr>
          <w:rFonts w:eastAsia="Calibri"/>
          <w:spacing w:val="6"/>
          <w:sz w:val="26"/>
          <w:szCs w:val="26"/>
          <w:lang w:eastAsia="es-ES"/>
        </w:rPr>
        <w:t xml:space="preserve"> fijar </w:t>
      </w:r>
      <w:r w:rsidR="00796389">
        <w:rPr>
          <w:rFonts w:eastAsia="Calibri"/>
          <w:spacing w:val="6"/>
          <w:sz w:val="26"/>
          <w:szCs w:val="26"/>
          <w:lang w:eastAsia="es-ES"/>
        </w:rPr>
        <w:t xml:space="preserve">que </w:t>
      </w:r>
      <w:r>
        <w:rPr>
          <w:rFonts w:eastAsia="Calibri"/>
          <w:spacing w:val="6"/>
          <w:sz w:val="26"/>
          <w:szCs w:val="26"/>
          <w:lang w:eastAsia="es-ES"/>
        </w:rPr>
        <w:t>los pr</w:t>
      </w:r>
      <w:r>
        <w:rPr>
          <w:rFonts w:eastAsia="Calibri"/>
          <w:spacing w:val="6"/>
          <w:sz w:val="26"/>
          <w:szCs w:val="26"/>
          <w:lang w:eastAsia="es-ES"/>
        </w:rPr>
        <w:t>e</w:t>
      </w:r>
      <w:r>
        <w:rPr>
          <w:rFonts w:eastAsia="Calibri"/>
          <w:spacing w:val="6"/>
          <w:sz w:val="26"/>
          <w:szCs w:val="26"/>
          <w:lang w:eastAsia="es-ES"/>
        </w:rPr>
        <w:t xml:space="preserve">cios de segundas y sucesivas matrículas de </w:t>
      </w:r>
      <w:r w:rsidR="00206B8D">
        <w:rPr>
          <w:rFonts w:eastAsia="Calibri"/>
          <w:spacing w:val="6"/>
          <w:sz w:val="26"/>
          <w:szCs w:val="26"/>
          <w:lang w:eastAsia="es-ES"/>
        </w:rPr>
        <w:t>grado,</w:t>
      </w:r>
      <w:r>
        <w:rPr>
          <w:rFonts w:eastAsia="Calibri"/>
          <w:spacing w:val="6"/>
          <w:sz w:val="26"/>
          <w:szCs w:val="26"/>
          <w:lang w:eastAsia="es-ES"/>
        </w:rPr>
        <w:t xml:space="preserve"> así como las matrículas de máster</w:t>
      </w:r>
      <w:r w:rsidR="00B941DA">
        <w:rPr>
          <w:rFonts w:eastAsia="Calibri"/>
          <w:spacing w:val="6"/>
          <w:sz w:val="26"/>
          <w:szCs w:val="26"/>
          <w:lang w:eastAsia="es-ES"/>
        </w:rPr>
        <w:t>,</w:t>
      </w:r>
      <w:r>
        <w:rPr>
          <w:rFonts w:eastAsia="Calibri"/>
          <w:spacing w:val="6"/>
          <w:sz w:val="26"/>
          <w:szCs w:val="26"/>
          <w:lang w:eastAsia="es-ES"/>
        </w:rPr>
        <w:t xml:space="preserve"> </w:t>
      </w:r>
      <w:r w:rsidR="00796389">
        <w:rPr>
          <w:rFonts w:eastAsia="Calibri"/>
          <w:spacing w:val="6"/>
          <w:sz w:val="26"/>
          <w:szCs w:val="26"/>
          <w:lang w:eastAsia="es-ES"/>
        </w:rPr>
        <w:t>no puedan ser superiores a los del último año.</w:t>
      </w:r>
    </w:p>
    <w:p w:rsidR="00414999" w:rsidRPr="00981AF4" w:rsidRDefault="00414999" w:rsidP="002F4D81">
      <w:pPr>
        <w:pStyle w:val="Prrafodelista"/>
        <w:numPr>
          <w:ilvl w:val="0"/>
          <w:numId w:val="17"/>
        </w:numPr>
        <w:tabs>
          <w:tab w:val="left" w:pos="426"/>
          <w:tab w:val="left" w:pos="567"/>
        </w:tabs>
        <w:ind w:left="0" w:firstLine="284"/>
        <w:contextualSpacing w:val="0"/>
        <w:rPr>
          <w:spacing w:val="6"/>
          <w:sz w:val="26"/>
          <w:szCs w:val="26"/>
          <w:lang w:eastAsia="es-ES"/>
        </w:rPr>
      </w:pPr>
      <w:r w:rsidRPr="00981AF4">
        <w:rPr>
          <w:spacing w:val="6"/>
          <w:sz w:val="26"/>
          <w:szCs w:val="26"/>
          <w:lang w:eastAsia="es-ES"/>
        </w:rPr>
        <w:t>La Ley Orgánica 4/2007, de 12 de abril, por la que se modifica la LOU (LOMLOU), reguló la necesidad de implantar un sistema de costes, relacioná</w:t>
      </w:r>
      <w:r w:rsidRPr="00981AF4">
        <w:rPr>
          <w:spacing w:val="6"/>
          <w:sz w:val="26"/>
          <w:szCs w:val="26"/>
          <w:lang w:eastAsia="es-ES"/>
        </w:rPr>
        <w:t>n</w:t>
      </w:r>
      <w:r w:rsidRPr="00981AF4">
        <w:rPr>
          <w:spacing w:val="6"/>
          <w:sz w:val="26"/>
          <w:szCs w:val="26"/>
          <w:lang w:eastAsia="es-ES"/>
        </w:rPr>
        <w:t xml:space="preserve">dolo con la financiación ordinaria de las universidades a recibir de las </w:t>
      </w:r>
      <w:r w:rsidR="00ED5014" w:rsidRPr="00981AF4">
        <w:rPr>
          <w:spacing w:val="6"/>
          <w:sz w:val="26"/>
          <w:szCs w:val="26"/>
          <w:lang w:eastAsia="es-ES"/>
        </w:rPr>
        <w:t>comun</w:t>
      </w:r>
      <w:r w:rsidR="00ED5014" w:rsidRPr="00981AF4">
        <w:rPr>
          <w:spacing w:val="6"/>
          <w:sz w:val="26"/>
          <w:szCs w:val="26"/>
          <w:lang w:eastAsia="es-ES"/>
        </w:rPr>
        <w:t>i</w:t>
      </w:r>
      <w:r w:rsidR="00ED5014" w:rsidRPr="00981AF4">
        <w:rPr>
          <w:spacing w:val="6"/>
          <w:sz w:val="26"/>
          <w:szCs w:val="26"/>
          <w:lang w:eastAsia="es-ES"/>
        </w:rPr>
        <w:t>dades autónomas (CCAA en adelante)</w:t>
      </w:r>
      <w:r w:rsidRPr="00981AF4">
        <w:rPr>
          <w:spacing w:val="6"/>
          <w:sz w:val="26"/>
          <w:szCs w:val="26"/>
          <w:lang w:eastAsia="es-ES"/>
        </w:rPr>
        <w:t xml:space="preserve">; </w:t>
      </w:r>
      <w:r w:rsidR="00464001" w:rsidRPr="00981AF4">
        <w:rPr>
          <w:spacing w:val="6"/>
          <w:sz w:val="26"/>
          <w:szCs w:val="26"/>
          <w:lang w:eastAsia="es-ES"/>
        </w:rPr>
        <w:t>a</w:t>
      </w:r>
      <w:r w:rsidRPr="00981AF4">
        <w:rPr>
          <w:spacing w:val="6"/>
          <w:sz w:val="26"/>
          <w:szCs w:val="26"/>
          <w:lang w:eastAsia="es-ES"/>
        </w:rPr>
        <w:t xml:space="preserve">sí, la </w:t>
      </w:r>
      <w:r w:rsidR="003812C2" w:rsidRPr="00981AF4">
        <w:rPr>
          <w:spacing w:val="6"/>
          <w:sz w:val="26"/>
          <w:szCs w:val="26"/>
          <w:lang w:eastAsia="es-ES"/>
        </w:rPr>
        <w:t xml:space="preserve">nueva </w:t>
      </w:r>
      <w:r w:rsidRPr="00981AF4">
        <w:rPr>
          <w:spacing w:val="6"/>
          <w:sz w:val="26"/>
          <w:szCs w:val="26"/>
          <w:lang w:eastAsia="es-ES"/>
        </w:rPr>
        <w:t>disposición adicional oct</w:t>
      </w:r>
      <w:r w:rsidRPr="00981AF4">
        <w:rPr>
          <w:spacing w:val="6"/>
          <w:sz w:val="26"/>
          <w:szCs w:val="26"/>
          <w:lang w:eastAsia="es-ES"/>
        </w:rPr>
        <w:t>a</w:t>
      </w:r>
      <w:r w:rsidRPr="00981AF4">
        <w:rPr>
          <w:spacing w:val="6"/>
          <w:sz w:val="26"/>
          <w:szCs w:val="26"/>
          <w:lang w:eastAsia="es-ES"/>
        </w:rPr>
        <w:t xml:space="preserve">va de la LOU señalaba que </w:t>
      </w:r>
      <w:r w:rsidRPr="00981AF4">
        <w:rPr>
          <w:i/>
          <w:spacing w:val="6"/>
          <w:sz w:val="22"/>
          <w:szCs w:val="22"/>
          <w:lang w:eastAsia="es-ES"/>
        </w:rPr>
        <w:t>“En el plazo máximo de un año, la Conferencia General de Política Universitaria, previo informe del Consejo de Universidades, elaborará un modelo referencial de costes que facilite a los poderes públicos el establecimiento de una financi</w:t>
      </w:r>
      <w:r w:rsidRPr="00981AF4">
        <w:rPr>
          <w:i/>
          <w:spacing w:val="6"/>
          <w:sz w:val="22"/>
          <w:szCs w:val="22"/>
          <w:lang w:eastAsia="es-ES"/>
        </w:rPr>
        <w:t>a</w:t>
      </w:r>
      <w:r w:rsidRPr="00981AF4">
        <w:rPr>
          <w:i/>
          <w:spacing w:val="6"/>
          <w:sz w:val="22"/>
          <w:szCs w:val="22"/>
          <w:lang w:eastAsia="es-ES"/>
        </w:rPr>
        <w:t>ción adecu</w:t>
      </w:r>
      <w:r w:rsidR="003812C2" w:rsidRPr="00981AF4">
        <w:rPr>
          <w:i/>
          <w:spacing w:val="6"/>
          <w:sz w:val="22"/>
          <w:szCs w:val="22"/>
          <w:lang w:eastAsia="es-ES"/>
        </w:rPr>
        <w:t>ada de las universidades públicas ......”</w:t>
      </w:r>
    </w:p>
    <w:p w:rsidR="00414999" w:rsidRPr="00FD1023" w:rsidRDefault="00414999" w:rsidP="002F4D81">
      <w:pPr>
        <w:tabs>
          <w:tab w:val="left" w:pos="8647"/>
        </w:tabs>
        <w:ind w:firstLine="284"/>
        <w:rPr>
          <w:rFonts w:eastAsia="Calibri"/>
          <w:spacing w:val="6"/>
          <w:sz w:val="26"/>
          <w:szCs w:val="26"/>
          <w:lang w:eastAsia="es-ES"/>
        </w:rPr>
      </w:pPr>
      <w:r w:rsidRPr="00FD1023">
        <w:rPr>
          <w:rFonts w:eastAsia="Calibri"/>
          <w:spacing w:val="6"/>
          <w:sz w:val="26"/>
          <w:szCs w:val="26"/>
          <w:lang w:eastAsia="es-ES"/>
        </w:rPr>
        <w:t>En 2011</w:t>
      </w:r>
      <w:r>
        <w:rPr>
          <w:rFonts w:eastAsia="Calibri"/>
          <w:spacing w:val="6"/>
          <w:sz w:val="26"/>
          <w:szCs w:val="26"/>
          <w:lang w:eastAsia="es-ES"/>
        </w:rPr>
        <w:t>,</w:t>
      </w:r>
      <w:r w:rsidRPr="00FD1023">
        <w:rPr>
          <w:rFonts w:eastAsia="Calibri"/>
          <w:spacing w:val="6"/>
          <w:sz w:val="26"/>
          <w:szCs w:val="26"/>
          <w:lang w:eastAsia="es-ES"/>
        </w:rPr>
        <w:t xml:space="preserve"> la Conferencia General de Política Universitaria del Ministerio de Educación aprobó el Modelo de Contabilidad Analítica para Universidades. D</w:t>
      </w:r>
      <w:r w:rsidRPr="00FD1023">
        <w:rPr>
          <w:rFonts w:eastAsia="Calibri"/>
          <w:spacing w:val="6"/>
          <w:sz w:val="26"/>
          <w:szCs w:val="26"/>
          <w:lang w:eastAsia="es-ES"/>
        </w:rPr>
        <w:t>i</w:t>
      </w:r>
      <w:r w:rsidRPr="00FD1023">
        <w:rPr>
          <w:rFonts w:eastAsia="Calibri"/>
          <w:spacing w:val="6"/>
          <w:sz w:val="26"/>
          <w:szCs w:val="26"/>
          <w:lang w:eastAsia="es-ES"/>
        </w:rPr>
        <w:t xml:space="preserve">cho modelo era de carácter obligatorio </w:t>
      </w:r>
      <w:r w:rsidRPr="004B43B1">
        <w:rPr>
          <w:rFonts w:eastAsia="Calibri"/>
          <w:spacing w:val="6"/>
          <w:sz w:val="26"/>
          <w:szCs w:val="26"/>
          <w:lang w:eastAsia="es-ES"/>
        </w:rPr>
        <w:t xml:space="preserve">y normalizaba </w:t>
      </w:r>
      <w:r w:rsidRPr="00FD1023">
        <w:rPr>
          <w:rFonts w:eastAsia="Calibri"/>
          <w:spacing w:val="6"/>
          <w:sz w:val="26"/>
          <w:szCs w:val="26"/>
          <w:lang w:eastAsia="es-ES"/>
        </w:rPr>
        <w:t>unos criterios a efectos de que la información proporcionada fuera homogénea y comparable entre t</w:t>
      </w:r>
      <w:r w:rsidRPr="00FD1023">
        <w:rPr>
          <w:rFonts w:eastAsia="Calibri"/>
          <w:spacing w:val="6"/>
          <w:sz w:val="26"/>
          <w:szCs w:val="26"/>
          <w:lang w:eastAsia="es-ES"/>
        </w:rPr>
        <w:t>o</w:t>
      </w:r>
      <w:r w:rsidRPr="00FD1023">
        <w:rPr>
          <w:rFonts w:eastAsia="Calibri"/>
          <w:spacing w:val="6"/>
          <w:sz w:val="26"/>
          <w:szCs w:val="26"/>
          <w:lang w:eastAsia="es-ES"/>
        </w:rPr>
        <w:t>das las universidades públicas españolas.</w:t>
      </w:r>
    </w:p>
    <w:p w:rsidR="00E23A4B" w:rsidRDefault="00414999" w:rsidP="002F4D81">
      <w:pPr>
        <w:tabs>
          <w:tab w:val="left" w:pos="8647"/>
        </w:tabs>
        <w:ind w:firstLine="284"/>
        <w:rPr>
          <w:rFonts w:eastAsia="Calibri"/>
          <w:spacing w:val="6"/>
          <w:sz w:val="26"/>
          <w:szCs w:val="26"/>
          <w:lang w:eastAsia="es-ES"/>
        </w:rPr>
      </w:pPr>
      <w:r>
        <w:rPr>
          <w:rFonts w:eastAsia="Calibri"/>
          <w:spacing w:val="6"/>
          <w:sz w:val="26"/>
          <w:szCs w:val="26"/>
          <w:lang w:eastAsia="es-ES"/>
        </w:rPr>
        <w:t xml:space="preserve">En 2015, </w:t>
      </w:r>
      <w:r w:rsidRPr="00350888">
        <w:rPr>
          <w:rFonts w:eastAsia="Calibri"/>
          <w:spacing w:val="6"/>
          <w:sz w:val="26"/>
          <w:szCs w:val="26"/>
          <w:lang w:eastAsia="es-ES"/>
        </w:rPr>
        <w:t xml:space="preserve">la Conferencia de Rectores de Universidades </w:t>
      </w:r>
      <w:r>
        <w:rPr>
          <w:rFonts w:eastAsia="Calibri"/>
          <w:spacing w:val="6"/>
          <w:sz w:val="26"/>
          <w:szCs w:val="26"/>
          <w:lang w:eastAsia="es-ES"/>
        </w:rPr>
        <w:t>E</w:t>
      </w:r>
      <w:r w:rsidRPr="00350888">
        <w:rPr>
          <w:rFonts w:eastAsia="Calibri"/>
          <w:spacing w:val="6"/>
          <w:sz w:val="26"/>
          <w:szCs w:val="26"/>
          <w:lang w:eastAsia="es-ES"/>
        </w:rPr>
        <w:t>spañolas (CRUE) creó el Grupo de Trabajo de Contabilidad Analítica, Sistemas de Financiación y de Información</w:t>
      </w:r>
      <w:r>
        <w:rPr>
          <w:rFonts w:eastAsia="Calibri"/>
          <w:spacing w:val="6"/>
          <w:sz w:val="26"/>
          <w:szCs w:val="26"/>
          <w:lang w:eastAsia="es-ES"/>
        </w:rPr>
        <w:t xml:space="preserve"> (GT CASFI)</w:t>
      </w:r>
      <w:r w:rsidRPr="00350888">
        <w:rPr>
          <w:rFonts w:eastAsia="Calibri"/>
          <w:spacing w:val="6"/>
          <w:sz w:val="26"/>
          <w:szCs w:val="26"/>
          <w:lang w:eastAsia="es-ES"/>
        </w:rPr>
        <w:t xml:space="preserve">, </w:t>
      </w:r>
      <w:r w:rsidRPr="00384674">
        <w:rPr>
          <w:rFonts w:eastAsia="Calibri"/>
          <w:spacing w:val="6"/>
          <w:sz w:val="26"/>
          <w:szCs w:val="26"/>
          <w:lang w:eastAsia="es-ES"/>
        </w:rPr>
        <w:t>para el análisis de la situación y propuesta de a</w:t>
      </w:r>
      <w:r w:rsidRPr="00384674">
        <w:rPr>
          <w:rFonts w:eastAsia="Calibri"/>
          <w:spacing w:val="6"/>
          <w:sz w:val="26"/>
          <w:szCs w:val="26"/>
          <w:lang w:eastAsia="es-ES"/>
        </w:rPr>
        <w:t>c</w:t>
      </w:r>
      <w:r w:rsidRPr="00384674">
        <w:rPr>
          <w:rFonts w:eastAsia="Calibri"/>
          <w:spacing w:val="6"/>
          <w:sz w:val="26"/>
          <w:szCs w:val="26"/>
          <w:lang w:eastAsia="es-ES"/>
        </w:rPr>
        <w:t xml:space="preserve">ciones que ayuden a una implantación efectiva de la contabilidad analítica en las universidades públicas. </w:t>
      </w:r>
    </w:p>
    <w:p w:rsidR="00414999" w:rsidRPr="00E44F51" w:rsidRDefault="00414999" w:rsidP="002F4D81">
      <w:pPr>
        <w:tabs>
          <w:tab w:val="left" w:pos="8647"/>
        </w:tabs>
        <w:ind w:firstLine="284"/>
        <w:rPr>
          <w:rFonts w:eastAsia="Calibri"/>
          <w:spacing w:val="6"/>
          <w:sz w:val="26"/>
          <w:szCs w:val="26"/>
          <w:lang w:eastAsia="es-ES"/>
        </w:rPr>
      </w:pPr>
      <w:r w:rsidRPr="00E44F51">
        <w:rPr>
          <w:rFonts w:eastAsia="Calibri"/>
          <w:spacing w:val="6"/>
          <w:sz w:val="26"/>
          <w:szCs w:val="26"/>
          <w:lang w:eastAsia="es-ES"/>
        </w:rPr>
        <w:lastRenderedPageBreak/>
        <w:t>Este grupo confluyó en el Grupo de Trabajo mixto CRUE-Ministerio de Educación, Cultura y Deporte (GT CRUE/MECD) cuyo objeto es facilitar la colaboración entre ambas instituciones para alcanzar el objetivo común de la implantación de la contabilidad analítica.</w:t>
      </w:r>
    </w:p>
    <w:p w:rsidR="00414999" w:rsidRPr="006D4542" w:rsidRDefault="00414999" w:rsidP="002F4D81">
      <w:pPr>
        <w:tabs>
          <w:tab w:val="left" w:pos="8647"/>
        </w:tabs>
        <w:ind w:firstLine="284"/>
        <w:rPr>
          <w:rFonts w:eastAsia="Calibri"/>
          <w:spacing w:val="6"/>
          <w:sz w:val="26"/>
          <w:szCs w:val="26"/>
          <w:lang w:eastAsia="es-ES"/>
        </w:rPr>
      </w:pPr>
      <w:r w:rsidRPr="00E44F51">
        <w:rPr>
          <w:rFonts w:eastAsia="Calibri"/>
          <w:spacing w:val="6"/>
          <w:sz w:val="26"/>
          <w:szCs w:val="26"/>
          <w:lang w:eastAsia="es-ES"/>
        </w:rPr>
        <w:t xml:space="preserve">En 2018, ante </w:t>
      </w:r>
      <w:r>
        <w:rPr>
          <w:rFonts w:eastAsia="Calibri"/>
          <w:spacing w:val="6"/>
          <w:sz w:val="26"/>
          <w:szCs w:val="26"/>
          <w:lang w:eastAsia="es-ES"/>
        </w:rPr>
        <w:t>l</w:t>
      </w:r>
      <w:r w:rsidRPr="00E44F51">
        <w:rPr>
          <w:rFonts w:eastAsia="Calibri"/>
          <w:spacing w:val="6"/>
          <w:sz w:val="26"/>
          <w:szCs w:val="26"/>
          <w:lang w:eastAsia="es-ES"/>
        </w:rPr>
        <w:t>as dificultades encontradas en el conjunto de las universid</w:t>
      </w:r>
      <w:r w:rsidRPr="00E44F51">
        <w:rPr>
          <w:rFonts w:eastAsia="Calibri"/>
          <w:spacing w:val="6"/>
          <w:sz w:val="26"/>
          <w:szCs w:val="26"/>
          <w:lang w:eastAsia="es-ES"/>
        </w:rPr>
        <w:t>a</w:t>
      </w:r>
      <w:r w:rsidRPr="00E44F51">
        <w:rPr>
          <w:rFonts w:eastAsia="Calibri"/>
          <w:spacing w:val="6"/>
          <w:sz w:val="26"/>
          <w:szCs w:val="26"/>
          <w:lang w:eastAsia="es-ES"/>
        </w:rPr>
        <w:t>des públicas del Estado</w:t>
      </w:r>
      <w:r>
        <w:rPr>
          <w:rFonts w:eastAsia="Calibri"/>
          <w:spacing w:val="6"/>
          <w:sz w:val="26"/>
          <w:szCs w:val="26"/>
          <w:lang w:eastAsia="es-ES"/>
        </w:rPr>
        <w:t xml:space="preserve">, </w:t>
      </w:r>
      <w:r w:rsidRPr="006D4542">
        <w:rPr>
          <w:rFonts w:eastAsia="Calibri"/>
          <w:spacing w:val="6"/>
          <w:sz w:val="26"/>
          <w:szCs w:val="26"/>
          <w:lang w:eastAsia="es-ES"/>
        </w:rPr>
        <w:t>el Ministerio de Educación, Cultura y Deporte com</w:t>
      </w:r>
      <w:r w:rsidRPr="006D4542">
        <w:rPr>
          <w:rFonts w:eastAsia="Calibri"/>
          <w:spacing w:val="6"/>
          <w:sz w:val="26"/>
          <w:szCs w:val="26"/>
          <w:lang w:eastAsia="es-ES"/>
        </w:rPr>
        <w:t>u</w:t>
      </w:r>
      <w:r w:rsidRPr="006D4542">
        <w:rPr>
          <w:rFonts w:eastAsia="Calibri"/>
          <w:spacing w:val="6"/>
          <w:sz w:val="26"/>
          <w:szCs w:val="26"/>
          <w:lang w:eastAsia="es-ES"/>
        </w:rPr>
        <w:t>nic</w:t>
      </w:r>
      <w:r w:rsidR="003812C2">
        <w:rPr>
          <w:rFonts w:eastAsia="Calibri"/>
          <w:spacing w:val="6"/>
          <w:sz w:val="26"/>
          <w:szCs w:val="26"/>
          <w:lang w:eastAsia="es-ES"/>
        </w:rPr>
        <w:t>ó</w:t>
      </w:r>
      <w:r w:rsidRPr="006D4542">
        <w:rPr>
          <w:rFonts w:eastAsia="Calibri"/>
          <w:spacing w:val="6"/>
          <w:sz w:val="26"/>
          <w:szCs w:val="26"/>
          <w:lang w:eastAsia="es-ES"/>
        </w:rPr>
        <w:t xml:space="preserve"> el </w:t>
      </w:r>
      <w:r w:rsidRPr="00E64CFF">
        <w:rPr>
          <w:rFonts w:eastAsia="Calibri"/>
          <w:spacing w:val="6"/>
          <w:sz w:val="26"/>
          <w:szCs w:val="26"/>
          <w:lang w:eastAsia="es-ES"/>
        </w:rPr>
        <w:t>cambio de fecha de implantación</w:t>
      </w:r>
      <w:r w:rsidRPr="006D4542">
        <w:rPr>
          <w:rFonts w:eastAsia="Calibri"/>
          <w:spacing w:val="6"/>
          <w:sz w:val="26"/>
          <w:szCs w:val="26"/>
          <w:lang w:eastAsia="es-ES"/>
        </w:rPr>
        <w:t xml:space="preserve">, </w:t>
      </w:r>
      <w:r w:rsidR="00A44303" w:rsidRPr="004B43B1">
        <w:rPr>
          <w:rFonts w:eastAsia="Calibri"/>
          <w:spacing w:val="6"/>
          <w:sz w:val="26"/>
          <w:szCs w:val="26"/>
          <w:lang w:eastAsia="es-ES"/>
        </w:rPr>
        <w:t>inicialmente prevista para el curso 2015/2016</w:t>
      </w:r>
      <w:r w:rsidR="00A44303">
        <w:rPr>
          <w:rFonts w:eastAsia="Calibri"/>
          <w:spacing w:val="6"/>
          <w:sz w:val="26"/>
          <w:szCs w:val="26"/>
          <w:lang w:eastAsia="es-ES"/>
        </w:rPr>
        <w:t xml:space="preserve">, </w:t>
      </w:r>
      <w:r w:rsidRPr="006D4542">
        <w:rPr>
          <w:rFonts w:eastAsia="Calibri"/>
          <w:spacing w:val="6"/>
          <w:sz w:val="26"/>
          <w:szCs w:val="26"/>
          <w:lang w:eastAsia="es-ES"/>
        </w:rPr>
        <w:t xml:space="preserve">solicitando </w:t>
      </w:r>
      <w:r w:rsidRPr="002F4D81">
        <w:rPr>
          <w:rFonts w:eastAsia="Calibri"/>
          <w:spacing w:val="6"/>
          <w:sz w:val="22"/>
          <w:szCs w:val="22"/>
          <w:lang w:eastAsia="es-ES"/>
        </w:rPr>
        <w:t>“</w:t>
      </w:r>
      <w:r w:rsidRPr="002F4D81">
        <w:rPr>
          <w:rFonts w:eastAsia="Calibri"/>
          <w:i/>
          <w:spacing w:val="6"/>
          <w:sz w:val="22"/>
          <w:szCs w:val="22"/>
          <w:lang w:eastAsia="es-ES"/>
        </w:rPr>
        <w:t>continuar con el compromiso que está desarrollando el grupo de trabajo de avanzar en la implantación de una contabilidad analítica en todas las Univers</w:t>
      </w:r>
      <w:r w:rsidRPr="002F4D81">
        <w:rPr>
          <w:rFonts w:eastAsia="Calibri"/>
          <w:i/>
          <w:spacing w:val="6"/>
          <w:sz w:val="22"/>
          <w:szCs w:val="22"/>
          <w:lang w:eastAsia="es-ES"/>
        </w:rPr>
        <w:t>i</w:t>
      </w:r>
      <w:r w:rsidRPr="002F4D81">
        <w:rPr>
          <w:rFonts w:eastAsia="Calibri"/>
          <w:i/>
          <w:spacing w:val="6"/>
          <w:sz w:val="22"/>
          <w:szCs w:val="22"/>
          <w:lang w:eastAsia="es-ES"/>
        </w:rPr>
        <w:t>dades Públicas del Estado que permita la consecución de la implantación en las universid</w:t>
      </w:r>
      <w:r w:rsidRPr="002F4D81">
        <w:rPr>
          <w:rFonts w:eastAsia="Calibri"/>
          <w:i/>
          <w:spacing w:val="6"/>
          <w:sz w:val="22"/>
          <w:szCs w:val="22"/>
          <w:lang w:eastAsia="es-ES"/>
        </w:rPr>
        <w:t>a</w:t>
      </w:r>
      <w:r w:rsidRPr="002F4D81">
        <w:rPr>
          <w:rFonts w:eastAsia="Calibri"/>
          <w:i/>
          <w:spacing w:val="6"/>
          <w:sz w:val="22"/>
          <w:szCs w:val="22"/>
          <w:lang w:eastAsia="es-ES"/>
        </w:rPr>
        <w:t>des públicas de una contabilidad analítica para el curso académico 2020-2021</w:t>
      </w:r>
      <w:r w:rsidRPr="002F4D81">
        <w:rPr>
          <w:rFonts w:eastAsia="Calibri"/>
          <w:spacing w:val="6"/>
          <w:sz w:val="22"/>
          <w:szCs w:val="22"/>
          <w:lang w:eastAsia="es-ES"/>
        </w:rPr>
        <w:t>”.</w:t>
      </w:r>
    </w:p>
    <w:p w:rsidR="00414999" w:rsidRPr="00E44F51" w:rsidRDefault="00414999" w:rsidP="002F4D81">
      <w:pPr>
        <w:tabs>
          <w:tab w:val="left" w:pos="8647"/>
        </w:tabs>
        <w:ind w:firstLine="284"/>
        <w:rPr>
          <w:rFonts w:eastAsia="Calibri"/>
          <w:spacing w:val="6"/>
          <w:sz w:val="26"/>
          <w:szCs w:val="26"/>
          <w:lang w:eastAsia="es-ES"/>
        </w:rPr>
      </w:pPr>
      <w:r>
        <w:rPr>
          <w:rFonts w:eastAsia="Calibri"/>
          <w:spacing w:val="6"/>
          <w:sz w:val="26"/>
          <w:szCs w:val="26"/>
          <w:lang w:eastAsia="es-ES"/>
        </w:rPr>
        <w:t>D</w:t>
      </w:r>
      <w:r w:rsidRPr="00E44F51">
        <w:rPr>
          <w:rFonts w:eastAsia="Calibri"/>
          <w:spacing w:val="6"/>
          <w:sz w:val="26"/>
          <w:szCs w:val="26"/>
          <w:lang w:eastAsia="es-ES"/>
        </w:rPr>
        <w:t xml:space="preserve">e los trabajos realizados </w:t>
      </w:r>
      <w:r>
        <w:rPr>
          <w:rFonts w:eastAsia="Calibri"/>
          <w:spacing w:val="6"/>
          <w:sz w:val="26"/>
          <w:szCs w:val="26"/>
          <w:lang w:eastAsia="es-ES"/>
        </w:rPr>
        <w:t xml:space="preserve">hasta esa fecha </w:t>
      </w:r>
      <w:r w:rsidRPr="00E44F51">
        <w:rPr>
          <w:rFonts w:eastAsia="Calibri"/>
          <w:spacing w:val="6"/>
          <w:sz w:val="26"/>
          <w:szCs w:val="26"/>
          <w:lang w:eastAsia="es-ES"/>
        </w:rPr>
        <w:t>surge el primer borrador del nuevo Modelo Simplificado de Contabilidad Analítica para Universidades</w:t>
      </w:r>
      <w:r w:rsidR="00B941DA">
        <w:rPr>
          <w:rFonts w:eastAsia="Calibri"/>
          <w:spacing w:val="6"/>
          <w:sz w:val="26"/>
          <w:szCs w:val="26"/>
          <w:lang w:eastAsia="es-ES"/>
        </w:rPr>
        <w:t>,</w:t>
      </w:r>
      <w:r w:rsidRPr="00E44F51">
        <w:rPr>
          <w:rFonts w:eastAsia="Calibri"/>
          <w:spacing w:val="6"/>
          <w:sz w:val="26"/>
          <w:szCs w:val="26"/>
          <w:lang w:eastAsia="es-ES"/>
        </w:rPr>
        <w:t xml:space="preserve"> basado en el modelo en vigor, que el GT </w:t>
      </w:r>
      <w:proofErr w:type="spellStart"/>
      <w:r w:rsidRPr="00E44F51">
        <w:rPr>
          <w:rFonts w:eastAsia="Calibri"/>
          <w:spacing w:val="6"/>
          <w:sz w:val="26"/>
          <w:szCs w:val="26"/>
          <w:lang w:eastAsia="es-ES"/>
        </w:rPr>
        <w:t>Crue</w:t>
      </w:r>
      <w:proofErr w:type="spellEnd"/>
      <w:r w:rsidRPr="00E44F51">
        <w:rPr>
          <w:rFonts w:eastAsia="Calibri"/>
          <w:spacing w:val="6"/>
          <w:sz w:val="26"/>
          <w:szCs w:val="26"/>
          <w:lang w:eastAsia="es-ES"/>
        </w:rPr>
        <w:t>/MCIU present</w:t>
      </w:r>
      <w:r>
        <w:rPr>
          <w:rFonts w:eastAsia="Calibri"/>
          <w:spacing w:val="6"/>
          <w:sz w:val="26"/>
          <w:szCs w:val="26"/>
          <w:lang w:eastAsia="es-ES"/>
        </w:rPr>
        <w:t>a</w:t>
      </w:r>
      <w:r w:rsidRPr="00E44F51">
        <w:rPr>
          <w:rFonts w:eastAsia="Calibri"/>
          <w:spacing w:val="6"/>
          <w:sz w:val="26"/>
          <w:szCs w:val="26"/>
          <w:lang w:eastAsia="es-ES"/>
        </w:rPr>
        <w:t xml:space="preserve"> a la Comisión Sectorial </w:t>
      </w:r>
      <w:proofErr w:type="spellStart"/>
      <w:r w:rsidRPr="00E44F51">
        <w:rPr>
          <w:rFonts w:eastAsia="Calibri"/>
          <w:spacing w:val="6"/>
          <w:sz w:val="26"/>
          <w:szCs w:val="26"/>
          <w:lang w:eastAsia="es-ES"/>
        </w:rPr>
        <w:t>Crue-I+D+i</w:t>
      </w:r>
      <w:proofErr w:type="spellEnd"/>
      <w:r w:rsidRPr="00E44F51">
        <w:rPr>
          <w:rFonts w:eastAsia="Calibri"/>
          <w:spacing w:val="6"/>
          <w:sz w:val="26"/>
          <w:szCs w:val="26"/>
          <w:lang w:eastAsia="es-ES"/>
        </w:rPr>
        <w:t xml:space="preserve"> y a la I</w:t>
      </w:r>
      <w:r w:rsidR="003812C2">
        <w:rPr>
          <w:rFonts w:eastAsia="Calibri"/>
          <w:spacing w:val="6"/>
          <w:sz w:val="26"/>
          <w:szCs w:val="26"/>
          <w:lang w:eastAsia="es-ES"/>
        </w:rPr>
        <w:t xml:space="preserve">ntervención </w:t>
      </w:r>
      <w:r w:rsidRPr="00E44F51">
        <w:rPr>
          <w:rFonts w:eastAsia="Calibri"/>
          <w:spacing w:val="6"/>
          <w:sz w:val="26"/>
          <w:szCs w:val="26"/>
          <w:lang w:eastAsia="es-ES"/>
        </w:rPr>
        <w:t>G</w:t>
      </w:r>
      <w:r w:rsidR="003812C2">
        <w:rPr>
          <w:rFonts w:eastAsia="Calibri"/>
          <w:spacing w:val="6"/>
          <w:sz w:val="26"/>
          <w:szCs w:val="26"/>
          <w:lang w:eastAsia="es-ES"/>
        </w:rPr>
        <w:t xml:space="preserve">eneral de la </w:t>
      </w:r>
      <w:r w:rsidRPr="00E44F51">
        <w:rPr>
          <w:rFonts w:eastAsia="Calibri"/>
          <w:spacing w:val="6"/>
          <w:sz w:val="26"/>
          <w:szCs w:val="26"/>
          <w:lang w:eastAsia="es-ES"/>
        </w:rPr>
        <w:t>A</w:t>
      </w:r>
      <w:r w:rsidR="003812C2">
        <w:rPr>
          <w:rFonts w:eastAsia="Calibri"/>
          <w:spacing w:val="6"/>
          <w:sz w:val="26"/>
          <w:szCs w:val="26"/>
          <w:lang w:eastAsia="es-ES"/>
        </w:rPr>
        <w:t xml:space="preserve">dministración del </w:t>
      </w:r>
      <w:r w:rsidRPr="00E44F51">
        <w:rPr>
          <w:rFonts w:eastAsia="Calibri"/>
          <w:spacing w:val="6"/>
          <w:sz w:val="26"/>
          <w:szCs w:val="26"/>
          <w:lang w:eastAsia="es-ES"/>
        </w:rPr>
        <w:t>E</w:t>
      </w:r>
      <w:r w:rsidR="003812C2">
        <w:rPr>
          <w:rFonts w:eastAsia="Calibri"/>
          <w:spacing w:val="6"/>
          <w:sz w:val="26"/>
          <w:szCs w:val="26"/>
          <w:lang w:eastAsia="es-ES"/>
        </w:rPr>
        <w:t>stado</w:t>
      </w:r>
      <w:r w:rsidRPr="00E44F51">
        <w:rPr>
          <w:rFonts w:eastAsia="Calibri"/>
          <w:spacing w:val="6"/>
          <w:sz w:val="26"/>
          <w:szCs w:val="26"/>
          <w:lang w:eastAsia="es-ES"/>
        </w:rPr>
        <w:t xml:space="preserve"> para recoger sus sugerencias, propuestas de mejora y consideraciones.</w:t>
      </w:r>
    </w:p>
    <w:p w:rsidR="00414999" w:rsidRPr="00981AF4" w:rsidRDefault="00414999" w:rsidP="002F4D81">
      <w:pPr>
        <w:pStyle w:val="Prrafodelista"/>
        <w:numPr>
          <w:ilvl w:val="0"/>
          <w:numId w:val="17"/>
        </w:numPr>
        <w:tabs>
          <w:tab w:val="left" w:pos="426"/>
          <w:tab w:val="left" w:pos="567"/>
        </w:tabs>
        <w:ind w:left="0" w:firstLine="284"/>
        <w:contextualSpacing w:val="0"/>
        <w:rPr>
          <w:i/>
          <w:spacing w:val="6"/>
          <w:sz w:val="22"/>
          <w:szCs w:val="22"/>
          <w:lang w:eastAsia="es-ES"/>
        </w:rPr>
      </w:pPr>
      <w:r w:rsidRPr="00981AF4">
        <w:rPr>
          <w:spacing w:val="6"/>
          <w:sz w:val="26"/>
          <w:szCs w:val="26"/>
          <w:lang w:eastAsia="es-ES"/>
        </w:rPr>
        <w:t>El artículo 45 de la LOU, con objeto de que nadie quede excluido del est</w:t>
      </w:r>
      <w:r w:rsidRPr="00981AF4">
        <w:rPr>
          <w:spacing w:val="6"/>
          <w:sz w:val="26"/>
          <w:szCs w:val="26"/>
          <w:lang w:eastAsia="es-ES"/>
        </w:rPr>
        <w:t>u</w:t>
      </w:r>
      <w:r w:rsidRPr="00981AF4">
        <w:rPr>
          <w:spacing w:val="6"/>
          <w:sz w:val="26"/>
          <w:szCs w:val="26"/>
          <w:lang w:eastAsia="es-ES"/>
        </w:rPr>
        <w:t>dio en la universidad por razones económicas, regula las becas y ayudas al e</w:t>
      </w:r>
      <w:r w:rsidRPr="00981AF4">
        <w:rPr>
          <w:spacing w:val="6"/>
          <w:sz w:val="26"/>
          <w:szCs w:val="26"/>
          <w:lang w:eastAsia="es-ES"/>
        </w:rPr>
        <w:t>s</w:t>
      </w:r>
      <w:r w:rsidRPr="00981AF4">
        <w:rPr>
          <w:spacing w:val="6"/>
          <w:sz w:val="26"/>
          <w:szCs w:val="26"/>
          <w:lang w:eastAsia="es-ES"/>
        </w:rPr>
        <w:t xml:space="preserve">tudio; establece que </w:t>
      </w:r>
      <w:r w:rsidRPr="00981AF4">
        <w:rPr>
          <w:i/>
          <w:spacing w:val="6"/>
          <w:sz w:val="22"/>
          <w:szCs w:val="22"/>
          <w:lang w:eastAsia="es-ES"/>
        </w:rPr>
        <w:t>“el Gobierno y las Comunidades Autónomas, así como las propias universidades, instrumentarán una política de becas, ayudas y créditos para el alumnado y, en el caso de las universidades públicas, establecerán, asimismo, modalidades de exención parcial o total del pago de los precios públicos por prestación de servicios académicos”.</w:t>
      </w:r>
    </w:p>
    <w:p w:rsidR="00414999" w:rsidRPr="00924C84" w:rsidRDefault="00414999" w:rsidP="002F4D81">
      <w:pPr>
        <w:tabs>
          <w:tab w:val="left" w:pos="8647"/>
        </w:tabs>
        <w:ind w:firstLine="284"/>
        <w:rPr>
          <w:rFonts w:eastAsia="Calibri"/>
          <w:spacing w:val="6"/>
          <w:sz w:val="26"/>
          <w:szCs w:val="26"/>
          <w:lang w:eastAsia="es-ES"/>
        </w:rPr>
      </w:pPr>
      <w:r w:rsidRPr="00924C84">
        <w:rPr>
          <w:rFonts w:eastAsia="Calibri"/>
          <w:spacing w:val="6"/>
          <w:sz w:val="26"/>
          <w:szCs w:val="26"/>
          <w:lang w:eastAsia="es-ES"/>
        </w:rPr>
        <w:t>Como contrapartida para la financiación recibida por las universidades p</w:t>
      </w:r>
      <w:r w:rsidRPr="00924C84">
        <w:rPr>
          <w:rFonts w:eastAsia="Calibri"/>
          <w:spacing w:val="6"/>
          <w:sz w:val="26"/>
          <w:szCs w:val="26"/>
          <w:lang w:eastAsia="es-ES"/>
        </w:rPr>
        <w:t>ú</w:t>
      </w:r>
      <w:r w:rsidRPr="00924C84">
        <w:rPr>
          <w:rFonts w:eastAsia="Calibri"/>
          <w:spacing w:val="6"/>
          <w:sz w:val="26"/>
          <w:szCs w:val="26"/>
          <w:lang w:eastAsia="es-ES"/>
        </w:rPr>
        <w:t xml:space="preserve">blicas, la LOMLOU de 2007 introdujo, en la </w:t>
      </w:r>
      <w:r>
        <w:rPr>
          <w:rFonts w:eastAsia="Calibri"/>
          <w:spacing w:val="6"/>
          <w:sz w:val="26"/>
          <w:szCs w:val="26"/>
          <w:lang w:eastAsia="es-ES"/>
        </w:rPr>
        <w:t>d</w:t>
      </w:r>
      <w:r w:rsidRPr="00924C84">
        <w:rPr>
          <w:rFonts w:eastAsia="Calibri"/>
          <w:spacing w:val="6"/>
          <w:sz w:val="26"/>
          <w:szCs w:val="26"/>
          <w:lang w:eastAsia="es-ES"/>
        </w:rPr>
        <w:t xml:space="preserve">isposición </w:t>
      </w:r>
      <w:r>
        <w:rPr>
          <w:rFonts w:eastAsia="Calibri"/>
          <w:spacing w:val="6"/>
          <w:sz w:val="26"/>
          <w:szCs w:val="26"/>
          <w:lang w:eastAsia="es-ES"/>
        </w:rPr>
        <w:t>a</w:t>
      </w:r>
      <w:r w:rsidRPr="00924C84">
        <w:rPr>
          <w:rFonts w:eastAsia="Calibri"/>
          <w:spacing w:val="6"/>
          <w:sz w:val="26"/>
          <w:szCs w:val="26"/>
          <w:lang w:eastAsia="es-ES"/>
        </w:rPr>
        <w:t>dicional decimon</w:t>
      </w:r>
      <w:r w:rsidRPr="00924C84">
        <w:rPr>
          <w:rFonts w:eastAsia="Calibri"/>
          <w:spacing w:val="6"/>
          <w:sz w:val="26"/>
          <w:szCs w:val="26"/>
          <w:lang w:eastAsia="es-ES"/>
        </w:rPr>
        <w:t>o</w:t>
      </w:r>
      <w:r w:rsidRPr="00924C84">
        <w:rPr>
          <w:rFonts w:eastAsia="Calibri"/>
          <w:spacing w:val="6"/>
          <w:sz w:val="26"/>
          <w:szCs w:val="26"/>
          <w:lang w:eastAsia="es-ES"/>
        </w:rPr>
        <w:t>vena, que</w:t>
      </w:r>
      <w:r>
        <w:rPr>
          <w:rFonts w:eastAsia="Calibri"/>
          <w:spacing w:val="6"/>
          <w:sz w:val="26"/>
          <w:szCs w:val="26"/>
          <w:lang w:eastAsia="es-ES"/>
        </w:rPr>
        <w:t xml:space="preserve"> “</w:t>
      </w:r>
      <w:r w:rsidRPr="007A571E">
        <w:rPr>
          <w:rFonts w:eastAsia="Calibri"/>
          <w:i/>
          <w:spacing w:val="6"/>
          <w:sz w:val="24"/>
          <w:szCs w:val="24"/>
          <w:lang w:eastAsia="es-ES"/>
        </w:rPr>
        <w:t>cualquier reducción de tasas universitarias regulada por la Administr</w:t>
      </w:r>
      <w:r w:rsidRPr="007A571E">
        <w:rPr>
          <w:rFonts w:eastAsia="Calibri"/>
          <w:i/>
          <w:spacing w:val="6"/>
          <w:sz w:val="24"/>
          <w:szCs w:val="24"/>
          <w:lang w:eastAsia="es-ES"/>
        </w:rPr>
        <w:t>a</w:t>
      </w:r>
      <w:r w:rsidRPr="007A571E">
        <w:rPr>
          <w:rFonts w:eastAsia="Calibri"/>
          <w:i/>
          <w:spacing w:val="6"/>
          <w:sz w:val="24"/>
          <w:szCs w:val="24"/>
          <w:lang w:eastAsia="es-ES"/>
        </w:rPr>
        <w:t>ción competente será compensada anualmente en los presupuestos de la universidad mediante transferencias</w:t>
      </w:r>
      <w:r w:rsidRPr="00924C84">
        <w:rPr>
          <w:rFonts w:eastAsia="Calibri"/>
          <w:spacing w:val="6"/>
          <w:sz w:val="26"/>
          <w:szCs w:val="26"/>
          <w:lang w:eastAsia="es-ES"/>
        </w:rPr>
        <w:t>”.</w:t>
      </w:r>
    </w:p>
    <w:p w:rsidR="00414999" w:rsidRPr="004B43B1" w:rsidRDefault="00414999" w:rsidP="002F4D81">
      <w:pPr>
        <w:tabs>
          <w:tab w:val="left" w:pos="8647"/>
        </w:tabs>
        <w:ind w:firstLine="284"/>
        <w:rPr>
          <w:rFonts w:eastAsia="Calibri"/>
          <w:spacing w:val="6"/>
          <w:sz w:val="26"/>
          <w:szCs w:val="26"/>
          <w:lang w:eastAsia="es-ES"/>
        </w:rPr>
      </w:pPr>
      <w:r w:rsidRPr="004B43B1">
        <w:rPr>
          <w:rFonts w:eastAsia="Calibri"/>
          <w:spacing w:val="6"/>
          <w:sz w:val="26"/>
          <w:szCs w:val="26"/>
          <w:lang w:eastAsia="es-ES"/>
        </w:rPr>
        <w:t>El sistema de financiación para la compensación a las universidades de d</w:t>
      </w:r>
      <w:r w:rsidRPr="004B43B1">
        <w:rPr>
          <w:rFonts w:eastAsia="Calibri"/>
          <w:spacing w:val="6"/>
          <w:sz w:val="26"/>
          <w:szCs w:val="26"/>
          <w:lang w:eastAsia="es-ES"/>
        </w:rPr>
        <w:t>i</w:t>
      </w:r>
      <w:r w:rsidRPr="004B43B1">
        <w:rPr>
          <w:rFonts w:eastAsia="Calibri"/>
          <w:spacing w:val="6"/>
          <w:sz w:val="26"/>
          <w:szCs w:val="26"/>
          <w:lang w:eastAsia="es-ES"/>
        </w:rPr>
        <w:t>chas ayudas se establece en el Real Decreto-ley 14/2012 ya mencionado, que distribuye su coste entre los Presupuestos Generales del Estado, que financi</w:t>
      </w:r>
      <w:r w:rsidRPr="004B43B1">
        <w:rPr>
          <w:rFonts w:eastAsia="Calibri"/>
          <w:spacing w:val="6"/>
          <w:sz w:val="26"/>
          <w:szCs w:val="26"/>
          <w:lang w:eastAsia="es-ES"/>
        </w:rPr>
        <w:t>a</w:t>
      </w:r>
      <w:r w:rsidRPr="004B43B1">
        <w:rPr>
          <w:rFonts w:eastAsia="Calibri"/>
          <w:spacing w:val="6"/>
          <w:sz w:val="26"/>
          <w:szCs w:val="26"/>
          <w:lang w:eastAsia="es-ES"/>
        </w:rPr>
        <w:t>rán la cantidad que corresponda al límite inferior de la horquilla establecida p</w:t>
      </w:r>
      <w:r w:rsidRPr="004B43B1">
        <w:rPr>
          <w:rFonts w:eastAsia="Calibri"/>
          <w:spacing w:val="6"/>
          <w:sz w:val="26"/>
          <w:szCs w:val="26"/>
          <w:lang w:eastAsia="es-ES"/>
        </w:rPr>
        <w:t>a</w:t>
      </w:r>
      <w:r w:rsidRPr="004B43B1">
        <w:rPr>
          <w:rFonts w:eastAsia="Calibri"/>
          <w:spacing w:val="6"/>
          <w:sz w:val="26"/>
          <w:szCs w:val="26"/>
          <w:lang w:eastAsia="es-ES"/>
        </w:rPr>
        <w:t>ra el precio público de cada enseñanza, y los Presupuestos de las CCAA</w:t>
      </w:r>
      <w:r w:rsidR="00796389" w:rsidRPr="004B43B1">
        <w:rPr>
          <w:rFonts w:eastAsia="Calibri"/>
          <w:spacing w:val="6"/>
          <w:sz w:val="26"/>
          <w:szCs w:val="26"/>
          <w:lang w:eastAsia="es-ES"/>
        </w:rPr>
        <w:t>,</w:t>
      </w:r>
      <w:r w:rsidRPr="004B43B1">
        <w:rPr>
          <w:rFonts w:eastAsia="Calibri"/>
          <w:spacing w:val="6"/>
          <w:sz w:val="26"/>
          <w:szCs w:val="26"/>
          <w:lang w:eastAsia="es-ES"/>
        </w:rPr>
        <w:t xml:space="preserve"> que financiarán íntegramente la diferencia entre el precio público que fijen y el l</w:t>
      </w:r>
      <w:r w:rsidRPr="004B43B1">
        <w:rPr>
          <w:rFonts w:eastAsia="Calibri"/>
          <w:spacing w:val="6"/>
          <w:sz w:val="26"/>
          <w:szCs w:val="26"/>
          <w:lang w:eastAsia="es-ES"/>
        </w:rPr>
        <w:t>í</w:t>
      </w:r>
      <w:r w:rsidRPr="004B43B1">
        <w:rPr>
          <w:rFonts w:eastAsia="Calibri"/>
          <w:spacing w:val="6"/>
          <w:sz w:val="26"/>
          <w:szCs w:val="26"/>
          <w:lang w:eastAsia="es-ES"/>
        </w:rPr>
        <w:t>mite mínimo que corresponda a cada enseñanza.</w:t>
      </w:r>
    </w:p>
    <w:p w:rsidR="00414999" w:rsidRPr="007A571E" w:rsidRDefault="00414999" w:rsidP="00D20463">
      <w:pPr>
        <w:tabs>
          <w:tab w:val="left" w:pos="8647"/>
        </w:tabs>
        <w:ind w:firstLine="284"/>
        <w:rPr>
          <w:rFonts w:eastAsia="Calibri"/>
          <w:i/>
          <w:spacing w:val="6"/>
          <w:sz w:val="24"/>
          <w:szCs w:val="24"/>
          <w:lang w:eastAsia="es-ES"/>
        </w:rPr>
      </w:pPr>
      <w:r>
        <w:rPr>
          <w:rFonts w:eastAsia="Calibri"/>
          <w:spacing w:val="6"/>
          <w:sz w:val="26"/>
          <w:szCs w:val="26"/>
          <w:lang w:eastAsia="es-ES"/>
        </w:rPr>
        <w:t xml:space="preserve">Como sistema transitorio, el artículo 7.2 </w:t>
      </w:r>
      <w:r w:rsidRPr="00C61E26">
        <w:rPr>
          <w:rFonts w:eastAsia="Calibri"/>
          <w:spacing w:val="6"/>
          <w:sz w:val="26"/>
          <w:szCs w:val="26"/>
          <w:lang w:eastAsia="es-ES"/>
        </w:rPr>
        <w:t xml:space="preserve">dispone </w:t>
      </w:r>
      <w:r>
        <w:rPr>
          <w:rFonts w:eastAsia="Calibri"/>
          <w:spacing w:val="6"/>
          <w:sz w:val="26"/>
          <w:szCs w:val="26"/>
          <w:lang w:eastAsia="es-ES"/>
        </w:rPr>
        <w:t>que</w:t>
      </w:r>
      <w:r w:rsidRPr="002F4D81">
        <w:rPr>
          <w:rFonts w:eastAsia="Calibri"/>
          <w:spacing w:val="6"/>
          <w:sz w:val="22"/>
          <w:szCs w:val="22"/>
          <w:lang w:eastAsia="es-ES"/>
        </w:rPr>
        <w:t xml:space="preserve">, </w:t>
      </w:r>
      <w:r w:rsidR="007A571E" w:rsidRPr="002F4D81">
        <w:rPr>
          <w:rFonts w:eastAsia="Calibri"/>
          <w:spacing w:val="6"/>
          <w:sz w:val="22"/>
          <w:szCs w:val="22"/>
          <w:lang w:eastAsia="es-ES"/>
        </w:rPr>
        <w:t>“</w:t>
      </w:r>
      <w:r w:rsidRPr="002F4D81">
        <w:rPr>
          <w:rFonts w:eastAsia="Calibri"/>
          <w:i/>
          <w:spacing w:val="6"/>
          <w:sz w:val="22"/>
          <w:szCs w:val="22"/>
          <w:lang w:eastAsia="es-ES"/>
        </w:rPr>
        <w:t>hasta que todas las un</w:t>
      </w:r>
      <w:r w:rsidRPr="002F4D81">
        <w:rPr>
          <w:rFonts w:eastAsia="Calibri"/>
          <w:i/>
          <w:spacing w:val="6"/>
          <w:sz w:val="22"/>
          <w:szCs w:val="22"/>
          <w:lang w:eastAsia="es-ES"/>
        </w:rPr>
        <w:t>i</w:t>
      </w:r>
      <w:r w:rsidRPr="002F4D81">
        <w:rPr>
          <w:rFonts w:eastAsia="Calibri"/>
          <w:i/>
          <w:spacing w:val="6"/>
          <w:sz w:val="22"/>
          <w:szCs w:val="22"/>
          <w:lang w:eastAsia="es-ES"/>
        </w:rPr>
        <w:t>versidades implanten sistemas de contabilidad analítica y, como máximo, hasta el curso un</w:t>
      </w:r>
      <w:r w:rsidRPr="002F4D81">
        <w:rPr>
          <w:rFonts w:eastAsia="Calibri"/>
          <w:i/>
          <w:spacing w:val="6"/>
          <w:sz w:val="22"/>
          <w:szCs w:val="22"/>
          <w:lang w:eastAsia="es-ES"/>
        </w:rPr>
        <w:t>i</w:t>
      </w:r>
      <w:r w:rsidRPr="002F4D81">
        <w:rPr>
          <w:rFonts w:eastAsia="Calibri"/>
          <w:i/>
          <w:spacing w:val="6"/>
          <w:sz w:val="22"/>
          <w:szCs w:val="22"/>
          <w:lang w:eastAsia="es-ES"/>
        </w:rPr>
        <w:t>versitario 2015/2016, la parte del componente de matrícula que se financiará con cargo a los Presupuestos Generales del Estado será el precio</w:t>
      </w:r>
      <w:r w:rsidRPr="002F4D81">
        <w:rPr>
          <w:rFonts w:eastAsia="Calibri"/>
          <w:spacing w:val="6"/>
          <w:sz w:val="22"/>
          <w:szCs w:val="22"/>
          <w:lang w:eastAsia="es-ES"/>
        </w:rPr>
        <w:t xml:space="preserve"> </w:t>
      </w:r>
      <w:r w:rsidRPr="002F4D81">
        <w:rPr>
          <w:rFonts w:eastAsia="Calibri"/>
          <w:i/>
          <w:spacing w:val="6"/>
          <w:sz w:val="22"/>
          <w:szCs w:val="22"/>
          <w:lang w:eastAsia="es-ES"/>
        </w:rPr>
        <w:t>público vigente para cada titulación en el momento de entrada en vigor de este Real Decreto ley, actualizándose estas cantidades anualmente mediante la aplicación del coeficiente que determine la Conferencia General de Política Universitaria</w:t>
      </w:r>
      <w:r w:rsidR="007A571E" w:rsidRPr="002F4D81">
        <w:rPr>
          <w:rFonts w:eastAsia="Calibri"/>
          <w:i/>
          <w:spacing w:val="6"/>
          <w:sz w:val="22"/>
          <w:szCs w:val="22"/>
          <w:lang w:eastAsia="es-ES"/>
        </w:rPr>
        <w:t>”</w:t>
      </w:r>
      <w:r w:rsidRPr="007A571E">
        <w:rPr>
          <w:rFonts w:eastAsia="Calibri"/>
          <w:i/>
          <w:spacing w:val="6"/>
          <w:sz w:val="24"/>
          <w:szCs w:val="24"/>
          <w:lang w:eastAsia="es-ES"/>
        </w:rPr>
        <w:t>.</w:t>
      </w:r>
    </w:p>
    <w:p w:rsidR="00414999" w:rsidRDefault="00414999" w:rsidP="00D20463">
      <w:pPr>
        <w:tabs>
          <w:tab w:val="left" w:pos="8647"/>
        </w:tabs>
        <w:ind w:firstLine="284"/>
        <w:rPr>
          <w:rFonts w:eastAsia="Calibri"/>
          <w:spacing w:val="6"/>
          <w:sz w:val="26"/>
          <w:szCs w:val="26"/>
          <w:lang w:eastAsia="es-ES"/>
        </w:rPr>
      </w:pPr>
      <w:r>
        <w:rPr>
          <w:rFonts w:eastAsia="Calibri"/>
          <w:spacing w:val="6"/>
          <w:sz w:val="26"/>
          <w:szCs w:val="26"/>
          <w:lang w:eastAsia="es-ES"/>
        </w:rPr>
        <w:lastRenderedPageBreak/>
        <w:t>Por su parte, el Real Decreto 1721/2007, de 21 de diciembre, establec</w:t>
      </w:r>
      <w:r w:rsidR="003812C2">
        <w:rPr>
          <w:rFonts w:eastAsia="Calibri"/>
          <w:spacing w:val="6"/>
          <w:sz w:val="26"/>
          <w:szCs w:val="26"/>
          <w:lang w:eastAsia="es-ES"/>
        </w:rPr>
        <w:t>ió</w:t>
      </w:r>
      <w:r>
        <w:rPr>
          <w:rFonts w:eastAsia="Calibri"/>
          <w:spacing w:val="6"/>
          <w:sz w:val="26"/>
          <w:szCs w:val="26"/>
          <w:lang w:eastAsia="es-ES"/>
        </w:rPr>
        <w:t xml:space="preserve"> el régimen de las becas y ayudas al estudio personalizadas.</w:t>
      </w:r>
    </w:p>
    <w:p w:rsidR="00414999" w:rsidRDefault="00414999" w:rsidP="00D20463">
      <w:pPr>
        <w:tabs>
          <w:tab w:val="left" w:pos="8647"/>
        </w:tabs>
        <w:ind w:firstLine="284"/>
        <w:rPr>
          <w:rFonts w:eastAsia="Calibri"/>
          <w:spacing w:val="6"/>
          <w:sz w:val="26"/>
          <w:szCs w:val="26"/>
          <w:lang w:eastAsia="es-ES"/>
        </w:rPr>
      </w:pPr>
      <w:r>
        <w:rPr>
          <w:rFonts w:eastAsia="Calibri"/>
          <w:spacing w:val="6"/>
          <w:sz w:val="26"/>
          <w:szCs w:val="26"/>
          <w:lang w:eastAsia="es-ES"/>
        </w:rPr>
        <w:t xml:space="preserve">Anualmente, el Ministerio de Educación, Cultura y Deporte publica un </w:t>
      </w:r>
      <w:r w:rsidR="00741221">
        <w:rPr>
          <w:rFonts w:eastAsia="Calibri"/>
          <w:spacing w:val="6"/>
          <w:sz w:val="26"/>
          <w:szCs w:val="26"/>
          <w:lang w:eastAsia="es-ES"/>
        </w:rPr>
        <w:t>r</w:t>
      </w:r>
      <w:r>
        <w:rPr>
          <w:rFonts w:eastAsia="Calibri"/>
          <w:spacing w:val="6"/>
          <w:sz w:val="26"/>
          <w:szCs w:val="26"/>
          <w:lang w:eastAsia="es-ES"/>
        </w:rPr>
        <w:t xml:space="preserve">eal </w:t>
      </w:r>
      <w:r w:rsidR="00741221">
        <w:rPr>
          <w:rFonts w:eastAsia="Calibri"/>
          <w:spacing w:val="6"/>
          <w:sz w:val="26"/>
          <w:szCs w:val="26"/>
          <w:lang w:eastAsia="es-ES"/>
        </w:rPr>
        <w:t>d</w:t>
      </w:r>
      <w:r>
        <w:rPr>
          <w:rFonts w:eastAsia="Calibri"/>
          <w:spacing w:val="6"/>
          <w:sz w:val="26"/>
          <w:szCs w:val="26"/>
          <w:lang w:eastAsia="es-ES"/>
        </w:rPr>
        <w:t>ecreto por el que se establecen los umbrales de renta y patrimonio familiar y las cuantías de las becas y ayudas al estudio para el curso correspondiente. Asimismo, en disposiciones adicionales señalan la compensación a las unive</w:t>
      </w:r>
      <w:r>
        <w:rPr>
          <w:rFonts w:eastAsia="Calibri"/>
          <w:spacing w:val="6"/>
          <w:sz w:val="26"/>
          <w:szCs w:val="26"/>
          <w:lang w:eastAsia="es-ES"/>
        </w:rPr>
        <w:t>r</w:t>
      </w:r>
      <w:r>
        <w:rPr>
          <w:rFonts w:eastAsia="Calibri"/>
          <w:spacing w:val="6"/>
          <w:sz w:val="26"/>
          <w:szCs w:val="26"/>
          <w:lang w:eastAsia="es-ES"/>
        </w:rPr>
        <w:t>sidades por la exención de matrícula.</w:t>
      </w:r>
    </w:p>
    <w:p w:rsidR="00414999" w:rsidRDefault="003812C2" w:rsidP="00D20463">
      <w:pPr>
        <w:tabs>
          <w:tab w:val="left" w:pos="8647"/>
        </w:tabs>
        <w:ind w:firstLine="284"/>
        <w:rPr>
          <w:rFonts w:eastAsia="Calibri"/>
          <w:spacing w:val="6"/>
          <w:sz w:val="26"/>
          <w:szCs w:val="26"/>
          <w:lang w:eastAsia="es-ES"/>
        </w:rPr>
      </w:pPr>
      <w:r>
        <w:rPr>
          <w:rFonts w:eastAsia="Calibri"/>
          <w:spacing w:val="6"/>
          <w:sz w:val="26"/>
          <w:szCs w:val="26"/>
          <w:lang w:eastAsia="es-ES"/>
        </w:rPr>
        <w:t>Desde</w:t>
      </w:r>
      <w:r w:rsidR="00414999">
        <w:rPr>
          <w:rFonts w:eastAsia="Calibri"/>
          <w:spacing w:val="6"/>
          <w:sz w:val="26"/>
          <w:szCs w:val="26"/>
          <w:lang w:eastAsia="es-ES"/>
        </w:rPr>
        <w:t xml:space="preserve"> el curso 2012/2013, de acuerdo al Real Decreto 1000/2012, de 29 de junio, por el que se establecen los umbrales de renta y patrimonio familiar y las cuantías de las becas y ayudas al estudio para dicho curso, el Ministerio de Educación, Cultura y Deporte aportará a las universidades, una cantidad por alumno becado igual a la del precio público fijado para el curso 2011/2012, a</w:t>
      </w:r>
      <w:r w:rsidR="00414999">
        <w:rPr>
          <w:rFonts w:eastAsia="Calibri"/>
          <w:spacing w:val="6"/>
          <w:sz w:val="26"/>
          <w:szCs w:val="26"/>
          <w:lang w:eastAsia="es-ES"/>
        </w:rPr>
        <w:t>c</w:t>
      </w:r>
      <w:r w:rsidR="00414999">
        <w:rPr>
          <w:rFonts w:eastAsia="Calibri"/>
          <w:spacing w:val="6"/>
          <w:sz w:val="26"/>
          <w:szCs w:val="26"/>
          <w:lang w:eastAsia="es-ES"/>
        </w:rPr>
        <w:t xml:space="preserve">tualizada en un uno por ciento. </w:t>
      </w:r>
      <w:r w:rsidR="00414999" w:rsidRPr="003F73F9">
        <w:rPr>
          <w:rFonts w:eastAsia="Calibri"/>
          <w:spacing w:val="6"/>
          <w:sz w:val="26"/>
          <w:szCs w:val="26"/>
          <w:lang w:eastAsia="es-ES"/>
        </w:rPr>
        <w:t xml:space="preserve">Cuando la cantidad aportada por el Ministerio </w:t>
      </w:r>
      <w:r w:rsidR="00414999">
        <w:rPr>
          <w:rFonts w:eastAsia="Calibri"/>
          <w:spacing w:val="6"/>
          <w:sz w:val="26"/>
          <w:szCs w:val="26"/>
          <w:lang w:eastAsia="es-ES"/>
        </w:rPr>
        <w:t>sea</w:t>
      </w:r>
      <w:r w:rsidR="00414999" w:rsidRPr="003F73F9">
        <w:rPr>
          <w:rFonts w:eastAsia="Calibri"/>
          <w:spacing w:val="6"/>
          <w:sz w:val="26"/>
          <w:szCs w:val="26"/>
          <w:lang w:eastAsia="es-ES"/>
        </w:rPr>
        <w:t xml:space="preserve"> inferior al precio público fijado por la </w:t>
      </w:r>
      <w:r w:rsidR="00964B53">
        <w:rPr>
          <w:rFonts w:eastAsia="Calibri"/>
          <w:spacing w:val="6"/>
          <w:sz w:val="26"/>
          <w:szCs w:val="26"/>
          <w:lang w:eastAsia="es-ES"/>
        </w:rPr>
        <w:t>c</w:t>
      </w:r>
      <w:r w:rsidR="00414999" w:rsidRPr="003F73F9">
        <w:rPr>
          <w:rFonts w:eastAsia="Calibri"/>
          <w:spacing w:val="6"/>
          <w:sz w:val="26"/>
          <w:szCs w:val="26"/>
          <w:lang w:eastAsia="es-ES"/>
        </w:rPr>
        <w:t xml:space="preserve">omunidad </w:t>
      </w:r>
      <w:r w:rsidR="00964B53">
        <w:rPr>
          <w:rFonts w:eastAsia="Calibri"/>
          <w:spacing w:val="6"/>
          <w:sz w:val="26"/>
          <w:szCs w:val="26"/>
          <w:lang w:eastAsia="es-ES"/>
        </w:rPr>
        <w:t>a</w:t>
      </w:r>
      <w:r w:rsidR="00414999" w:rsidRPr="003F73F9">
        <w:rPr>
          <w:rFonts w:eastAsia="Calibri"/>
          <w:spacing w:val="6"/>
          <w:sz w:val="26"/>
          <w:szCs w:val="26"/>
          <w:lang w:eastAsia="es-ES"/>
        </w:rPr>
        <w:t xml:space="preserve">utónoma para el curso 2012-2013, dicha </w:t>
      </w:r>
      <w:r w:rsidR="00964B53">
        <w:rPr>
          <w:rFonts w:eastAsia="Calibri"/>
          <w:spacing w:val="6"/>
          <w:sz w:val="26"/>
          <w:szCs w:val="26"/>
          <w:lang w:eastAsia="es-ES"/>
        </w:rPr>
        <w:t>c</w:t>
      </w:r>
      <w:r w:rsidR="00414999" w:rsidRPr="003F73F9">
        <w:rPr>
          <w:rFonts w:eastAsia="Calibri"/>
          <w:spacing w:val="6"/>
          <w:sz w:val="26"/>
          <w:szCs w:val="26"/>
          <w:lang w:eastAsia="es-ES"/>
        </w:rPr>
        <w:t xml:space="preserve">omunidad </w:t>
      </w:r>
      <w:r w:rsidR="00964B53">
        <w:rPr>
          <w:rFonts w:eastAsia="Calibri"/>
          <w:spacing w:val="6"/>
          <w:sz w:val="26"/>
          <w:szCs w:val="26"/>
          <w:lang w:eastAsia="es-ES"/>
        </w:rPr>
        <w:t>a</w:t>
      </w:r>
      <w:r w:rsidR="00414999" w:rsidRPr="003F73F9">
        <w:rPr>
          <w:rFonts w:eastAsia="Calibri"/>
          <w:spacing w:val="6"/>
          <w:sz w:val="26"/>
          <w:szCs w:val="26"/>
          <w:lang w:eastAsia="es-ES"/>
        </w:rPr>
        <w:t>utónoma compensar</w:t>
      </w:r>
      <w:r w:rsidR="00414999">
        <w:rPr>
          <w:rFonts w:eastAsia="Calibri"/>
          <w:spacing w:val="6"/>
          <w:sz w:val="26"/>
          <w:szCs w:val="26"/>
          <w:lang w:eastAsia="es-ES"/>
        </w:rPr>
        <w:t>á</w:t>
      </w:r>
      <w:r w:rsidR="00414999" w:rsidRPr="003F73F9">
        <w:rPr>
          <w:rFonts w:eastAsia="Calibri"/>
          <w:spacing w:val="6"/>
          <w:sz w:val="26"/>
          <w:szCs w:val="26"/>
          <w:lang w:eastAsia="es-ES"/>
        </w:rPr>
        <w:t xml:space="preserve"> a la universidad por la d</w:t>
      </w:r>
      <w:r w:rsidR="00414999" w:rsidRPr="003F73F9">
        <w:rPr>
          <w:rFonts w:eastAsia="Calibri"/>
          <w:spacing w:val="6"/>
          <w:sz w:val="26"/>
          <w:szCs w:val="26"/>
          <w:lang w:eastAsia="es-ES"/>
        </w:rPr>
        <w:t>i</w:t>
      </w:r>
      <w:r w:rsidR="00414999" w:rsidRPr="003F73F9">
        <w:rPr>
          <w:rFonts w:eastAsia="Calibri"/>
          <w:spacing w:val="6"/>
          <w:sz w:val="26"/>
          <w:szCs w:val="26"/>
          <w:lang w:eastAsia="es-ES"/>
        </w:rPr>
        <w:t>ferencia, de modo que el beneficiario de la beca quede efectivamente exento de cualquier obligación económica.</w:t>
      </w:r>
    </w:p>
    <w:p w:rsidR="00414999" w:rsidRDefault="003812C2" w:rsidP="00D20463">
      <w:pPr>
        <w:tabs>
          <w:tab w:val="left" w:pos="8647"/>
        </w:tabs>
        <w:ind w:firstLine="284"/>
        <w:rPr>
          <w:rFonts w:eastAsia="Calibri"/>
          <w:spacing w:val="6"/>
          <w:sz w:val="26"/>
          <w:szCs w:val="26"/>
          <w:lang w:eastAsia="es-ES"/>
        </w:rPr>
      </w:pPr>
      <w:r>
        <w:rPr>
          <w:rFonts w:eastAsia="Calibri"/>
          <w:spacing w:val="6"/>
          <w:sz w:val="26"/>
          <w:szCs w:val="26"/>
          <w:lang w:eastAsia="es-ES"/>
        </w:rPr>
        <w:t xml:space="preserve">Posteriormente, diversos </w:t>
      </w:r>
      <w:r w:rsidR="00414999">
        <w:rPr>
          <w:rFonts w:eastAsia="Calibri"/>
          <w:spacing w:val="6"/>
          <w:sz w:val="26"/>
          <w:szCs w:val="26"/>
          <w:lang w:eastAsia="es-ES"/>
        </w:rPr>
        <w:t>reales decretos mantienen para los sucesivos cursos académicos la aportación del ministerio a las universidades en los mismos té</w:t>
      </w:r>
      <w:r w:rsidR="00414999">
        <w:rPr>
          <w:rFonts w:eastAsia="Calibri"/>
          <w:spacing w:val="6"/>
          <w:sz w:val="26"/>
          <w:szCs w:val="26"/>
          <w:lang w:eastAsia="es-ES"/>
        </w:rPr>
        <w:t>r</w:t>
      </w:r>
      <w:r w:rsidR="00414999">
        <w:rPr>
          <w:rFonts w:eastAsia="Calibri"/>
          <w:spacing w:val="6"/>
          <w:sz w:val="26"/>
          <w:szCs w:val="26"/>
          <w:lang w:eastAsia="es-ES"/>
        </w:rPr>
        <w:t>minos señalados para el curso 2012/2013.</w:t>
      </w:r>
    </w:p>
    <w:p w:rsidR="001321DE" w:rsidRPr="004B43B1" w:rsidRDefault="001321DE" w:rsidP="001321DE">
      <w:pPr>
        <w:tabs>
          <w:tab w:val="left" w:pos="8647"/>
        </w:tabs>
        <w:ind w:firstLine="284"/>
        <w:rPr>
          <w:rFonts w:eastAsia="Calibri"/>
          <w:spacing w:val="6"/>
          <w:sz w:val="26"/>
          <w:szCs w:val="26"/>
          <w:lang w:eastAsia="es-ES"/>
        </w:rPr>
      </w:pPr>
      <w:r w:rsidRPr="004B43B1">
        <w:rPr>
          <w:rFonts w:eastAsia="Calibri"/>
          <w:spacing w:val="6"/>
          <w:sz w:val="26"/>
          <w:szCs w:val="26"/>
          <w:lang w:eastAsia="es-ES"/>
        </w:rPr>
        <w:t>Mediante el Real Decreto 293/2016, de 15 de julio, por el que se establecen los umbrales de renta y patrimonio familiar y las cuantías de las becas y ayudas al estudio para el curso 2016/2017, y dado que no se ha puesto en marcha tod</w:t>
      </w:r>
      <w:r w:rsidRPr="004B43B1">
        <w:rPr>
          <w:rFonts w:eastAsia="Calibri"/>
          <w:spacing w:val="6"/>
          <w:sz w:val="26"/>
          <w:szCs w:val="26"/>
          <w:lang w:eastAsia="es-ES"/>
        </w:rPr>
        <w:t>a</w:t>
      </w:r>
      <w:r w:rsidRPr="004B43B1">
        <w:rPr>
          <w:rFonts w:eastAsia="Calibri"/>
          <w:spacing w:val="6"/>
          <w:sz w:val="26"/>
          <w:szCs w:val="26"/>
          <w:lang w:eastAsia="es-ES"/>
        </w:rPr>
        <w:t>vía el sistema de Contabilidad Analítica, se prorroga el régimen transitorio e</w:t>
      </w:r>
      <w:r w:rsidRPr="004B43B1">
        <w:rPr>
          <w:rFonts w:eastAsia="Calibri"/>
          <w:spacing w:val="6"/>
          <w:sz w:val="26"/>
          <w:szCs w:val="26"/>
          <w:lang w:eastAsia="es-ES"/>
        </w:rPr>
        <w:t>s</w:t>
      </w:r>
      <w:r w:rsidRPr="004B43B1">
        <w:rPr>
          <w:rFonts w:eastAsia="Calibri"/>
          <w:spacing w:val="6"/>
          <w:sz w:val="26"/>
          <w:szCs w:val="26"/>
          <w:lang w:eastAsia="es-ES"/>
        </w:rPr>
        <w:t>tablecido hasta el curso 2015/2016 para el cálculo del importe que deben apo</w:t>
      </w:r>
      <w:r w:rsidRPr="004B43B1">
        <w:rPr>
          <w:rFonts w:eastAsia="Calibri"/>
          <w:spacing w:val="6"/>
          <w:sz w:val="26"/>
          <w:szCs w:val="26"/>
          <w:lang w:eastAsia="es-ES"/>
        </w:rPr>
        <w:t>r</w:t>
      </w:r>
      <w:r w:rsidRPr="004B43B1">
        <w:rPr>
          <w:rFonts w:eastAsia="Calibri"/>
          <w:spacing w:val="6"/>
          <w:sz w:val="26"/>
          <w:szCs w:val="26"/>
          <w:lang w:eastAsia="es-ES"/>
        </w:rPr>
        <w:t>tar los Presupuestos Generales del Estado a la compensación de la exención de matrícula por becario.</w:t>
      </w:r>
    </w:p>
    <w:p w:rsidR="00414999" w:rsidRDefault="00414999" w:rsidP="00C55651">
      <w:pPr>
        <w:tabs>
          <w:tab w:val="left" w:pos="8647"/>
        </w:tabs>
        <w:spacing w:after="240"/>
        <w:ind w:firstLine="284"/>
        <w:rPr>
          <w:rFonts w:eastAsia="Calibri"/>
          <w:spacing w:val="6"/>
          <w:sz w:val="26"/>
          <w:szCs w:val="26"/>
          <w:lang w:eastAsia="es-ES"/>
        </w:rPr>
      </w:pPr>
      <w:r>
        <w:rPr>
          <w:rFonts w:eastAsia="Calibri"/>
          <w:spacing w:val="6"/>
          <w:sz w:val="26"/>
          <w:szCs w:val="26"/>
          <w:lang w:eastAsia="es-ES"/>
        </w:rPr>
        <w:t>Por último</w:t>
      </w:r>
      <w:r w:rsidR="003812C2">
        <w:rPr>
          <w:rFonts w:eastAsia="Calibri"/>
          <w:spacing w:val="6"/>
          <w:sz w:val="26"/>
          <w:szCs w:val="26"/>
          <w:lang w:eastAsia="es-ES"/>
        </w:rPr>
        <w:t>,</w:t>
      </w:r>
      <w:r>
        <w:rPr>
          <w:rFonts w:eastAsia="Calibri"/>
          <w:spacing w:val="6"/>
          <w:sz w:val="26"/>
          <w:szCs w:val="26"/>
          <w:lang w:eastAsia="es-ES"/>
        </w:rPr>
        <w:t xml:space="preserve"> debemos señalar que el Real Decreto 609/2013, de 2 de agosto, por el que se establecen los umbrales de renta y patrimonio familiar y las cua</w:t>
      </w:r>
      <w:r>
        <w:rPr>
          <w:rFonts w:eastAsia="Calibri"/>
          <w:spacing w:val="6"/>
          <w:sz w:val="26"/>
          <w:szCs w:val="26"/>
          <w:lang w:eastAsia="es-ES"/>
        </w:rPr>
        <w:t>n</w:t>
      </w:r>
      <w:r>
        <w:rPr>
          <w:rFonts w:eastAsia="Calibri"/>
          <w:spacing w:val="6"/>
          <w:sz w:val="26"/>
          <w:szCs w:val="26"/>
          <w:lang w:eastAsia="es-ES"/>
        </w:rPr>
        <w:t>tías de las becas y ayudas al estudio para el curso 2013/2014, incluyó la co</w:t>
      </w:r>
      <w:r>
        <w:rPr>
          <w:rFonts w:eastAsia="Calibri"/>
          <w:spacing w:val="6"/>
          <w:sz w:val="26"/>
          <w:szCs w:val="26"/>
          <w:lang w:eastAsia="es-ES"/>
        </w:rPr>
        <w:t>m</w:t>
      </w:r>
      <w:r>
        <w:rPr>
          <w:rFonts w:eastAsia="Calibri"/>
          <w:spacing w:val="6"/>
          <w:sz w:val="26"/>
          <w:szCs w:val="26"/>
          <w:lang w:eastAsia="es-ES"/>
        </w:rPr>
        <w:t>pensación de una bonificación del 50 por ciento de las matrículas correspo</w:t>
      </w:r>
      <w:r>
        <w:rPr>
          <w:rFonts w:eastAsia="Calibri"/>
          <w:spacing w:val="6"/>
          <w:sz w:val="26"/>
          <w:szCs w:val="26"/>
          <w:lang w:eastAsia="es-ES"/>
        </w:rPr>
        <w:t>n</w:t>
      </w:r>
      <w:r>
        <w:rPr>
          <w:rFonts w:eastAsia="Calibri"/>
          <w:spacing w:val="6"/>
          <w:sz w:val="26"/>
          <w:szCs w:val="26"/>
          <w:lang w:eastAsia="es-ES"/>
        </w:rPr>
        <w:t>dientes a estudiantes pertenecientes a familias numerosas de tres hijos y asim</w:t>
      </w:r>
      <w:r>
        <w:rPr>
          <w:rFonts w:eastAsia="Calibri"/>
          <w:spacing w:val="6"/>
          <w:sz w:val="26"/>
          <w:szCs w:val="26"/>
          <w:lang w:eastAsia="es-ES"/>
        </w:rPr>
        <w:t>i</w:t>
      </w:r>
      <w:r>
        <w:rPr>
          <w:rFonts w:eastAsia="Calibri"/>
          <w:spacing w:val="6"/>
          <w:sz w:val="26"/>
          <w:szCs w:val="26"/>
          <w:lang w:eastAsia="es-ES"/>
        </w:rPr>
        <w:t>ladas</w:t>
      </w:r>
      <w:r w:rsidR="001321DE">
        <w:rPr>
          <w:rFonts w:eastAsia="Calibri"/>
          <w:spacing w:val="6"/>
          <w:sz w:val="26"/>
          <w:szCs w:val="26"/>
          <w:lang w:eastAsia="es-ES"/>
        </w:rPr>
        <w:t>.</w:t>
      </w:r>
      <w:r>
        <w:rPr>
          <w:rFonts w:eastAsia="Calibri"/>
          <w:spacing w:val="6"/>
          <w:sz w:val="26"/>
          <w:szCs w:val="26"/>
          <w:lang w:eastAsia="es-ES"/>
        </w:rPr>
        <w:t xml:space="preserve"> </w:t>
      </w:r>
    </w:p>
    <w:p w:rsidR="00414999" w:rsidRPr="0002640C" w:rsidRDefault="00414999" w:rsidP="000A1912">
      <w:pPr>
        <w:pStyle w:val="atitulo2"/>
      </w:pPr>
      <w:bookmarkStart w:id="17" w:name="_Toc57285455"/>
      <w:r w:rsidRPr="0002640C">
        <w:t>IV.1.1 Implantación de la contabilidad analítica</w:t>
      </w:r>
      <w:r w:rsidR="00BE523D">
        <w:t xml:space="preserve"> </w:t>
      </w:r>
      <w:r w:rsidR="00BE523D" w:rsidRPr="004B43B1">
        <w:rPr>
          <w:color w:val="auto"/>
        </w:rPr>
        <w:t>en la UPNA</w:t>
      </w:r>
      <w:bookmarkEnd w:id="17"/>
    </w:p>
    <w:p w:rsidR="002F4D81" w:rsidRPr="002F4D81" w:rsidRDefault="003812C2" w:rsidP="002F4D81">
      <w:pPr>
        <w:pStyle w:val="Prrafodelista"/>
        <w:numPr>
          <w:ilvl w:val="0"/>
          <w:numId w:val="17"/>
        </w:numPr>
        <w:tabs>
          <w:tab w:val="left" w:pos="426"/>
          <w:tab w:val="left" w:pos="567"/>
          <w:tab w:val="left" w:pos="8647"/>
        </w:tabs>
        <w:ind w:left="0" w:firstLine="284"/>
        <w:contextualSpacing w:val="0"/>
        <w:rPr>
          <w:rFonts w:eastAsia="Calibri"/>
          <w:spacing w:val="6"/>
          <w:sz w:val="26"/>
          <w:szCs w:val="26"/>
          <w:lang w:eastAsia="es-ES"/>
        </w:rPr>
      </w:pPr>
      <w:r w:rsidRPr="002F4D81">
        <w:rPr>
          <w:spacing w:val="6"/>
          <w:sz w:val="26"/>
          <w:szCs w:val="26"/>
          <w:lang w:eastAsia="es-ES"/>
        </w:rPr>
        <w:t>La</w:t>
      </w:r>
      <w:r w:rsidR="00414999" w:rsidRPr="002F4D81">
        <w:rPr>
          <w:spacing w:val="6"/>
          <w:sz w:val="26"/>
          <w:szCs w:val="26"/>
          <w:lang w:eastAsia="es-ES"/>
        </w:rPr>
        <w:t xml:space="preserve"> Resolución 1177/2011, de 29 de julio, del Rector de la UPNA</w:t>
      </w:r>
      <w:r w:rsidRPr="002F4D81">
        <w:rPr>
          <w:spacing w:val="6"/>
          <w:sz w:val="26"/>
          <w:szCs w:val="26"/>
          <w:lang w:eastAsia="es-ES"/>
        </w:rPr>
        <w:t>, apro</w:t>
      </w:r>
      <w:r w:rsidR="00414999" w:rsidRPr="002F4D81">
        <w:rPr>
          <w:spacing w:val="6"/>
          <w:sz w:val="26"/>
          <w:szCs w:val="26"/>
          <w:lang w:eastAsia="es-ES"/>
        </w:rPr>
        <w:t>b</w:t>
      </w:r>
      <w:r w:rsidRPr="002F4D81">
        <w:rPr>
          <w:spacing w:val="6"/>
          <w:sz w:val="26"/>
          <w:szCs w:val="26"/>
          <w:lang w:eastAsia="es-ES"/>
        </w:rPr>
        <w:t>ó</w:t>
      </w:r>
      <w:r w:rsidR="00414999" w:rsidRPr="002F4D81">
        <w:rPr>
          <w:spacing w:val="6"/>
          <w:sz w:val="26"/>
          <w:szCs w:val="26"/>
          <w:lang w:eastAsia="es-ES"/>
        </w:rPr>
        <w:t xml:space="preserve"> la implantación del sistema de contabilidad analítica en la universidad</w:t>
      </w:r>
      <w:r w:rsidRPr="002F4D81">
        <w:rPr>
          <w:spacing w:val="6"/>
          <w:sz w:val="26"/>
          <w:szCs w:val="26"/>
          <w:lang w:eastAsia="es-ES"/>
        </w:rPr>
        <w:t>, creando</w:t>
      </w:r>
      <w:r w:rsidR="00414999" w:rsidRPr="002F4D81">
        <w:rPr>
          <w:spacing w:val="6"/>
          <w:sz w:val="26"/>
          <w:szCs w:val="26"/>
          <w:lang w:eastAsia="es-ES"/>
        </w:rPr>
        <w:t xml:space="preserve"> el Comité de Personalización.</w:t>
      </w:r>
      <w:r w:rsidR="002F4D81" w:rsidRPr="002F4D81">
        <w:rPr>
          <w:spacing w:val="6"/>
          <w:sz w:val="26"/>
          <w:szCs w:val="26"/>
          <w:lang w:eastAsia="es-ES"/>
        </w:rPr>
        <w:t xml:space="preserve"> </w:t>
      </w:r>
    </w:p>
    <w:p w:rsidR="00414999" w:rsidRPr="002F4D81" w:rsidRDefault="00414999" w:rsidP="002F4D81">
      <w:pPr>
        <w:pStyle w:val="texto"/>
        <w:rPr>
          <w:rFonts w:eastAsia="Calibri"/>
          <w:lang w:eastAsia="es-ES"/>
        </w:rPr>
      </w:pPr>
      <w:r w:rsidRPr="002F4D81">
        <w:rPr>
          <w:rFonts w:eastAsia="Calibri"/>
          <w:lang w:eastAsia="es-ES"/>
        </w:rPr>
        <w:lastRenderedPageBreak/>
        <w:t>La UPNA diseñó un plan de implantación de la contabilidad analítica, aju</w:t>
      </w:r>
      <w:r w:rsidRPr="002F4D81">
        <w:rPr>
          <w:rFonts w:eastAsia="Calibri"/>
          <w:lang w:eastAsia="es-ES"/>
        </w:rPr>
        <w:t>s</w:t>
      </w:r>
      <w:r w:rsidRPr="002F4D81">
        <w:rPr>
          <w:rFonts w:eastAsia="Calibri"/>
          <w:lang w:eastAsia="es-ES"/>
        </w:rPr>
        <w:t>tado a las orientaciones recogidas en el Modelo de Contabilidad Analítica para Universidades, Particularización del Modelo C.A.N.O.A., que ha ido adaptá</w:t>
      </w:r>
      <w:r w:rsidRPr="002F4D81">
        <w:rPr>
          <w:rFonts w:eastAsia="Calibri"/>
          <w:lang w:eastAsia="es-ES"/>
        </w:rPr>
        <w:t>n</w:t>
      </w:r>
      <w:r w:rsidRPr="002F4D81">
        <w:rPr>
          <w:rFonts w:eastAsia="Calibri"/>
          <w:lang w:eastAsia="es-ES"/>
        </w:rPr>
        <w:t>dose a lo largo del tiempo</w:t>
      </w:r>
      <w:r w:rsidR="00464001" w:rsidRPr="002F4D81">
        <w:rPr>
          <w:rFonts w:eastAsia="Calibri"/>
          <w:lang w:eastAsia="es-ES"/>
        </w:rPr>
        <w:t>,</w:t>
      </w:r>
      <w:r w:rsidRPr="002F4D81">
        <w:rPr>
          <w:rFonts w:eastAsia="Calibri"/>
          <w:lang w:eastAsia="es-ES"/>
        </w:rPr>
        <w:t xml:space="preserve"> y contrató la personalización e implantación de d</w:t>
      </w:r>
      <w:r w:rsidRPr="002F4D81">
        <w:rPr>
          <w:rFonts w:eastAsia="Calibri"/>
          <w:lang w:eastAsia="es-ES"/>
        </w:rPr>
        <w:t>i</w:t>
      </w:r>
      <w:r w:rsidRPr="002F4D81">
        <w:rPr>
          <w:rFonts w:eastAsia="Calibri"/>
          <w:lang w:eastAsia="es-ES"/>
        </w:rPr>
        <w:t>cho modelo con la Oficina de Cooperación Universitaria, S.A. (OCU en adela</w:t>
      </w:r>
      <w:r w:rsidRPr="002F4D81">
        <w:rPr>
          <w:rFonts w:eastAsia="Calibri"/>
          <w:lang w:eastAsia="es-ES"/>
        </w:rPr>
        <w:t>n</w:t>
      </w:r>
      <w:r w:rsidRPr="002F4D81">
        <w:rPr>
          <w:rFonts w:eastAsia="Calibri"/>
          <w:lang w:eastAsia="es-ES"/>
        </w:rPr>
        <w:t xml:space="preserve">te). </w:t>
      </w:r>
    </w:p>
    <w:p w:rsidR="00414999" w:rsidRDefault="00414999" w:rsidP="00AE227F">
      <w:pPr>
        <w:tabs>
          <w:tab w:val="left" w:pos="8647"/>
        </w:tabs>
        <w:spacing w:after="120"/>
        <w:ind w:firstLine="284"/>
        <w:rPr>
          <w:rFonts w:eastAsia="Calibri"/>
          <w:spacing w:val="6"/>
          <w:sz w:val="26"/>
          <w:szCs w:val="26"/>
          <w:lang w:eastAsia="es-ES"/>
        </w:rPr>
      </w:pPr>
      <w:r w:rsidRPr="00A9759F">
        <w:rPr>
          <w:rFonts w:eastAsia="Calibri"/>
          <w:spacing w:val="6"/>
          <w:sz w:val="26"/>
          <w:szCs w:val="26"/>
          <w:lang w:eastAsia="es-ES"/>
        </w:rPr>
        <w:t>Se trasladó el funcionamiento de la UPNA a los elementos teóricos del m</w:t>
      </w:r>
      <w:r w:rsidRPr="00A9759F">
        <w:rPr>
          <w:rFonts w:eastAsia="Calibri"/>
          <w:spacing w:val="6"/>
          <w:sz w:val="26"/>
          <w:szCs w:val="26"/>
          <w:lang w:eastAsia="es-ES"/>
        </w:rPr>
        <w:t>o</w:t>
      </w:r>
      <w:r w:rsidRPr="00A9759F">
        <w:rPr>
          <w:rFonts w:eastAsia="Calibri"/>
          <w:spacing w:val="6"/>
          <w:sz w:val="26"/>
          <w:szCs w:val="26"/>
          <w:lang w:eastAsia="es-ES"/>
        </w:rPr>
        <w:t>delo, centrándose las tareas desarrolladas en la definición y determinación de elementos de coste, de ingreso, centros de coste y responsabilidad, activid</w:t>
      </w:r>
      <w:r w:rsidRPr="00A9759F">
        <w:rPr>
          <w:rFonts w:eastAsia="Calibri"/>
          <w:spacing w:val="6"/>
          <w:sz w:val="26"/>
          <w:szCs w:val="26"/>
          <w:lang w:eastAsia="es-ES"/>
        </w:rPr>
        <w:t>a</w:t>
      </w:r>
      <w:r w:rsidRPr="00A9759F">
        <w:rPr>
          <w:rFonts w:eastAsia="Calibri"/>
          <w:spacing w:val="6"/>
          <w:sz w:val="26"/>
          <w:szCs w:val="26"/>
          <w:lang w:eastAsia="es-ES"/>
        </w:rPr>
        <w:t>des/servicios, relaciones internas, criterios de reparto e imputación, sistemas de gestión que proporcionan información al modelo y outputs informativos e ind</w:t>
      </w:r>
      <w:r w:rsidRPr="00A9759F">
        <w:rPr>
          <w:rFonts w:eastAsia="Calibri"/>
          <w:spacing w:val="6"/>
          <w:sz w:val="26"/>
          <w:szCs w:val="26"/>
          <w:lang w:eastAsia="es-ES"/>
        </w:rPr>
        <w:t>i</w:t>
      </w:r>
      <w:r w:rsidRPr="00A9759F">
        <w:rPr>
          <w:rFonts w:eastAsia="Calibri"/>
          <w:spacing w:val="6"/>
          <w:sz w:val="26"/>
          <w:szCs w:val="26"/>
          <w:lang w:eastAsia="es-ES"/>
        </w:rPr>
        <w:t>cadores de costes y gestión.</w:t>
      </w:r>
    </w:p>
    <w:p w:rsidR="00414999" w:rsidRDefault="00414999" w:rsidP="00AE227F">
      <w:pPr>
        <w:tabs>
          <w:tab w:val="left" w:pos="8647"/>
        </w:tabs>
        <w:spacing w:after="120"/>
        <w:ind w:firstLine="284"/>
        <w:rPr>
          <w:rFonts w:eastAsia="Calibri"/>
          <w:spacing w:val="6"/>
          <w:sz w:val="26"/>
          <w:szCs w:val="26"/>
          <w:lang w:eastAsia="es-ES"/>
        </w:rPr>
      </w:pPr>
      <w:r w:rsidRPr="00E7205F">
        <w:rPr>
          <w:rFonts w:eastAsia="Calibri"/>
          <w:spacing w:val="6"/>
          <w:sz w:val="26"/>
          <w:szCs w:val="26"/>
          <w:lang w:eastAsia="es-ES"/>
        </w:rPr>
        <w:t xml:space="preserve">En todo este proceso la </w:t>
      </w:r>
      <w:r>
        <w:rPr>
          <w:rFonts w:eastAsia="Calibri"/>
          <w:spacing w:val="6"/>
          <w:sz w:val="26"/>
          <w:szCs w:val="26"/>
          <w:lang w:eastAsia="es-ES"/>
        </w:rPr>
        <w:t>UPNA</w:t>
      </w:r>
      <w:r w:rsidRPr="00E7205F">
        <w:rPr>
          <w:rFonts w:eastAsia="Calibri"/>
          <w:spacing w:val="6"/>
          <w:sz w:val="26"/>
          <w:szCs w:val="26"/>
          <w:lang w:eastAsia="es-ES"/>
        </w:rPr>
        <w:t xml:space="preserve"> ha utilizado la aplicación informática diseñ</w:t>
      </w:r>
      <w:r w:rsidRPr="00E7205F">
        <w:rPr>
          <w:rFonts w:eastAsia="Calibri"/>
          <w:spacing w:val="6"/>
          <w:sz w:val="26"/>
          <w:szCs w:val="26"/>
          <w:lang w:eastAsia="es-ES"/>
        </w:rPr>
        <w:t>a</w:t>
      </w:r>
      <w:r w:rsidRPr="00E7205F">
        <w:rPr>
          <w:rFonts w:eastAsia="Calibri"/>
          <w:spacing w:val="6"/>
          <w:sz w:val="26"/>
          <w:szCs w:val="26"/>
          <w:lang w:eastAsia="es-ES"/>
        </w:rPr>
        <w:t>da</w:t>
      </w:r>
      <w:r>
        <w:rPr>
          <w:rFonts w:eastAsia="Calibri"/>
          <w:spacing w:val="6"/>
          <w:sz w:val="26"/>
          <w:szCs w:val="26"/>
          <w:lang w:eastAsia="es-ES"/>
        </w:rPr>
        <w:t xml:space="preserve"> por la OCU.</w:t>
      </w:r>
    </w:p>
    <w:p w:rsidR="00ED5014" w:rsidRPr="00981AF4" w:rsidRDefault="00ED5014"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981AF4">
        <w:rPr>
          <w:spacing w:val="6"/>
          <w:sz w:val="26"/>
          <w:szCs w:val="26"/>
          <w:lang w:eastAsia="es-ES"/>
        </w:rPr>
        <w:t>En abril de 2016, la IGAE validó el “Informe de personalización del "M</w:t>
      </w:r>
      <w:r w:rsidRPr="00981AF4">
        <w:rPr>
          <w:spacing w:val="6"/>
          <w:sz w:val="26"/>
          <w:szCs w:val="26"/>
          <w:lang w:eastAsia="es-ES"/>
        </w:rPr>
        <w:t>o</w:t>
      </w:r>
      <w:r w:rsidRPr="00981AF4">
        <w:rPr>
          <w:spacing w:val="6"/>
          <w:sz w:val="26"/>
          <w:szCs w:val="26"/>
          <w:lang w:eastAsia="es-ES"/>
        </w:rPr>
        <w:t>delo de Contabilidad Analítica para Universidades. Particularización del Mod</w:t>
      </w:r>
      <w:r w:rsidRPr="00981AF4">
        <w:rPr>
          <w:spacing w:val="6"/>
          <w:sz w:val="26"/>
          <w:szCs w:val="26"/>
          <w:lang w:eastAsia="es-ES"/>
        </w:rPr>
        <w:t>e</w:t>
      </w:r>
      <w:r w:rsidRPr="00981AF4">
        <w:rPr>
          <w:spacing w:val="6"/>
          <w:sz w:val="26"/>
          <w:szCs w:val="26"/>
          <w:lang w:eastAsia="es-ES"/>
        </w:rPr>
        <w:t>lo C.A.N.O.A de la Universidad Pública de Navarra, referido al año 2011”. Asimismo, dicho modelo fue trasladado al Departamento de Educación del G</w:t>
      </w:r>
      <w:r w:rsidRPr="00981AF4">
        <w:rPr>
          <w:spacing w:val="6"/>
          <w:sz w:val="26"/>
          <w:szCs w:val="26"/>
          <w:lang w:eastAsia="es-ES"/>
        </w:rPr>
        <w:t>o</w:t>
      </w:r>
      <w:r w:rsidRPr="00981AF4">
        <w:rPr>
          <w:spacing w:val="6"/>
          <w:sz w:val="26"/>
          <w:szCs w:val="26"/>
          <w:lang w:eastAsia="es-ES"/>
        </w:rPr>
        <w:t>bierno de Navarra.</w:t>
      </w:r>
    </w:p>
    <w:p w:rsidR="00414999" w:rsidRPr="00162FDE" w:rsidRDefault="00534241" w:rsidP="00AE227F">
      <w:pPr>
        <w:tabs>
          <w:tab w:val="left" w:pos="8647"/>
        </w:tabs>
        <w:spacing w:after="120"/>
        <w:ind w:firstLine="284"/>
        <w:rPr>
          <w:rFonts w:eastAsia="Calibri"/>
          <w:spacing w:val="6"/>
          <w:sz w:val="26"/>
          <w:szCs w:val="26"/>
          <w:lang w:eastAsia="es-ES"/>
        </w:rPr>
      </w:pPr>
      <w:r w:rsidRPr="00534241">
        <w:rPr>
          <w:rFonts w:eastAsia="Calibri"/>
          <w:spacing w:val="6"/>
          <w:sz w:val="26"/>
          <w:szCs w:val="26"/>
          <w:lang w:eastAsia="es-ES"/>
        </w:rPr>
        <w:t xml:space="preserve">Aunque la fase </w:t>
      </w:r>
      <w:r w:rsidR="00414999" w:rsidRPr="00534241">
        <w:rPr>
          <w:rFonts w:eastAsia="Calibri"/>
          <w:spacing w:val="6"/>
          <w:sz w:val="26"/>
          <w:szCs w:val="26"/>
          <w:lang w:eastAsia="es-ES"/>
        </w:rPr>
        <w:t>inicial finalizó</w:t>
      </w:r>
      <w:r w:rsidR="00414999" w:rsidRPr="00162FDE">
        <w:rPr>
          <w:rFonts w:eastAsia="Calibri"/>
          <w:spacing w:val="6"/>
          <w:sz w:val="26"/>
          <w:szCs w:val="26"/>
          <w:lang w:eastAsia="es-ES"/>
        </w:rPr>
        <w:t xml:space="preserve">, los trabajos de implantación y consolidación de la </w:t>
      </w:r>
      <w:r w:rsidR="00767115" w:rsidRPr="00162FDE">
        <w:rPr>
          <w:rFonts w:eastAsia="Calibri"/>
          <w:spacing w:val="6"/>
          <w:sz w:val="26"/>
          <w:szCs w:val="26"/>
          <w:lang w:eastAsia="es-ES"/>
        </w:rPr>
        <w:t>contabilidad a</w:t>
      </w:r>
      <w:r w:rsidR="00414999" w:rsidRPr="00162FDE">
        <w:rPr>
          <w:rFonts w:eastAsia="Calibri"/>
          <w:spacing w:val="6"/>
          <w:sz w:val="26"/>
          <w:szCs w:val="26"/>
          <w:lang w:eastAsia="es-ES"/>
        </w:rPr>
        <w:t>nalítica en la UPNA se mantienen</w:t>
      </w:r>
      <w:r w:rsidR="00162FDE">
        <w:rPr>
          <w:rFonts w:eastAsia="Calibri"/>
          <w:spacing w:val="6"/>
          <w:sz w:val="26"/>
          <w:szCs w:val="26"/>
          <w:lang w:eastAsia="es-ES"/>
        </w:rPr>
        <w:t>,</w:t>
      </w:r>
      <w:r w:rsidR="00414999" w:rsidRPr="00162FDE">
        <w:rPr>
          <w:rFonts w:eastAsia="Calibri"/>
          <w:spacing w:val="6"/>
          <w:sz w:val="26"/>
          <w:szCs w:val="26"/>
          <w:lang w:eastAsia="es-ES"/>
        </w:rPr>
        <w:t xml:space="preserve"> por </w:t>
      </w:r>
      <w:r w:rsidR="00162FDE" w:rsidRPr="00162FDE">
        <w:rPr>
          <w:rFonts w:eastAsia="Calibri"/>
          <w:spacing w:val="6"/>
          <w:sz w:val="26"/>
          <w:szCs w:val="26"/>
          <w:lang w:eastAsia="es-ES"/>
        </w:rPr>
        <w:t xml:space="preserve">no haber concluido </w:t>
      </w:r>
      <w:r w:rsidR="00414999" w:rsidRPr="00162FDE">
        <w:rPr>
          <w:rFonts w:eastAsia="Calibri"/>
          <w:spacing w:val="6"/>
          <w:sz w:val="26"/>
          <w:szCs w:val="26"/>
          <w:lang w:eastAsia="es-ES"/>
        </w:rPr>
        <w:t xml:space="preserve">el proceso </w:t>
      </w:r>
      <w:r w:rsidR="00162FDE" w:rsidRPr="00162FDE">
        <w:rPr>
          <w:rFonts w:eastAsia="Calibri"/>
          <w:spacing w:val="6"/>
          <w:sz w:val="26"/>
          <w:szCs w:val="26"/>
          <w:lang w:eastAsia="es-ES"/>
        </w:rPr>
        <w:t>y p</w:t>
      </w:r>
      <w:r w:rsidR="00414999" w:rsidRPr="00162FDE">
        <w:rPr>
          <w:rFonts w:eastAsia="Calibri"/>
          <w:spacing w:val="6"/>
          <w:sz w:val="26"/>
          <w:szCs w:val="26"/>
          <w:lang w:eastAsia="es-ES"/>
        </w:rPr>
        <w:t>or el continuo análisis y revisión de datos y procedimientos de trabajo, actualización de ejercicios, etc.</w:t>
      </w:r>
    </w:p>
    <w:p w:rsidR="00414999" w:rsidRPr="004B43B1" w:rsidRDefault="00414999" w:rsidP="00AE227F">
      <w:pPr>
        <w:tabs>
          <w:tab w:val="left" w:pos="8647"/>
        </w:tabs>
        <w:spacing w:after="120"/>
        <w:ind w:firstLine="284"/>
        <w:rPr>
          <w:rFonts w:eastAsia="Calibri"/>
          <w:spacing w:val="6"/>
          <w:sz w:val="26"/>
          <w:szCs w:val="26"/>
          <w:lang w:eastAsia="es-ES"/>
        </w:rPr>
      </w:pPr>
      <w:r w:rsidRPr="008C085F">
        <w:rPr>
          <w:rFonts w:eastAsia="Calibri"/>
          <w:spacing w:val="6"/>
          <w:sz w:val="26"/>
          <w:szCs w:val="26"/>
          <w:lang w:eastAsia="es-ES"/>
        </w:rPr>
        <w:t>Además, en este proceso también se han teni</w:t>
      </w:r>
      <w:r w:rsidR="00767115">
        <w:rPr>
          <w:rFonts w:eastAsia="Calibri"/>
          <w:spacing w:val="6"/>
          <w:sz w:val="26"/>
          <w:szCs w:val="26"/>
          <w:lang w:eastAsia="es-ES"/>
        </w:rPr>
        <w:t xml:space="preserve">do que abordar otras cuestiones, </w:t>
      </w:r>
      <w:r w:rsidRPr="008C085F">
        <w:rPr>
          <w:rFonts w:eastAsia="Calibri"/>
          <w:spacing w:val="6"/>
          <w:sz w:val="26"/>
          <w:szCs w:val="26"/>
          <w:lang w:eastAsia="es-ES"/>
        </w:rPr>
        <w:t xml:space="preserve">como la modificación y adaptación de los sistemas presupuestarios, contables, de inventario y de información a los requerimientos derivados del modelo y la definición </w:t>
      </w:r>
      <w:r w:rsidR="00767115">
        <w:rPr>
          <w:rFonts w:eastAsia="Calibri"/>
          <w:spacing w:val="6"/>
          <w:sz w:val="26"/>
          <w:szCs w:val="26"/>
          <w:lang w:eastAsia="es-ES"/>
        </w:rPr>
        <w:t xml:space="preserve">de </w:t>
      </w:r>
      <w:r w:rsidRPr="008C085F">
        <w:rPr>
          <w:rFonts w:eastAsia="Calibri"/>
          <w:spacing w:val="6"/>
          <w:sz w:val="26"/>
          <w:szCs w:val="26"/>
          <w:lang w:eastAsia="es-ES"/>
        </w:rPr>
        <w:t>l</w:t>
      </w:r>
      <w:r w:rsidR="00ED5014">
        <w:rPr>
          <w:rFonts w:eastAsia="Calibri"/>
          <w:spacing w:val="6"/>
          <w:sz w:val="26"/>
          <w:szCs w:val="26"/>
          <w:lang w:eastAsia="es-ES"/>
        </w:rPr>
        <w:t>a</w:t>
      </w:r>
      <w:r w:rsidRPr="008C085F">
        <w:rPr>
          <w:rFonts w:eastAsia="Calibri"/>
          <w:spacing w:val="6"/>
          <w:sz w:val="26"/>
          <w:szCs w:val="26"/>
          <w:lang w:eastAsia="es-ES"/>
        </w:rPr>
        <w:t>s interfaces</w:t>
      </w:r>
      <w:r w:rsidR="00162FDE">
        <w:rPr>
          <w:rFonts w:eastAsia="Calibri"/>
          <w:spacing w:val="6"/>
          <w:sz w:val="26"/>
          <w:szCs w:val="26"/>
          <w:lang w:eastAsia="es-ES"/>
        </w:rPr>
        <w:t xml:space="preserve"> entre </w:t>
      </w:r>
      <w:r w:rsidRPr="004B43B1">
        <w:rPr>
          <w:rFonts w:eastAsia="Calibri"/>
          <w:spacing w:val="6"/>
          <w:sz w:val="26"/>
          <w:szCs w:val="26"/>
          <w:lang w:eastAsia="es-ES"/>
        </w:rPr>
        <w:t xml:space="preserve">el sistema de contabilidad analítica </w:t>
      </w:r>
      <w:r w:rsidR="00162FDE" w:rsidRPr="004B43B1">
        <w:rPr>
          <w:rFonts w:eastAsia="Calibri"/>
          <w:spacing w:val="6"/>
          <w:sz w:val="26"/>
          <w:szCs w:val="26"/>
          <w:lang w:eastAsia="es-ES"/>
        </w:rPr>
        <w:t xml:space="preserve">y </w:t>
      </w:r>
      <w:r w:rsidRPr="004B43B1">
        <w:rPr>
          <w:rFonts w:eastAsia="Calibri"/>
          <w:spacing w:val="6"/>
          <w:sz w:val="26"/>
          <w:szCs w:val="26"/>
          <w:lang w:eastAsia="es-ES"/>
        </w:rPr>
        <w:t>el resto de los sistemas de gestión de la UPNA</w:t>
      </w:r>
      <w:r w:rsidR="00162FDE" w:rsidRPr="004B43B1">
        <w:rPr>
          <w:rFonts w:eastAsia="Calibri"/>
          <w:spacing w:val="6"/>
          <w:sz w:val="26"/>
          <w:szCs w:val="26"/>
          <w:lang w:eastAsia="es-ES"/>
        </w:rPr>
        <w:t>.</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981AF4">
        <w:rPr>
          <w:spacing w:val="6"/>
          <w:sz w:val="26"/>
          <w:szCs w:val="26"/>
          <w:lang w:eastAsia="es-ES"/>
        </w:rPr>
        <w:t>En paralelo, la UPNA se ha adaptado a los cambios introducidos en el m</w:t>
      </w:r>
      <w:r w:rsidRPr="00981AF4">
        <w:rPr>
          <w:spacing w:val="6"/>
          <w:sz w:val="26"/>
          <w:szCs w:val="26"/>
          <w:lang w:eastAsia="es-ES"/>
        </w:rPr>
        <w:t>o</w:t>
      </w:r>
      <w:r w:rsidRPr="00981AF4">
        <w:rPr>
          <w:spacing w:val="6"/>
          <w:sz w:val="26"/>
          <w:szCs w:val="26"/>
          <w:lang w:eastAsia="es-ES"/>
        </w:rPr>
        <w:t xml:space="preserve">delo de contabilidad analítica, participa en el GT CASFI y está a la espera de la aprobación del Nuevo Modelo </w:t>
      </w:r>
      <w:r w:rsidR="00942218" w:rsidRPr="00981AF4">
        <w:rPr>
          <w:spacing w:val="6"/>
          <w:sz w:val="26"/>
          <w:szCs w:val="26"/>
          <w:lang w:eastAsia="es-ES"/>
        </w:rPr>
        <w:t xml:space="preserve">de </w:t>
      </w:r>
      <w:r w:rsidRPr="00981AF4">
        <w:rPr>
          <w:spacing w:val="6"/>
          <w:sz w:val="26"/>
          <w:szCs w:val="26"/>
          <w:lang w:eastAsia="es-ES"/>
        </w:rPr>
        <w:t>Contabilidad Analítica para Universidades por parte del Ministerio.</w:t>
      </w:r>
    </w:p>
    <w:p w:rsidR="00414999" w:rsidRDefault="00414999" w:rsidP="00981AF4">
      <w:pPr>
        <w:pStyle w:val="Prrafodelista"/>
        <w:numPr>
          <w:ilvl w:val="0"/>
          <w:numId w:val="17"/>
        </w:numPr>
        <w:tabs>
          <w:tab w:val="left" w:pos="426"/>
          <w:tab w:val="left" w:pos="567"/>
        </w:tabs>
        <w:spacing w:after="100"/>
        <w:ind w:left="0" w:firstLine="284"/>
        <w:contextualSpacing w:val="0"/>
        <w:rPr>
          <w:rFonts w:eastAsia="Calibri"/>
          <w:spacing w:val="6"/>
          <w:sz w:val="26"/>
          <w:szCs w:val="26"/>
          <w:lang w:eastAsia="es-ES"/>
        </w:rPr>
      </w:pPr>
      <w:r w:rsidRPr="00981AF4">
        <w:rPr>
          <w:spacing w:val="6"/>
          <w:sz w:val="26"/>
          <w:szCs w:val="26"/>
          <w:lang w:eastAsia="es-ES"/>
        </w:rPr>
        <w:t>Los principales problemas surgidos en la implantación del modelo han sido</w:t>
      </w:r>
      <w:r w:rsidR="00942218" w:rsidRPr="00981AF4">
        <w:rPr>
          <w:spacing w:val="6"/>
          <w:sz w:val="26"/>
          <w:szCs w:val="26"/>
          <w:lang w:eastAsia="es-ES"/>
        </w:rPr>
        <w:t xml:space="preserve"> los siguientes</w:t>
      </w:r>
      <w:r w:rsidRPr="00981AF4">
        <w:rPr>
          <w:spacing w:val="6"/>
          <w:sz w:val="26"/>
          <w:szCs w:val="26"/>
          <w:lang w:eastAsia="es-ES"/>
        </w:rPr>
        <w:t>: la adaptación del modelo CANOA a la realidad de la UPNA, los cambios normativos del modelo, la adaptación o búsqueda de soluciones para</w:t>
      </w:r>
      <w:r w:rsidRPr="004B349B">
        <w:rPr>
          <w:rFonts w:eastAsia="Calibri"/>
          <w:spacing w:val="6"/>
          <w:sz w:val="26"/>
          <w:szCs w:val="26"/>
          <w:lang w:eastAsia="es-ES"/>
        </w:rPr>
        <w:t xml:space="preserve"> sistemas de información incompatibles que deben suministrar datos a la cont</w:t>
      </w:r>
      <w:r w:rsidRPr="004B349B">
        <w:rPr>
          <w:rFonts w:eastAsia="Calibri"/>
          <w:spacing w:val="6"/>
          <w:sz w:val="26"/>
          <w:szCs w:val="26"/>
          <w:lang w:eastAsia="es-ES"/>
        </w:rPr>
        <w:t>a</w:t>
      </w:r>
      <w:r w:rsidRPr="004B349B">
        <w:rPr>
          <w:rFonts w:eastAsia="Calibri"/>
          <w:spacing w:val="6"/>
          <w:sz w:val="26"/>
          <w:szCs w:val="26"/>
          <w:lang w:eastAsia="es-ES"/>
        </w:rPr>
        <w:t>bilidad analítica y la implantación de sistemas informáticos nuevos, tanto por conocimiento como por la adquisición e inversión.</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981AF4">
        <w:rPr>
          <w:spacing w:val="6"/>
          <w:sz w:val="26"/>
          <w:szCs w:val="26"/>
          <w:lang w:eastAsia="es-ES"/>
        </w:rPr>
        <w:lastRenderedPageBreak/>
        <w:t xml:space="preserve">El gerente de la UPNA asignó las funciones de implantación de la </w:t>
      </w:r>
      <w:r w:rsidR="00767115" w:rsidRPr="00981AF4">
        <w:rPr>
          <w:spacing w:val="6"/>
          <w:sz w:val="26"/>
          <w:szCs w:val="26"/>
          <w:lang w:eastAsia="es-ES"/>
        </w:rPr>
        <w:t>c</w:t>
      </w:r>
      <w:r w:rsidRPr="00981AF4">
        <w:rPr>
          <w:spacing w:val="6"/>
          <w:sz w:val="26"/>
          <w:szCs w:val="26"/>
          <w:lang w:eastAsia="es-ES"/>
        </w:rPr>
        <w:t>ontab</w:t>
      </w:r>
      <w:r w:rsidRPr="00981AF4">
        <w:rPr>
          <w:spacing w:val="6"/>
          <w:sz w:val="26"/>
          <w:szCs w:val="26"/>
          <w:lang w:eastAsia="es-ES"/>
        </w:rPr>
        <w:t>i</w:t>
      </w:r>
      <w:r w:rsidRPr="00981AF4">
        <w:rPr>
          <w:spacing w:val="6"/>
          <w:sz w:val="26"/>
          <w:szCs w:val="26"/>
          <w:lang w:eastAsia="es-ES"/>
        </w:rPr>
        <w:t xml:space="preserve">lidad </w:t>
      </w:r>
      <w:r w:rsidR="00767115" w:rsidRPr="00981AF4">
        <w:rPr>
          <w:spacing w:val="6"/>
          <w:sz w:val="26"/>
          <w:szCs w:val="26"/>
          <w:lang w:eastAsia="es-ES"/>
        </w:rPr>
        <w:t>a</w:t>
      </w:r>
      <w:r w:rsidRPr="00981AF4">
        <w:rPr>
          <w:spacing w:val="6"/>
          <w:sz w:val="26"/>
          <w:szCs w:val="26"/>
          <w:lang w:eastAsia="es-ES"/>
        </w:rPr>
        <w:t>nalítica a una técnica de la Dirección de Asuntos Económicos.</w:t>
      </w:r>
    </w:p>
    <w:p w:rsidR="00414999" w:rsidRDefault="002B4712" w:rsidP="00981AF4">
      <w:pPr>
        <w:pStyle w:val="Prrafodelista"/>
        <w:numPr>
          <w:ilvl w:val="0"/>
          <w:numId w:val="17"/>
        </w:numPr>
        <w:tabs>
          <w:tab w:val="left" w:pos="426"/>
          <w:tab w:val="left" w:pos="567"/>
        </w:tabs>
        <w:spacing w:after="100"/>
        <w:ind w:left="0" w:firstLine="284"/>
        <w:contextualSpacing w:val="0"/>
        <w:rPr>
          <w:rFonts w:eastAsia="Calibri"/>
          <w:spacing w:val="6"/>
          <w:sz w:val="26"/>
          <w:szCs w:val="26"/>
          <w:lang w:eastAsia="es-ES"/>
        </w:rPr>
      </w:pPr>
      <w:r w:rsidRPr="00981AF4">
        <w:rPr>
          <w:spacing w:val="6"/>
          <w:sz w:val="26"/>
          <w:szCs w:val="26"/>
          <w:lang w:eastAsia="es-ES"/>
        </w:rPr>
        <w:t>E</w:t>
      </w:r>
      <w:r w:rsidR="00414999" w:rsidRPr="00981AF4">
        <w:rPr>
          <w:spacing w:val="6"/>
          <w:sz w:val="26"/>
          <w:szCs w:val="26"/>
          <w:lang w:eastAsia="es-ES"/>
        </w:rPr>
        <w:t>n este proceso de implantación de la contabilidad analítica no existe un proc</w:t>
      </w:r>
      <w:r w:rsidR="00534241" w:rsidRPr="00981AF4">
        <w:rPr>
          <w:spacing w:val="6"/>
          <w:sz w:val="26"/>
          <w:szCs w:val="26"/>
          <w:lang w:eastAsia="es-ES"/>
        </w:rPr>
        <w:t xml:space="preserve">edimiento de colaboración </w:t>
      </w:r>
      <w:r w:rsidR="00414999" w:rsidRPr="00981AF4">
        <w:rPr>
          <w:spacing w:val="6"/>
          <w:sz w:val="26"/>
          <w:szCs w:val="26"/>
          <w:lang w:eastAsia="es-ES"/>
        </w:rPr>
        <w:t>establecido</w:t>
      </w:r>
      <w:r w:rsidRPr="00981AF4">
        <w:rPr>
          <w:spacing w:val="6"/>
          <w:sz w:val="26"/>
          <w:szCs w:val="26"/>
          <w:lang w:eastAsia="es-ES"/>
        </w:rPr>
        <w:t xml:space="preserve"> entre la UPNA y el Departamento de Universidades, Innovación y Transformación Digital</w:t>
      </w:r>
      <w:r w:rsidR="00414999" w:rsidRPr="00981AF4">
        <w:rPr>
          <w:spacing w:val="6"/>
          <w:sz w:val="26"/>
          <w:szCs w:val="26"/>
          <w:lang w:eastAsia="es-ES"/>
        </w:rPr>
        <w:t>, pero sí hay una com</w:t>
      </w:r>
      <w:r w:rsidR="00414999" w:rsidRPr="00981AF4">
        <w:rPr>
          <w:spacing w:val="6"/>
          <w:sz w:val="26"/>
          <w:szCs w:val="26"/>
          <w:lang w:eastAsia="es-ES"/>
        </w:rPr>
        <w:t>u</w:t>
      </w:r>
      <w:r w:rsidR="00414999" w:rsidRPr="00981AF4">
        <w:rPr>
          <w:spacing w:val="6"/>
          <w:sz w:val="26"/>
          <w:szCs w:val="26"/>
          <w:lang w:eastAsia="es-ES"/>
        </w:rPr>
        <w:t>nicación sobre el estado y los trabajos llevados a cabo para la implantación de la</w:t>
      </w:r>
      <w:r w:rsidR="00414999" w:rsidRPr="000526E2">
        <w:rPr>
          <w:rFonts w:eastAsia="Calibri"/>
          <w:spacing w:val="6"/>
          <w:sz w:val="26"/>
          <w:szCs w:val="26"/>
          <w:lang w:eastAsia="es-ES"/>
        </w:rPr>
        <w:t xml:space="preserve"> </w:t>
      </w:r>
      <w:r w:rsidR="00414999">
        <w:rPr>
          <w:rFonts w:eastAsia="Calibri"/>
          <w:spacing w:val="6"/>
          <w:sz w:val="26"/>
          <w:szCs w:val="26"/>
          <w:lang w:eastAsia="es-ES"/>
        </w:rPr>
        <w:t>c</w:t>
      </w:r>
      <w:r w:rsidR="00414999" w:rsidRPr="000526E2">
        <w:rPr>
          <w:rFonts w:eastAsia="Calibri"/>
          <w:spacing w:val="6"/>
          <w:sz w:val="26"/>
          <w:szCs w:val="26"/>
          <w:lang w:eastAsia="es-ES"/>
        </w:rPr>
        <w:t xml:space="preserve">ontabilidad </w:t>
      </w:r>
      <w:r w:rsidR="00414999">
        <w:rPr>
          <w:rFonts w:eastAsia="Calibri"/>
          <w:spacing w:val="6"/>
          <w:sz w:val="26"/>
          <w:szCs w:val="26"/>
          <w:lang w:eastAsia="es-ES"/>
        </w:rPr>
        <w:t>a</w:t>
      </w:r>
      <w:r w:rsidR="00414999" w:rsidRPr="000526E2">
        <w:rPr>
          <w:rFonts w:eastAsia="Calibri"/>
          <w:spacing w:val="6"/>
          <w:sz w:val="26"/>
          <w:szCs w:val="26"/>
          <w:lang w:eastAsia="es-ES"/>
        </w:rPr>
        <w:t>nalítica</w:t>
      </w:r>
      <w:r>
        <w:rPr>
          <w:rFonts w:eastAsia="Calibri"/>
          <w:spacing w:val="6"/>
          <w:sz w:val="26"/>
          <w:szCs w:val="26"/>
          <w:lang w:eastAsia="es-ES"/>
        </w:rPr>
        <w:t>.</w:t>
      </w:r>
    </w:p>
    <w:p w:rsidR="00414999" w:rsidRDefault="00414999" w:rsidP="00F44C41">
      <w:pPr>
        <w:tabs>
          <w:tab w:val="left" w:pos="8647"/>
        </w:tabs>
        <w:spacing w:before="120"/>
        <w:ind w:firstLine="284"/>
        <w:rPr>
          <w:rFonts w:eastAsia="Calibri"/>
          <w:spacing w:val="6"/>
          <w:sz w:val="26"/>
          <w:szCs w:val="26"/>
          <w:lang w:eastAsia="es-ES"/>
        </w:rPr>
      </w:pPr>
      <w:r w:rsidRPr="00C7245D">
        <w:rPr>
          <w:rFonts w:eastAsia="Calibri"/>
          <w:b/>
          <w:spacing w:val="6"/>
          <w:sz w:val="26"/>
          <w:szCs w:val="26"/>
          <w:lang w:eastAsia="es-ES"/>
        </w:rPr>
        <w:t>En conclusión</w:t>
      </w:r>
      <w:r>
        <w:rPr>
          <w:rFonts w:eastAsia="Calibri"/>
          <w:spacing w:val="6"/>
          <w:sz w:val="26"/>
          <w:szCs w:val="26"/>
          <w:lang w:eastAsia="es-ES"/>
        </w:rPr>
        <w:t>, la UPNA no ha implantado definitivamente y de una manera efectiva un modelo de contabilidad analítica, posponiendo su definitiva impla</w:t>
      </w:r>
      <w:r>
        <w:rPr>
          <w:rFonts w:eastAsia="Calibri"/>
          <w:spacing w:val="6"/>
          <w:sz w:val="26"/>
          <w:szCs w:val="26"/>
          <w:lang w:eastAsia="es-ES"/>
        </w:rPr>
        <w:t>n</w:t>
      </w:r>
      <w:r>
        <w:rPr>
          <w:rFonts w:eastAsia="Calibri"/>
          <w:spacing w:val="6"/>
          <w:sz w:val="26"/>
          <w:szCs w:val="26"/>
          <w:lang w:eastAsia="es-ES"/>
        </w:rPr>
        <w:t xml:space="preserve">tación </w:t>
      </w:r>
      <w:r w:rsidR="007E7EB9">
        <w:rPr>
          <w:rFonts w:eastAsia="Calibri"/>
          <w:spacing w:val="6"/>
          <w:sz w:val="26"/>
          <w:szCs w:val="26"/>
          <w:lang w:eastAsia="es-ES"/>
        </w:rPr>
        <w:t xml:space="preserve">al momento en que se apruebe </w:t>
      </w:r>
      <w:r>
        <w:rPr>
          <w:rFonts w:eastAsia="Calibri"/>
          <w:spacing w:val="6"/>
          <w:sz w:val="26"/>
          <w:szCs w:val="26"/>
          <w:lang w:eastAsia="es-ES"/>
        </w:rPr>
        <w:t xml:space="preserve">el nuevo modelo </w:t>
      </w:r>
      <w:r w:rsidR="00767115">
        <w:rPr>
          <w:rFonts w:eastAsia="Calibri"/>
          <w:spacing w:val="6"/>
          <w:sz w:val="26"/>
          <w:szCs w:val="26"/>
          <w:lang w:eastAsia="es-ES"/>
        </w:rPr>
        <w:t>de contabilidad, actua</w:t>
      </w:r>
      <w:r w:rsidR="00767115">
        <w:rPr>
          <w:rFonts w:eastAsia="Calibri"/>
          <w:spacing w:val="6"/>
          <w:sz w:val="26"/>
          <w:szCs w:val="26"/>
          <w:lang w:eastAsia="es-ES"/>
        </w:rPr>
        <w:t>l</w:t>
      </w:r>
      <w:r w:rsidR="00767115">
        <w:rPr>
          <w:rFonts w:eastAsia="Calibri"/>
          <w:spacing w:val="6"/>
          <w:sz w:val="26"/>
          <w:szCs w:val="26"/>
          <w:lang w:eastAsia="es-ES"/>
        </w:rPr>
        <w:t xml:space="preserve">mente </w:t>
      </w:r>
      <w:r>
        <w:rPr>
          <w:rFonts w:eastAsia="Calibri"/>
          <w:spacing w:val="6"/>
          <w:sz w:val="26"/>
          <w:szCs w:val="26"/>
          <w:lang w:eastAsia="es-ES"/>
        </w:rPr>
        <w:t xml:space="preserve">en fase de análisis. </w:t>
      </w:r>
    </w:p>
    <w:p w:rsidR="00414999" w:rsidRPr="00AE227F" w:rsidRDefault="00414999" w:rsidP="00F449FC">
      <w:pPr>
        <w:tabs>
          <w:tab w:val="left" w:pos="8647"/>
        </w:tabs>
        <w:spacing w:before="120"/>
        <w:ind w:firstLine="284"/>
        <w:rPr>
          <w:rFonts w:eastAsia="Calibri"/>
          <w:spacing w:val="6"/>
          <w:sz w:val="26"/>
          <w:szCs w:val="26"/>
          <w:lang w:eastAsia="es-ES"/>
        </w:rPr>
      </w:pPr>
      <w:r>
        <w:rPr>
          <w:rFonts w:eastAsia="Calibri"/>
          <w:spacing w:val="6"/>
          <w:sz w:val="26"/>
          <w:szCs w:val="26"/>
          <w:lang w:eastAsia="es-ES"/>
        </w:rPr>
        <w:t>Los trabajos de inicio y desarrollo de dicha implantación se han realizado con cargo a los medios de la universidad</w:t>
      </w:r>
      <w:r w:rsidR="002B4712">
        <w:rPr>
          <w:rFonts w:eastAsia="Calibri"/>
          <w:spacing w:val="6"/>
          <w:sz w:val="26"/>
          <w:szCs w:val="26"/>
          <w:lang w:eastAsia="es-ES"/>
        </w:rPr>
        <w:t>.</w:t>
      </w:r>
    </w:p>
    <w:p w:rsidR="00414999" w:rsidRPr="0002640C" w:rsidRDefault="00414999" w:rsidP="00B95438">
      <w:pPr>
        <w:pStyle w:val="atitulo2"/>
        <w:tabs>
          <w:tab w:val="left" w:pos="8647"/>
        </w:tabs>
        <w:spacing w:before="240" w:after="140"/>
        <w:ind w:right="284"/>
        <w:rPr>
          <w:spacing w:val="6"/>
        </w:rPr>
      </w:pPr>
      <w:bookmarkStart w:id="18" w:name="_Toc57285456"/>
      <w:r w:rsidRPr="0002640C">
        <w:rPr>
          <w:spacing w:val="6"/>
        </w:rPr>
        <w:t>IV.1.2 Procedimiento de fijación de precios</w:t>
      </w:r>
      <w:bookmarkEnd w:id="18"/>
    </w:p>
    <w:p w:rsidR="00414999" w:rsidRDefault="00414999" w:rsidP="00B95438">
      <w:pPr>
        <w:tabs>
          <w:tab w:val="left" w:pos="8647"/>
        </w:tabs>
        <w:spacing w:before="120"/>
        <w:ind w:firstLine="284"/>
        <w:rPr>
          <w:rFonts w:eastAsia="Calibri"/>
          <w:spacing w:val="6"/>
          <w:sz w:val="26"/>
          <w:szCs w:val="26"/>
          <w:lang w:eastAsia="es-ES"/>
        </w:rPr>
      </w:pPr>
      <w:r>
        <w:rPr>
          <w:rFonts w:eastAsia="Calibri"/>
          <w:spacing w:val="6"/>
          <w:sz w:val="26"/>
          <w:szCs w:val="26"/>
          <w:lang w:eastAsia="es-ES"/>
        </w:rPr>
        <w:t>Los precios públicos por la prestación de servicios académicos y demás d</w:t>
      </w:r>
      <w:r>
        <w:rPr>
          <w:rFonts w:eastAsia="Calibri"/>
          <w:spacing w:val="6"/>
          <w:sz w:val="26"/>
          <w:szCs w:val="26"/>
          <w:lang w:eastAsia="es-ES"/>
        </w:rPr>
        <w:t>e</w:t>
      </w:r>
      <w:r>
        <w:rPr>
          <w:rFonts w:eastAsia="Calibri"/>
          <w:spacing w:val="6"/>
          <w:sz w:val="26"/>
          <w:szCs w:val="26"/>
          <w:lang w:eastAsia="es-ES"/>
        </w:rPr>
        <w:t>rechos conducentes a la obtención de títulos oficiales en la UPNA se fijan anualmente por el Gobierno de Navarra.</w:t>
      </w:r>
    </w:p>
    <w:p w:rsidR="00F449FC" w:rsidRDefault="00F449FC" w:rsidP="00B95438">
      <w:pPr>
        <w:tabs>
          <w:tab w:val="left" w:pos="8647"/>
        </w:tabs>
        <w:spacing w:before="120"/>
        <w:ind w:firstLine="284"/>
        <w:rPr>
          <w:rFonts w:eastAsia="Calibri"/>
          <w:spacing w:val="6"/>
          <w:sz w:val="26"/>
          <w:szCs w:val="26"/>
          <w:lang w:eastAsia="es-ES"/>
        </w:rPr>
      </w:pPr>
      <w:r>
        <w:rPr>
          <w:rFonts w:eastAsia="Calibri"/>
          <w:spacing w:val="6"/>
          <w:sz w:val="26"/>
          <w:szCs w:val="26"/>
          <w:lang w:eastAsia="es-ES"/>
        </w:rPr>
        <w:t xml:space="preserve">A continuación, describimos la fijación de dichos precios públicos para el curso 2012/2013 y su evolución en los años posteriores. </w:t>
      </w:r>
    </w:p>
    <w:p w:rsidR="00414999" w:rsidRPr="00F449FC" w:rsidRDefault="00414999" w:rsidP="00B95438">
      <w:pPr>
        <w:tabs>
          <w:tab w:val="left" w:pos="8647"/>
        </w:tabs>
        <w:spacing w:before="120"/>
        <w:ind w:firstLine="284"/>
        <w:rPr>
          <w:rFonts w:eastAsia="Calibri"/>
          <w:spacing w:val="6"/>
          <w:sz w:val="26"/>
          <w:szCs w:val="26"/>
          <w:lang w:eastAsia="es-ES"/>
        </w:rPr>
      </w:pPr>
      <w:r w:rsidRPr="00F449FC">
        <w:rPr>
          <w:rFonts w:eastAsia="Calibri"/>
          <w:spacing w:val="6"/>
          <w:sz w:val="26"/>
          <w:szCs w:val="26"/>
          <w:lang w:eastAsia="es-ES"/>
        </w:rPr>
        <w:t>Mediante Resolución 442/2012, de 13 de julio, del Director General de Ed</w:t>
      </w:r>
      <w:r w:rsidRPr="00F449FC">
        <w:rPr>
          <w:rFonts w:eastAsia="Calibri"/>
          <w:spacing w:val="6"/>
          <w:sz w:val="26"/>
          <w:szCs w:val="26"/>
          <w:lang w:eastAsia="es-ES"/>
        </w:rPr>
        <w:t>u</w:t>
      </w:r>
      <w:r w:rsidRPr="00F449FC">
        <w:rPr>
          <w:rFonts w:eastAsia="Calibri"/>
          <w:spacing w:val="6"/>
          <w:sz w:val="26"/>
          <w:szCs w:val="26"/>
          <w:lang w:eastAsia="es-ES"/>
        </w:rPr>
        <w:t>cación, Formación Profesional y Universidades, se fijaron dichos precios públ</w:t>
      </w:r>
      <w:r w:rsidRPr="00F449FC">
        <w:rPr>
          <w:rFonts w:eastAsia="Calibri"/>
          <w:spacing w:val="6"/>
          <w:sz w:val="26"/>
          <w:szCs w:val="26"/>
          <w:lang w:eastAsia="es-ES"/>
        </w:rPr>
        <w:t>i</w:t>
      </w:r>
      <w:r w:rsidRPr="00F449FC">
        <w:rPr>
          <w:rFonts w:eastAsia="Calibri"/>
          <w:spacing w:val="6"/>
          <w:sz w:val="26"/>
          <w:szCs w:val="26"/>
          <w:lang w:eastAsia="es-ES"/>
        </w:rPr>
        <w:t>cos para el curso 2012/2013, estableciéndose los siguientes:</w:t>
      </w:r>
    </w:p>
    <w:p w:rsidR="00414999" w:rsidRDefault="00414999" w:rsidP="00B95438">
      <w:pPr>
        <w:widowControl w:val="0"/>
        <w:tabs>
          <w:tab w:val="left" w:pos="8647"/>
        </w:tabs>
        <w:ind w:firstLine="284"/>
        <w:rPr>
          <w:rFonts w:eastAsia="Calibri"/>
          <w:spacing w:val="6"/>
          <w:sz w:val="26"/>
          <w:szCs w:val="26"/>
          <w:lang w:eastAsia="es-ES"/>
        </w:rPr>
      </w:pPr>
      <w:r w:rsidRPr="00BF5E47">
        <w:rPr>
          <w:rFonts w:eastAsia="Calibri"/>
          <w:spacing w:val="6"/>
          <w:sz w:val="26"/>
          <w:szCs w:val="26"/>
          <w:lang w:eastAsia="es-ES"/>
        </w:rPr>
        <w:t xml:space="preserve">1º. Enseñanzas de Grado. </w:t>
      </w:r>
      <w:r>
        <w:rPr>
          <w:rFonts w:eastAsia="Calibri"/>
          <w:spacing w:val="6"/>
          <w:sz w:val="26"/>
          <w:szCs w:val="26"/>
          <w:lang w:eastAsia="es-ES"/>
        </w:rPr>
        <w:t>El precio básico de la primera matrícula resulta de incrementar en un cuatro por ciento el precio de la matrícula del curso 2011/2012. Partiendo de la base que la primera matrícula es el 15 por ciento del coste de prestación del servicio, p</w:t>
      </w:r>
      <w:r w:rsidRPr="00BF5E47">
        <w:rPr>
          <w:rFonts w:eastAsia="Calibri"/>
          <w:spacing w:val="6"/>
          <w:sz w:val="26"/>
          <w:szCs w:val="26"/>
          <w:lang w:eastAsia="es-ES"/>
        </w:rPr>
        <w:t>ara la segunda, tercera, cuarta y sucesivas matrículas se fijan los precios en el tramo inferior de cobertura de costes</w:t>
      </w:r>
      <w:r>
        <w:rPr>
          <w:rFonts w:eastAsia="Calibri"/>
          <w:spacing w:val="6"/>
          <w:sz w:val="26"/>
          <w:szCs w:val="26"/>
          <w:lang w:eastAsia="es-ES"/>
        </w:rPr>
        <w:t>;</w:t>
      </w:r>
      <w:r w:rsidRPr="00BF5E47">
        <w:rPr>
          <w:rFonts w:eastAsia="Calibri"/>
          <w:spacing w:val="6"/>
          <w:sz w:val="26"/>
          <w:szCs w:val="26"/>
          <w:lang w:eastAsia="es-ES"/>
        </w:rPr>
        <w:t xml:space="preserve"> es decir, el 30, el 65 y el 90 por ciento</w:t>
      </w:r>
      <w:r w:rsidR="00215467">
        <w:rPr>
          <w:rFonts w:eastAsia="Calibri"/>
          <w:spacing w:val="6"/>
          <w:sz w:val="26"/>
          <w:szCs w:val="26"/>
          <w:lang w:eastAsia="es-ES"/>
        </w:rPr>
        <w:t xml:space="preserve"> del coste</w:t>
      </w:r>
      <w:r w:rsidRPr="00BF5E47">
        <w:rPr>
          <w:rFonts w:eastAsia="Calibri"/>
          <w:spacing w:val="6"/>
          <w:sz w:val="26"/>
          <w:szCs w:val="26"/>
          <w:lang w:eastAsia="es-ES"/>
        </w:rPr>
        <w:t>, respectivamente.</w:t>
      </w:r>
    </w:p>
    <w:p w:rsidR="001321DE" w:rsidRDefault="00414999" w:rsidP="00B95438">
      <w:pPr>
        <w:widowControl w:val="0"/>
        <w:tabs>
          <w:tab w:val="left" w:pos="8647"/>
        </w:tabs>
        <w:ind w:firstLine="284"/>
        <w:rPr>
          <w:rFonts w:eastAsia="Calibri"/>
          <w:spacing w:val="2"/>
          <w:sz w:val="26"/>
          <w:szCs w:val="26"/>
          <w:lang w:eastAsia="es-ES"/>
        </w:rPr>
      </w:pPr>
      <w:r w:rsidRPr="00A03F41">
        <w:rPr>
          <w:rFonts w:eastAsia="Calibri"/>
          <w:spacing w:val="6"/>
          <w:sz w:val="26"/>
          <w:szCs w:val="26"/>
          <w:lang w:eastAsia="es-ES"/>
        </w:rPr>
        <w:t xml:space="preserve">2º. </w:t>
      </w:r>
      <w:r w:rsidRPr="009C7823">
        <w:rPr>
          <w:rFonts w:eastAsia="Calibri"/>
          <w:spacing w:val="2"/>
          <w:sz w:val="26"/>
          <w:szCs w:val="26"/>
          <w:lang w:eastAsia="es-ES"/>
        </w:rPr>
        <w:t>Enseñanzas de Máster habilitantes. El precio autorizado para los créditos de la primera matrícula de máster habilitante resulta de incrementar en un cuatro por ciento el precio de la primera matrícula del curso 2011/2012. Partiendo de que la primera matrícula supone el 25 por ciento del coste de prestación del servicio, los precios de las sucesivas matrículas se fijan en el extremo inferior de la horquilla correspondiente, con el 30, 65 y 90 por ciento del coste, respectivamente.</w:t>
      </w:r>
    </w:p>
    <w:p w:rsidR="00414999" w:rsidRDefault="00414999" w:rsidP="00B95438">
      <w:pPr>
        <w:widowControl w:val="0"/>
        <w:tabs>
          <w:tab w:val="left" w:pos="8647"/>
        </w:tabs>
        <w:ind w:firstLine="284"/>
        <w:rPr>
          <w:rFonts w:eastAsia="Calibri"/>
          <w:spacing w:val="6"/>
          <w:sz w:val="26"/>
          <w:szCs w:val="26"/>
          <w:lang w:eastAsia="es-ES"/>
        </w:rPr>
      </w:pPr>
      <w:r w:rsidRPr="00BF5E47">
        <w:rPr>
          <w:rFonts w:eastAsia="Calibri"/>
          <w:spacing w:val="6"/>
          <w:sz w:val="26"/>
          <w:szCs w:val="26"/>
          <w:lang w:eastAsia="es-ES"/>
        </w:rPr>
        <w:t xml:space="preserve">3º. Enseñanzas de Máster no habilitantes. </w:t>
      </w:r>
      <w:r w:rsidR="00335E9C">
        <w:rPr>
          <w:rFonts w:eastAsia="Calibri"/>
          <w:spacing w:val="6"/>
          <w:sz w:val="26"/>
          <w:szCs w:val="26"/>
          <w:lang w:eastAsia="es-ES"/>
        </w:rPr>
        <w:t>A partir de los costes anteriores, se estableció el precio de</w:t>
      </w:r>
      <w:r w:rsidR="00A5594D">
        <w:rPr>
          <w:rFonts w:eastAsia="Calibri"/>
          <w:spacing w:val="6"/>
          <w:sz w:val="26"/>
          <w:szCs w:val="26"/>
          <w:lang w:eastAsia="es-ES"/>
        </w:rPr>
        <w:t xml:space="preserve"> la primera matrícula del curso 2011/2012 </w:t>
      </w:r>
      <w:r>
        <w:rPr>
          <w:rFonts w:eastAsia="Calibri"/>
          <w:spacing w:val="6"/>
          <w:sz w:val="26"/>
          <w:szCs w:val="26"/>
          <w:lang w:eastAsia="es-ES"/>
        </w:rPr>
        <w:t xml:space="preserve">un cuatro por </w:t>
      </w:r>
      <w:r w:rsidR="00A5594D">
        <w:rPr>
          <w:rFonts w:eastAsia="Calibri"/>
          <w:spacing w:val="6"/>
          <w:sz w:val="26"/>
          <w:szCs w:val="26"/>
          <w:lang w:eastAsia="es-ES"/>
        </w:rPr>
        <w:t>ciento de</w:t>
      </w:r>
      <w:r w:rsidRPr="00BF5E47">
        <w:rPr>
          <w:rFonts w:eastAsia="Calibri"/>
          <w:spacing w:val="6"/>
          <w:sz w:val="26"/>
          <w:szCs w:val="26"/>
          <w:lang w:eastAsia="es-ES"/>
        </w:rPr>
        <w:t xml:space="preserve"> modo que cubriera el 40 por ciento del coste del m</w:t>
      </w:r>
      <w:r>
        <w:rPr>
          <w:rFonts w:eastAsia="Calibri"/>
          <w:spacing w:val="6"/>
          <w:sz w:val="26"/>
          <w:szCs w:val="26"/>
          <w:lang w:eastAsia="es-ES"/>
        </w:rPr>
        <w:t>á</w:t>
      </w:r>
      <w:r w:rsidRPr="00BF5E47">
        <w:rPr>
          <w:rFonts w:eastAsia="Calibri"/>
          <w:spacing w:val="6"/>
          <w:sz w:val="26"/>
          <w:szCs w:val="26"/>
          <w:lang w:eastAsia="es-ES"/>
        </w:rPr>
        <w:t xml:space="preserve">ster y se situaron </w:t>
      </w:r>
      <w:r w:rsidRPr="00BF5E47">
        <w:rPr>
          <w:rFonts w:eastAsia="Calibri"/>
          <w:spacing w:val="6"/>
          <w:sz w:val="26"/>
          <w:szCs w:val="26"/>
          <w:lang w:eastAsia="es-ES"/>
        </w:rPr>
        <w:lastRenderedPageBreak/>
        <w:t>los de segunda y sucesivas matrícula</w:t>
      </w:r>
      <w:r>
        <w:rPr>
          <w:rFonts w:eastAsia="Calibri"/>
          <w:spacing w:val="6"/>
          <w:sz w:val="26"/>
          <w:szCs w:val="26"/>
          <w:lang w:eastAsia="es-ES"/>
        </w:rPr>
        <w:t xml:space="preserve">s en el 65 por ciento del mismo, </w:t>
      </w:r>
      <w:r w:rsidR="00A5594D">
        <w:rPr>
          <w:rFonts w:eastAsia="Calibri"/>
          <w:spacing w:val="6"/>
          <w:sz w:val="26"/>
          <w:szCs w:val="26"/>
          <w:lang w:eastAsia="es-ES"/>
        </w:rPr>
        <w:t>en</w:t>
      </w:r>
      <w:r>
        <w:rPr>
          <w:rFonts w:eastAsia="Calibri"/>
          <w:spacing w:val="6"/>
          <w:sz w:val="26"/>
          <w:szCs w:val="26"/>
          <w:lang w:eastAsia="es-ES"/>
        </w:rPr>
        <w:t xml:space="preserve"> los porcentajes inferiores de la horquilla correspondiente. </w:t>
      </w:r>
    </w:p>
    <w:p w:rsidR="00414999" w:rsidRDefault="00414999" w:rsidP="00B95438">
      <w:pPr>
        <w:widowControl w:val="0"/>
        <w:tabs>
          <w:tab w:val="left" w:pos="8647"/>
        </w:tabs>
        <w:ind w:firstLine="284"/>
        <w:rPr>
          <w:rFonts w:eastAsia="Calibri"/>
          <w:spacing w:val="6"/>
          <w:sz w:val="26"/>
          <w:szCs w:val="26"/>
          <w:lang w:eastAsia="es-ES"/>
        </w:rPr>
      </w:pPr>
      <w:r w:rsidRPr="004057B5">
        <w:rPr>
          <w:rFonts w:eastAsia="Calibri"/>
          <w:spacing w:val="6"/>
          <w:sz w:val="26"/>
          <w:szCs w:val="26"/>
          <w:lang w:eastAsia="es-ES"/>
        </w:rPr>
        <w:t>Es decir, se establecen los precios de grado y máster en los porcentajes inf</w:t>
      </w:r>
      <w:r w:rsidRPr="004057B5">
        <w:rPr>
          <w:rFonts w:eastAsia="Calibri"/>
          <w:spacing w:val="6"/>
          <w:sz w:val="26"/>
          <w:szCs w:val="26"/>
          <w:lang w:eastAsia="es-ES"/>
        </w:rPr>
        <w:t>e</w:t>
      </w:r>
      <w:r w:rsidRPr="004057B5">
        <w:rPr>
          <w:rFonts w:eastAsia="Calibri"/>
          <w:spacing w:val="6"/>
          <w:sz w:val="26"/>
          <w:szCs w:val="26"/>
          <w:lang w:eastAsia="es-ES"/>
        </w:rPr>
        <w:t xml:space="preserve">riores de las horquillas </w:t>
      </w:r>
      <w:r>
        <w:rPr>
          <w:rFonts w:eastAsia="Calibri"/>
          <w:spacing w:val="6"/>
          <w:sz w:val="26"/>
          <w:szCs w:val="26"/>
          <w:lang w:eastAsia="es-ES"/>
        </w:rPr>
        <w:t>establecidas en el Real Decreto-ley 14/2012</w:t>
      </w:r>
      <w:r w:rsidRPr="004057B5">
        <w:rPr>
          <w:rFonts w:eastAsia="Calibri"/>
          <w:spacing w:val="6"/>
          <w:sz w:val="26"/>
          <w:szCs w:val="26"/>
          <w:lang w:eastAsia="es-ES"/>
        </w:rPr>
        <w:t>, excepto en la primera matrícula de máster habilitante, que se aprueba el porce</w:t>
      </w:r>
      <w:r>
        <w:rPr>
          <w:rFonts w:eastAsia="Calibri"/>
          <w:spacing w:val="6"/>
          <w:sz w:val="26"/>
          <w:szCs w:val="26"/>
          <w:lang w:eastAsia="es-ES"/>
        </w:rPr>
        <w:t>ntaje máx</w:t>
      </w:r>
      <w:r>
        <w:rPr>
          <w:rFonts w:eastAsia="Calibri"/>
          <w:spacing w:val="6"/>
          <w:sz w:val="26"/>
          <w:szCs w:val="26"/>
          <w:lang w:eastAsia="es-ES"/>
        </w:rPr>
        <w:t>i</w:t>
      </w:r>
      <w:r>
        <w:rPr>
          <w:rFonts w:eastAsia="Calibri"/>
          <w:spacing w:val="6"/>
          <w:sz w:val="26"/>
          <w:szCs w:val="26"/>
          <w:lang w:eastAsia="es-ES"/>
        </w:rPr>
        <w:t>mo (un 25 por ciento) de la horquilla correspondiente.</w:t>
      </w:r>
    </w:p>
    <w:p w:rsidR="00414999" w:rsidRPr="00F449FC" w:rsidRDefault="00414999" w:rsidP="00B95438">
      <w:pPr>
        <w:widowControl w:val="0"/>
        <w:tabs>
          <w:tab w:val="left" w:pos="8647"/>
        </w:tabs>
        <w:ind w:firstLine="284"/>
        <w:rPr>
          <w:rFonts w:eastAsia="Calibri"/>
          <w:spacing w:val="6"/>
          <w:sz w:val="26"/>
          <w:szCs w:val="26"/>
          <w:lang w:eastAsia="es-ES"/>
        </w:rPr>
      </w:pPr>
      <w:r w:rsidRPr="00F449FC">
        <w:rPr>
          <w:rFonts w:eastAsia="Calibri"/>
          <w:spacing w:val="6"/>
          <w:sz w:val="26"/>
          <w:szCs w:val="26"/>
          <w:lang w:eastAsia="es-ES"/>
        </w:rPr>
        <w:t>Debemos señalar que el cálculo del porcentaje de coste de la docencia c</w:t>
      </w:r>
      <w:r w:rsidRPr="00F449FC">
        <w:rPr>
          <w:rFonts w:eastAsia="Calibri"/>
          <w:spacing w:val="6"/>
          <w:sz w:val="26"/>
          <w:szCs w:val="26"/>
          <w:lang w:eastAsia="es-ES"/>
        </w:rPr>
        <w:t>u</w:t>
      </w:r>
      <w:r w:rsidRPr="00F449FC">
        <w:rPr>
          <w:rFonts w:eastAsia="Calibri"/>
          <w:spacing w:val="6"/>
          <w:sz w:val="26"/>
          <w:szCs w:val="26"/>
          <w:lang w:eastAsia="es-ES"/>
        </w:rPr>
        <w:t xml:space="preserve">bierto por los precios públicos en el curso 2012/2013, se realizó a partir de los datos de la ejecución presupuestaria, ya que la UPNA no tenía implantado un sistema de contabilidad analítica que permitiera calcular el coste directamente. </w:t>
      </w:r>
      <w:r w:rsidR="002B4712" w:rsidRPr="00F449FC">
        <w:rPr>
          <w:rFonts w:eastAsia="Calibri"/>
          <w:spacing w:val="6"/>
          <w:sz w:val="26"/>
          <w:szCs w:val="26"/>
          <w:lang w:eastAsia="es-ES"/>
        </w:rPr>
        <w:t>S</w:t>
      </w:r>
      <w:r w:rsidRPr="00F449FC">
        <w:rPr>
          <w:rFonts w:eastAsia="Calibri"/>
          <w:spacing w:val="6"/>
          <w:sz w:val="26"/>
          <w:szCs w:val="26"/>
          <w:lang w:eastAsia="es-ES"/>
        </w:rPr>
        <w:t>e estimó, en base a esos datos presupuestarios y con respecto a importes m</w:t>
      </w:r>
      <w:r w:rsidRPr="00F449FC">
        <w:rPr>
          <w:rFonts w:eastAsia="Calibri"/>
          <w:spacing w:val="6"/>
          <w:sz w:val="26"/>
          <w:szCs w:val="26"/>
          <w:lang w:eastAsia="es-ES"/>
        </w:rPr>
        <w:t>e</w:t>
      </w:r>
      <w:r w:rsidRPr="00F449FC">
        <w:rPr>
          <w:rFonts w:eastAsia="Calibri"/>
          <w:spacing w:val="6"/>
          <w:sz w:val="26"/>
          <w:szCs w:val="26"/>
          <w:lang w:eastAsia="es-ES"/>
        </w:rPr>
        <w:t>dios de matrícula en grado y máster, que los precios establecidos para primera matrícula en dicho curso alcanzaban el 15 por ciento del coste de la prestación del servicio de grado, el 25 por ciento del coste de máster habilitante y el 40 por ciento del máster no habilitante.</w:t>
      </w:r>
    </w:p>
    <w:p w:rsidR="00215467" w:rsidRDefault="00414999" w:rsidP="00B95438">
      <w:pPr>
        <w:widowControl w:val="0"/>
        <w:tabs>
          <w:tab w:val="left" w:pos="8647"/>
        </w:tabs>
        <w:ind w:firstLine="284"/>
        <w:rPr>
          <w:rFonts w:eastAsia="Calibri"/>
          <w:spacing w:val="6"/>
          <w:sz w:val="26"/>
          <w:szCs w:val="26"/>
          <w:lang w:eastAsia="es-ES"/>
        </w:rPr>
      </w:pPr>
      <w:r>
        <w:rPr>
          <w:rFonts w:eastAsia="Calibri"/>
          <w:spacing w:val="6"/>
          <w:sz w:val="26"/>
          <w:szCs w:val="26"/>
          <w:lang w:eastAsia="es-ES"/>
        </w:rPr>
        <w:t xml:space="preserve">A partir de esos </w:t>
      </w:r>
      <w:r w:rsidR="001321DE">
        <w:rPr>
          <w:rFonts w:eastAsia="Calibri"/>
          <w:spacing w:val="6"/>
          <w:sz w:val="26"/>
          <w:szCs w:val="26"/>
          <w:lang w:eastAsia="es-ES"/>
        </w:rPr>
        <w:t>costes estimados</w:t>
      </w:r>
      <w:r w:rsidR="00741221">
        <w:rPr>
          <w:rFonts w:eastAsia="Calibri"/>
          <w:spacing w:val="6"/>
          <w:sz w:val="26"/>
          <w:szCs w:val="26"/>
          <w:lang w:eastAsia="es-ES"/>
        </w:rPr>
        <w:t>,</w:t>
      </w:r>
      <w:r w:rsidR="001321DE">
        <w:rPr>
          <w:rFonts w:eastAsia="Calibri"/>
          <w:spacing w:val="6"/>
          <w:sz w:val="26"/>
          <w:szCs w:val="26"/>
          <w:lang w:eastAsia="es-ES"/>
        </w:rPr>
        <w:t xml:space="preserve"> </w:t>
      </w:r>
      <w:r>
        <w:rPr>
          <w:rFonts w:eastAsia="Calibri"/>
          <w:spacing w:val="6"/>
          <w:sz w:val="26"/>
          <w:szCs w:val="26"/>
          <w:lang w:eastAsia="es-ES"/>
        </w:rPr>
        <w:t>se calculan los precios de las segundas y sucesivas matrículas de forma que se correspondan con los porcentajes que r</w:t>
      </w:r>
      <w:r>
        <w:rPr>
          <w:rFonts w:eastAsia="Calibri"/>
          <w:spacing w:val="6"/>
          <w:sz w:val="26"/>
          <w:szCs w:val="26"/>
          <w:lang w:eastAsia="es-ES"/>
        </w:rPr>
        <w:t>e</w:t>
      </w:r>
      <w:r>
        <w:rPr>
          <w:rFonts w:eastAsia="Calibri"/>
          <w:spacing w:val="6"/>
          <w:sz w:val="26"/>
          <w:szCs w:val="26"/>
          <w:lang w:eastAsia="es-ES"/>
        </w:rPr>
        <w:t xml:space="preserve">presentan los niveles inferiores de </w:t>
      </w:r>
      <w:r w:rsidR="004E551B">
        <w:rPr>
          <w:rFonts w:eastAsia="Calibri"/>
          <w:spacing w:val="6"/>
          <w:sz w:val="26"/>
          <w:szCs w:val="26"/>
          <w:lang w:eastAsia="es-ES"/>
        </w:rPr>
        <w:t xml:space="preserve">las horquillas correspondientes. </w:t>
      </w:r>
    </w:p>
    <w:p w:rsidR="001321DE" w:rsidRPr="001321DE" w:rsidRDefault="001321DE" w:rsidP="00B95438">
      <w:pPr>
        <w:widowControl w:val="0"/>
        <w:tabs>
          <w:tab w:val="left" w:pos="8647"/>
        </w:tabs>
        <w:ind w:firstLine="284"/>
        <w:rPr>
          <w:rFonts w:eastAsia="Calibri"/>
          <w:spacing w:val="6"/>
          <w:sz w:val="26"/>
          <w:szCs w:val="26"/>
          <w:lang w:eastAsia="es-ES"/>
        </w:rPr>
      </w:pPr>
      <w:r w:rsidRPr="001321DE">
        <w:rPr>
          <w:rFonts w:eastAsia="Calibri"/>
          <w:spacing w:val="6"/>
          <w:sz w:val="26"/>
          <w:szCs w:val="26"/>
          <w:lang w:eastAsia="es-ES"/>
        </w:rPr>
        <w:t xml:space="preserve">En el cuadro siguiente podemos ver los porcentajes que se han aplicado por la </w:t>
      </w:r>
      <w:r w:rsidR="0000002F">
        <w:rPr>
          <w:rFonts w:eastAsia="Calibri"/>
          <w:spacing w:val="6"/>
          <w:sz w:val="26"/>
          <w:szCs w:val="26"/>
          <w:lang w:eastAsia="es-ES"/>
        </w:rPr>
        <w:t>u</w:t>
      </w:r>
      <w:r w:rsidRPr="001321DE">
        <w:rPr>
          <w:rFonts w:eastAsia="Calibri"/>
          <w:spacing w:val="6"/>
          <w:sz w:val="26"/>
          <w:szCs w:val="26"/>
          <w:lang w:eastAsia="es-ES"/>
        </w:rPr>
        <w:t>niversidad desde el curso 2012/2013</w:t>
      </w:r>
      <w:r>
        <w:rPr>
          <w:rFonts w:eastAsia="Calibri"/>
          <w:spacing w:val="6"/>
          <w:sz w:val="26"/>
          <w:szCs w:val="26"/>
          <w:lang w:eastAsia="es-ES"/>
        </w:rPr>
        <w:t>:</w:t>
      </w:r>
    </w:p>
    <w:tbl>
      <w:tblPr>
        <w:tblW w:w="8789" w:type="dxa"/>
        <w:tblBorders>
          <w:insideH w:val="single" w:sz="4" w:space="0" w:color="auto"/>
        </w:tblBorders>
        <w:tblLayout w:type="fixed"/>
        <w:tblCellMar>
          <w:left w:w="70" w:type="dxa"/>
          <w:right w:w="70" w:type="dxa"/>
        </w:tblCellMar>
        <w:tblLook w:val="04A0" w:firstRow="1" w:lastRow="0" w:firstColumn="1" w:lastColumn="0" w:noHBand="0" w:noVBand="1"/>
      </w:tblPr>
      <w:tblGrid>
        <w:gridCol w:w="2127"/>
        <w:gridCol w:w="1124"/>
        <w:gridCol w:w="1002"/>
        <w:gridCol w:w="1276"/>
        <w:gridCol w:w="992"/>
        <w:gridCol w:w="1276"/>
        <w:gridCol w:w="992"/>
      </w:tblGrid>
      <w:tr w:rsidR="00414999" w:rsidRPr="009C7823" w:rsidTr="003F1E6D">
        <w:trPr>
          <w:trHeight w:val="255"/>
        </w:trPr>
        <w:tc>
          <w:tcPr>
            <w:tcW w:w="2127" w:type="dxa"/>
            <w:tcBorders>
              <w:top w:val="single" w:sz="4" w:space="0" w:color="auto"/>
              <w:bottom w:val="single" w:sz="4" w:space="0" w:color="auto"/>
            </w:tcBorders>
            <w:shd w:val="clear" w:color="auto" w:fill="B8CCE4" w:themeFill="accent1" w:themeFillTint="66"/>
            <w:noWrap/>
            <w:vAlign w:val="center"/>
            <w:hideMark/>
          </w:tcPr>
          <w:p w:rsidR="00414999" w:rsidRPr="009C7823" w:rsidRDefault="00414999" w:rsidP="00F44C41">
            <w:pPr>
              <w:tabs>
                <w:tab w:val="left" w:pos="8647"/>
              </w:tabs>
              <w:spacing w:after="0"/>
              <w:ind w:firstLine="0"/>
              <w:jc w:val="left"/>
              <w:rPr>
                <w:rFonts w:ascii="Arial" w:hAnsi="Arial" w:cs="Arial"/>
                <w:color w:val="000000"/>
                <w:sz w:val="16"/>
                <w:szCs w:val="16"/>
                <w:lang w:val="es-ES" w:eastAsia="es-ES"/>
              </w:rPr>
            </w:pPr>
          </w:p>
        </w:tc>
        <w:tc>
          <w:tcPr>
            <w:tcW w:w="1124" w:type="dxa"/>
            <w:tcBorders>
              <w:top w:val="single" w:sz="4" w:space="0" w:color="auto"/>
              <w:bottom w:val="single" w:sz="4" w:space="0" w:color="auto"/>
            </w:tcBorders>
            <w:shd w:val="clear" w:color="auto" w:fill="B8CCE4" w:themeFill="accent1" w:themeFillTint="66"/>
            <w:vAlign w:val="center"/>
            <w:hideMark/>
          </w:tcPr>
          <w:p w:rsidR="00414999" w:rsidRPr="009C7823" w:rsidRDefault="00414999" w:rsidP="004E551B">
            <w:pPr>
              <w:tabs>
                <w:tab w:val="left" w:pos="8647"/>
              </w:tabs>
              <w:spacing w:after="0"/>
              <w:ind w:firstLine="0"/>
              <w:jc w:val="right"/>
              <w:rPr>
                <w:rFonts w:ascii="Arial" w:hAnsi="Arial" w:cs="Arial"/>
                <w:color w:val="000000"/>
                <w:sz w:val="16"/>
                <w:szCs w:val="16"/>
                <w:lang w:val="es-ES" w:eastAsia="es-ES"/>
              </w:rPr>
            </w:pPr>
            <w:r w:rsidRPr="009C7823">
              <w:rPr>
                <w:rFonts w:ascii="Arial" w:hAnsi="Arial" w:cs="Arial"/>
                <w:color w:val="000000"/>
                <w:sz w:val="16"/>
                <w:szCs w:val="16"/>
                <w:lang w:val="es-ES" w:eastAsia="es-ES"/>
              </w:rPr>
              <w:t>R</w:t>
            </w:r>
            <w:r w:rsidR="009C7823">
              <w:rPr>
                <w:rFonts w:ascii="Arial" w:hAnsi="Arial" w:cs="Arial"/>
                <w:color w:val="000000"/>
                <w:sz w:val="16"/>
                <w:szCs w:val="16"/>
                <w:lang w:val="es-ES" w:eastAsia="es-ES"/>
              </w:rPr>
              <w:t>.D</w:t>
            </w:r>
            <w:r w:rsidR="004E551B">
              <w:rPr>
                <w:rFonts w:ascii="Arial" w:hAnsi="Arial" w:cs="Arial"/>
                <w:color w:val="000000"/>
                <w:sz w:val="16"/>
                <w:szCs w:val="16"/>
                <w:lang w:val="es-ES" w:eastAsia="es-ES"/>
              </w:rPr>
              <w:t>.-</w:t>
            </w:r>
            <w:r w:rsidR="009C7823">
              <w:rPr>
                <w:rFonts w:ascii="Arial" w:hAnsi="Arial" w:cs="Arial"/>
                <w:color w:val="000000"/>
                <w:sz w:val="16"/>
                <w:szCs w:val="16"/>
                <w:lang w:val="es-ES" w:eastAsia="es-ES"/>
              </w:rPr>
              <w:t>Ley</w:t>
            </w:r>
            <w:r w:rsidRPr="009C7823">
              <w:rPr>
                <w:rFonts w:ascii="Arial" w:hAnsi="Arial" w:cs="Arial"/>
                <w:color w:val="000000"/>
                <w:sz w:val="16"/>
                <w:szCs w:val="16"/>
                <w:lang w:val="es-ES" w:eastAsia="es-ES"/>
              </w:rPr>
              <w:t xml:space="preserve"> 14/2012</w:t>
            </w:r>
          </w:p>
        </w:tc>
        <w:tc>
          <w:tcPr>
            <w:tcW w:w="1002" w:type="dxa"/>
            <w:tcBorders>
              <w:top w:val="single" w:sz="4" w:space="0" w:color="auto"/>
              <w:bottom w:val="single" w:sz="4" w:space="0" w:color="auto"/>
              <w:right w:val="single" w:sz="2" w:space="0" w:color="auto"/>
            </w:tcBorders>
            <w:shd w:val="clear" w:color="auto" w:fill="B8CCE4" w:themeFill="accent1" w:themeFillTint="66"/>
            <w:vAlign w:val="center"/>
          </w:tcPr>
          <w:p w:rsidR="00414999" w:rsidRPr="009C7823" w:rsidRDefault="00414999" w:rsidP="00F44C41">
            <w:pPr>
              <w:tabs>
                <w:tab w:val="left" w:pos="8647"/>
              </w:tabs>
              <w:spacing w:after="0"/>
              <w:ind w:firstLine="0"/>
              <w:jc w:val="right"/>
              <w:rPr>
                <w:rFonts w:ascii="Arial" w:hAnsi="Arial" w:cs="Arial"/>
                <w:color w:val="000000"/>
                <w:sz w:val="16"/>
                <w:szCs w:val="16"/>
                <w:lang w:val="es-ES" w:eastAsia="es-ES"/>
              </w:rPr>
            </w:pPr>
            <w:r w:rsidRPr="009C7823">
              <w:rPr>
                <w:rFonts w:ascii="Arial" w:hAnsi="Arial" w:cs="Arial"/>
                <w:color w:val="000000"/>
                <w:sz w:val="16"/>
                <w:szCs w:val="16"/>
                <w:lang w:val="es-ES" w:eastAsia="es-ES"/>
              </w:rPr>
              <w:t>Curso 2012/2013</w:t>
            </w:r>
          </w:p>
        </w:tc>
        <w:tc>
          <w:tcPr>
            <w:tcW w:w="1276" w:type="dxa"/>
            <w:tcBorders>
              <w:top w:val="single" w:sz="4" w:space="0" w:color="auto"/>
              <w:left w:val="single" w:sz="2" w:space="0" w:color="auto"/>
              <w:bottom w:val="single" w:sz="4" w:space="0" w:color="auto"/>
            </w:tcBorders>
            <w:shd w:val="clear" w:color="auto" w:fill="B8CCE4" w:themeFill="accent1" w:themeFillTint="66"/>
            <w:vAlign w:val="center"/>
            <w:hideMark/>
          </w:tcPr>
          <w:p w:rsidR="00414999" w:rsidRPr="009C7823" w:rsidRDefault="00414999" w:rsidP="00F44C41">
            <w:pPr>
              <w:tabs>
                <w:tab w:val="left" w:pos="8647"/>
              </w:tabs>
              <w:spacing w:after="0"/>
              <w:ind w:firstLine="0"/>
              <w:jc w:val="right"/>
              <w:rPr>
                <w:rFonts w:ascii="Arial" w:hAnsi="Arial" w:cs="Arial"/>
                <w:color w:val="000000"/>
                <w:sz w:val="16"/>
                <w:szCs w:val="16"/>
                <w:lang w:val="es-ES" w:eastAsia="es-ES"/>
              </w:rPr>
            </w:pPr>
            <w:r w:rsidRPr="009C7823">
              <w:rPr>
                <w:rFonts w:ascii="Arial" w:hAnsi="Arial" w:cs="Arial"/>
                <w:color w:val="000000"/>
                <w:sz w:val="16"/>
                <w:szCs w:val="16"/>
                <w:lang w:val="es-ES" w:eastAsia="es-ES"/>
              </w:rPr>
              <w:t>Ley 3/2017,</w:t>
            </w:r>
          </w:p>
          <w:p w:rsidR="00414999" w:rsidRPr="009C7823" w:rsidRDefault="00414999" w:rsidP="00F44C41">
            <w:pPr>
              <w:tabs>
                <w:tab w:val="left" w:pos="8647"/>
              </w:tabs>
              <w:spacing w:after="0"/>
              <w:ind w:firstLine="0"/>
              <w:jc w:val="right"/>
              <w:rPr>
                <w:rFonts w:ascii="Arial" w:hAnsi="Arial" w:cs="Arial"/>
                <w:color w:val="000000"/>
                <w:sz w:val="16"/>
                <w:szCs w:val="16"/>
                <w:lang w:val="es-ES" w:eastAsia="es-ES"/>
              </w:rPr>
            </w:pPr>
            <w:proofErr w:type="spellStart"/>
            <w:r w:rsidRPr="009C7823">
              <w:rPr>
                <w:rFonts w:ascii="Arial" w:hAnsi="Arial" w:cs="Arial"/>
                <w:color w:val="000000"/>
                <w:sz w:val="16"/>
                <w:szCs w:val="16"/>
                <w:lang w:val="es-ES" w:eastAsia="es-ES"/>
              </w:rPr>
              <w:t>P</w:t>
            </w:r>
            <w:r w:rsidR="009C7823" w:rsidRPr="009C7823">
              <w:rPr>
                <w:rFonts w:ascii="Arial" w:hAnsi="Arial" w:cs="Arial"/>
                <w:color w:val="000000"/>
                <w:sz w:val="16"/>
                <w:szCs w:val="16"/>
                <w:lang w:val="es-ES" w:eastAsia="es-ES"/>
              </w:rPr>
              <w:t>pto</w:t>
            </w:r>
            <w:proofErr w:type="spellEnd"/>
            <w:r w:rsidRPr="009C7823">
              <w:rPr>
                <w:rFonts w:ascii="Arial" w:hAnsi="Arial" w:cs="Arial"/>
                <w:color w:val="000000"/>
                <w:sz w:val="16"/>
                <w:szCs w:val="16"/>
                <w:lang w:val="es-ES" w:eastAsia="es-ES"/>
              </w:rPr>
              <w:t xml:space="preserve"> del Estado</w:t>
            </w:r>
          </w:p>
        </w:tc>
        <w:tc>
          <w:tcPr>
            <w:tcW w:w="992" w:type="dxa"/>
            <w:tcBorders>
              <w:top w:val="single" w:sz="4" w:space="0" w:color="auto"/>
              <w:bottom w:val="single" w:sz="4" w:space="0" w:color="auto"/>
              <w:right w:val="single" w:sz="2" w:space="0" w:color="auto"/>
            </w:tcBorders>
            <w:shd w:val="clear" w:color="auto" w:fill="B8CCE4" w:themeFill="accent1" w:themeFillTint="66"/>
            <w:vAlign w:val="center"/>
          </w:tcPr>
          <w:p w:rsidR="00414999" w:rsidRPr="009C7823" w:rsidRDefault="00414999" w:rsidP="00F44C41">
            <w:pPr>
              <w:tabs>
                <w:tab w:val="left" w:pos="8647"/>
              </w:tabs>
              <w:spacing w:after="0"/>
              <w:ind w:firstLine="0"/>
              <w:jc w:val="right"/>
              <w:rPr>
                <w:rFonts w:ascii="Arial" w:hAnsi="Arial" w:cs="Arial"/>
                <w:color w:val="000000"/>
                <w:sz w:val="16"/>
                <w:szCs w:val="16"/>
                <w:lang w:val="es-ES" w:eastAsia="es-ES"/>
              </w:rPr>
            </w:pPr>
            <w:r w:rsidRPr="009C7823">
              <w:rPr>
                <w:rFonts w:ascii="Arial" w:hAnsi="Arial" w:cs="Arial"/>
                <w:color w:val="000000"/>
                <w:sz w:val="16"/>
                <w:szCs w:val="16"/>
                <w:lang w:val="es-ES" w:eastAsia="es-ES"/>
              </w:rPr>
              <w:t>Curso 2017/2018</w:t>
            </w:r>
          </w:p>
        </w:tc>
        <w:tc>
          <w:tcPr>
            <w:tcW w:w="1276" w:type="dxa"/>
            <w:tcBorders>
              <w:top w:val="single" w:sz="4" w:space="0" w:color="auto"/>
              <w:left w:val="single" w:sz="2" w:space="0" w:color="auto"/>
              <w:bottom w:val="single" w:sz="4" w:space="0" w:color="auto"/>
            </w:tcBorders>
            <w:shd w:val="clear" w:color="auto" w:fill="B8CCE4" w:themeFill="accent1" w:themeFillTint="66"/>
            <w:vAlign w:val="center"/>
            <w:hideMark/>
          </w:tcPr>
          <w:p w:rsidR="00414999" w:rsidRPr="009C7823" w:rsidRDefault="00414999" w:rsidP="00F44C41">
            <w:pPr>
              <w:tabs>
                <w:tab w:val="left" w:pos="8647"/>
              </w:tabs>
              <w:spacing w:after="0"/>
              <w:ind w:firstLine="0"/>
              <w:jc w:val="right"/>
              <w:rPr>
                <w:rFonts w:ascii="Arial" w:hAnsi="Arial" w:cs="Arial"/>
                <w:color w:val="000000"/>
                <w:sz w:val="16"/>
                <w:szCs w:val="16"/>
                <w:lang w:val="es-ES" w:eastAsia="es-ES"/>
              </w:rPr>
            </w:pPr>
            <w:r w:rsidRPr="009C7823">
              <w:rPr>
                <w:rFonts w:ascii="Arial" w:hAnsi="Arial" w:cs="Arial"/>
                <w:color w:val="000000"/>
                <w:sz w:val="16"/>
                <w:szCs w:val="16"/>
                <w:lang w:val="es-ES" w:eastAsia="es-ES"/>
              </w:rPr>
              <w:t>Ley 6/2018,</w:t>
            </w:r>
          </w:p>
          <w:p w:rsidR="00414999" w:rsidRPr="009C7823" w:rsidRDefault="009C7823" w:rsidP="00F44C41">
            <w:pPr>
              <w:tabs>
                <w:tab w:val="left" w:pos="8647"/>
              </w:tabs>
              <w:spacing w:after="0"/>
              <w:ind w:firstLine="0"/>
              <w:jc w:val="right"/>
              <w:rPr>
                <w:rFonts w:ascii="Arial" w:hAnsi="Arial" w:cs="Arial"/>
                <w:color w:val="000000"/>
                <w:sz w:val="16"/>
                <w:szCs w:val="16"/>
                <w:lang w:val="es-ES" w:eastAsia="es-ES"/>
              </w:rPr>
            </w:pPr>
            <w:proofErr w:type="spellStart"/>
            <w:r w:rsidRPr="009C7823">
              <w:rPr>
                <w:rFonts w:ascii="Arial" w:hAnsi="Arial" w:cs="Arial"/>
                <w:color w:val="000000"/>
                <w:sz w:val="16"/>
                <w:szCs w:val="16"/>
                <w:lang w:val="es-ES" w:eastAsia="es-ES"/>
              </w:rPr>
              <w:t>Ppto</w:t>
            </w:r>
            <w:proofErr w:type="spellEnd"/>
            <w:r>
              <w:rPr>
                <w:rFonts w:ascii="Arial" w:hAnsi="Arial" w:cs="Arial"/>
                <w:color w:val="000000"/>
                <w:sz w:val="16"/>
                <w:szCs w:val="16"/>
                <w:lang w:val="es-ES" w:eastAsia="es-ES"/>
              </w:rPr>
              <w:t xml:space="preserve">. </w:t>
            </w:r>
            <w:r w:rsidR="00414999" w:rsidRPr="009C7823">
              <w:rPr>
                <w:rFonts w:ascii="Arial" w:hAnsi="Arial" w:cs="Arial"/>
                <w:color w:val="000000"/>
                <w:sz w:val="16"/>
                <w:szCs w:val="16"/>
                <w:lang w:val="es-ES" w:eastAsia="es-ES"/>
              </w:rPr>
              <w:t xml:space="preserve"> Estado</w:t>
            </w:r>
          </w:p>
        </w:tc>
        <w:tc>
          <w:tcPr>
            <w:tcW w:w="992" w:type="dxa"/>
            <w:tcBorders>
              <w:top w:val="single" w:sz="4" w:space="0" w:color="auto"/>
              <w:bottom w:val="single" w:sz="4" w:space="0" w:color="auto"/>
            </w:tcBorders>
            <w:shd w:val="clear" w:color="auto" w:fill="B8CCE4" w:themeFill="accent1" w:themeFillTint="66"/>
            <w:vAlign w:val="center"/>
          </w:tcPr>
          <w:p w:rsidR="00414999" w:rsidRPr="009C7823" w:rsidRDefault="001321DE" w:rsidP="001321DE">
            <w:pPr>
              <w:tabs>
                <w:tab w:val="left" w:pos="8647"/>
              </w:tabs>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Curso 2018</w:t>
            </w:r>
            <w:r w:rsidR="00414999" w:rsidRPr="009C7823">
              <w:rPr>
                <w:rFonts w:ascii="Arial" w:hAnsi="Arial" w:cs="Arial"/>
                <w:color w:val="000000"/>
                <w:sz w:val="16"/>
                <w:szCs w:val="16"/>
                <w:lang w:val="es-ES" w:eastAsia="es-ES"/>
              </w:rPr>
              <w:t>/201</w:t>
            </w:r>
            <w:r>
              <w:rPr>
                <w:rFonts w:ascii="Arial" w:hAnsi="Arial" w:cs="Arial"/>
                <w:color w:val="000000"/>
                <w:sz w:val="16"/>
                <w:szCs w:val="16"/>
                <w:lang w:val="es-ES" w:eastAsia="es-ES"/>
              </w:rPr>
              <w:t>9</w:t>
            </w:r>
          </w:p>
        </w:tc>
      </w:tr>
      <w:tr w:rsidR="00414999" w:rsidRPr="002F4D81" w:rsidTr="003F1E6D">
        <w:trPr>
          <w:trHeight w:val="255"/>
        </w:trPr>
        <w:tc>
          <w:tcPr>
            <w:tcW w:w="2127" w:type="dxa"/>
            <w:tcBorders>
              <w:top w:val="single" w:sz="4" w:space="0" w:color="auto"/>
            </w:tcBorders>
            <w:shd w:val="clear" w:color="auto" w:fill="B8CCE4" w:themeFill="accent1" w:themeFillTint="66"/>
            <w:noWrap/>
            <w:vAlign w:val="center"/>
          </w:tcPr>
          <w:p w:rsidR="00414999" w:rsidRPr="002F4D81" w:rsidRDefault="00414999" w:rsidP="002F4D81">
            <w:pPr>
              <w:tabs>
                <w:tab w:val="left" w:pos="8647"/>
              </w:tabs>
              <w:spacing w:after="0"/>
              <w:ind w:firstLine="0"/>
              <w:jc w:val="left"/>
              <w:rPr>
                <w:rFonts w:ascii="Arial" w:hAnsi="Arial" w:cs="Arial"/>
                <w:color w:val="000000"/>
                <w:sz w:val="18"/>
                <w:szCs w:val="18"/>
                <w:lang w:val="es-ES" w:eastAsia="es-ES"/>
              </w:rPr>
            </w:pPr>
            <w:r w:rsidRPr="002F4D81">
              <w:rPr>
                <w:rFonts w:ascii="Arial" w:hAnsi="Arial" w:cs="Arial"/>
                <w:color w:val="000000"/>
                <w:sz w:val="18"/>
                <w:szCs w:val="18"/>
                <w:lang w:val="es-ES" w:eastAsia="es-ES"/>
              </w:rPr>
              <w:t>G</w:t>
            </w:r>
            <w:r w:rsidR="002F4D81">
              <w:rPr>
                <w:rFonts w:ascii="Arial" w:hAnsi="Arial" w:cs="Arial"/>
                <w:color w:val="000000"/>
                <w:sz w:val="18"/>
                <w:szCs w:val="18"/>
                <w:lang w:val="es-ES" w:eastAsia="es-ES"/>
              </w:rPr>
              <w:t>rado</w:t>
            </w:r>
          </w:p>
        </w:tc>
        <w:tc>
          <w:tcPr>
            <w:tcW w:w="1124" w:type="dxa"/>
            <w:tcBorders>
              <w:top w:val="single" w:sz="4" w:space="0" w:color="auto"/>
              <w:bottom w:val="single" w:sz="4" w:space="0" w:color="auto"/>
            </w:tcBorders>
            <w:shd w:val="clear" w:color="auto" w:fill="B8CCE4" w:themeFill="accent1" w:themeFillTint="66"/>
            <w:noWrap/>
            <w:vAlign w:val="center"/>
          </w:tcPr>
          <w:p w:rsidR="00414999" w:rsidRPr="002F4D81" w:rsidRDefault="00414999" w:rsidP="00F44C41">
            <w:pPr>
              <w:tabs>
                <w:tab w:val="left" w:pos="8647"/>
              </w:tabs>
              <w:spacing w:after="0"/>
              <w:ind w:firstLine="0"/>
              <w:jc w:val="right"/>
              <w:rPr>
                <w:rFonts w:ascii="Arial" w:hAnsi="Arial" w:cs="Arial"/>
                <w:color w:val="000000"/>
                <w:sz w:val="18"/>
                <w:szCs w:val="18"/>
                <w:lang w:val="es-ES" w:eastAsia="es-ES"/>
              </w:rPr>
            </w:pPr>
          </w:p>
        </w:tc>
        <w:tc>
          <w:tcPr>
            <w:tcW w:w="1002" w:type="dxa"/>
            <w:tcBorders>
              <w:top w:val="single" w:sz="4" w:space="0" w:color="auto"/>
              <w:bottom w:val="single" w:sz="4" w:space="0" w:color="auto"/>
              <w:right w:val="single" w:sz="2" w:space="0" w:color="auto"/>
            </w:tcBorders>
            <w:shd w:val="clear" w:color="auto" w:fill="B8CCE4" w:themeFill="accent1" w:themeFillTint="66"/>
            <w:vAlign w:val="center"/>
          </w:tcPr>
          <w:p w:rsidR="00414999" w:rsidRPr="002F4D81" w:rsidRDefault="00414999" w:rsidP="00F44C41">
            <w:pPr>
              <w:tabs>
                <w:tab w:val="left" w:pos="8647"/>
              </w:tabs>
              <w:spacing w:after="0"/>
              <w:ind w:firstLine="0"/>
              <w:jc w:val="right"/>
              <w:rPr>
                <w:rFonts w:ascii="Arial" w:hAnsi="Arial" w:cs="Arial"/>
                <w:color w:val="000000"/>
                <w:sz w:val="18"/>
                <w:szCs w:val="18"/>
                <w:lang w:val="es-ES" w:eastAsia="es-ES"/>
              </w:rPr>
            </w:pPr>
          </w:p>
        </w:tc>
        <w:tc>
          <w:tcPr>
            <w:tcW w:w="1276" w:type="dxa"/>
            <w:tcBorders>
              <w:top w:val="single" w:sz="4" w:space="0" w:color="auto"/>
              <w:left w:val="single" w:sz="2" w:space="0" w:color="auto"/>
              <w:bottom w:val="single" w:sz="4" w:space="0" w:color="auto"/>
            </w:tcBorders>
            <w:shd w:val="clear" w:color="auto" w:fill="B8CCE4" w:themeFill="accent1" w:themeFillTint="66"/>
            <w:noWrap/>
            <w:vAlign w:val="center"/>
          </w:tcPr>
          <w:p w:rsidR="00414999" w:rsidRPr="002F4D81" w:rsidRDefault="00414999" w:rsidP="00F44C41">
            <w:pPr>
              <w:tabs>
                <w:tab w:val="left" w:pos="8647"/>
              </w:tabs>
              <w:spacing w:after="0"/>
              <w:ind w:firstLine="0"/>
              <w:jc w:val="right"/>
              <w:rPr>
                <w:rFonts w:ascii="Arial" w:hAnsi="Arial" w:cs="Arial"/>
                <w:color w:val="000000"/>
                <w:sz w:val="18"/>
                <w:szCs w:val="18"/>
                <w:lang w:val="es-ES" w:eastAsia="es-ES"/>
              </w:rPr>
            </w:pPr>
          </w:p>
        </w:tc>
        <w:tc>
          <w:tcPr>
            <w:tcW w:w="992" w:type="dxa"/>
            <w:tcBorders>
              <w:top w:val="single" w:sz="4" w:space="0" w:color="auto"/>
              <w:bottom w:val="single" w:sz="4" w:space="0" w:color="auto"/>
              <w:right w:val="single" w:sz="2" w:space="0" w:color="auto"/>
            </w:tcBorders>
            <w:shd w:val="clear" w:color="auto" w:fill="B8CCE4" w:themeFill="accent1" w:themeFillTint="66"/>
            <w:vAlign w:val="center"/>
          </w:tcPr>
          <w:p w:rsidR="00414999" w:rsidRPr="002F4D81" w:rsidRDefault="00414999" w:rsidP="00F44C41">
            <w:pPr>
              <w:tabs>
                <w:tab w:val="left" w:pos="8647"/>
              </w:tabs>
              <w:spacing w:after="0"/>
              <w:ind w:firstLine="0"/>
              <w:jc w:val="right"/>
              <w:rPr>
                <w:rFonts w:ascii="Arial" w:hAnsi="Arial" w:cs="Arial"/>
                <w:color w:val="000000"/>
                <w:sz w:val="18"/>
                <w:szCs w:val="18"/>
                <w:lang w:val="es-ES" w:eastAsia="es-ES"/>
              </w:rPr>
            </w:pPr>
          </w:p>
        </w:tc>
        <w:tc>
          <w:tcPr>
            <w:tcW w:w="1276" w:type="dxa"/>
            <w:tcBorders>
              <w:top w:val="single" w:sz="4" w:space="0" w:color="auto"/>
              <w:left w:val="single" w:sz="2" w:space="0" w:color="auto"/>
            </w:tcBorders>
            <w:shd w:val="clear" w:color="auto" w:fill="B8CCE4" w:themeFill="accent1" w:themeFillTint="66"/>
            <w:noWrap/>
            <w:vAlign w:val="center"/>
          </w:tcPr>
          <w:p w:rsidR="00414999" w:rsidRPr="002F4D81" w:rsidRDefault="00414999" w:rsidP="00F44C41">
            <w:pPr>
              <w:tabs>
                <w:tab w:val="left" w:pos="8647"/>
              </w:tabs>
              <w:spacing w:after="0"/>
              <w:ind w:firstLine="0"/>
              <w:jc w:val="right"/>
              <w:rPr>
                <w:rFonts w:ascii="Arial" w:hAnsi="Arial" w:cs="Arial"/>
                <w:color w:val="000000"/>
                <w:sz w:val="18"/>
                <w:szCs w:val="18"/>
                <w:lang w:val="es-ES" w:eastAsia="es-ES"/>
              </w:rPr>
            </w:pPr>
          </w:p>
        </w:tc>
        <w:tc>
          <w:tcPr>
            <w:tcW w:w="992" w:type="dxa"/>
            <w:tcBorders>
              <w:top w:val="single" w:sz="4" w:space="0" w:color="auto"/>
            </w:tcBorders>
            <w:shd w:val="clear" w:color="auto" w:fill="B8CCE4" w:themeFill="accent1" w:themeFillTint="66"/>
            <w:vAlign w:val="center"/>
          </w:tcPr>
          <w:p w:rsidR="00414999" w:rsidRPr="002F4D81" w:rsidRDefault="00414999" w:rsidP="00F44C41">
            <w:pPr>
              <w:tabs>
                <w:tab w:val="left" w:pos="8647"/>
              </w:tabs>
              <w:spacing w:after="0"/>
              <w:ind w:firstLine="0"/>
              <w:jc w:val="right"/>
              <w:rPr>
                <w:rFonts w:ascii="Arial" w:hAnsi="Arial" w:cs="Arial"/>
                <w:color w:val="000000"/>
                <w:sz w:val="18"/>
                <w:szCs w:val="18"/>
                <w:lang w:val="es-ES" w:eastAsia="es-ES"/>
              </w:rPr>
            </w:pPr>
          </w:p>
        </w:tc>
      </w:tr>
      <w:tr w:rsidR="00414999" w:rsidRPr="00AE36F0" w:rsidTr="003F1E6D">
        <w:trPr>
          <w:trHeight w:val="255"/>
        </w:trPr>
        <w:tc>
          <w:tcPr>
            <w:tcW w:w="2127" w:type="dxa"/>
            <w:tcBorders>
              <w:top w:val="single" w:sz="4"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lef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1ª Matrícula</w:t>
            </w:r>
          </w:p>
        </w:tc>
        <w:tc>
          <w:tcPr>
            <w:tcW w:w="1124" w:type="dxa"/>
            <w:tcBorders>
              <w:top w:val="single" w:sz="4"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15-25</w:t>
            </w:r>
          </w:p>
        </w:tc>
        <w:tc>
          <w:tcPr>
            <w:tcW w:w="1002" w:type="dxa"/>
            <w:tcBorders>
              <w:top w:val="single" w:sz="4"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15</w:t>
            </w:r>
          </w:p>
        </w:tc>
        <w:tc>
          <w:tcPr>
            <w:tcW w:w="1276" w:type="dxa"/>
            <w:tcBorders>
              <w:top w:val="single" w:sz="4"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w:t>
            </w:r>
          </w:p>
        </w:tc>
        <w:tc>
          <w:tcPr>
            <w:tcW w:w="992" w:type="dxa"/>
            <w:tcBorders>
              <w:top w:val="single" w:sz="4"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15</w:t>
            </w:r>
          </w:p>
        </w:tc>
        <w:tc>
          <w:tcPr>
            <w:tcW w:w="1276" w:type="dxa"/>
            <w:tcBorders>
              <w:top w:val="single" w:sz="4"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0-25</w:t>
            </w:r>
          </w:p>
        </w:tc>
        <w:tc>
          <w:tcPr>
            <w:tcW w:w="992" w:type="dxa"/>
            <w:tcBorders>
              <w:top w:val="single" w:sz="4" w:space="0" w:color="auto"/>
              <w:bottom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15</w:t>
            </w:r>
          </w:p>
        </w:tc>
      </w:tr>
      <w:tr w:rsidR="00414999" w:rsidRPr="00AE36F0" w:rsidTr="003F1E6D">
        <w:trPr>
          <w:trHeight w:val="255"/>
        </w:trPr>
        <w:tc>
          <w:tcPr>
            <w:tcW w:w="2127" w:type="dxa"/>
            <w:tcBorders>
              <w:top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lef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2ª Matrícula</w:t>
            </w:r>
          </w:p>
        </w:tc>
        <w:tc>
          <w:tcPr>
            <w:tcW w:w="1124" w:type="dxa"/>
            <w:tcBorders>
              <w:top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30-40</w:t>
            </w:r>
          </w:p>
        </w:tc>
        <w:tc>
          <w:tcPr>
            <w:tcW w:w="1002" w:type="dxa"/>
            <w:tcBorders>
              <w:top w:val="single" w:sz="2"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30</w:t>
            </w:r>
          </w:p>
        </w:tc>
        <w:tc>
          <w:tcPr>
            <w:tcW w:w="1276" w:type="dxa"/>
            <w:tcBorders>
              <w:top w:val="single" w:sz="2"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w:t>
            </w:r>
          </w:p>
        </w:tc>
        <w:tc>
          <w:tcPr>
            <w:tcW w:w="992" w:type="dxa"/>
            <w:tcBorders>
              <w:top w:val="single" w:sz="2"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30</w:t>
            </w:r>
          </w:p>
        </w:tc>
        <w:tc>
          <w:tcPr>
            <w:tcW w:w="1276" w:type="dxa"/>
            <w:tcBorders>
              <w:top w:val="single" w:sz="2"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w:t>
            </w:r>
          </w:p>
        </w:tc>
        <w:tc>
          <w:tcPr>
            <w:tcW w:w="992" w:type="dxa"/>
            <w:tcBorders>
              <w:top w:val="single" w:sz="2" w:space="0" w:color="auto"/>
              <w:bottom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30</w:t>
            </w:r>
          </w:p>
        </w:tc>
      </w:tr>
      <w:tr w:rsidR="00414999" w:rsidRPr="00AE36F0" w:rsidTr="003F1E6D">
        <w:trPr>
          <w:trHeight w:val="255"/>
        </w:trPr>
        <w:tc>
          <w:tcPr>
            <w:tcW w:w="2127" w:type="dxa"/>
            <w:tcBorders>
              <w:top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lef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3ª Matrícula</w:t>
            </w:r>
          </w:p>
        </w:tc>
        <w:tc>
          <w:tcPr>
            <w:tcW w:w="1124" w:type="dxa"/>
            <w:tcBorders>
              <w:top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65-75</w:t>
            </w:r>
          </w:p>
        </w:tc>
        <w:tc>
          <w:tcPr>
            <w:tcW w:w="1002" w:type="dxa"/>
            <w:tcBorders>
              <w:top w:val="single" w:sz="2"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65</w:t>
            </w:r>
          </w:p>
        </w:tc>
        <w:tc>
          <w:tcPr>
            <w:tcW w:w="1276" w:type="dxa"/>
            <w:tcBorders>
              <w:top w:val="single" w:sz="2"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w:t>
            </w:r>
          </w:p>
        </w:tc>
        <w:tc>
          <w:tcPr>
            <w:tcW w:w="992" w:type="dxa"/>
            <w:tcBorders>
              <w:top w:val="single" w:sz="2"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65</w:t>
            </w:r>
          </w:p>
        </w:tc>
        <w:tc>
          <w:tcPr>
            <w:tcW w:w="1276" w:type="dxa"/>
            <w:tcBorders>
              <w:top w:val="single" w:sz="2"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w:t>
            </w:r>
          </w:p>
        </w:tc>
        <w:tc>
          <w:tcPr>
            <w:tcW w:w="992" w:type="dxa"/>
            <w:tcBorders>
              <w:top w:val="single" w:sz="2" w:space="0" w:color="auto"/>
              <w:bottom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65</w:t>
            </w:r>
          </w:p>
        </w:tc>
      </w:tr>
      <w:tr w:rsidR="00414999" w:rsidRPr="00AE36F0" w:rsidTr="003F1E6D">
        <w:trPr>
          <w:trHeight w:val="255"/>
        </w:trPr>
        <w:tc>
          <w:tcPr>
            <w:tcW w:w="2127" w:type="dxa"/>
            <w:tcBorders>
              <w:top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lef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4ª Matrícula y siguientes</w:t>
            </w:r>
          </w:p>
        </w:tc>
        <w:tc>
          <w:tcPr>
            <w:tcW w:w="1124" w:type="dxa"/>
            <w:tcBorders>
              <w:top w:val="single" w:sz="2" w:space="0" w:color="auto"/>
              <w:bottom w:val="single" w:sz="4"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90-100</w:t>
            </w:r>
          </w:p>
        </w:tc>
        <w:tc>
          <w:tcPr>
            <w:tcW w:w="1002" w:type="dxa"/>
            <w:tcBorders>
              <w:top w:val="single" w:sz="2" w:space="0" w:color="auto"/>
              <w:bottom w:val="single" w:sz="4"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90</w:t>
            </w:r>
          </w:p>
        </w:tc>
        <w:tc>
          <w:tcPr>
            <w:tcW w:w="1276" w:type="dxa"/>
            <w:tcBorders>
              <w:top w:val="single" w:sz="2" w:space="0" w:color="auto"/>
              <w:left w:val="single" w:sz="2" w:space="0" w:color="auto"/>
              <w:bottom w:val="single" w:sz="4"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w:t>
            </w:r>
          </w:p>
        </w:tc>
        <w:tc>
          <w:tcPr>
            <w:tcW w:w="992" w:type="dxa"/>
            <w:tcBorders>
              <w:top w:val="single" w:sz="2" w:space="0" w:color="auto"/>
              <w:bottom w:val="single" w:sz="4"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90</w:t>
            </w:r>
          </w:p>
        </w:tc>
        <w:tc>
          <w:tcPr>
            <w:tcW w:w="1276" w:type="dxa"/>
            <w:tcBorders>
              <w:top w:val="single" w:sz="2" w:space="0" w:color="auto"/>
              <w:left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w:t>
            </w:r>
          </w:p>
        </w:tc>
        <w:tc>
          <w:tcPr>
            <w:tcW w:w="992" w:type="dxa"/>
            <w:tcBorders>
              <w:top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90</w:t>
            </w:r>
          </w:p>
        </w:tc>
      </w:tr>
      <w:tr w:rsidR="00414999" w:rsidRPr="002F4D81" w:rsidTr="003F1E6D">
        <w:trPr>
          <w:trHeight w:val="255"/>
        </w:trPr>
        <w:tc>
          <w:tcPr>
            <w:tcW w:w="2127" w:type="dxa"/>
            <w:shd w:val="clear" w:color="auto" w:fill="B8CCE4" w:themeFill="accent1" w:themeFillTint="66"/>
            <w:noWrap/>
            <w:vAlign w:val="center"/>
            <w:hideMark/>
          </w:tcPr>
          <w:p w:rsidR="00414999" w:rsidRPr="002F4D81" w:rsidRDefault="00414999" w:rsidP="002F4D81">
            <w:pPr>
              <w:tabs>
                <w:tab w:val="left" w:pos="8647"/>
              </w:tabs>
              <w:spacing w:after="0"/>
              <w:ind w:firstLine="0"/>
              <w:jc w:val="left"/>
              <w:rPr>
                <w:rFonts w:ascii="Arial" w:hAnsi="Arial" w:cs="Arial"/>
                <w:color w:val="000000"/>
                <w:sz w:val="18"/>
                <w:szCs w:val="18"/>
                <w:lang w:val="es-ES" w:eastAsia="es-ES"/>
              </w:rPr>
            </w:pPr>
            <w:r w:rsidRPr="002F4D81">
              <w:rPr>
                <w:rFonts w:ascii="Arial" w:hAnsi="Arial" w:cs="Arial"/>
                <w:color w:val="000000"/>
                <w:sz w:val="18"/>
                <w:szCs w:val="18"/>
                <w:lang w:val="es-ES" w:eastAsia="es-ES"/>
              </w:rPr>
              <w:t>M</w:t>
            </w:r>
            <w:r w:rsidR="002F4D81">
              <w:rPr>
                <w:rFonts w:ascii="Arial" w:hAnsi="Arial" w:cs="Arial"/>
                <w:color w:val="000000"/>
                <w:sz w:val="18"/>
                <w:szCs w:val="18"/>
                <w:lang w:val="es-ES" w:eastAsia="es-ES"/>
              </w:rPr>
              <w:t xml:space="preserve">áster </w:t>
            </w:r>
            <w:r w:rsidRPr="002F4D81">
              <w:rPr>
                <w:rFonts w:ascii="Arial" w:hAnsi="Arial" w:cs="Arial"/>
                <w:color w:val="000000"/>
                <w:sz w:val="18"/>
                <w:szCs w:val="18"/>
                <w:lang w:val="es-ES" w:eastAsia="es-ES"/>
              </w:rPr>
              <w:t>H</w:t>
            </w:r>
            <w:r w:rsidR="002F4D81">
              <w:rPr>
                <w:rFonts w:ascii="Arial" w:hAnsi="Arial" w:cs="Arial"/>
                <w:color w:val="000000"/>
                <w:sz w:val="18"/>
                <w:szCs w:val="18"/>
                <w:lang w:val="es-ES" w:eastAsia="es-ES"/>
              </w:rPr>
              <w:t>abilitante</w:t>
            </w:r>
          </w:p>
        </w:tc>
        <w:tc>
          <w:tcPr>
            <w:tcW w:w="1124" w:type="dxa"/>
            <w:tcBorders>
              <w:top w:val="single" w:sz="4" w:space="0" w:color="auto"/>
              <w:bottom w:val="single" w:sz="4" w:space="0" w:color="auto"/>
            </w:tcBorders>
            <w:shd w:val="clear" w:color="auto" w:fill="B8CCE4" w:themeFill="accent1" w:themeFillTint="66"/>
            <w:noWrap/>
            <w:vAlign w:val="center"/>
            <w:hideMark/>
          </w:tcPr>
          <w:p w:rsidR="00414999" w:rsidRPr="002F4D81" w:rsidRDefault="00414999" w:rsidP="00F44C41">
            <w:pPr>
              <w:tabs>
                <w:tab w:val="left" w:pos="8647"/>
              </w:tabs>
              <w:spacing w:after="0"/>
              <w:ind w:firstLine="0"/>
              <w:jc w:val="right"/>
              <w:rPr>
                <w:rFonts w:ascii="Arial" w:hAnsi="Arial" w:cs="Arial"/>
                <w:color w:val="000000"/>
                <w:sz w:val="18"/>
                <w:szCs w:val="18"/>
                <w:lang w:val="es-ES" w:eastAsia="es-ES"/>
              </w:rPr>
            </w:pPr>
          </w:p>
        </w:tc>
        <w:tc>
          <w:tcPr>
            <w:tcW w:w="1002" w:type="dxa"/>
            <w:tcBorders>
              <w:top w:val="single" w:sz="4" w:space="0" w:color="auto"/>
              <w:bottom w:val="single" w:sz="4" w:space="0" w:color="auto"/>
              <w:right w:val="single" w:sz="2" w:space="0" w:color="auto"/>
            </w:tcBorders>
            <w:shd w:val="clear" w:color="auto" w:fill="B8CCE4" w:themeFill="accent1" w:themeFillTint="66"/>
            <w:vAlign w:val="center"/>
          </w:tcPr>
          <w:p w:rsidR="00414999" w:rsidRPr="002F4D81" w:rsidRDefault="00414999" w:rsidP="00F44C41">
            <w:pPr>
              <w:tabs>
                <w:tab w:val="left" w:pos="8647"/>
              </w:tabs>
              <w:spacing w:after="0"/>
              <w:ind w:firstLine="0"/>
              <w:jc w:val="right"/>
              <w:rPr>
                <w:rFonts w:ascii="Arial" w:hAnsi="Arial" w:cs="Arial"/>
                <w:sz w:val="18"/>
                <w:szCs w:val="18"/>
                <w:lang w:val="es-ES" w:eastAsia="es-ES"/>
              </w:rPr>
            </w:pPr>
          </w:p>
        </w:tc>
        <w:tc>
          <w:tcPr>
            <w:tcW w:w="1276" w:type="dxa"/>
            <w:tcBorders>
              <w:top w:val="single" w:sz="4" w:space="0" w:color="auto"/>
              <w:left w:val="single" w:sz="2" w:space="0" w:color="auto"/>
              <w:bottom w:val="single" w:sz="4" w:space="0" w:color="auto"/>
            </w:tcBorders>
            <w:shd w:val="clear" w:color="auto" w:fill="B8CCE4" w:themeFill="accent1" w:themeFillTint="66"/>
            <w:noWrap/>
            <w:vAlign w:val="center"/>
            <w:hideMark/>
          </w:tcPr>
          <w:p w:rsidR="00414999" w:rsidRPr="002F4D81" w:rsidRDefault="00414999" w:rsidP="00F44C41">
            <w:pPr>
              <w:tabs>
                <w:tab w:val="left" w:pos="8647"/>
              </w:tabs>
              <w:spacing w:after="0"/>
              <w:ind w:firstLine="0"/>
              <w:jc w:val="right"/>
              <w:rPr>
                <w:rFonts w:ascii="Arial" w:hAnsi="Arial" w:cs="Arial"/>
                <w:sz w:val="18"/>
                <w:szCs w:val="18"/>
                <w:lang w:val="es-ES" w:eastAsia="es-ES"/>
              </w:rPr>
            </w:pPr>
          </w:p>
        </w:tc>
        <w:tc>
          <w:tcPr>
            <w:tcW w:w="992" w:type="dxa"/>
            <w:tcBorders>
              <w:top w:val="single" w:sz="4" w:space="0" w:color="auto"/>
              <w:bottom w:val="single" w:sz="4" w:space="0" w:color="auto"/>
              <w:right w:val="single" w:sz="2" w:space="0" w:color="auto"/>
            </w:tcBorders>
            <w:shd w:val="clear" w:color="auto" w:fill="B8CCE4" w:themeFill="accent1" w:themeFillTint="66"/>
            <w:vAlign w:val="center"/>
          </w:tcPr>
          <w:p w:rsidR="00414999" w:rsidRPr="002F4D81" w:rsidRDefault="00414999" w:rsidP="00F44C41">
            <w:pPr>
              <w:tabs>
                <w:tab w:val="left" w:pos="8647"/>
              </w:tabs>
              <w:spacing w:after="0"/>
              <w:ind w:firstLine="0"/>
              <w:jc w:val="right"/>
              <w:rPr>
                <w:rFonts w:ascii="Arial" w:hAnsi="Arial" w:cs="Arial"/>
                <w:sz w:val="18"/>
                <w:szCs w:val="18"/>
                <w:lang w:val="es-ES" w:eastAsia="es-ES"/>
              </w:rPr>
            </w:pPr>
          </w:p>
        </w:tc>
        <w:tc>
          <w:tcPr>
            <w:tcW w:w="1276" w:type="dxa"/>
            <w:tcBorders>
              <w:left w:val="single" w:sz="2" w:space="0" w:color="auto"/>
            </w:tcBorders>
            <w:shd w:val="clear" w:color="auto" w:fill="B8CCE4" w:themeFill="accent1" w:themeFillTint="66"/>
            <w:noWrap/>
            <w:vAlign w:val="center"/>
            <w:hideMark/>
          </w:tcPr>
          <w:p w:rsidR="00414999" w:rsidRPr="002F4D81" w:rsidRDefault="00414999" w:rsidP="00F44C41">
            <w:pPr>
              <w:tabs>
                <w:tab w:val="left" w:pos="8647"/>
              </w:tabs>
              <w:spacing w:after="0"/>
              <w:ind w:firstLine="0"/>
              <w:jc w:val="right"/>
              <w:rPr>
                <w:rFonts w:ascii="Arial" w:hAnsi="Arial" w:cs="Arial"/>
                <w:sz w:val="18"/>
                <w:szCs w:val="18"/>
                <w:lang w:val="es-ES" w:eastAsia="es-ES"/>
              </w:rPr>
            </w:pPr>
          </w:p>
        </w:tc>
        <w:tc>
          <w:tcPr>
            <w:tcW w:w="992" w:type="dxa"/>
            <w:shd w:val="clear" w:color="auto" w:fill="B8CCE4" w:themeFill="accent1" w:themeFillTint="66"/>
            <w:vAlign w:val="center"/>
          </w:tcPr>
          <w:p w:rsidR="00414999" w:rsidRPr="002F4D81" w:rsidRDefault="00414999" w:rsidP="00F44C41">
            <w:pPr>
              <w:tabs>
                <w:tab w:val="left" w:pos="8647"/>
              </w:tabs>
              <w:spacing w:after="0"/>
              <w:ind w:firstLine="0"/>
              <w:jc w:val="right"/>
              <w:rPr>
                <w:rFonts w:ascii="Arial" w:hAnsi="Arial" w:cs="Arial"/>
                <w:sz w:val="18"/>
                <w:szCs w:val="18"/>
                <w:lang w:val="es-ES" w:eastAsia="es-ES"/>
              </w:rPr>
            </w:pPr>
          </w:p>
        </w:tc>
      </w:tr>
      <w:tr w:rsidR="00414999" w:rsidRPr="00AE36F0" w:rsidTr="003F1E6D">
        <w:trPr>
          <w:trHeight w:val="255"/>
        </w:trPr>
        <w:tc>
          <w:tcPr>
            <w:tcW w:w="2127" w:type="dxa"/>
            <w:tcBorders>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lef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1ª Matrícula</w:t>
            </w:r>
          </w:p>
        </w:tc>
        <w:tc>
          <w:tcPr>
            <w:tcW w:w="1124" w:type="dxa"/>
            <w:tcBorders>
              <w:top w:val="single" w:sz="4"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15-25</w:t>
            </w:r>
          </w:p>
        </w:tc>
        <w:tc>
          <w:tcPr>
            <w:tcW w:w="1002" w:type="dxa"/>
            <w:tcBorders>
              <w:top w:val="single" w:sz="4"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25</w:t>
            </w:r>
          </w:p>
        </w:tc>
        <w:tc>
          <w:tcPr>
            <w:tcW w:w="1276" w:type="dxa"/>
            <w:tcBorders>
              <w:top w:val="single" w:sz="4"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w:t>
            </w:r>
          </w:p>
        </w:tc>
        <w:tc>
          <w:tcPr>
            <w:tcW w:w="992" w:type="dxa"/>
            <w:tcBorders>
              <w:top w:val="single" w:sz="4"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20</w:t>
            </w:r>
          </w:p>
        </w:tc>
        <w:tc>
          <w:tcPr>
            <w:tcW w:w="1276" w:type="dxa"/>
            <w:tcBorders>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w:t>
            </w:r>
          </w:p>
        </w:tc>
        <w:tc>
          <w:tcPr>
            <w:tcW w:w="992" w:type="dxa"/>
            <w:tcBorders>
              <w:bottom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20</w:t>
            </w:r>
          </w:p>
        </w:tc>
      </w:tr>
      <w:tr w:rsidR="00414999" w:rsidRPr="00AE36F0" w:rsidTr="003F1E6D">
        <w:trPr>
          <w:trHeight w:val="255"/>
        </w:trPr>
        <w:tc>
          <w:tcPr>
            <w:tcW w:w="2127" w:type="dxa"/>
            <w:tcBorders>
              <w:top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lef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2ª Matrícula</w:t>
            </w:r>
          </w:p>
        </w:tc>
        <w:tc>
          <w:tcPr>
            <w:tcW w:w="1124" w:type="dxa"/>
            <w:tcBorders>
              <w:top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30-40</w:t>
            </w:r>
          </w:p>
        </w:tc>
        <w:tc>
          <w:tcPr>
            <w:tcW w:w="1002" w:type="dxa"/>
            <w:tcBorders>
              <w:top w:val="single" w:sz="2"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30</w:t>
            </w:r>
          </w:p>
        </w:tc>
        <w:tc>
          <w:tcPr>
            <w:tcW w:w="1276" w:type="dxa"/>
            <w:tcBorders>
              <w:top w:val="single" w:sz="2"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w:t>
            </w:r>
          </w:p>
        </w:tc>
        <w:tc>
          <w:tcPr>
            <w:tcW w:w="992" w:type="dxa"/>
            <w:tcBorders>
              <w:top w:val="single" w:sz="2"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30</w:t>
            </w:r>
          </w:p>
        </w:tc>
        <w:tc>
          <w:tcPr>
            <w:tcW w:w="1276" w:type="dxa"/>
            <w:tcBorders>
              <w:top w:val="single" w:sz="2"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w:t>
            </w:r>
          </w:p>
        </w:tc>
        <w:tc>
          <w:tcPr>
            <w:tcW w:w="992" w:type="dxa"/>
            <w:tcBorders>
              <w:top w:val="single" w:sz="2" w:space="0" w:color="auto"/>
              <w:bottom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30</w:t>
            </w:r>
          </w:p>
        </w:tc>
      </w:tr>
      <w:tr w:rsidR="00414999" w:rsidRPr="00AE36F0" w:rsidTr="003F1E6D">
        <w:trPr>
          <w:trHeight w:val="255"/>
        </w:trPr>
        <w:tc>
          <w:tcPr>
            <w:tcW w:w="2127" w:type="dxa"/>
            <w:tcBorders>
              <w:top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lef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3ª Matrícula</w:t>
            </w:r>
          </w:p>
        </w:tc>
        <w:tc>
          <w:tcPr>
            <w:tcW w:w="1124" w:type="dxa"/>
            <w:tcBorders>
              <w:top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65-75</w:t>
            </w:r>
          </w:p>
        </w:tc>
        <w:tc>
          <w:tcPr>
            <w:tcW w:w="1002" w:type="dxa"/>
            <w:tcBorders>
              <w:top w:val="single" w:sz="2"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65</w:t>
            </w:r>
          </w:p>
        </w:tc>
        <w:tc>
          <w:tcPr>
            <w:tcW w:w="1276" w:type="dxa"/>
            <w:tcBorders>
              <w:top w:val="single" w:sz="2"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w:t>
            </w:r>
          </w:p>
        </w:tc>
        <w:tc>
          <w:tcPr>
            <w:tcW w:w="992" w:type="dxa"/>
            <w:tcBorders>
              <w:top w:val="single" w:sz="2"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65</w:t>
            </w:r>
          </w:p>
        </w:tc>
        <w:tc>
          <w:tcPr>
            <w:tcW w:w="1276" w:type="dxa"/>
            <w:tcBorders>
              <w:top w:val="single" w:sz="2"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w:t>
            </w:r>
          </w:p>
        </w:tc>
        <w:tc>
          <w:tcPr>
            <w:tcW w:w="992" w:type="dxa"/>
            <w:tcBorders>
              <w:top w:val="single" w:sz="2" w:space="0" w:color="auto"/>
              <w:bottom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65</w:t>
            </w:r>
          </w:p>
        </w:tc>
      </w:tr>
      <w:tr w:rsidR="00414999" w:rsidRPr="00AE36F0" w:rsidTr="003F1E6D">
        <w:trPr>
          <w:trHeight w:val="255"/>
        </w:trPr>
        <w:tc>
          <w:tcPr>
            <w:tcW w:w="2127" w:type="dxa"/>
            <w:tcBorders>
              <w:top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lef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4ª Matrícula y siguientes</w:t>
            </w:r>
          </w:p>
        </w:tc>
        <w:tc>
          <w:tcPr>
            <w:tcW w:w="1124" w:type="dxa"/>
            <w:tcBorders>
              <w:top w:val="single" w:sz="2" w:space="0" w:color="auto"/>
              <w:bottom w:val="single" w:sz="4"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90-100</w:t>
            </w:r>
          </w:p>
        </w:tc>
        <w:tc>
          <w:tcPr>
            <w:tcW w:w="1002" w:type="dxa"/>
            <w:tcBorders>
              <w:top w:val="single" w:sz="2" w:space="0" w:color="auto"/>
              <w:bottom w:val="single" w:sz="4"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90</w:t>
            </w:r>
          </w:p>
        </w:tc>
        <w:tc>
          <w:tcPr>
            <w:tcW w:w="1276" w:type="dxa"/>
            <w:tcBorders>
              <w:top w:val="single" w:sz="2" w:space="0" w:color="auto"/>
              <w:left w:val="single" w:sz="2" w:space="0" w:color="auto"/>
              <w:bottom w:val="single" w:sz="4"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w:t>
            </w:r>
          </w:p>
        </w:tc>
        <w:tc>
          <w:tcPr>
            <w:tcW w:w="992" w:type="dxa"/>
            <w:tcBorders>
              <w:top w:val="single" w:sz="2" w:space="0" w:color="auto"/>
              <w:bottom w:val="single" w:sz="4"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90</w:t>
            </w:r>
          </w:p>
        </w:tc>
        <w:tc>
          <w:tcPr>
            <w:tcW w:w="1276" w:type="dxa"/>
            <w:tcBorders>
              <w:top w:val="single" w:sz="2" w:space="0" w:color="auto"/>
              <w:left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w:t>
            </w:r>
          </w:p>
        </w:tc>
        <w:tc>
          <w:tcPr>
            <w:tcW w:w="992" w:type="dxa"/>
            <w:tcBorders>
              <w:top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90</w:t>
            </w:r>
          </w:p>
        </w:tc>
      </w:tr>
      <w:tr w:rsidR="00414999" w:rsidRPr="002F4D81" w:rsidTr="003F1E6D">
        <w:trPr>
          <w:trHeight w:val="255"/>
        </w:trPr>
        <w:tc>
          <w:tcPr>
            <w:tcW w:w="2127" w:type="dxa"/>
            <w:shd w:val="clear" w:color="auto" w:fill="B8CCE4" w:themeFill="accent1" w:themeFillTint="66"/>
            <w:noWrap/>
            <w:vAlign w:val="center"/>
            <w:hideMark/>
          </w:tcPr>
          <w:p w:rsidR="00414999" w:rsidRPr="002F4D81" w:rsidRDefault="00414999" w:rsidP="002F4D81">
            <w:pPr>
              <w:tabs>
                <w:tab w:val="left" w:pos="8647"/>
              </w:tabs>
              <w:spacing w:after="0"/>
              <w:ind w:firstLine="0"/>
              <w:jc w:val="left"/>
              <w:rPr>
                <w:rFonts w:ascii="Arial" w:hAnsi="Arial" w:cs="Arial"/>
                <w:color w:val="000000"/>
                <w:sz w:val="18"/>
                <w:szCs w:val="18"/>
                <w:lang w:val="es-ES" w:eastAsia="es-ES"/>
              </w:rPr>
            </w:pPr>
            <w:r w:rsidRPr="002F4D81">
              <w:rPr>
                <w:rFonts w:ascii="Arial" w:hAnsi="Arial" w:cs="Arial"/>
                <w:color w:val="000000"/>
                <w:sz w:val="18"/>
                <w:szCs w:val="18"/>
                <w:lang w:val="es-ES" w:eastAsia="es-ES"/>
              </w:rPr>
              <w:t>M</w:t>
            </w:r>
            <w:r w:rsidR="002F4D81">
              <w:rPr>
                <w:rFonts w:ascii="Arial" w:hAnsi="Arial" w:cs="Arial"/>
                <w:color w:val="000000"/>
                <w:sz w:val="18"/>
                <w:szCs w:val="18"/>
                <w:lang w:val="es-ES" w:eastAsia="es-ES"/>
              </w:rPr>
              <w:t>áster No Habilitante</w:t>
            </w:r>
          </w:p>
        </w:tc>
        <w:tc>
          <w:tcPr>
            <w:tcW w:w="1124" w:type="dxa"/>
            <w:tcBorders>
              <w:top w:val="single" w:sz="4" w:space="0" w:color="auto"/>
              <w:bottom w:val="single" w:sz="4" w:space="0" w:color="auto"/>
            </w:tcBorders>
            <w:shd w:val="clear" w:color="auto" w:fill="B8CCE4" w:themeFill="accent1" w:themeFillTint="66"/>
            <w:noWrap/>
            <w:vAlign w:val="center"/>
            <w:hideMark/>
          </w:tcPr>
          <w:p w:rsidR="00414999" w:rsidRPr="002F4D81" w:rsidRDefault="00414999" w:rsidP="00F44C41">
            <w:pPr>
              <w:tabs>
                <w:tab w:val="left" w:pos="8647"/>
              </w:tabs>
              <w:spacing w:after="0"/>
              <w:ind w:firstLine="0"/>
              <w:jc w:val="right"/>
              <w:rPr>
                <w:rFonts w:ascii="Arial" w:hAnsi="Arial" w:cs="Arial"/>
                <w:color w:val="000000"/>
                <w:sz w:val="18"/>
                <w:szCs w:val="18"/>
                <w:lang w:val="es-ES" w:eastAsia="es-ES"/>
              </w:rPr>
            </w:pPr>
          </w:p>
        </w:tc>
        <w:tc>
          <w:tcPr>
            <w:tcW w:w="1002" w:type="dxa"/>
            <w:tcBorders>
              <w:top w:val="single" w:sz="4" w:space="0" w:color="auto"/>
              <w:bottom w:val="single" w:sz="4" w:space="0" w:color="auto"/>
              <w:right w:val="single" w:sz="2" w:space="0" w:color="auto"/>
            </w:tcBorders>
            <w:shd w:val="clear" w:color="auto" w:fill="B8CCE4" w:themeFill="accent1" w:themeFillTint="66"/>
            <w:vAlign w:val="center"/>
          </w:tcPr>
          <w:p w:rsidR="00414999" w:rsidRPr="002F4D81" w:rsidRDefault="00414999" w:rsidP="00F44C41">
            <w:pPr>
              <w:tabs>
                <w:tab w:val="left" w:pos="8647"/>
              </w:tabs>
              <w:spacing w:after="0"/>
              <w:ind w:firstLine="0"/>
              <w:jc w:val="right"/>
              <w:rPr>
                <w:rFonts w:ascii="Arial" w:hAnsi="Arial" w:cs="Arial"/>
                <w:sz w:val="18"/>
                <w:szCs w:val="18"/>
                <w:lang w:val="es-ES" w:eastAsia="es-ES"/>
              </w:rPr>
            </w:pPr>
          </w:p>
        </w:tc>
        <w:tc>
          <w:tcPr>
            <w:tcW w:w="1276" w:type="dxa"/>
            <w:tcBorders>
              <w:top w:val="single" w:sz="4" w:space="0" w:color="auto"/>
              <w:left w:val="single" w:sz="2" w:space="0" w:color="auto"/>
              <w:bottom w:val="single" w:sz="4" w:space="0" w:color="auto"/>
            </w:tcBorders>
            <w:shd w:val="clear" w:color="auto" w:fill="B8CCE4" w:themeFill="accent1" w:themeFillTint="66"/>
            <w:noWrap/>
            <w:vAlign w:val="center"/>
            <w:hideMark/>
          </w:tcPr>
          <w:p w:rsidR="00414999" w:rsidRPr="002F4D81" w:rsidRDefault="00414999" w:rsidP="00F44C41">
            <w:pPr>
              <w:tabs>
                <w:tab w:val="left" w:pos="8647"/>
              </w:tabs>
              <w:spacing w:after="0"/>
              <w:ind w:firstLine="0"/>
              <w:jc w:val="right"/>
              <w:rPr>
                <w:rFonts w:ascii="Arial" w:hAnsi="Arial" w:cs="Arial"/>
                <w:sz w:val="18"/>
                <w:szCs w:val="18"/>
                <w:lang w:val="es-ES" w:eastAsia="es-ES"/>
              </w:rPr>
            </w:pPr>
          </w:p>
        </w:tc>
        <w:tc>
          <w:tcPr>
            <w:tcW w:w="992" w:type="dxa"/>
            <w:tcBorders>
              <w:top w:val="single" w:sz="4" w:space="0" w:color="auto"/>
              <w:bottom w:val="single" w:sz="4" w:space="0" w:color="auto"/>
              <w:right w:val="single" w:sz="2" w:space="0" w:color="auto"/>
            </w:tcBorders>
            <w:shd w:val="clear" w:color="auto" w:fill="B8CCE4" w:themeFill="accent1" w:themeFillTint="66"/>
            <w:vAlign w:val="center"/>
          </w:tcPr>
          <w:p w:rsidR="00414999" w:rsidRPr="002F4D81" w:rsidRDefault="00414999" w:rsidP="00F44C41">
            <w:pPr>
              <w:tabs>
                <w:tab w:val="left" w:pos="8647"/>
              </w:tabs>
              <w:spacing w:after="0"/>
              <w:ind w:firstLine="0"/>
              <w:jc w:val="right"/>
              <w:rPr>
                <w:rFonts w:ascii="Arial" w:hAnsi="Arial" w:cs="Arial"/>
                <w:sz w:val="18"/>
                <w:szCs w:val="18"/>
                <w:lang w:val="es-ES" w:eastAsia="es-ES"/>
              </w:rPr>
            </w:pPr>
          </w:p>
        </w:tc>
        <w:tc>
          <w:tcPr>
            <w:tcW w:w="1276" w:type="dxa"/>
            <w:tcBorders>
              <w:left w:val="single" w:sz="2" w:space="0" w:color="auto"/>
            </w:tcBorders>
            <w:shd w:val="clear" w:color="auto" w:fill="B8CCE4" w:themeFill="accent1" w:themeFillTint="66"/>
            <w:noWrap/>
            <w:vAlign w:val="center"/>
            <w:hideMark/>
          </w:tcPr>
          <w:p w:rsidR="00414999" w:rsidRPr="002F4D81" w:rsidRDefault="00414999" w:rsidP="00F44C41">
            <w:pPr>
              <w:tabs>
                <w:tab w:val="left" w:pos="8647"/>
              </w:tabs>
              <w:spacing w:after="0"/>
              <w:ind w:firstLine="0"/>
              <w:jc w:val="right"/>
              <w:rPr>
                <w:rFonts w:ascii="Arial" w:hAnsi="Arial" w:cs="Arial"/>
                <w:sz w:val="18"/>
                <w:szCs w:val="18"/>
                <w:lang w:val="es-ES" w:eastAsia="es-ES"/>
              </w:rPr>
            </w:pPr>
          </w:p>
        </w:tc>
        <w:tc>
          <w:tcPr>
            <w:tcW w:w="992" w:type="dxa"/>
            <w:shd w:val="clear" w:color="auto" w:fill="B8CCE4" w:themeFill="accent1" w:themeFillTint="66"/>
            <w:vAlign w:val="center"/>
          </w:tcPr>
          <w:p w:rsidR="00414999" w:rsidRPr="002F4D81" w:rsidRDefault="00414999" w:rsidP="00F44C41">
            <w:pPr>
              <w:tabs>
                <w:tab w:val="left" w:pos="8647"/>
              </w:tabs>
              <w:spacing w:after="0"/>
              <w:ind w:firstLine="0"/>
              <w:jc w:val="right"/>
              <w:rPr>
                <w:rFonts w:ascii="Arial" w:hAnsi="Arial" w:cs="Arial"/>
                <w:sz w:val="18"/>
                <w:szCs w:val="18"/>
                <w:lang w:val="es-ES" w:eastAsia="es-ES"/>
              </w:rPr>
            </w:pPr>
          </w:p>
        </w:tc>
      </w:tr>
      <w:tr w:rsidR="00414999" w:rsidRPr="00AE36F0" w:rsidTr="003F1E6D">
        <w:trPr>
          <w:trHeight w:val="255"/>
        </w:trPr>
        <w:tc>
          <w:tcPr>
            <w:tcW w:w="2127" w:type="dxa"/>
            <w:tcBorders>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lef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1ª Matrícula</w:t>
            </w:r>
          </w:p>
        </w:tc>
        <w:tc>
          <w:tcPr>
            <w:tcW w:w="1124" w:type="dxa"/>
            <w:tcBorders>
              <w:top w:val="single" w:sz="4"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40-50</w:t>
            </w:r>
          </w:p>
        </w:tc>
        <w:tc>
          <w:tcPr>
            <w:tcW w:w="1002" w:type="dxa"/>
            <w:tcBorders>
              <w:top w:val="single" w:sz="4"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40</w:t>
            </w:r>
          </w:p>
        </w:tc>
        <w:tc>
          <w:tcPr>
            <w:tcW w:w="1276" w:type="dxa"/>
            <w:tcBorders>
              <w:top w:val="single" w:sz="4"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15-50</w:t>
            </w:r>
          </w:p>
        </w:tc>
        <w:tc>
          <w:tcPr>
            <w:tcW w:w="992" w:type="dxa"/>
            <w:tcBorders>
              <w:top w:val="single" w:sz="4"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25</w:t>
            </w:r>
          </w:p>
        </w:tc>
        <w:tc>
          <w:tcPr>
            <w:tcW w:w="1276" w:type="dxa"/>
            <w:tcBorders>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w:t>
            </w:r>
          </w:p>
        </w:tc>
        <w:tc>
          <w:tcPr>
            <w:tcW w:w="992" w:type="dxa"/>
            <w:tcBorders>
              <w:bottom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25</w:t>
            </w:r>
          </w:p>
        </w:tc>
      </w:tr>
      <w:tr w:rsidR="00414999" w:rsidRPr="00AE36F0" w:rsidTr="003F1E6D">
        <w:trPr>
          <w:trHeight w:val="255"/>
        </w:trPr>
        <w:tc>
          <w:tcPr>
            <w:tcW w:w="2127" w:type="dxa"/>
            <w:tcBorders>
              <w:top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lef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2ª Matrícula  y siguientes</w:t>
            </w:r>
          </w:p>
        </w:tc>
        <w:tc>
          <w:tcPr>
            <w:tcW w:w="1124" w:type="dxa"/>
            <w:tcBorders>
              <w:top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65-75</w:t>
            </w:r>
          </w:p>
        </w:tc>
        <w:tc>
          <w:tcPr>
            <w:tcW w:w="1002" w:type="dxa"/>
            <w:tcBorders>
              <w:top w:val="single" w:sz="2"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65</w:t>
            </w:r>
          </w:p>
        </w:tc>
        <w:tc>
          <w:tcPr>
            <w:tcW w:w="1276" w:type="dxa"/>
            <w:tcBorders>
              <w:top w:val="single" w:sz="2"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30-65</w:t>
            </w:r>
          </w:p>
        </w:tc>
        <w:tc>
          <w:tcPr>
            <w:tcW w:w="992" w:type="dxa"/>
            <w:tcBorders>
              <w:top w:val="single" w:sz="2" w:space="0" w:color="auto"/>
              <w:bottom w:val="single" w:sz="2"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30</w:t>
            </w:r>
          </w:p>
        </w:tc>
        <w:tc>
          <w:tcPr>
            <w:tcW w:w="1276" w:type="dxa"/>
            <w:tcBorders>
              <w:top w:val="single" w:sz="2" w:space="0" w:color="auto"/>
              <w:left w:val="single" w:sz="2" w:space="0" w:color="auto"/>
              <w:bottom w:val="single" w:sz="2"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w:t>
            </w:r>
          </w:p>
        </w:tc>
        <w:tc>
          <w:tcPr>
            <w:tcW w:w="992" w:type="dxa"/>
            <w:tcBorders>
              <w:top w:val="single" w:sz="2" w:space="0" w:color="auto"/>
              <w:bottom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30</w:t>
            </w:r>
          </w:p>
        </w:tc>
      </w:tr>
      <w:tr w:rsidR="00414999" w:rsidRPr="00AE36F0" w:rsidTr="003F1E6D">
        <w:trPr>
          <w:trHeight w:val="255"/>
        </w:trPr>
        <w:tc>
          <w:tcPr>
            <w:tcW w:w="2127" w:type="dxa"/>
            <w:tcBorders>
              <w:top w:val="single" w:sz="2" w:space="0" w:color="auto"/>
              <w:bottom w:val="single" w:sz="4" w:space="0" w:color="auto"/>
            </w:tcBorders>
            <w:shd w:val="clear" w:color="auto" w:fill="auto"/>
            <w:noWrap/>
            <w:vAlign w:val="center"/>
            <w:hideMark/>
          </w:tcPr>
          <w:p w:rsidR="00414999" w:rsidRPr="00AE36F0" w:rsidRDefault="00414999" w:rsidP="00F44C41">
            <w:pPr>
              <w:tabs>
                <w:tab w:val="left" w:pos="8647"/>
              </w:tabs>
              <w:spacing w:after="0"/>
              <w:ind w:firstLine="0"/>
              <w:jc w:val="lef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3º Matrícula y siguientes</w:t>
            </w:r>
          </w:p>
        </w:tc>
        <w:tc>
          <w:tcPr>
            <w:tcW w:w="1124" w:type="dxa"/>
            <w:tcBorders>
              <w:top w:val="single" w:sz="2" w:space="0" w:color="auto"/>
              <w:bottom w:val="single" w:sz="4"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w:t>
            </w:r>
          </w:p>
        </w:tc>
        <w:tc>
          <w:tcPr>
            <w:tcW w:w="1002" w:type="dxa"/>
            <w:tcBorders>
              <w:top w:val="single" w:sz="2" w:space="0" w:color="auto"/>
              <w:bottom w:val="single" w:sz="4"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w:t>
            </w:r>
          </w:p>
        </w:tc>
        <w:tc>
          <w:tcPr>
            <w:tcW w:w="1276" w:type="dxa"/>
            <w:tcBorders>
              <w:top w:val="single" w:sz="2" w:space="0" w:color="auto"/>
              <w:left w:val="single" w:sz="2" w:space="0" w:color="auto"/>
              <w:bottom w:val="single" w:sz="4"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65-100</w:t>
            </w:r>
          </w:p>
        </w:tc>
        <w:tc>
          <w:tcPr>
            <w:tcW w:w="992" w:type="dxa"/>
            <w:tcBorders>
              <w:top w:val="single" w:sz="2" w:space="0" w:color="auto"/>
              <w:bottom w:val="single" w:sz="4" w:space="0" w:color="auto"/>
              <w:right w:val="single" w:sz="2"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65</w:t>
            </w:r>
          </w:p>
        </w:tc>
        <w:tc>
          <w:tcPr>
            <w:tcW w:w="1276" w:type="dxa"/>
            <w:tcBorders>
              <w:top w:val="single" w:sz="2" w:space="0" w:color="auto"/>
              <w:left w:val="single" w:sz="2" w:space="0" w:color="auto"/>
              <w:bottom w:val="single" w:sz="4" w:space="0" w:color="auto"/>
            </w:tcBorders>
            <w:shd w:val="clear" w:color="auto" w:fill="auto"/>
            <w:noWrap/>
            <w:vAlign w:val="center"/>
            <w:hideMark/>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AE36F0">
              <w:rPr>
                <w:rFonts w:ascii="Arial Narrow" w:hAnsi="Arial Narrow" w:cs="Calibri"/>
                <w:color w:val="000000"/>
                <w:sz w:val="18"/>
                <w:szCs w:val="18"/>
                <w:lang w:val="es-ES" w:eastAsia="es-ES"/>
              </w:rPr>
              <w:t>-</w:t>
            </w:r>
          </w:p>
        </w:tc>
        <w:tc>
          <w:tcPr>
            <w:tcW w:w="992" w:type="dxa"/>
            <w:tcBorders>
              <w:top w:val="single" w:sz="2" w:space="0" w:color="auto"/>
              <w:bottom w:val="single" w:sz="4" w:space="0" w:color="auto"/>
            </w:tcBorders>
            <w:vAlign w:val="center"/>
          </w:tcPr>
          <w:p w:rsidR="00414999" w:rsidRPr="00AE36F0" w:rsidRDefault="00414999" w:rsidP="00F44C41">
            <w:pPr>
              <w:tabs>
                <w:tab w:val="left" w:pos="8647"/>
              </w:tabs>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65</w:t>
            </w:r>
          </w:p>
        </w:tc>
      </w:tr>
    </w:tbl>
    <w:p w:rsidR="00414999" w:rsidRPr="00514343" w:rsidRDefault="00414999" w:rsidP="00B95438">
      <w:pPr>
        <w:widowControl w:val="0"/>
        <w:tabs>
          <w:tab w:val="left" w:pos="8647"/>
        </w:tabs>
        <w:spacing w:before="240"/>
        <w:ind w:firstLine="284"/>
        <w:rPr>
          <w:rFonts w:eastAsia="Calibri"/>
          <w:spacing w:val="4"/>
          <w:sz w:val="26"/>
          <w:szCs w:val="26"/>
          <w:lang w:eastAsia="es-ES"/>
        </w:rPr>
      </w:pPr>
      <w:r w:rsidRPr="00514343">
        <w:rPr>
          <w:rFonts w:eastAsia="Calibri"/>
          <w:spacing w:val="4"/>
          <w:sz w:val="26"/>
          <w:szCs w:val="26"/>
          <w:lang w:eastAsia="es-ES"/>
        </w:rPr>
        <w:t>La aprobación de los precios públicos para el curso 2012/2013, en aplicación del Real Decreto 14/2012, de 20 de abril, de medidas urgentes de racionalización del gasto público en el ámbito educativo, supuso un importante incremento de los precios fijados para el curso anterior, principalmente en la segunda y suces</w:t>
      </w:r>
      <w:r w:rsidRPr="00514343">
        <w:rPr>
          <w:rFonts w:eastAsia="Calibri"/>
          <w:spacing w:val="4"/>
          <w:sz w:val="26"/>
          <w:szCs w:val="26"/>
          <w:lang w:eastAsia="es-ES"/>
        </w:rPr>
        <w:t>i</w:t>
      </w:r>
      <w:r w:rsidRPr="00514343">
        <w:rPr>
          <w:rFonts w:eastAsia="Calibri"/>
          <w:spacing w:val="4"/>
          <w:sz w:val="26"/>
          <w:szCs w:val="26"/>
          <w:lang w:eastAsia="es-ES"/>
        </w:rPr>
        <w:t>vas matrículas de enseñanzas de grado (108, 200 y 316 por ciento).</w:t>
      </w:r>
    </w:p>
    <w:p w:rsidR="0084324C" w:rsidRDefault="0084324C">
      <w:pPr>
        <w:spacing w:after="0"/>
        <w:ind w:firstLine="0"/>
        <w:jc w:val="left"/>
        <w:rPr>
          <w:rFonts w:eastAsia="Calibri"/>
          <w:spacing w:val="6"/>
          <w:sz w:val="26"/>
          <w:szCs w:val="26"/>
          <w:lang w:eastAsia="es-ES"/>
        </w:rPr>
      </w:pPr>
      <w:r>
        <w:rPr>
          <w:rFonts w:eastAsia="Calibri"/>
          <w:spacing w:val="6"/>
          <w:sz w:val="26"/>
          <w:szCs w:val="26"/>
          <w:lang w:eastAsia="es-ES"/>
        </w:rPr>
        <w:lastRenderedPageBreak/>
        <w:br w:type="page"/>
      </w:r>
    </w:p>
    <w:p w:rsidR="00414999" w:rsidRPr="00E54495" w:rsidRDefault="00414999" w:rsidP="00F44C41">
      <w:pPr>
        <w:tabs>
          <w:tab w:val="left" w:pos="8647"/>
        </w:tabs>
        <w:spacing w:after="240"/>
        <w:ind w:right="284" w:firstLine="284"/>
        <w:rPr>
          <w:rFonts w:eastAsia="Calibri"/>
          <w:spacing w:val="6"/>
          <w:sz w:val="26"/>
          <w:szCs w:val="26"/>
          <w:lang w:eastAsia="es-ES"/>
        </w:rPr>
      </w:pPr>
      <w:r w:rsidRPr="00F449FC">
        <w:rPr>
          <w:rFonts w:eastAsia="Calibri"/>
          <w:spacing w:val="6"/>
          <w:sz w:val="26"/>
          <w:szCs w:val="26"/>
          <w:lang w:eastAsia="es-ES"/>
        </w:rPr>
        <w:lastRenderedPageBreak/>
        <w:t>Mediante las resoluciones</w:t>
      </w:r>
      <w:r w:rsidR="00942218" w:rsidRPr="00F449FC">
        <w:rPr>
          <w:rFonts w:eastAsia="Calibri"/>
          <w:spacing w:val="6"/>
          <w:sz w:val="26"/>
          <w:szCs w:val="26"/>
          <w:lang w:eastAsia="es-ES"/>
        </w:rPr>
        <w:t xml:space="preserve"> </w:t>
      </w:r>
      <w:r w:rsidR="00942218">
        <w:rPr>
          <w:rFonts w:eastAsia="Calibri"/>
          <w:spacing w:val="6"/>
          <w:sz w:val="26"/>
          <w:szCs w:val="26"/>
          <w:lang w:eastAsia="es-ES"/>
        </w:rPr>
        <w:t xml:space="preserve">y </w:t>
      </w:r>
      <w:r>
        <w:rPr>
          <w:rFonts w:eastAsia="Calibri"/>
          <w:spacing w:val="6"/>
          <w:sz w:val="26"/>
          <w:szCs w:val="26"/>
          <w:lang w:eastAsia="es-ES"/>
        </w:rPr>
        <w:t>órdenes forales recogidas en el cuadro s</w:t>
      </w:r>
      <w:r>
        <w:rPr>
          <w:rFonts w:eastAsia="Calibri"/>
          <w:spacing w:val="6"/>
          <w:sz w:val="26"/>
          <w:szCs w:val="26"/>
          <w:lang w:eastAsia="es-ES"/>
        </w:rPr>
        <w:t>i</w:t>
      </w:r>
      <w:r>
        <w:rPr>
          <w:rFonts w:eastAsia="Calibri"/>
          <w:spacing w:val="6"/>
          <w:sz w:val="26"/>
          <w:szCs w:val="26"/>
          <w:lang w:eastAsia="es-ES"/>
        </w:rPr>
        <w:t xml:space="preserve">guiente se actualizaron los precios </w:t>
      </w:r>
      <w:r w:rsidR="004E551B">
        <w:rPr>
          <w:rFonts w:eastAsia="Calibri"/>
          <w:spacing w:val="6"/>
          <w:sz w:val="26"/>
          <w:szCs w:val="26"/>
          <w:lang w:eastAsia="es-ES"/>
        </w:rPr>
        <w:t xml:space="preserve">públicos </w:t>
      </w:r>
      <w:r>
        <w:rPr>
          <w:rFonts w:eastAsia="Calibri"/>
          <w:spacing w:val="6"/>
          <w:sz w:val="26"/>
          <w:szCs w:val="26"/>
          <w:lang w:eastAsia="es-ES"/>
        </w:rPr>
        <w:t>para los siguientes cursos ac</w:t>
      </w:r>
      <w:r>
        <w:rPr>
          <w:rFonts w:eastAsia="Calibri"/>
          <w:spacing w:val="6"/>
          <w:sz w:val="26"/>
          <w:szCs w:val="26"/>
          <w:lang w:eastAsia="es-ES"/>
        </w:rPr>
        <w:t>a</w:t>
      </w:r>
      <w:r>
        <w:rPr>
          <w:rFonts w:eastAsia="Calibri"/>
          <w:spacing w:val="6"/>
          <w:sz w:val="26"/>
          <w:szCs w:val="26"/>
          <w:lang w:eastAsia="es-ES"/>
        </w:rPr>
        <w:t>démicos:</w:t>
      </w:r>
    </w:p>
    <w:tbl>
      <w:tblPr>
        <w:tblW w:w="8647" w:type="dxa"/>
        <w:tblCellMar>
          <w:left w:w="70" w:type="dxa"/>
          <w:right w:w="70" w:type="dxa"/>
        </w:tblCellMar>
        <w:tblLook w:val="04A0" w:firstRow="1" w:lastRow="0" w:firstColumn="1" w:lastColumn="0" w:noHBand="0" w:noVBand="1"/>
      </w:tblPr>
      <w:tblGrid>
        <w:gridCol w:w="1082"/>
        <w:gridCol w:w="1006"/>
        <w:gridCol w:w="6597"/>
      </w:tblGrid>
      <w:tr w:rsidR="00414999" w:rsidRPr="009C7823" w:rsidTr="00BF15FE">
        <w:trPr>
          <w:trHeight w:val="284"/>
        </w:trPr>
        <w:tc>
          <w:tcPr>
            <w:tcW w:w="1044" w:type="dxa"/>
            <w:tcBorders>
              <w:top w:val="single" w:sz="4" w:space="0" w:color="auto"/>
              <w:left w:val="nil"/>
              <w:bottom w:val="single" w:sz="4" w:space="0" w:color="auto"/>
              <w:right w:val="nil"/>
            </w:tcBorders>
            <w:shd w:val="clear" w:color="auto" w:fill="B8CCE4" w:themeFill="accent1" w:themeFillTint="66"/>
            <w:noWrap/>
            <w:vAlign w:val="center"/>
          </w:tcPr>
          <w:p w:rsidR="00414999" w:rsidRPr="009C7823" w:rsidRDefault="00414999" w:rsidP="00F44C41">
            <w:pPr>
              <w:tabs>
                <w:tab w:val="left" w:pos="8647"/>
              </w:tabs>
              <w:spacing w:after="0"/>
              <w:ind w:right="283" w:firstLine="0"/>
              <w:jc w:val="left"/>
              <w:rPr>
                <w:rFonts w:ascii="Arial" w:hAnsi="Arial" w:cs="Arial"/>
                <w:sz w:val="16"/>
                <w:szCs w:val="16"/>
                <w:lang w:val="es-ES" w:eastAsia="es-ES"/>
              </w:rPr>
            </w:pPr>
            <w:r w:rsidRPr="009C7823">
              <w:rPr>
                <w:rFonts w:ascii="Arial" w:hAnsi="Arial" w:cs="Arial"/>
                <w:sz w:val="16"/>
                <w:szCs w:val="16"/>
                <w:lang w:val="es-ES" w:eastAsia="es-ES"/>
              </w:rPr>
              <w:t>Curso</w:t>
            </w:r>
          </w:p>
        </w:tc>
        <w:tc>
          <w:tcPr>
            <w:tcW w:w="1006" w:type="dxa"/>
            <w:tcBorders>
              <w:top w:val="single" w:sz="4" w:space="0" w:color="auto"/>
              <w:left w:val="nil"/>
              <w:bottom w:val="single" w:sz="4" w:space="0" w:color="auto"/>
              <w:right w:val="nil"/>
            </w:tcBorders>
            <w:shd w:val="clear" w:color="auto" w:fill="B8CCE4" w:themeFill="accent1" w:themeFillTint="66"/>
            <w:noWrap/>
            <w:vAlign w:val="center"/>
          </w:tcPr>
          <w:p w:rsidR="00414999" w:rsidRPr="009C7823" w:rsidRDefault="00414999" w:rsidP="00F44C41">
            <w:pPr>
              <w:tabs>
                <w:tab w:val="left" w:pos="8647"/>
              </w:tabs>
              <w:spacing w:after="0"/>
              <w:ind w:left="-192" w:right="77" w:firstLine="0"/>
              <w:jc w:val="right"/>
              <w:rPr>
                <w:rFonts w:ascii="Arial" w:hAnsi="Arial" w:cs="Arial"/>
                <w:sz w:val="16"/>
                <w:szCs w:val="16"/>
                <w:lang w:val="es-ES" w:eastAsia="es-ES"/>
              </w:rPr>
            </w:pPr>
            <w:r w:rsidRPr="009C7823">
              <w:rPr>
                <w:rFonts w:ascii="Arial" w:hAnsi="Arial" w:cs="Arial"/>
                <w:sz w:val="16"/>
                <w:szCs w:val="16"/>
                <w:lang w:val="es-ES" w:eastAsia="es-ES"/>
              </w:rPr>
              <w:t>Porcentaje IPC</w:t>
            </w:r>
          </w:p>
        </w:tc>
        <w:tc>
          <w:tcPr>
            <w:tcW w:w="6597" w:type="dxa"/>
            <w:tcBorders>
              <w:top w:val="single" w:sz="4" w:space="0" w:color="auto"/>
              <w:left w:val="nil"/>
              <w:bottom w:val="single" w:sz="4" w:space="0" w:color="auto"/>
              <w:right w:val="nil"/>
            </w:tcBorders>
            <w:shd w:val="clear" w:color="auto" w:fill="B8CCE4" w:themeFill="accent1" w:themeFillTint="66"/>
            <w:noWrap/>
            <w:vAlign w:val="center"/>
          </w:tcPr>
          <w:p w:rsidR="00414999" w:rsidRPr="009C7823" w:rsidRDefault="00414999" w:rsidP="00F44C41">
            <w:pPr>
              <w:tabs>
                <w:tab w:val="left" w:pos="8647"/>
              </w:tabs>
              <w:spacing w:after="0"/>
              <w:ind w:left="208" w:right="-69" w:firstLine="0"/>
              <w:jc w:val="left"/>
              <w:rPr>
                <w:rFonts w:ascii="Arial" w:hAnsi="Arial" w:cs="Arial"/>
                <w:sz w:val="16"/>
                <w:szCs w:val="16"/>
                <w:lang w:val="es-ES" w:eastAsia="es-ES"/>
              </w:rPr>
            </w:pPr>
          </w:p>
        </w:tc>
      </w:tr>
      <w:tr w:rsidR="00414999" w:rsidRPr="008661DA" w:rsidTr="003F1E6D">
        <w:trPr>
          <w:trHeight w:val="284"/>
        </w:trPr>
        <w:tc>
          <w:tcPr>
            <w:tcW w:w="1044" w:type="dxa"/>
            <w:tcBorders>
              <w:top w:val="single" w:sz="4"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right="283" w:firstLine="0"/>
              <w:jc w:val="left"/>
              <w:rPr>
                <w:rFonts w:ascii="Arial Narrow" w:hAnsi="Arial Narrow" w:cs="Arial"/>
                <w:sz w:val="17"/>
                <w:szCs w:val="17"/>
                <w:lang w:val="es-ES" w:eastAsia="es-ES"/>
              </w:rPr>
            </w:pPr>
            <w:r w:rsidRPr="008661DA">
              <w:rPr>
                <w:rFonts w:ascii="Arial Narrow" w:hAnsi="Arial Narrow" w:cs="Arial"/>
                <w:sz w:val="17"/>
                <w:szCs w:val="17"/>
                <w:lang w:val="es-ES" w:eastAsia="es-ES"/>
              </w:rPr>
              <w:t>2013/2014</w:t>
            </w:r>
          </w:p>
        </w:tc>
        <w:tc>
          <w:tcPr>
            <w:tcW w:w="1006" w:type="dxa"/>
            <w:tcBorders>
              <w:top w:val="single" w:sz="4"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left="-192" w:right="77" w:firstLine="0"/>
              <w:jc w:val="right"/>
              <w:rPr>
                <w:rFonts w:ascii="Arial Narrow" w:hAnsi="Arial Narrow" w:cs="Arial"/>
                <w:sz w:val="17"/>
                <w:szCs w:val="17"/>
                <w:lang w:val="es-ES" w:eastAsia="es-ES"/>
              </w:rPr>
            </w:pPr>
            <w:r w:rsidRPr="008661DA">
              <w:rPr>
                <w:rFonts w:ascii="Arial Narrow" w:hAnsi="Arial Narrow" w:cs="Arial"/>
                <w:sz w:val="17"/>
                <w:szCs w:val="17"/>
                <w:lang w:val="es-ES" w:eastAsia="es-ES"/>
              </w:rPr>
              <w:t>1,3</w:t>
            </w:r>
          </w:p>
        </w:tc>
        <w:tc>
          <w:tcPr>
            <w:tcW w:w="6597" w:type="dxa"/>
            <w:tcBorders>
              <w:top w:val="single" w:sz="4"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left="208" w:right="-69" w:firstLine="0"/>
              <w:jc w:val="left"/>
              <w:rPr>
                <w:rFonts w:ascii="Arial Narrow" w:hAnsi="Arial Narrow" w:cs="Arial"/>
                <w:sz w:val="17"/>
                <w:szCs w:val="17"/>
                <w:lang w:val="es-ES" w:eastAsia="es-ES"/>
              </w:rPr>
            </w:pPr>
            <w:r w:rsidRPr="008661DA">
              <w:rPr>
                <w:rFonts w:ascii="Arial Narrow" w:hAnsi="Arial Narrow" w:cs="Arial"/>
                <w:bCs/>
                <w:sz w:val="17"/>
                <w:szCs w:val="17"/>
              </w:rPr>
              <w:t xml:space="preserve">RESOLUCIÓN 303/2013, de 10 de junio, del </w:t>
            </w:r>
            <w:proofErr w:type="spellStart"/>
            <w:r w:rsidRPr="008661DA">
              <w:rPr>
                <w:rFonts w:ascii="Arial Narrow" w:hAnsi="Arial Narrow" w:cs="Arial"/>
                <w:bCs/>
                <w:sz w:val="17"/>
                <w:szCs w:val="17"/>
              </w:rPr>
              <w:t>Dtor</w:t>
            </w:r>
            <w:proofErr w:type="spellEnd"/>
            <w:r w:rsidRPr="008661DA">
              <w:rPr>
                <w:rFonts w:ascii="Arial Narrow" w:hAnsi="Arial Narrow" w:cs="Arial"/>
                <w:bCs/>
                <w:sz w:val="17"/>
                <w:szCs w:val="17"/>
              </w:rPr>
              <w:t xml:space="preserve">. Gral. de </w:t>
            </w:r>
            <w:proofErr w:type="spellStart"/>
            <w:r w:rsidRPr="008661DA">
              <w:rPr>
                <w:rFonts w:ascii="Arial Narrow" w:hAnsi="Arial Narrow" w:cs="Arial"/>
                <w:bCs/>
                <w:sz w:val="17"/>
                <w:szCs w:val="17"/>
              </w:rPr>
              <w:t>Educ</w:t>
            </w:r>
            <w:proofErr w:type="spellEnd"/>
            <w:r w:rsidRPr="008661DA">
              <w:rPr>
                <w:rFonts w:ascii="Arial Narrow" w:hAnsi="Arial Narrow" w:cs="Arial"/>
                <w:bCs/>
                <w:sz w:val="17"/>
                <w:szCs w:val="17"/>
              </w:rPr>
              <w:t xml:space="preserve">., </w:t>
            </w:r>
            <w:proofErr w:type="spellStart"/>
            <w:r w:rsidRPr="008661DA">
              <w:rPr>
                <w:rFonts w:ascii="Arial Narrow" w:hAnsi="Arial Narrow" w:cs="Arial"/>
                <w:bCs/>
                <w:sz w:val="17"/>
                <w:szCs w:val="17"/>
              </w:rPr>
              <w:t>Form</w:t>
            </w:r>
            <w:proofErr w:type="spellEnd"/>
            <w:r w:rsidRPr="008661DA">
              <w:rPr>
                <w:rFonts w:ascii="Arial Narrow" w:hAnsi="Arial Narrow" w:cs="Arial"/>
                <w:bCs/>
                <w:sz w:val="17"/>
                <w:szCs w:val="17"/>
              </w:rPr>
              <w:t xml:space="preserve">. </w:t>
            </w:r>
            <w:proofErr w:type="spellStart"/>
            <w:r w:rsidRPr="008661DA">
              <w:rPr>
                <w:rFonts w:ascii="Arial Narrow" w:hAnsi="Arial Narrow" w:cs="Arial"/>
                <w:bCs/>
                <w:sz w:val="17"/>
                <w:szCs w:val="17"/>
              </w:rPr>
              <w:t>Profes..y</w:t>
            </w:r>
            <w:proofErr w:type="spellEnd"/>
            <w:r w:rsidRPr="008661DA">
              <w:rPr>
                <w:rFonts w:ascii="Arial Narrow" w:hAnsi="Arial Narrow" w:cs="Arial"/>
                <w:bCs/>
                <w:sz w:val="17"/>
                <w:szCs w:val="17"/>
              </w:rPr>
              <w:t xml:space="preserve"> Universidades</w:t>
            </w:r>
          </w:p>
        </w:tc>
      </w:tr>
      <w:tr w:rsidR="00414999" w:rsidRPr="008661DA" w:rsidTr="008661DA">
        <w:trPr>
          <w:trHeight w:val="284"/>
        </w:trPr>
        <w:tc>
          <w:tcPr>
            <w:tcW w:w="1044"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right="283" w:firstLine="0"/>
              <w:jc w:val="left"/>
              <w:rPr>
                <w:rFonts w:ascii="Arial Narrow" w:hAnsi="Arial Narrow" w:cs="Arial"/>
                <w:bCs/>
                <w:sz w:val="17"/>
                <w:szCs w:val="17"/>
                <w:lang w:val="es-ES" w:eastAsia="es-ES"/>
              </w:rPr>
            </w:pPr>
            <w:r w:rsidRPr="008661DA">
              <w:rPr>
                <w:rFonts w:ascii="Arial Narrow" w:hAnsi="Arial Narrow" w:cs="Arial"/>
                <w:bCs/>
                <w:sz w:val="17"/>
                <w:szCs w:val="17"/>
                <w:lang w:val="es-ES" w:eastAsia="es-ES"/>
              </w:rPr>
              <w:t>2014/2015</w:t>
            </w:r>
          </w:p>
        </w:tc>
        <w:tc>
          <w:tcPr>
            <w:tcW w:w="1006"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left="-192" w:right="77" w:firstLine="0"/>
              <w:jc w:val="right"/>
              <w:rPr>
                <w:rFonts w:ascii="Arial Narrow" w:hAnsi="Arial Narrow" w:cs="Arial"/>
                <w:bCs/>
                <w:sz w:val="17"/>
                <w:szCs w:val="17"/>
                <w:lang w:val="es-ES" w:eastAsia="es-ES"/>
              </w:rPr>
            </w:pPr>
            <w:r w:rsidRPr="008661DA">
              <w:rPr>
                <w:rFonts w:ascii="Arial Narrow" w:hAnsi="Arial Narrow" w:cs="Arial"/>
                <w:bCs/>
                <w:sz w:val="17"/>
                <w:szCs w:val="17"/>
                <w:lang w:val="es-ES" w:eastAsia="es-ES"/>
              </w:rPr>
              <w:t>0</w:t>
            </w:r>
          </w:p>
        </w:tc>
        <w:tc>
          <w:tcPr>
            <w:tcW w:w="6597"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left="208" w:right="-69" w:firstLine="0"/>
              <w:jc w:val="left"/>
              <w:rPr>
                <w:rFonts w:ascii="Arial Narrow" w:hAnsi="Arial Narrow" w:cs="Arial"/>
                <w:bCs/>
                <w:sz w:val="17"/>
                <w:szCs w:val="17"/>
                <w:lang w:val="es-ES" w:eastAsia="es-ES"/>
              </w:rPr>
            </w:pPr>
            <w:r w:rsidRPr="008661DA">
              <w:rPr>
                <w:rFonts w:ascii="Arial Narrow" w:hAnsi="Arial Narrow" w:cs="Arial"/>
                <w:bCs/>
                <w:sz w:val="17"/>
                <w:szCs w:val="17"/>
              </w:rPr>
              <w:t xml:space="preserve">RESOLUCIÓN 257/2014, de 16 de junio, del </w:t>
            </w:r>
            <w:proofErr w:type="spellStart"/>
            <w:r w:rsidRPr="008661DA">
              <w:rPr>
                <w:rFonts w:ascii="Arial Narrow" w:hAnsi="Arial Narrow" w:cs="Arial"/>
                <w:bCs/>
                <w:sz w:val="17"/>
                <w:szCs w:val="17"/>
              </w:rPr>
              <w:t>Dtor</w:t>
            </w:r>
            <w:proofErr w:type="spellEnd"/>
            <w:r w:rsidRPr="008661DA">
              <w:rPr>
                <w:rFonts w:ascii="Arial Narrow" w:hAnsi="Arial Narrow" w:cs="Arial"/>
                <w:bCs/>
                <w:sz w:val="17"/>
                <w:szCs w:val="17"/>
              </w:rPr>
              <w:t xml:space="preserve">. Gral. de </w:t>
            </w:r>
            <w:proofErr w:type="spellStart"/>
            <w:r w:rsidRPr="008661DA">
              <w:rPr>
                <w:rFonts w:ascii="Arial Narrow" w:hAnsi="Arial Narrow" w:cs="Arial"/>
                <w:bCs/>
                <w:sz w:val="17"/>
                <w:szCs w:val="17"/>
              </w:rPr>
              <w:t>Educ</w:t>
            </w:r>
            <w:proofErr w:type="spellEnd"/>
            <w:r w:rsidRPr="008661DA">
              <w:rPr>
                <w:rFonts w:ascii="Arial Narrow" w:hAnsi="Arial Narrow" w:cs="Arial"/>
                <w:bCs/>
                <w:sz w:val="17"/>
                <w:szCs w:val="17"/>
              </w:rPr>
              <w:t xml:space="preserve">., </w:t>
            </w:r>
            <w:proofErr w:type="spellStart"/>
            <w:r w:rsidRPr="008661DA">
              <w:rPr>
                <w:rFonts w:ascii="Arial Narrow" w:hAnsi="Arial Narrow" w:cs="Arial"/>
                <w:bCs/>
                <w:sz w:val="17"/>
                <w:szCs w:val="17"/>
              </w:rPr>
              <w:t>Form</w:t>
            </w:r>
            <w:proofErr w:type="spellEnd"/>
            <w:r w:rsidRPr="008661DA">
              <w:rPr>
                <w:rFonts w:ascii="Arial Narrow" w:hAnsi="Arial Narrow" w:cs="Arial"/>
                <w:bCs/>
                <w:sz w:val="17"/>
                <w:szCs w:val="17"/>
              </w:rPr>
              <w:t>. Profes. y Universidades</w:t>
            </w:r>
          </w:p>
        </w:tc>
      </w:tr>
      <w:tr w:rsidR="00414999" w:rsidRPr="008661DA" w:rsidTr="008661DA">
        <w:trPr>
          <w:trHeight w:val="284"/>
        </w:trPr>
        <w:tc>
          <w:tcPr>
            <w:tcW w:w="1044"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right="283" w:firstLine="0"/>
              <w:jc w:val="left"/>
              <w:rPr>
                <w:rFonts w:ascii="Arial Narrow" w:hAnsi="Arial Narrow" w:cs="Arial"/>
                <w:bCs/>
                <w:sz w:val="17"/>
                <w:szCs w:val="17"/>
                <w:lang w:val="es-ES" w:eastAsia="es-ES"/>
              </w:rPr>
            </w:pPr>
            <w:r w:rsidRPr="008661DA">
              <w:rPr>
                <w:rFonts w:ascii="Arial Narrow" w:hAnsi="Arial Narrow" w:cs="Arial"/>
                <w:bCs/>
                <w:sz w:val="17"/>
                <w:szCs w:val="17"/>
                <w:lang w:val="es-ES" w:eastAsia="es-ES"/>
              </w:rPr>
              <w:t>2015/2016</w:t>
            </w:r>
          </w:p>
        </w:tc>
        <w:tc>
          <w:tcPr>
            <w:tcW w:w="1006"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left="-192" w:right="77" w:firstLine="0"/>
              <w:jc w:val="right"/>
              <w:rPr>
                <w:rFonts w:ascii="Arial Narrow" w:hAnsi="Arial Narrow" w:cs="Arial"/>
                <w:bCs/>
                <w:sz w:val="17"/>
                <w:szCs w:val="17"/>
                <w:lang w:val="es-ES" w:eastAsia="es-ES"/>
              </w:rPr>
            </w:pPr>
            <w:r w:rsidRPr="008661DA">
              <w:rPr>
                <w:rFonts w:ascii="Arial Narrow" w:hAnsi="Arial Narrow" w:cs="Arial"/>
                <w:bCs/>
                <w:sz w:val="17"/>
                <w:szCs w:val="17"/>
                <w:lang w:val="es-ES" w:eastAsia="es-ES"/>
              </w:rPr>
              <w:t>0</w:t>
            </w:r>
          </w:p>
        </w:tc>
        <w:tc>
          <w:tcPr>
            <w:tcW w:w="6597"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widowControl w:val="0"/>
              <w:tabs>
                <w:tab w:val="left" w:pos="8647"/>
              </w:tabs>
              <w:spacing w:after="0"/>
              <w:ind w:left="208" w:right="-69" w:firstLine="0"/>
              <w:jc w:val="left"/>
              <w:rPr>
                <w:rFonts w:ascii="Arial Narrow" w:hAnsi="Arial Narrow" w:cs="Arial"/>
                <w:bCs/>
                <w:sz w:val="17"/>
                <w:szCs w:val="17"/>
                <w:lang w:eastAsia="es-ES"/>
              </w:rPr>
            </w:pPr>
            <w:r w:rsidRPr="008661DA">
              <w:rPr>
                <w:rFonts w:ascii="Arial Narrow" w:hAnsi="Arial Narrow" w:cs="Arial"/>
                <w:bCs/>
                <w:sz w:val="17"/>
                <w:szCs w:val="17"/>
              </w:rPr>
              <w:t xml:space="preserve">RESOLUCIÓN 208/2015, de 15 de mayo, del </w:t>
            </w:r>
            <w:proofErr w:type="spellStart"/>
            <w:r w:rsidRPr="008661DA">
              <w:rPr>
                <w:rFonts w:ascii="Arial Narrow" w:hAnsi="Arial Narrow" w:cs="Arial"/>
                <w:bCs/>
                <w:sz w:val="17"/>
                <w:szCs w:val="17"/>
              </w:rPr>
              <w:t>Dtor</w:t>
            </w:r>
            <w:proofErr w:type="spellEnd"/>
            <w:r w:rsidRPr="008661DA">
              <w:rPr>
                <w:rFonts w:ascii="Arial Narrow" w:hAnsi="Arial Narrow" w:cs="Arial"/>
                <w:bCs/>
                <w:sz w:val="17"/>
                <w:szCs w:val="17"/>
              </w:rPr>
              <w:t xml:space="preserve">. Gral. de </w:t>
            </w:r>
            <w:proofErr w:type="spellStart"/>
            <w:r w:rsidRPr="008661DA">
              <w:rPr>
                <w:rFonts w:ascii="Arial Narrow" w:hAnsi="Arial Narrow" w:cs="Arial"/>
                <w:bCs/>
                <w:sz w:val="17"/>
                <w:szCs w:val="17"/>
              </w:rPr>
              <w:t>Educ</w:t>
            </w:r>
            <w:proofErr w:type="spellEnd"/>
            <w:r w:rsidRPr="008661DA">
              <w:rPr>
                <w:rFonts w:ascii="Arial Narrow" w:hAnsi="Arial Narrow" w:cs="Arial"/>
                <w:bCs/>
                <w:sz w:val="17"/>
                <w:szCs w:val="17"/>
              </w:rPr>
              <w:t xml:space="preserve">., </w:t>
            </w:r>
            <w:proofErr w:type="spellStart"/>
            <w:r w:rsidRPr="008661DA">
              <w:rPr>
                <w:rFonts w:ascii="Arial Narrow" w:hAnsi="Arial Narrow" w:cs="Arial"/>
                <w:bCs/>
                <w:sz w:val="17"/>
                <w:szCs w:val="17"/>
              </w:rPr>
              <w:t>Form</w:t>
            </w:r>
            <w:proofErr w:type="spellEnd"/>
            <w:r w:rsidRPr="008661DA">
              <w:rPr>
                <w:rFonts w:ascii="Arial Narrow" w:hAnsi="Arial Narrow" w:cs="Arial"/>
                <w:bCs/>
                <w:sz w:val="17"/>
                <w:szCs w:val="17"/>
              </w:rPr>
              <w:t>. Profes. y Universidades</w:t>
            </w:r>
          </w:p>
        </w:tc>
      </w:tr>
      <w:tr w:rsidR="00414999" w:rsidRPr="008661DA" w:rsidTr="008661DA">
        <w:trPr>
          <w:trHeight w:val="284"/>
        </w:trPr>
        <w:tc>
          <w:tcPr>
            <w:tcW w:w="1044"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right="283" w:firstLine="0"/>
              <w:jc w:val="left"/>
              <w:rPr>
                <w:rFonts w:ascii="Arial Narrow" w:hAnsi="Arial Narrow" w:cs="Arial"/>
                <w:sz w:val="17"/>
                <w:szCs w:val="17"/>
                <w:lang w:val="es-ES" w:eastAsia="es-ES"/>
              </w:rPr>
            </w:pPr>
            <w:r w:rsidRPr="008661DA">
              <w:rPr>
                <w:rFonts w:ascii="Arial Narrow" w:hAnsi="Arial Narrow" w:cs="Arial"/>
                <w:sz w:val="17"/>
                <w:szCs w:val="17"/>
                <w:lang w:val="es-ES" w:eastAsia="es-ES"/>
              </w:rPr>
              <w:t>2016/2017</w:t>
            </w:r>
          </w:p>
        </w:tc>
        <w:tc>
          <w:tcPr>
            <w:tcW w:w="1006"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left="-192" w:right="77" w:firstLine="0"/>
              <w:jc w:val="right"/>
              <w:rPr>
                <w:rFonts w:ascii="Arial Narrow" w:hAnsi="Arial Narrow" w:cs="Arial"/>
                <w:sz w:val="17"/>
                <w:szCs w:val="17"/>
                <w:lang w:val="es-ES" w:eastAsia="es-ES"/>
              </w:rPr>
            </w:pPr>
            <w:r w:rsidRPr="008661DA">
              <w:rPr>
                <w:rFonts w:ascii="Arial Narrow" w:hAnsi="Arial Narrow" w:cs="Arial"/>
                <w:sz w:val="17"/>
                <w:szCs w:val="17"/>
                <w:lang w:val="es-ES" w:eastAsia="es-ES"/>
              </w:rPr>
              <w:t>0</w:t>
            </w:r>
          </w:p>
        </w:tc>
        <w:tc>
          <w:tcPr>
            <w:tcW w:w="6597"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left="208" w:right="-69" w:firstLine="0"/>
              <w:jc w:val="left"/>
              <w:rPr>
                <w:rFonts w:ascii="Arial Narrow" w:hAnsi="Arial Narrow" w:cs="Arial"/>
                <w:sz w:val="17"/>
                <w:szCs w:val="17"/>
                <w:lang w:eastAsia="es-ES"/>
              </w:rPr>
            </w:pPr>
            <w:r w:rsidRPr="008661DA">
              <w:rPr>
                <w:rFonts w:ascii="Arial Narrow" w:hAnsi="Arial Narrow" w:cs="Arial"/>
                <w:bCs/>
                <w:sz w:val="17"/>
                <w:szCs w:val="17"/>
              </w:rPr>
              <w:t xml:space="preserve">RESOLUCIÓN 380/2016, de 7 de junio, del </w:t>
            </w:r>
            <w:proofErr w:type="spellStart"/>
            <w:r w:rsidRPr="008661DA">
              <w:rPr>
                <w:rFonts w:ascii="Arial Narrow" w:hAnsi="Arial Narrow" w:cs="Arial"/>
                <w:bCs/>
                <w:sz w:val="17"/>
                <w:szCs w:val="17"/>
              </w:rPr>
              <w:t>Dtor</w:t>
            </w:r>
            <w:proofErr w:type="spellEnd"/>
            <w:r w:rsidRPr="008661DA">
              <w:rPr>
                <w:rFonts w:ascii="Arial Narrow" w:hAnsi="Arial Narrow" w:cs="Arial"/>
                <w:bCs/>
                <w:sz w:val="17"/>
                <w:szCs w:val="17"/>
              </w:rPr>
              <w:t>. Gral. de Universidades y Recursos Educativos</w:t>
            </w:r>
          </w:p>
        </w:tc>
      </w:tr>
      <w:tr w:rsidR="00414999" w:rsidRPr="008661DA" w:rsidTr="008661DA">
        <w:trPr>
          <w:trHeight w:val="284"/>
        </w:trPr>
        <w:tc>
          <w:tcPr>
            <w:tcW w:w="1044"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right="283" w:firstLine="0"/>
              <w:jc w:val="left"/>
              <w:rPr>
                <w:rFonts w:ascii="Arial Narrow" w:hAnsi="Arial Narrow" w:cs="Arial"/>
                <w:sz w:val="17"/>
                <w:szCs w:val="17"/>
                <w:lang w:val="es-ES" w:eastAsia="es-ES"/>
              </w:rPr>
            </w:pPr>
            <w:r w:rsidRPr="008661DA">
              <w:rPr>
                <w:rFonts w:ascii="Arial Narrow" w:hAnsi="Arial Narrow" w:cs="Arial"/>
                <w:sz w:val="17"/>
                <w:szCs w:val="17"/>
                <w:lang w:val="es-ES" w:eastAsia="es-ES"/>
              </w:rPr>
              <w:t>2017/2018</w:t>
            </w:r>
          </w:p>
        </w:tc>
        <w:tc>
          <w:tcPr>
            <w:tcW w:w="1006"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left="-192" w:right="77" w:firstLine="0"/>
              <w:jc w:val="right"/>
              <w:rPr>
                <w:rFonts w:ascii="Arial Narrow" w:hAnsi="Arial Narrow" w:cs="Arial"/>
                <w:sz w:val="17"/>
                <w:szCs w:val="17"/>
                <w:lang w:val="es-ES" w:eastAsia="es-ES"/>
              </w:rPr>
            </w:pPr>
            <w:r w:rsidRPr="008661DA">
              <w:rPr>
                <w:rFonts w:ascii="Arial Narrow" w:hAnsi="Arial Narrow" w:cs="Arial"/>
                <w:sz w:val="17"/>
                <w:szCs w:val="17"/>
                <w:lang w:val="es-ES" w:eastAsia="es-ES"/>
              </w:rPr>
              <w:t>2,3</w:t>
            </w:r>
          </w:p>
        </w:tc>
        <w:tc>
          <w:tcPr>
            <w:tcW w:w="6597"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left="208" w:right="-69" w:firstLine="0"/>
              <w:jc w:val="left"/>
              <w:rPr>
                <w:rFonts w:ascii="Arial Narrow" w:hAnsi="Arial Narrow" w:cs="Arial"/>
                <w:sz w:val="17"/>
                <w:szCs w:val="17"/>
                <w:lang w:val="es-ES" w:eastAsia="es-ES"/>
              </w:rPr>
            </w:pPr>
            <w:r w:rsidRPr="008661DA">
              <w:rPr>
                <w:rFonts w:ascii="Arial Narrow" w:hAnsi="Arial Narrow" w:cs="Arial"/>
                <w:bCs/>
                <w:sz w:val="17"/>
                <w:szCs w:val="17"/>
              </w:rPr>
              <w:t xml:space="preserve">RESOLUCIÓN 577/2017, de 3 de julio, de la </w:t>
            </w:r>
            <w:proofErr w:type="spellStart"/>
            <w:r w:rsidRPr="008661DA">
              <w:rPr>
                <w:rFonts w:ascii="Arial Narrow" w:hAnsi="Arial Narrow" w:cs="Arial"/>
                <w:bCs/>
                <w:sz w:val="17"/>
                <w:szCs w:val="17"/>
              </w:rPr>
              <w:t>Dtora</w:t>
            </w:r>
            <w:proofErr w:type="spellEnd"/>
            <w:r w:rsidRPr="008661DA">
              <w:rPr>
                <w:rFonts w:ascii="Arial Narrow" w:hAnsi="Arial Narrow" w:cs="Arial"/>
                <w:bCs/>
                <w:sz w:val="17"/>
                <w:szCs w:val="17"/>
              </w:rPr>
              <w:t>. Gral. de Universidades y Rec. Educativos</w:t>
            </w:r>
          </w:p>
        </w:tc>
      </w:tr>
      <w:tr w:rsidR="00414999" w:rsidRPr="008661DA" w:rsidTr="008661DA">
        <w:trPr>
          <w:trHeight w:val="284"/>
        </w:trPr>
        <w:tc>
          <w:tcPr>
            <w:tcW w:w="1044"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right="283" w:firstLine="0"/>
              <w:jc w:val="left"/>
              <w:rPr>
                <w:rFonts w:ascii="Arial Narrow" w:hAnsi="Arial Narrow" w:cs="Arial"/>
                <w:sz w:val="17"/>
                <w:szCs w:val="17"/>
                <w:lang w:val="es-ES" w:eastAsia="es-ES"/>
              </w:rPr>
            </w:pPr>
            <w:r w:rsidRPr="008661DA">
              <w:rPr>
                <w:rFonts w:ascii="Arial Narrow" w:hAnsi="Arial Narrow" w:cs="Arial"/>
                <w:sz w:val="17"/>
                <w:szCs w:val="17"/>
                <w:lang w:val="es-ES" w:eastAsia="es-ES"/>
              </w:rPr>
              <w:t>2018/2019</w:t>
            </w:r>
          </w:p>
        </w:tc>
        <w:tc>
          <w:tcPr>
            <w:tcW w:w="1006"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left="-192" w:right="77" w:firstLine="0"/>
              <w:jc w:val="right"/>
              <w:rPr>
                <w:rFonts w:ascii="Arial Narrow" w:hAnsi="Arial Narrow" w:cs="Arial"/>
                <w:sz w:val="17"/>
                <w:szCs w:val="17"/>
                <w:lang w:val="es-ES" w:eastAsia="es-ES"/>
              </w:rPr>
            </w:pPr>
            <w:r w:rsidRPr="008661DA">
              <w:rPr>
                <w:rFonts w:ascii="Arial Narrow" w:hAnsi="Arial Narrow" w:cs="Arial"/>
                <w:sz w:val="17"/>
                <w:szCs w:val="17"/>
                <w:lang w:val="es-ES" w:eastAsia="es-ES"/>
              </w:rPr>
              <w:t>0</w:t>
            </w:r>
          </w:p>
        </w:tc>
        <w:tc>
          <w:tcPr>
            <w:tcW w:w="6597" w:type="dxa"/>
            <w:tcBorders>
              <w:top w:val="single" w:sz="2" w:space="0" w:color="auto"/>
              <w:left w:val="nil"/>
              <w:bottom w:val="single" w:sz="2" w:space="0" w:color="auto"/>
              <w:right w:val="nil"/>
            </w:tcBorders>
            <w:shd w:val="clear" w:color="auto" w:fill="auto"/>
            <w:noWrap/>
            <w:vAlign w:val="center"/>
          </w:tcPr>
          <w:p w:rsidR="00414999" w:rsidRPr="008661DA" w:rsidRDefault="00414999" w:rsidP="00F44C41">
            <w:pPr>
              <w:tabs>
                <w:tab w:val="left" w:pos="8647"/>
              </w:tabs>
              <w:spacing w:after="0"/>
              <w:ind w:left="208" w:right="-69" w:firstLine="0"/>
              <w:jc w:val="left"/>
              <w:rPr>
                <w:rFonts w:ascii="Arial Narrow" w:hAnsi="Arial Narrow" w:cs="Arial"/>
                <w:sz w:val="17"/>
                <w:szCs w:val="17"/>
                <w:lang w:val="es-ES" w:eastAsia="es-ES"/>
              </w:rPr>
            </w:pPr>
            <w:r w:rsidRPr="008661DA">
              <w:rPr>
                <w:rFonts w:ascii="Arial Narrow" w:hAnsi="Arial Narrow" w:cs="Arial"/>
                <w:bCs/>
                <w:sz w:val="17"/>
                <w:szCs w:val="17"/>
              </w:rPr>
              <w:t>ORDEN FORAL  50/2018, de 7 de junio, de la Consejera de Educación</w:t>
            </w:r>
          </w:p>
        </w:tc>
      </w:tr>
      <w:tr w:rsidR="00414999" w:rsidRPr="008661DA" w:rsidTr="008661DA">
        <w:trPr>
          <w:trHeight w:val="284"/>
        </w:trPr>
        <w:tc>
          <w:tcPr>
            <w:tcW w:w="1044" w:type="dxa"/>
            <w:tcBorders>
              <w:top w:val="single" w:sz="2" w:space="0" w:color="auto"/>
              <w:left w:val="nil"/>
              <w:bottom w:val="single" w:sz="4" w:space="0" w:color="auto"/>
              <w:right w:val="nil"/>
            </w:tcBorders>
            <w:shd w:val="clear" w:color="auto" w:fill="auto"/>
            <w:noWrap/>
            <w:vAlign w:val="center"/>
          </w:tcPr>
          <w:p w:rsidR="00414999" w:rsidRPr="008661DA" w:rsidRDefault="00414999" w:rsidP="00F44C41">
            <w:pPr>
              <w:tabs>
                <w:tab w:val="left" w:pos="8647"/>
              </w:tabs>
              <w:spacing w:after="0"/>
              <w:ind w:right="283" w:firstLine="0"/>
              <w:jc w:val="left"/>
              <w:rPr>
                <w:rFonts w:ascii="Arial Narrow" w:hAnsi="Arial Narrow" w:cs="Arial"/>
                <w:sz w:val="17"/>
                <w:szCs w:val="17"/>
                <w:lang w:val="es-ES" w:eastAsia="es-ES"/>
              </w:rPr>
            </w:pPr>
            <w:r w:rsidRPr="008661DA">
              <w:rPr>
                <w:rFonts w:ascii="Arial Narrow" w:hAnsi="Arial Narrow" w:cs="Arial"/>
                <w:sz w:val="17"/>
                <w:szCs w:val="17"/>
                <w:lang w:val="es-ES" w:eastAsia="es-ES"/>
              </w:rPr>
              <w:t>2019/2020</w:t>
            </w:r>
          </w:p>
        </w:tc>
        <w:tc>
          <w:tcPr>
            <w:tcW w:w="1006" w:type="dxa"/>
            <w:tcBorders>
              <w:top w:val="single" w:sz="2" w:space="0" w:color="auto"/>
              <w:left w:val="nil"/>
              <w:bottom w:val="single" w:sz="4" w:space="0" w:color="auto"/>
              <w:right w:val="nil"/>
            </w:tcBorders>
            <w:shd w:val="clear" w:color="auto" w:fill="auto"/>
            <w:noWrap/>
            <w:vAlign w:val="center"/>
          </w:tcPr>
          <w:p w:rsidR="00414999" w:rsidRPr="008661DA" w:rsidRDefault="00414999" w:rsidP="00F44C41">
            <w:pPr>
              <w:tabs>
                <w:tab w:val="left" w:pos="8647"/>
              </w:tabs>
              <w:spacing w:after="0"/>
              <w:ind w:left="-192" w:right="77" w:firstLine="0"/>
              <w:jc w:val="right"/>
              <w:rPr>
                <w:rFonts w:ascii="Arial Narrow" w:hAnsi="Arial Narrow" w:cs="Arial"/>
                <w:sz w:val="17"/>
                <w:szCs w:val="17"/>
                <w:lang w:val="es-ES" w:eastAsia="es-ES"/>
              </w:rPr>
            </w:pPr>
            <w:r w:rsidRPr="008661DA">
              <w:rPr>
                <w:rFonts w:ascii="Arial Narrow" w:hAnsi="Arial Narrow" w:cs="Arial"/>
                <w:sz w:val="17"/>
                <w:szCs w:val="17"/>
                <w:lang w:val="es-ES" w:eastAsia="es-ES"/>
              </w:rPr>
              <w:t>0</w:t>
            </w:r>
          </w:p>
        </w:tc>
        <w:tc>
          <w:tcPr>
            <w:tcW w:w="6597" w:type="dxa"/>
            <w:tcBorders>
              <w:top w:val="single" w:sz="2" w:space="0" w:color="auto"/>
              <w:left w:val="nil"/>
              <w:bottom w:val="single" w:sz="4" w:space="0" w:color="auto"/>
              <w:right w:val="nil"/>
            </w:tcBorders>
            <w:shd w:val="clear" w:color="auto" w:fill="auto"/>
            <w:noWrap/>
            <w:vAlign w:val="center"/>
          </w:tcPr>
          <w:p w:rsidR="00414999" w:rsidRPr="008661DA" w:rsidRDefault="00414999" w:rsidP="00F44C41">
            <w:pPr>
              <w:tabs>
                <w:tab w:val="left" w:pos="8647"/>
              </w:tabs>
              <w:spacing w:after="0"/>
              <w:ind w:left="208" w:right="-69" w:firstLine="0"/>
              <w:jc w:val="left"/>
              <w:rPr>
                <w:rFonts w:ascii="Arial Narrow" w:hAnsi="Arial Narrow" w:cs="Arial"/>
                <w:bCs/>
                <w:sz w:val="17"/>
                <w:szCs w:val="17"/>
              </w:rPr>
            </w:pPr>
            <w:r w:rsidRPr="008661DA">
              <w:rPr>
                <w:rFonts w:ascii="Arial Narrow" w:hAnsi="Arial Narrow" w:cs="Arial"/>
                <w:bCs/>
                <w:sz w:val="17"/>
                <w:szCs w:val="17"/>
              </w:rPr>
              <w:t>ORDEN FORAL 42/2019, de 7 de junio, de la Consejera de Educación</w:t>
            </w:r>
          </w:p>
        </w:tc>
      </w:tr>
    </w:tbl>
    <w:p w:rsidR="00414999" w:rsidRPr="00D932B6" w:rsidRDefault="00414999" w:rsidP="00F44C41">
      <w:pPr>
        <w:tabs>
          <w:tab w:val="left" w:pos="8647"/>
        </w:tabs>
        <w:spacing w:before="180"/>
        <w:ind w:firstLine="284"/>
        <w:rPr>
          <w:rFonts w:eastAsia="Calibri"/>
          <w:spacing w:val="6"/>
          <w:sz w:val="26"/>
          <w:szCs w:val="26"/>
          <w:lang w:eastAsia="es-ES"/>
        </w:rPr>
      </w:pPr>
      <w:r>
        <w:rPr>
          <w:rFonts w:eastAsia="Calibri"/>
          <w:spacing w:val="6"/>
          <w:sz w:val="26"/>
          <w:szCs w:val="26"/>
          <w:lang w:eastAsia="es-ES"/>
        </w:rPr>
        <w:t xml:space="preserve">Es decir, se actualizan los precios públicos en 2013 (1,3 por ciento) y en 2017 (2,3 por ciento). </w:t>
      </w:r>
      <w:r w:rsidRPr="00D932B6">
        <w:rPr>
          <w:rFonts w:eastAsia="Calibri"/>
          <w:spacing w:val="6"/>
          <w:sz w:val="26"/>
          <w:szCs w:val="26"/>
          <w:lang w:eastAsia="es-ES"/>
        </w:rPr>
        <w:t xml:space="preserve">En los </w:t>
      </w:r>
      <w:r>
        <w:rPr>
          <w:rFonts w:eastAsia="Calibri"/>
          <w:spacing w:val="6"/>
          <w:sz w:val="26"/>
          <w:szCs w:val="26"/>
          <w:lang w:eastAsia="es-ES"/>
        </w:rPr>
        <w:t xml:space="preserve">años 2018 y 2019 </w:t>
      </w:r>
      <w:r w:rsidRPr="00D932B6">
        <w:rPr>
          <w:rFonts w:eastAsia="Calibri"/>
          <w:spacing w:val="6"/>
          <w:sz w:val="26"/>
          <w:szCs w:val="26"/>
          <w:lang w:eastAsia="es-ES"/>
        </w:rPr>
        <w:t>se mantienen los precios apr</w:t>
      </w:r>
      <w:r w:rsidRPr="00D932B6">
        <w:rPr>
          <w:rFonts w:eastAsia="Calibri"/>
          <w:spacing w:val="6"/>
          <w:sz w:val="26"/>
          <w:szCs w:val="26"/>
          <w:lang w:eastAsia="es-ES"/>
        </w:rPr>
        <w:t>o</w:t>
      </w:r>
      <w:r w:rsidRPr="00D932B6">
        <w:rPr>
          <w:rFonts w:eastAsia="Calibri"/>
          <w:spacing w:val="6"/>
          <w:sz w:val="26"/>
          <w:szCs w:val="26"/>
          <w:lang w:eastAsia="es-ES"/>
        </w:rPr>
        <w:t>bados para el curso 2017/2018.</w:t>
      </w:r>
    </w:p>
    <w:p w:rsidR="00414999" w:rsidRDefault="00414999" w:rsidP="00F44C41">
      <w:pPr>
        <w:ind w:firstLine="284"/>
        <w:rPr>
          <w:rFonts w:eastAsia="Calibri"/>
          <w:spacing w:val="6"/>
          <w:sz w:val="26"/>
          <w:szCs w:val="26"/>
          <w:lang w:eastAsia="es-ES"/>
        </w:rPr>
      </w:pPr>
      <w:r>
        <w:rPr>
          <w:rFonts w:eastAsia="Calibri"/>
          <w:spacing w:val="6"/>
          <w:sz w:val="26"/>
          <w:szCs w:val="26"/>
          <w:lang w:eastAsia="es-ES"/>
        </w:rPr>
        <w:t xml:space="preserve">En el curso 2017/2018 </w:t>
      </w:r>
      <w:r w:rsidRPr="008C5095">
        <w:rPr>
          <w:rFonts w:eastAsia="Calibri"/>
          <w:spacing w:val="6"/>
          <w:sz w:val="26"/>
          <w:szCs w:val="26"/>
          <w:lang w:eastAsia="es-ES"/>
        </w:rPr>
        <w:t>el precio de los créditos de primera matrícula en má</w:t>
      </w:r>
      <w:r w:rsidRPr="008C5095">
        <w:rPr>
          <w:rFonts w:eastAsia="Calibri"/>
          <w:spacing w:val="6"/>
          <w:sz w:val="26"/>
          <w:szCs w:val="26"/>
          <w:lang w:eastAsia="es-ES"/>
        </w:rPr>
        <w:t>s</w:t>
      </w:r>
      <w:r w:rsidRPr="008C5095">
        <w:rPr>
          <w:rFonts w:eastAsia="Calibri"/>
          <w:spacing w:val="6"/>
          <w:sz w:val="26"/>
          <w:szCs w:val="26"/>
          <w:lang w:eastAsia="es-ES"/>
        </w:rPr>
        <w:t xml:space="preserve">teres universitarios habilitantes para profesiones </w:t>
      </w:r>
      <w:r>
        <w:rPr>
          <w:rFonts w:eastAsia="Calibri"/>
          <w:spacing w:val="6"/>
          <w:sz w:val="26"/>
          <w:szCs w:val="26"/>
          <w:lang w:eastAsia="es-ES"/>
        </w:rPr>
        <w:t>reguladas</w:t>
      </w:r>
      <w:r w:rsidRPr="008C5095">
        <w:rPr>
          <w:rFonts w:eastAsia="Calibri"/>
          <w:spacing w:val="6"/>
          <w:sz w:val="26"/>
          <w:szCs w:val="26"/>
          <w:lang w:eastAsia="es-ES"/>
        </w:rPr>
        <w:t xml:space="preserve"> </w:t>
      </w:r>
      <w:r>
        <w:rPr>
          <w:rFonts w:eastAsia="Calibri"/>
          <w:spacing w:val="6"/>
          <w:sz w:val="26"/>
          <w:szCs w:val="26"/>
          <w:lang w:eastAsia="es-ES"/>
        </w:rPr>
        <w:t xml:space="preserve">pasó </w:t>
      </w:r>
      <w:r w:rsidRPr="008C5095">
        <w:rPr>
          <w:rFonts w:eastAsia="Calibri"/>
          <w:spacing w:val="6"/>
          <w:sz w:val="26"/>
          <w:szCs w:val="26"/>
          <w:lang w:eastAsia="es-ES"/>
        </w:rPr>
        <w:t>del 25 al 20</w:t>
      </w:r>
      <w:r>
        <w:rPr>
          <w:rFonts w:eastAsia="Calibri"/>
          <w:spacing w:val="6"/>
          <w:sz w:val="26"/>
          <w:szCs w:val="26"/>
          <w:lang w:eastAsia="es-ES"/>
        </w:rPr>
        <w:t xml:space="preserve"> por ciento</w:t>
      </w:r>
      <w:r w:rsidRPr="008C5095">
        <w:rPr>
          <w:rFonts w:eastAsia="Calibri"/>
          <w:spacing w:val="6"/>
          <w:sz w:val="26"/>
          <w:szCs w:val="26"/>
          <w:lang w:eastAsia="es-ES"/>
        </w:rPr>
        <w:t xml:space="preserve"> del coste</w:t>
      </w:r>
      <w:r w:rsidRPr="00F724A4">
        <w:rPr>
          <w:rFonts w:eastAsia="Calibri"/>
          <w:color w:val="FF0000"/>
          <w:spacing w:val="6"/>
          <w:sz w:val="26"/>
          <w:szCs w:val="26"/>
          <w:lang w:eastAsia="es-ES"/>
        </w:rPr>
        <w:t xml:space="preserve"> </w:t>
      </w:r>
      <w:r w:rsidRPr="008C5095">
        <w:rPr>
          <w:rFonts w:eastAsia="Calibri"/>
          <w:spacing w:val="6"/>
          <w:sz w:val="26"/>
          <w:szCs w:val="26"/>
          <w:lang w:eastAsia="es-ES"/>
        </w:rPr>
        <w:t xml:space="preserve">y el </w:t>
      </w:r>
      <w:r>
        <w:rPr>
          <w:rFonts w:eastAsia="Calibri"/>
          <w:spacing w:val="6"/>
          <w:sz w:val="26"/>
          <w:szCs w:val="26"/>
          <w:lang w:eastAsia="es-ES"/>
        </w:rPr>
        <w:t>precio</w:t>
      </w:r>
      <w:r w:rsidRPr="008C5095">
        <w:rPr>
          <w:rFonts w:eastAsia="Calibri"/>
          <w:spacing w:val="6"/>
          <w:sz w:val="26"/>
          <w:szCs w:val="26"/>
          <w:lang w:eastAsia="es-ES"/>
        </w:rPr>
        <w:t xml:space="preserve"> de los másteres universitarios no habilitantes para profesiones reguladas, del 40 al 25</w:t>
      </w:r>
      <w:r>
        <w:rPr>
          <w:rFonts w:eastAsia="Calibri"/>
          <w:spacing w:val="6"/>
          <w:sz w:val="26"/>
          <w:szCs w:val="26"/>
          <w:lang w:eastAsia="es-ES"/>
        </w:rPr>
        <w:t xml:space="preserve"> por ciento; este último en cumplimie</w:t>
      </w:r>
      <w:r>
        <w:rPr>
          <w:rFonts w:eastAsia="Calibri"/>
          <w:spacing w:val="6"/>
          <w:sz w:val="26"/>
          <w:szCs w:val="26"/>
          <w:lang w:eastAsia="es-ES"/>
        </w:rPr>
        <w:t>n</w:t>
      </w:r>
      <w:r>
        <w:rPr>
          <w:rFonts w:eastAsia="Calibri"/>
          <w:spacing w:val="6"/>
          <w:sz w:val="26"/>
          <w:szCs w:val="26"/>
          <w:lang w:eastAsia="es-ES"/>
        </w:rPr>
        <w:t>to de la Ley de Presupuestos Generales del Estado para 2017, que modificó el porcentaje inferior de la horquilla de la primera matrícula de estos másteres del 40 al 15 por ciento.</w:t>
      </w:r>
    </w:p>
    <w:p w:rsidR="00414999" w:rsidRPr="00F449FC" w:rsidRDefault="00414999" w:rsidP="00C55651">
      <w:pPr>
        <w:tabs>
          <w:tab w:val="left" w:pos="8647"/>
        </w:tabs>
        <w:spacing w:after="240"/>
        <w:ind w:firstLine="284"/>
        <w:rPr>
          <w:rFonts w:eastAsia="Calibri"/>
          <w:spacing w:val="6"/>
          <w:sz w:val="26"/>
          <w:szCs w:val="26"/>
          <w:lang w:eastAsia="es-ES"/>
        </w:rPr>
      </w:pPr>
      <w:r w:rsidRPr="00F449FC">
        <w:rPr>
          <w:rFonts w:eastAsia="Calibri"/>
          <w:spacing w:val="6"/>
          <w:sz w:val="26"/>
          <w:szCs w:val="26"/>
          <w:lang w:eastAsia="es-ES"/>
        </w:rPr>
        <w:t xml:space="preserve">En el cuadro siguiente se recoge la evolución 2012-2018, de los precios </w:t>
      </w:r>
      <w:r w:rsidR="004E551B" w:rsidRPr="00F449FC">
        <w:rPr>
          <w:rFonts w:eastAsia="Calibri"/>
          <w:spacing w:val="6"/>
          <w:sz w:val="26"/>
          <w:szCs w:val="26"/>
          <w:lang w:eastAsia="es-ES"/>
        </w:rPr>
        <w:t>p</w:t>
      </w:r>
      <w:r w:rsidR="004E551B" w:rsidRPr="00F449FC">
        <w:rPr>
          <w:rFonts w:eastAsia="Calibri"/>
          <w:spacing w:val="6"/>
          <w:sz w:val="26"/>
          <w:szCs w:val="26"/>
          <w:lang w:eastAsia="es-ES"/>
        </w:rPr>
        <w:t>ú</w:t>
      </w:r>
      <w:r w:rsidR="004E551B" w:rsidRPr="00F449FC">
        <w:rPr>
          <w:rFonts w:eastAsia="Calibri"/>
          <w:spacing w:val="6"/>
          <w:sz w:val="26"/>
          <w:szCs w:val="26"/>
          <w:lang w:eastAsia="es-ES"/>
        </w:rPr>
        <w:t xml:space="preserve">blicos </w:t>
      </w:r>
      <w:r w:rsidR="00DB0BCC" w:rsidRPr="00F449FC">
        <w:rPr>
          <w:rFonts w:eastAsia="Calibri"/>
          <w:spacing w:val="6"/>
          <w:sz w:val="26"/>
          <w:szCs w:val="26"/>
          <w:lang w:eastAsia="es-ES"/>
        </w:rPr>
        <w:t xml:space="preserve">de </w:t>
      </w:r>
      <w:r w:rsidR="00215467" w:rsidRPr="00F449FC">
        <w:rPr>
          <w:rFonts w:eastAsia="Calibri"/>
          <w:spacing w:val="6"/>
          <w:sz w:val="26"/>
          <w:szCs w:val="26"/>
          <w:lang w:eastAsia="es-ES"/>
        </w:rPr>
        <w:t>cada crédito que compone el</w:t>
      </w:r>
      <w:r w:rsidRPr="00F449FC">
        <w:rPr>
          <w:rFonts w:eastAsia="Calibri"/>
          <w:spacing w:val="6"/>
          <w:sz w:val="26"/>
          <w:szCs w:val="26"/>
          <w:lang w:eastAsia="es-ES"/>
        </w:rPr>
        <w:t xml:space="preserve"> grado y máster en primera y sucesivas matrículas: </w:t>
      </w:r>
    </w:p>
    <w:tbl>
      <w:tblPr>
        <w:tblW w:w="8949" w:type="dxa"/>
        <w:tblBorders>
          <w:insideH w:val="single" w:sz="4" w:space="0" w:color="auto"/>
        </w:tblBorders>
        <w:tblCellMar>
          <w:left w:w="70" w:type="dxa"/>
          <w:right w:w="70" w:type="dxa"/>
        </w:tblCellMar>
        <w:tblLook w:val="04A0" w:firstRow="1" w:lastRow="0" w:firstColumn="1" w:lastColumn="0" w:noHBand="0" w:noVBand="1"/>
      </w:tblPr>
      <w:tblGrid>
        <w:gridCol w:w="993"/>
        <w:gridCol w:w="992"/>
        <w:gridCol w:w="997"/>
        <w:gridCol w:w="993"/>
        <w:gridCol w:w="992"/>
        <w:gridCol w:w="6"/>
        <w:gridCol w:w="986"/>
        <w:gridCol w:w="994"/>
        <w:gridCol w:w="6"/>
        <w:gridCol w:w="985"/>
        <w:gridCol w:w="994"/>
        <w:gridCol w:w="11"/>
      </w:tblGrid>
      <w:tr w:rsidR="00414999" w:rsidRPr="00BF15FE" w:rsidTr="000A1912">
        <w:trPr>
          <w:trHeight w:val="288"/>
        </w:trPr>
        <w:tc>
          <w:tcPr>
            <w:tcW w:w="993" w:type="dxa"/>
            <w:tcBorders>
              <w:top w:val="single" w:sz="4" w:space="0" w:color="auto"/>
              <w:bottom w:val="single" w:sz="4" w:space="0" w:color="auto"/>
            </w:tcBorders>
            <w:shd w:val="clear" w:color="auto" w:fill="B8CCE4" w:themeFill="accent1" w:themeFillTint="66"/>
            <w:noWrap/>
            <w:vAlign w:val="center"/>
            <w:hideMark/>
          </w:tcPr>
          <w:p w:rsidR="00414999" w:rsidRPr="00BF15FE" w:rsidRDefault="000A1912" w:rsidP="00F44C41">
            <w:pPr>
              <w:tabs>
                <w:tab w:val="left" w:pos="8647"/>
              </w:tabs>
              <w:spacing w:after="0"/>
              <w:ind w:firstLine="0"/>
              <w:jc w:val="center"/>
              <w:rPr>
                <w:rFonts w:ascii="Arial" w:hAnsi="Arial" w:cs="Arial"/>
                <w:color w:val="000000"/>
                <w:sz w:val="16"/>
                <w:szCs w:val="16"/>
                <w:lang w:val="es-ES" w:eastAsia="es-ES"/>
              </w:rPr>
            </w:pPr>
            <w:r>
              <w:rPr>
                <w:rFonts w:ascii="Arial" w:hAnsi="Arial" w:cs="Arial"/>
                <w:color w:val="000000"/>
                <w:sz w:val="16"/>
                <w:szCs w:val="16"/>
                <w:lang w:val="es-ES" w:eastAsia="es-ES"/>
              </w:rPr>
              <w:t>Número</w:t>
            </w:r>
            <w:r w:rsidR="00414999" w:rsidRPr="00BF15FE">
              <w:rPr>
                <w:rFonts w:ascii="Arial" w:hAnsi="Arial" w:cs="Arial"/>
                <w:color w:val="000000"/>
                <w:sz w:val="16"/>
                <w:szCs w:val="16"/>
                <w:lang w:val="es-ES" w:eastAsia="es-ES"/>
              </w:rPr>
              <w:t xml:space="preserve"> matrícula</w:t>
            </w:r>
          </w:p>
        </w:tc>
        <w:tc>
          <w:tcPr>
            <w:tcW w:w="1989" w:type="dxa"/>
            <w:gridSpan w:val="2"/>
            <w:tcBorders>
              <w:top w:val="single" w:sz="4" w:space="0" w:color="auto"/>
              <w:bottom w:val="single" w:sz="4" w:space="0" w:color="auto"/>
              <w:right w:val="single" w:sz="4" w:space="0" w:color="auto"/>
            </w:tcBorders>
            <w:shd w:val="clear" w:color="auto" w:fill="B8CCE4" w:themeFill="accent1" w:themeFillTint="66"/>
            <w:noWrap/>
            <w:vAlign w:val="center"/>
            <w:hideMark/>
          </w:tcPr>
          <w:p w:rsidR="00414999" w:rsidRPr="00BF15FE" w:rsidRDefault="00414999" w:rsidP="00F44C41">
            <w:pPr>
              <w:tabs>
                <w:tab w:val="left" w:pos="8647"/>
              </w:tabs>
              <w:spacing w:after="0"/>
              <w:ind w:firstLine="0"/>
              <w:jc w:val="center"/>
              <w:rPr>
                <w:rFonts w:ascii="Arial" w:hAnsi="Arial" w:cs="Arial"/>
                <w:color w:val="000000"/>
                <w:sz w:val="16"/>
                <w:szCs w:val="16"/>
                <w:lang w:val="es-ES" w:eastAsia="es-ES"/>
              </w:rPr>
            </w:pPr>
            <w:r w:rsidRPr="00BF15FE">
              <w:rPr>
                <w:rFonts w:ascii="Arial" w:hAnsi="Arial" w:cs="Arial"/>
                <w:color w:val="000000"/>
                <w:sz w:val="16"/>
                <w:szCs w:val="16"/>
                <w:lang w:val="es-ES" w:eastAsia="es-ES"/>
              </w:rPr>
              <w:t>Curso 2012/2013</w:t>
            </w:r>
          </w:p>
        </w:tc>
        <w:tc>
          <w:tcPr>
            <w:tcW w:w="1991"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414999" w:rsidRPr="00BF15FE" w:rsidRDefault="00414999" w:rsidP="00F44C41">
            <w:pPr>
              <w:tabs>
                <w:tab w:val="left" w:pos="8647"/>
              </w:tabs>
              <w:spacing w:after="0"/>
              <w:ind w:firstLine="0"/>
              <w:jc w:val="center"/>
              <w:rPr>
                <w:rFonts w:ascii="Arial" w:hAnsi="Arial" w:cs="Arial"/>
                <w:color w:val="000000"/>
                <w:sz w:val="16"/>
                <w:szCs w:val="16"/>
                <w:lang w:val="es-ES" w:eastAsia="es-ES"/>
              </w:rPr>
            </w:pPr>
            <w:r w:rsidRPr="00BF15FE">
              <w:rPr>
                <w:rFonts w:ascii="Arial" w:hAnsi="Arial" w:cs="Arial"/>
                <w:color w:val="000000"/>
                <w:sz w:val="16"/>
                <w:szCs w:val="16"/>
                <w:lang w:val="es-ES" w:eastAsia="es-ES"/>
              </w:rPr>
              <w:t>Cursos 2013/2014 a 2016/2017</w:t>
            </w:r>
          </w:p>
        </w:tc>
        <w:tc>
          <w:tcPr>
            <w:tcW w:w="198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414999" w:rsidRPr="00BF15FE" w:rsidRDefault="00414999" w:rsidP="00F44C41">
            <w:pPr>
              <w:tabs>
                <w:tab w:val="left" w:pos="8647"/>
              </w:tabs>
              <w:spacing w:after="0"/>
              <w:ind w:firstLine="0"/>
              <w:jc w:val="center"/>
              <w:rPr>
                <w:rFonts w:ascii="Arial" w:hAnsi="Arial" w:cs="Arial"/>
                <w:color w:val="000000"/>
                <w:sz w:val="16"/>
                <w:szCs w:val="16"/>
                <w:lang w:val="es-ES" w:eastAsia="es-ES"/>
              </w:rPr>
            </w:pPr>
            <w:r w:rsidRPr="00BF15FE">
              <w:rPr>
                <w:rFonts w:ascii="Arial" w:hAnsi="Arial" w:cs="Arial"/>
                <w:color w:val="000000"/>
                <w:sz w:val="16"/>
                <w:szCs w:val="16"/>
                <w:lang w:val="es-ES" w:eastAsia="es-ES"/>
              </w:rPr>
              <w:t>Curso 2017/2018</w:t>
            </w:r>
          </w:p>
        </w:tc>
        <w:tc>
          <w:tcPr>
            <w:tcW w:w="1990" w:type="dxa"/>
            <w:gridSpan w:val="3"/>
            <w:tcBorders>
              <w:top w:val="single" w:sz="4" w:space="0" w:color="auto"/>
              <w:left w:val="single" w:sz="4" w:space="0" w:color="auto"/>
              <w:bottom w:val="single" w:sz="4" w:space="0" w:color="auto"/>
              <w:right w:val="nil"/>
            </w:tcBorders>
            <w:shd w:val="clear" w:color="auto" w:fill="B8CCE4" w:themeFill="accent1" w:themeFillTint="66"/>
            <w:noWrap/>
            <w:vAlign w:val="center"/>
            <w:hideMark/>
          </w:tcPr>
          <w:p w:rsidR="00414999" w:rsidRPr="00BF15FE" w:rsidRDefault="00414999" w:rsidP="00F44C41">
            <w:pPr>
              <w:tabs>
                <w:tab w:val="left" w:pos="8647"/>
              </w:tabs>
              <w:spacing w:after="0"/>
              <w:ind w:firstLine="0"/>
              <w:jc w:val="center"/>
              <w:rPr>
                <w:rFonts w:ascii="Arial" w:hAnsi="Arial" w:cs="Arial"/>
                <w:color w:val="000000"/>
                <w:sz w:val="16"/>
                <w:szCs w:val="16"/>
                <w:lang w:val="es-ES" w:eastAsia="es-ES"/>
              </w:rPr>
            </w:pPr>
            <w:r w:rsidRPr="00BF15FE">
              <w:rPr>
                <w:rFonts w:ascii="Arial" w:hAnsi="Arial" w:cs="Arial"/>
                <w:color w:val="000000"/>
                <w:sz w:val="16"/>
                <w:szCs w:val="16"/>
                <w:lang w:val="es-ES" w:eastAsia="es-ES"/>
              </w:rPr>
              <w:t>Curso 2018/2019</w:t>
            </w:r>
          </w:p>
        </w:tc>
      </w:tr>
      <w:tr w:rsidR="00414999" w:rsidRPr="00BF15FE" w:rsidTr="000A1912">
        <w:trPr>
          <w:gridAfter w:val="1"/>
          <w:wAfter w:w="11" w:type="dxa"/>
          <w:trHeight w:val="646"/>
        </w:trPr>
        <w:tc>
          <w:tcPr>
            <w:tcW w:w="993" w:type="dxa"/>
            <w:tcBorders>
              <w:top w:val="single" w:sz="4" w:space="0" w:color="auto"/>
              <w:bottom w:val="single" w:sz="4" w:space="0" w:color="auto"/>
            </w:tcBorders>
            <w:shd w:val="clear" w:color="auto" w:fill="B8CCE4" w:themeFill="accent1" w:themeFillTint="66"/>
            <w:noWrap/>
            <w:vAlign w:val="center"/>
            <w:hideMark/>
          </w:tcPr>
          <w:p w:rsidR="00414999" w:rsidRPr="00BF15FE" w:rsidRDefault="00414999" w:rsidP="00F44C41">
            <w:pPr>
              <w:tabs>
                <w:tab w:val="left" w:pos="8647"/>
              </w:tabs>
              <w:spacing w:after="0"/>
              <w:ind w:firstLine="0"/>
              <w:jc w:val="left"/>
              <w:rPr>
                <w:rFonts w:ascii="Arial" w:hAnsi="Arial" w:cs="Arial"/>
                <w:color w:val="000000"/>
                <w:sz w:val="16"/>
                <w:szCs w:val="16"/>
                <w:lang w:val="es-ES" w:eastAsia="es-ES"/>
              </w:rPr>
            </w:pPr>
            <w:r w:rsidRPr="00BF15FE">
              <w:rPr>
                <w:rFonts w:ascii="Arial" w:hAnsi="Arial" w:cs="Arial"/>
                <w:color w:val="000000"/>
                <w:sz w:val="16"/>
                <w:szCs w:val="16"/>
                <w:lang w:val="es-ES" w:eastAsia="es-ES"/>
              </w:rPr>
              <w:t>Grados</w:t>
            </w:r>
          </w:p>
        </w:tc>
        <w:tc>
          <w:tcPr>
            <w:tcW w:w="992" w:type="dxa"/>
            <w:tcBorders>
              <w:top w:val="single" w:sz="4" w:space="0" w:color="auto"/>
              <w:bottom w:val="single" w:sz="4" w:space="0" w:color="auto"/>
            </w:tcBorders>
            <w:shd w:val="clear" w:color="auto" w:fill="B8CCE4" w:themeFill="accent1" w:themeFillTint="66"/>
            <w:vAlign w:val="center"/>
            <w:hideMark/>
          </w:tcPr>
          <w:p w:rsidR="00414999" w:rsidRPr="00BF15FE" w:rsidRDefault="00414999" w:rsidP="0000002F">
            <w:pPr>
              <w:tabs>
                <w:tab w:val="left" w:pos="8647"/>
              </w:tabs>
              <w:spacing w:after="0"/>
              <w:ind w:firstLine="0"/>
              <w:jc w:val="right"/>
              <w:rPr>
                <w:rFonts w:ascii="Arial" w:hAnsi="Arial" w:cs="Arial"/>
                <w:color w:val="000000"/>
                <w:sz w:val="16"/>
                <w:szCs w:val="16"/>
                <w:lang w:val="es-ES" w:eastAsia="es-ES"/>
              </w:rPr>
            </w:pPr>
            <w:r w:rsidRPr="00BF15FE">
              <w:rPr>
                <w:rFonts w:ascii="Arial" w:hAnsi="Arial" w:cs="Arial"/>
                <w:color w:val="000000"/>
                <w:sz w:val="16"/>
                <w:szCs w:val="16"/>
                <w:lang w:val="es-ES" w:eastAsia="es-ES"/>
              </w:rPr>
              <w:t xml:space="preserve"> Ciencias </w:t>
            </w:r>
            <w:r w:rsidR="0000002F">
              <w:rPr>
                <w:rFonts w:ascii="Arial" w:hAnsi="Arial" w:cs="Arial"/>
                <w:color w:val="000000"/>
                <w:sz w:val="16"/>
                <w:szCs w:val="16"/>
                <w:lang w:val="es-ES" w:eastAsia="es-ES"/>
              </w:rPr>
              <w:t xml:space="preserve">Sociales </w:t>
            </w:r>
            <w:r w:rsidRPr="00BF15FE">
              <w:rPr>
                <w:rFonts w:ascii="Arial" w:hAnsi="Arial" w:cs="Arial"/>
                <w:color w:val="000000"/>
                <w:sz w:val="16"/>
                <w:szCs w:val="16"/>
                <w:lang w:val="es-ES" w:eastAsia="es-ES"/>
              </w:rPr>
              <w:t xml:space="preserve">y </w:t>
            </w:r>
            <w:r w:rsidR="0000002F">
              <w:rPr>
                <w:rFonts w:ascii="Arial" w:hAnsi="Arial" w:cs="Arial"/>
                <w:color w:val="000000"/>
                <w:sz w:val="16"/>
                <w:szCs w:val="16"/>
                <w:lang w:val="es-ES" w:eastAsia="es-ES"/>
              </w:rPr>
              <w:t>Jurídicas</w:t>
            </w:r>
          </w:p>
        </w:tc>
        <w:tc>
          <w:tcPr>
            <w:tcW w:w="997" w:type="dxa"/>
            <w:tcBorders>
              <w:top w:val="single" w:sz="4" w:space="0" w:color="auto"/>
              <w:bottom w:val="single" w:sz="4" w:space="0" w:color="auto"/>
              <w:right w:val="single" w:sz="4" w:space="0" w:color="auto"/>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lang w:val="es-ES" w:eastAsia="es-ES"/>
              </w:rPr>
            </w:pPr>
            <w:r w:rsidRPr="00BF15FE">
              <w:rPr>
                <w:rFonts w:ascii="Arial" w:hAnsi="Arial" w:cs="Arial"/>
                <w:color w:val="000000"/>
                <w:sz w:val="16"/>
                <w:szCs w:val="16"/>
                <w:lang w:val="es-ES" w:eastAsia="es-ES"/>
              </w:rPr>
              <w:t> Ingenierías y Ciencias de la Salud</w:t>
            </w:r>
          </w:p>
        </w:tc>
        <w:tc>
          <w:tcPr>
            <w:tcW w:w="993" w:type="dxa"/>
            <w:tcBorders>
              <w:top w:val="single" w:sz="4" w:space="0" w:color="auto"/>
              <w:left w:val="single" w:sz="4" w:space="0" w:color="auto"/>
              <w:bottom w:val="single" w:sz="4" w:space="0" w:color="auto"/>
            </w:tcBorders>
            <w:shd w:val="clear" w:color="auto" w:fill="B8CCE4" w:themeFill="accent1" w:themeFillTint="66"/>
            <w:vAlign w:val="center"/>
            <w:hideMark/>
          </w:tcPr>
          <w:p w:rsidR="00414999" w:rsidRPr="00BF15FE" w:rsidRDefault="00414999" w:rsidP="0000002F">
            <w:pPr>
              <w:tabs>
                <w:tab w:val="left" w:pos="8647"/>
              </w:tabs>
              <w:spacing w:after="0"/>
              <w:ind w:firstLine="0"/>
              <w:jc w:val="right"/>
              <w:rPr>
                <w:rFonts w:ascii="Arial" w:hAnsi="Arial" w:cs="Arial"/>
                <w:color w:val="000000"/>
                <w:sz w:val="16"/>
                <w:szCs w:val="16"/>
                <w:lang w:val="es-ES" w:eastAsia="es-ES"/>
              </w:rPr>
            </w:pPr>
            <w:r w:rsidRPr="00BF15FE">
              <w:rPr>
                <w:rFonts w:ascii="Arial" w:hAnsi="Arial" w:cs="Arial"/>
                <w:color w:val="000000"/>
                <w:sz w:val="16"/>
                <w:szCs w:val="16"/>
                <w:lang w:val="es-ES" w:eastAsia="es-ES"/>
              </w:rPr>
              <w:t> Ciencias Sociales</w:t>
            </w:r>
            <w:r w:rsidR="0000002F">
              <w:rPr>
                <w:rFonts w:ascii="Arial" w:hAnsi="Arial" w:cs="Arial"/>
                <w:color w:val="000000"/>
                <w:sz w:val="16"/>
                <w:szCs w:val="16"/>
                <w:lang w:val="es-ES" w:eastAsia="es-ES"/>
              </w:rPr>
              <w:t xml:space="preserve"> y Jurídicas</w:t>
            </w:r>
          </w:p>
        </w:tc>
        <w:tc>
          <w:tcPr>
            <w:tcW w:w="992" w:type="dxa"/>
            <w:tcBorders>
              <w:top w:val="single" w:sz="4" w:space="0" w:color="auto"/>
              <w:bottom w:val="single" w:sz="4" w:space="0" w:color="auto"/>
              <w:right w:val="single" w:sz="4" w:space="0" w:color="auto"/>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lang w:val="es-ES" w:eastAsia="es-ES"/>
              </w:rPr>
            </w:pPr>
            <w:r w:rsidRPr="00BF15FE">
              <w:rPr>
                <w:rFonts w:ascii="Arial" w:hAnsi="Arial" w:cs="Arial"/>
                <w:color w:val="000000"/>
                <w:sz w:val="16"/>
                <w:szCs w:val="16"/>
                <w:lang w:val="es-ES" w:eastAsia="es-ES"/>
              </w:rPr>
              <w:t> Ingenierías y Ciencias de la Salud</w:t>
            </w:r>
          </w:p>
        </w:tc>
        <w:tc>
          <w:tcPr>
            <w:tcW w:w="992" w:type="dxa"/>
            <w:gridSpan w:val="2"/>
            <w:tcBorders>
              <w:top w:val="single" w:sz="4" w:space="0" w:color="auto"/>
              <w:left w:val="single" w:sz="4" w:space="0" w:color="auto"/>
              <w:bottom w:val="single" w:sz="4" w:space="0" w:color="auto"/>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lang w:val="es-ES" w:eastAsia="es-ES"/>
              </w:rPr>
            </w:pPr>
            <w:r w:rsidRPr="00BF15FE">
              <w:rPr>
                <w:rFonts w:ascii="Arial" w:hAnsi="Arial" w:cs="Arial"/>
                <w:color w:val="000000"/>
                <w:sz w:val="16"/>
                <w:szCs w:val="16"/>
                <w:lang w:val="es-ES" w:eastAsia="es-ES"/>
              </w:rPr>
              <w:t> Ciencias Sociales y Jurídicas</w:t>
            </w:r>
          </w:p>
        </w:tc>
        <w:tc>
          <w:tcPr>
            <w:tcW w:w="994" w:type="dxa"/>
            <w:tcBorders>
              <w:top w:val="single" w:sz="4" w:space="0" w:color="auto"/>
              <w:bottom w:val="single" w:sz="4" w:space="0" w:color="auto"/>
              <w:right w:val="single" w:sz="4" w:space="0" w:color="auto"/>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lang w:val="es-ES" w:eastAsia="es-ES"/>
              </w:rPr>
            </w:pPr>
            <w:r w:rsidRPr="00BF15FE">
              <w:rPr>
                <w:rFonts w:ascii="Arial" w:hAnsi="Arial" w:cs="Arial"/>
                <w:color w:val="000000"/>
                <w:sz w:val="16"/>
                <w:szCs w:val="16"/>
                <w:lang w:val="es-ES" w:eastAsia="es-ES"/>
              </w:rPr>
              <w:t> Ingenierías y Ciencias de la Salud</w:t>
            </w:r>
          </w:p>
        </w:tc>
        <w:tc>
          <w:tcPr>
            <w:tcW w:w="991" w:type="dxa"/>
            <w:gridSpan w:val="2"/>
            <w:tcBorders>
              <w:top w:val="single" w:sz="4" w:space="0" w:color="auto"/>
              <w:left w:val="single" w:sz="4" w:space="0" w:color="auto"/>
              <w:bottom w:val="single" w:sz="4" w:space="0" w:color="auto"/>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lang w:val="es-ES" w:eastAsia="es-ES"/>
              </w:rPr>
            </w:pPr>
            <w:r w:rsidRPr="00BF15FE">
              <w:rPr>
                <w:rFonts w:ascii="Arial" w:hAnsi="Arial" w:cs="Arial"/>
                <w:color w:val="000000"/>
                <w:sz w:val="16"/>
                <w:szCs w:val="16"/>
                <w:lang w:val="es-ES" w:eastAsia="es-ES"/>
              </w:rPr>
              <w:t> Ciencias Sociales y Jurídicas</w:t>
            </w:r>
          </w:p>
        </w:tc>
        <w:tc>
          <w:tcPr>
            <w:tcW w:w="994" w:type="dxa"/>
            <w:tcBorders>
              <w:top w:val="single" w:sz="4" w:space="0" w:color="auto"/>
              <w:bottom w:val="single" w:sz="4" w:space="0" w:color="auto"/>
              <w:right w:val="nil"/>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lang w:val="es-ES" w:eastAsia="es-ES"/>
              </w:rPr>
            </w:pPr>
            <w:r w:rsidRPr="00BF15FE">
              <w:rPr>
                <w:rFonts w:ascii="Arial" w:hAnsi="Arial" w:cs="Arial"/>
                <w:color w:val="000000"/>
                <w:sz w:val="16"/>
                <w:szCs w:val="16"/>
                <w:lang w:val="es-ES" w:eastAsia="es-ES"/>
              </w:rPr>
              <w:t> Ingenierías y Ciencias de la Salud</w:t>
            </w:r>
          </w:p>
        </w:tc>
      </w:tr>
      <w:tr w:rsidR="00414999" w:rsidRPr="006A3B56" w:rsidTr="000A1912">
        <w:trPr>
          <w:gridAfter w:val="1"/>
          <w:wAfter w:w="11" w:type="dxa"/>
          <w:trHeight w:val="255"/>
        </w:trPr>
        <w:tc>
          <w:tcPr>
            <w:tcW w:w="993" w:type="dxa"/>
            <w:tcBorders>
              <w:top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lef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1ª matrícula</w:t>
            </w:r>
          </w:p>
        </w:tc>
        <w:tc>
          <w:tcPr>
            <w:tcW w:w="992" w:type="dxa"/>
            <w:tcBorders>
              <w:top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15,70</w:t>
            </w:r>
          </w:p>
        </w:tc>
        <w:tc>
          <w:tcPr>
            <w:tcW w:w="997" w:type="dxa"/>
            <w:tcBorders>
              <w:top w:val="single" w:sz="4"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22,24</w:t>
            </w:r>
          </w:p>
        </w:tc>
        <w:tc>
          <w:tcPr>
            <w:tcW w:w="993" w:type="dxa"/>
            <w:tcBorders>
              <w:top w:val="single" w:sz="4"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15,90</w:t>
            </w:r>
          </w:p>
        </w:tc>
        <w:tc>
          <w:tcPr>
            <w:tcW w:w="992" w:type="dxa"/>
            <w:tcBorders>
              <w:top w:val="single" w:sz="4"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22,53</w:t>
            </w:r>
          </w:p>
        </w:tc>
        <w:tc>
          <w:tcPr>
            <w:tcW w:w="992" w:type="dxa"/>
            <w:gridSpan w:val="2"/>
            <w:tcBorders>
              <w:top w:val="single" w:sz="4"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16,27</w:t>
            </w:r>
          </w:p>
        </w:tc>
        <w:tc>
          <w:tcPr>
            <w:tcW w:w="994" w:type="dxa"/>
            <w:tcBorders>
              <w:top w:val="single" w:sz="4"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23,05</w:t>
            </w:r>
          </w:p>
        </w:tc>
        <w:tc>
          <w:tcPr>
            <w:tcW w:w="991" w:type="dxa"/>
            <w:gridSpan w:val="2"/>
            <w:tcBorders>
              <w:top w:val="single" w:sz="4"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16,25</w:t>
            </w:r>
          </w:p>
        </w:tc>
        <w:tc>
          <w:tcPr>
            <w:tcW w:w="994" w:type="dxa"/>
            <w:tcBorders>
              <w:top w:val="single" w:sz="4" w:space="0" w:color="auto"/>
              <w:bottom w:val="single" w:sz="2" w:space="0" w:color="auto"/>
              <w:right w:val="nil"/>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23,05</w:t>
            </w:r>
          </w:p>
        </w:tc>
      </w:tr>
      <w:tr w:rsidR="00414999" w:rsidRPr="006A3B56" w:rsidTr="000A1912">
        <w:trPr>
          <w:gridAfter w:val="1"/>
          <w:wAfter w:w="11" w:type="dxa"/>
          <w:trHeight w:val="255"/>
        </w:trPr>
        <w:tc>
          <w:tcPr>
            <w:tcW w:w="993" w:type="dxa"/>
            <w:tcBorders>
              <w:top w:val="single" w:sz="2"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lef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2ª matrícula</w:t>
            </w:r>
          </w:p>
        </w:tc>
        <w:tc>
          <w:tcPr>
            <w:tcW w:w="992" w:type="dxa"/>
            <w:tcBorders>
              <w:top w:val="single" w:sz="2"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31,41</w:t>
            </w:r>
          </w:p>
        </w:tc>
        <w:tc>
          <w:tcPr>
            <w:tcW w:w="997" w:type="dxa"/>
            <w:tcBorders>
              <w:top w:val="single" w:sz="2"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44,47</w:t>
            </w:r>
          </w:p>
        </w:tc>
        <w:tc>
          <w:tcPr>
            <w:tcW w:w="993" w:type="dxa"/>
            <w:tcBorders>
              <w:top w:val="single" w:sz="2"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31,82</w:t>
            </w:r>
          </w:p>
        </w:tc>
        <w:tc>
          <w:tcPr>
            <w:tcW w:w="992" w:type="dxa"/>
            <w:tcBorders>
              <w:top w:val="single" w:sz="2"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45,05</w:t>
            </w:r>
          </w:p>
        </w:tc>
        <w:tc>
          <w:tcPr>
            <w:tcW w:w="992" w:type="dxa"/>
            <w:gridSpan w:val="2"/>
            <w:tcBorders>
              <w:top w:val="single" w:sz="2"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32,55</w:t>
            </w:r>
          </w:p>
        </w:tc>
        <w:tc>
          <w:tcPr>
            <w:tcW w:w="994" w:type="dxa"/>
            <w:tcBorders>
              <w:top w:val="single" w:sz="2"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46,09</w:t>
            </w:r>
          </w:p>
        </w:tc>
        <w:tc>
          <w:tcPr>
            <w:tcW w:w="991" w:type="dxa"/>
            <w:gridSpan w:val="2"/>
            <w:tcBorders>
              <w:top w:val="single" w:sz="2"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32,50</w:t>
            </w:r>
          </w:p>
        </w:tc>
        <w:tc>
          <w:tcPr>
            <w:tcW w:w="994" w:type="dxa"/>
            <w:tcBorders>
              <w:top w:val="single" w:sz="2" w:space="0" w:color="auto"/>
              <w:bottom w:val="single" w:sz="2" w:space="0" w:color="auto"/>
              <w:right w:val="nil"/>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46,10</w:t>
            </w:r>
          </w:p>
        </w:tc>
      </w:tr>
      <w:tr w:rsidR="00414999" w:rsidRPr="006A3B56" w:rsidTr="000A1912">
        <w:trPr>
          <w:gridAfter w:val="1"/>
          <w:wAfter w:w="11" w:type="dxa"/>
          <w:trHeight w:val="255"/>
        </w:trPr>
        <w:tc>
          <w:tcPr>
            <w:tcW w:w="993" w:type="dxa"/>
            <w:tcBorders>
              <w:top w:val="single" w:sz="2"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lef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3ª matrícula</w:t>
            </w:r>
          </w:p>
        </w:tc>
        <w:tc>
          <w:tcPr>
            <w:tcW w:w="992" w:type="dxa"/>
            <w:tcBorders>
              <w:top w:val="single" w:sz="2"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68,05</w:t>
            </w:r>
          </w:p>
        </w:tc>
        <w:tc>
          <w:tcPr>
            <w:tcW w:w="997" w:type="dxa"/>
            <w:tcBorders>
              <w:top w:val="single" w:sz="2"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96,35</w:t>
            </w:r>
          </w:p>
        </w:tc>
        <w:tc>
          <w:tcPr>
            <w:tcW w:w="993" w:type="dxa"/>
            <w:tcBorders>
              <w:top w:val="single" w:sz="2"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68,93</w:t>
            </w:r>
          </w:p>
        </w:tc>
        <w:tc>
          <w:tcPr>
            <w:tcW w:w="992" w:type="dxa"/>
            <w:tcBorders>
              <w:top w:val="single" w:sz="2"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97,60</w:t>
            </w:r>
          </w:p>
        </w:tc>
        <w:tc>
          <w:tcPr>
            <w:tcW w:w="992" w:type="dxa"/>
            <w:gridSpan w:val="2"/>
            <w:tcBorders>
              <w:top w:val="single" w:sz="2"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70,52</w:t>
            </w:r>
          </w:p>
        </w:tc>
        <w:tc>
          <w:tcPr>
            <w:tcW w:w="994" w:type="dxa"/>
            <w:tcBorders>
              <w:top w:val="single" w:sz="2"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99,84</w:t>
            </w:r>
          </w:p>
        </w:tc>
        <w:tc>
          <w:tcPr>
            <w:tcW w:w="991" w:type="dxa"/>
            <w:gridSpan w:val="2"/>
            <w:tcBorders>
              <w:top w:val="single" w:sz="2"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70,50</w:t>
            </w:r>
          </w:p>
        </w:tc>
        <w:tc>
          <w:tcPr>
            <w:tcW w:w="994" w:type="dxa"/>
            <w:tcBorders>
              <w:top w:val="single" w:sz="2" w:space="0" w:color="auto"/>
              <w:bottom w:val="single" w:sz="2" w:space="0" w:color="auto"/>
              <w:right w:val="nil"/>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99,85</w:t>
            </w:r>
          </w:p>
        </w:tc>
      </w:tr>
      <w:tr w:rsidR="00414999" w:rsidRPr="006A3B56" w:rsidTr="000A1912">
        <w:trPr>
          <w:gridAfter w:val="1"/>
          <w:wAfter w:w="11" w:type="dxa"/>
          <w:trHeight w:val="255"/>
        </w:trPr>
        <w:tc>
          <w:tcPr>
            <w:tcW w:w="993" w:type="dxa"/>
            <w:tcBorders>
              <w:top w:val="single" w:sz="2" w:space="0" w:color="auto"/>
              <w:bottom w:val="single" w:sz="4" w:space="0" w:color="auto"/>
            </w:tcBorders>
            <w:shd w:val="clear" w:color="auto" w:fill="auto"/>
            <w:vAlign w:val="center"/>
            <w:hideMark/>
          </w:tcPr>
          <w:p w:rsidR="00414999" w:rsidRPr="006A3B56" w:rsidRDefault="000A1912" w:rsidP="000A1912">
            <w:pPr>
              <w:tabs>
                <w:tab w:val="left" w:pos="8647"/>
              </w:tabs>
              <w:spacing w:after="0"/>
              <w:ind w:firstLine="0"/>
              <w:jc w:val="lef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4ª y sig.</w:t>
            </w:r>
          </w:p>
        </w:tc>
        <w:tc>
          <w:tcPr>
            <w:tcW w:w="992" w:type="dxa"/>
            <w:tcBorders>
              <w:top w:val="single" w:sz="2" w:space="0" w:color="auto"/>
              <w:bottom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94,22</w:t>
            </w:r>
          </w:p>
        </w:tc>
        <w:tc>
          <w:tcPr>
            <w:tcW w:w="997" w:type="dxa"/>
            <w:tcBorders>
              <w:top w:val="single" w:sz="2" w:space="0" w:color="auto"/>
              <w:bottom w:val="single" w:sz="4"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133,41</w:t>
            </w:r>
          </w:p>
        </w:tc>
        <w:tc>
          <w:tcPr>
            <w:tcW w:w="993" w:type="dxa"/>
            <w:tcBorders>
              <w:top w:val="single" w:sz="2" w:space="0" w:color="auto"/>
              <w:left w:val="single" w:sz="4" w:space="0" w:color="auto"/>
              <w:bottom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95,44</w:t>
            </w:r>
          </w:p>
        </w:tc>
        <w:tc>
          <w:tcPr>
            <w:tcW w:w="992" w:type="dxa"/>
            <w:tcBorders>
              <w:top w:val="single" w:sz="2" w:space="0" w:color="auto"/>
              <w:bottom w:val="single" w:sz="4"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135,14</w:t>
            </w:r>
          </w:p>
        </w:tc>
        <w:tc>
          <w:tcPr>
            <w:tcW w:w="992" w:type="dxa"/>
            <w:gridSpan w:val="2"/>
            <w:tcBorders>
              <w:top w:val="single" w:sz="2" w:space="0" w:color="auto"/>
              <w:left w:val="single" w:sz="4" w:space="0" w:color="auto"/>
              <w:bottom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97,64</w:t>
            </w:r>
          </w:p>
        </w:tc>
        <w:tc>
          <w:tcPr>
            <w:tcW w:w="994" w:type="dxa"/>
            <w:tcBorders>
              <w:top w:val="single" w:sz="2" w:space="0" w:color="auto"/>
              <w:bottom w:val="single" w:sz="4"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138,25</w:t>
            </w:r>
          </w:p>
        </w:tc>
        <w:tc>
          <w:tcPr>
            <w:tcW w:w="991" w:type="dxa"/>
            <w:gridSpan w:val="2"/>
            <w:tcBorders>
              <w:top w:val="single" w:sz="2" w:space="0" w:color="auto"/>
              <w:left w:val="single" w:sz="4" w:space="0" w:color="auto"/>
              <w:bottom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97,65</w:t>
            </w:r>
          </w:p>
        </w:tc>
        <w:tc>
          <w:tcPr>
            <w:tcW w:w="994" w:type="dxa"/>
            <w:tcBorders>
              <w:top w:val="single" w:sz="2" w:space="0" w:color="auto"/>
              <w:bottom w:val="single" w:sz="4" w:space="0" w:color="auto"/>
              <w:right w:val="nil"/>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138,25</w:t>
            </w:r>
          </w:p>
        </w:tc>
      </w:tr>
      <w:tr w:rsidR="00414999" w:rsidRPr="00BF15FE" w:rsidTr="000A1912">
        <w:trPr>
          <w:gridAfter w:val="1"/>
          <w:wAfter w:w="11" w:type="dxa"/>
          <w:trHeight w:val="284"/>
        </w:trPr>
        <w:tc>
          <w:tcPr>
            <w:tcW w:w="993" w:type="dxa"/>
            <w:tcBorders>
              <w:top w:val="single" w:sz="4" w:space="0" w:color="auto"/>
              <w:bottom w:val="single" w:sz="4" w:space="0" w:color="auto"/>
            </w:tcBorders>
            <w:shd w:val="clear" w:color="auto" w:fill="B8CCE4" w:themeFill="accent1" w:themeFillTint="66"/>
            <w:noWrap/>
            <w:vAlign w:val="center"/>
            <w:hideMark/>
          </w:tcPr>
          <w:p w:rsidR="00414999" w:rsidRPr="00BF15FE" w:rsidRDefault="00414999" w:rsidP="00F44C41">
            <w:pPr>
              <w:tabs>
                <w:tab w:val="left" w:pos="8647"/>
              </w:tabs>
              <w:spacing w:after="0"/>
              <w:ind w:firstLine="0"/>
              <w:jc w:val="left"/>
              <w:rPr>
                <w:rFonts w:ascii="Arial" w:hAnsi="Arial" w:cs="Arial"/>
                <w:sz w:val="16"/>
                <w:szCs w:val="16"/>
                <w:lang w:val="es-ES" w:eastAsia="es-ES"/>
              </w:rPr>
            </w:pPr>
            <w:r w:rsidRPr="00BF15FE">
              <w:rPr>
                <w:rFonts w:ascii="Arial" w:hAnsi="Arial" w:cs="Arial"/>
                <w:sz w:val="16"/>
                <w:szCs w:val="16"/>
                <w:lang w:val="es-ES" w:eastAsia="es-ES"/>
              </w:rPr>
              <w:t>Posgrados</w:t>
            </w:r>
          </w:p>
        </w:tc>
        <w:tc>
          <w:tcPr>
            <w:tcW w:w="992" w:type="dxa"/>
            <w:tcBorders>
              <w:top w:val="single" w:sz="4" w:space="0" w:color="auto"/>
              <w:bottom w:val="single" w:sz="4" w:space="0" w:color="auto"/>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lang w:val="es-ES" w:eastAsia="es-ES"/>
              </w:rPr>
            </w:pPr>
            <w:r w:rsidRPr="00BF15FE">
              <w:rPr>
                <w:rFonts w:ascii="Arial" w:hAnsi="Arial" w:cs="Arial"/>
                <w:color w:val="000000"/>
                <w:sz w:val="16"/>
                <w:szCs w:val="16"/>
                <w:lang w:val="es-ES" w:eastAsia="es-ES"/>
              </w:rPr>
              <w:t> Master</w:t>
            </w:r>
          </w:p>
          <w:p w:rsidR="00414999" w:rsidRPr="00BF15FE" w:rsidRDefault="00414999" w:rsidP="00F44C41">
            <w:pPr>
              <w:tabs>
                <w:tab w:val="left" w:pos="8647"/>
              </w:tabs>
              <w:spacing w:after="0"/>
              <w:ind w:firstLine="0"/>
              <w:jc w:val="right"/>
              <w:rPr>
                <w:rFonts w:ascii="Arial" w:hAnsi="Arial" w:cs="Arial"/>
                <w:color w:val="000000"/>
                <w:sz w:val="16"/>
                <w:szCs w:val="16"/>
                <w:lang w:val="es-ES" w:eastAsia="es-ES"/>
              </w:rPr>
            </w:pPr>
            <w:r w:rsidRPr="00BF15FE">
              <w:rPr>
                <w:rFonts w:ascii="Arial" w:hAnsi="Arial" w:cs="Arial"/>
                <w:color w:val="000000"/>
                <w:sz w:val="16"/>
                <w:szCs w:val="16"/>
                <w:lang w:val="es-ES" w:eastAsia="es-ES"/>
              </w:rPr>
              <w:t xml:space="preserve"> habilitante </w:t>
            </w:r>
          </w:p>
        </w:tc>
        <w:tc>
          <w:tcPr>
            <w:tcW w:w="997" w:type="dxa"/>
            <w:tcBorders>
              <w:top w:val="single" w:sz="4" w:space="0" w:color="auto"/>
              <w:bottom w:val="single" w:sz="4" w:space="0" w:color="auto"/>
              <w:right w:val="single" w:sz="4" w:space="0" w:color="auto"/>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lang w:val="es-ES" w:eastAsia="es-ES"/>
              </w:rPr>
            </w:pPr>
            <w:r w:rsidRPr="00BF15FE">
              <w:rPr>
                <w:rFonts w:ascii="Arial" w:hAnsi="Arial" w:cs="Arial"/>
                <w:color w:val="000000"/>
                <w:sz w:val="16"/>
                <w:szCs w:val="16"/>
                <w:lang w:val="es-ES" w:eastAsia="es-ES"/>
              </w:rPr>
              <w:t> Master no</w:t>
            </w:r>
          </w:p>
          <w:p w:rsidR="00414999" w:rsidRPr="00BF15FE" w:rsidRDefault="00414999" w:rsidP="00F44C41">
            <w:pPr>
              <w:tabs>
                <w:tab w:val="left" w:pos="8647"/>
              </w:tabs>
              <w:spacing w:after="0"/>
              <w:ind w:firstLine="0"/>
              <w:jc w:val="right"/>
              <w:rPr>
                <w:rFonts w:ascii="Arial" w:hAnsi="Arial" w:cs="Arial"/>
                <w:color w:val="000000"/>
                <w:sz w:val="16"/>
                <w:szCs w:val="16"/>
                <w:lang w:val="es-ES" w:eastAsia="es-ES"/>
              </w:rPr>
            </w:pPr>
            <w:r w:rsidRPr="00BF15FE">
              <w:rPr>
                <w:rFonts w:ascii="Arial" w:hAnsi="Arial" w:cs="Arial"/>
                <w:color w:val="000000"/>
                <w:sz w:val="16"/>
                <w:szCs w:val="16"/>
                <w:lang w:val="es-ES" w:eastAsia="es-ES"/>
              </w:rPr>
              <w:t xml:space="preserve"> habilitante </w:t>
            </w:r>
          </w:p>
        </w:tc>
        <w:tc>
          <w:tcPr>
            <w:tcW w:w="993" w:type="dxa"/>
            <w:tcBorders>
              <w:top w:val="single" w:sz="4" w:space="0" w:color="auto"/>
              <w:left w:val="single" w:sz="4" w:space="0" w:color="auto"/>
              <w:bottom w:val="single" w:sz="4" w:space="0" w:color="auto"/>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lang w:val="es-ES" w:eastAsia="es-ES"/>
              </w:rPr>
            </w:pPr>
            <w:r w:rsidRPr="00BF15FE">
              <w:rPr>
                <w:rFonts w:ascii="Arial" w:hAnsi="Arial" w:cs="Arial"/>
                <w:color w:val="000000"/>
                <w:sz w:val="16"/>
                <w:szCs w:val="16"/>
                <w:lang w:val="es-ES" w:eastAsia="es-ES"/>
              </w:rPr>
              <w:t> Master</w:t>
            </w:r>
          </w:p>
          <w:p w:rsidR="00414999" w:rsidRPr="00BF15FE" w:rsidRDefault="00414999" w:rsidP="00F44C41">
            <w:pPr>
              <w:tabs>
                <w:tab w:val="left" w:pos="8647"/>
              </w:tabs>
              <w:spacing w:after="0"/>
              <w:ind w:firstLine="0"/>
              <w:jc w:val="right"/>
              <w:rPr>
                <w:rFonts w:ascii="Arial" w:hAnsi="Arial" w:cs="Arial"/>
                <w:color w:val="000000"/>
                <w:sz w:val="16"/>
                <w:szCs w:val="16"/>
                <w:lang w:val="es-ES" w:eastAsia="es-ES"/>
              </w:rPr>
            </w:pPr>
            <w:r w:rsidRPr="00BF15FE">
              <w:rPr>
                <w:rFonts w:ascii="Arial" w:hAnsi="Arial" w:cs="Arial"/>
                <w:color w:val="000000"/>
                <w:sz w:val="16"/>
                <w:szCs w:val="16"/>
                <w:lang w:val="es-ES" w:eastAsia="es-ES"/>
              </w:rPr>
              <w:t xml:space="preserve"> habilitante </w:t>
            </w:r>
          </w:p>
        </w:tc>
        <w:tc>
          <w:tcPr>
            <w:tcW w:w="992" w:type="dxa"/>
            <w:tcBorders>
              <w:top w:val="single" w:sz="4" w:space="0" w:color="auto"/>
              <w:bottom w:val="single" w:sz="4" w:space="0" w:color="auto"/>
              <w:right w:val="single" w:sz="4" w:space="0" w:color="auto"/>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lang w:val="es-ES" w:eastAsia="es-ES"/>
              </w:rPr>
            </w:pPr>
            <w:r w:rsidRPr="00BF15FE">
              <w:rPr>
                <w:rFonts w:ascii="Arial" w:hAnsi="Arial" w:cs="Arial"/>
                <w:color w:val="000000"/>
                <w:sz w:val="16"/>
                <w:szCs w:val="16"/>
                <w:lang w:val="es-ES" w:eastAsia="es-ES"/>
              </w:rPr>
              <w:t> Master no</w:t>
            </w:r>
          </w:p>
          <w:p w:rsidR="00414999" w:rsidRPr="00BF15FE" w:rsidRDefault="00414999" w:rsidP="00F44C41">
            <w:pPr>
              <w:tabs>
                <w:tab w:val="left" w:pos="8647"/>
              </w:tabs>
              <w:spacing w:after="0"/>
              <w:ind w:firstLine="0"/>
              <w:jc w:val="right"/>
              <w:rPr>
                <w:rFonts w:ascii="Arial" w:hAnsi="Arial" w:cs="Arial"/>
                <w:color w:val="000000"/>
                <w:sz w:val="16"/>
                <w:szCs w:val="16"/>
                <w:lang w:val="es-ES" w:eastAsia="es-ES"/>
              </w:rPr>
            </w:pPr>
            <w:r w:rsidRPr="00BF15FE">
              <w:rPr>
                <w:rFonts w:ascii="Arial" w:hAnsi="Arial" w:cs="Arial"/>
                <w:color w:val="000000"/>
                <w:sz w:val="16"/>
                <w:szCs w:val="16"/>
                <w:lang w:val="es-ES" w:eastAsia="es-ES"/>
              </w:rPr>
              <w:t xml:space="preserve"> habilitante </w:t>
            </w:r>
          </w:p>
        </w:tc>
        <w:tc>
          <w:tcPr>
            <w:tcW w:w="992" w:type="dxa"/>
            <w:gridSpan w:val="2"/>
            <w:tcBorders>
              <w:top w:val="single" w:sz="4" w:space="0" w:color="auto"/>
              <w:left w:val="single" w:sz="4" w:space="0" w:color="auto"/>
              <w:bottom w:val="single" w:sz="4" w:space="0" w:color="auto"/>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lang w:val="es-ES" w:eastAsia="es-ES"/>
              </w:rPr>
            </w:pPr>
            <w:r w:rsidRPr="00BF15FE">
              <w:rPr>
                <w:rFonts w:ascii="Arial" w:hAnsi="Arial" w:cs="Arial"/>
                <w:color w:val="000000"/>
                <w:sz w:val="16"/>
                <w:szCs w:val="16"/>
                <w:lang w:val="es-ES" w:eastAsia="es-ES"/>
              </w:rPr>
              <w:t> Master</w:t>
            </w:r>
          </w:p>
          <w:p w:rsidR="00414999" w:rsidRPr="00BF15FE" w:rsidRDefault="00414999" w:rsidP="00F44C41">
            <w:pPr>
              <w:tabs>
                <w:tab w:val="left" w:pos="8647"/>
              </w:tabs>
              <w:spacing w:after="0"/>
              <w:ind w:firstLine="0"/>
              <w:jc w:val="right"/>
              <w:rPr>
                <w:rFonts w:ascii="Arial" w:hAnsi="Arial" w:cs="Arial"/>
                <w:color w:val="000000"/>
                <w:sz w:val="16"/>
                <w:szCs w:val="16"/>
                <w:lang w:val="es-ES" w:eastAsia="es-ES"/>
              </w:rPr>
            </w:pPr>
            <w:r w:rsidRPr="00BF15FE">
              <w:rPr>
                <w:rFonts w:ascii="Arial" w:hAnsi="Arial" w:cs="Arial"/>
                <w:color w:val="000000"/>
                <w:sz w:val="16"/>
                <w:szCs w:val="16"/>
                <w:lang w:val="es-ES" w:eastAsia="es-ES"/>
              </w:rPr>
              <w:t xml:space="preserve"> habilitante </w:t>
            </w:r>
          </w:p>
        </w:tc>
        <w:tc>
          <w:tcPr>
            <w:tcW w:w="994" w:type="dxa"/>
            <w:tcBorders>
              <w:top w:val="single" w:sz="4" w:space="0" w:color="auto"/>
              <w:bottom w:val="single" w:sz="4" w:space="0" w:color="auto"/>
              <w:right w:val="single" w:sz="4" w:space="0" w:color="auto"/>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lang w:val="es-ES" w:eastAsia="es-ES"/>
              </w:rPr>
            </w:pPr>
            <w:r w:rsidRPr="00BF15FE">
              <w:rPr>
                <w:rFonts w:ascii="Arial" w:hAnsi="Arial" w:cs="Arial"/>
                <w:color w:val="000000"/>
                <w:sz w:val="16"/>
                <w:szCs w:val="16"/>
                <w:lang w:val="es-ES" w:eastAsia="es-ES"/>
              </w:rPr>
              <w:t> Master no</w:t>
            </w:r>
          </w:p>
          <w:p w:rsidR="00414999" w:rsidRPr="00BF15FE" w:rsidRDefault="00414999" w:rsidP="00F44C41">
            <w:pPr>
              <w:tabs>
                <w:tab w:val="left" w:pos="8647"/>
              </w:tabs>
              <w:spacing w:after="0"/>
              <w:ind w:firstLine="0"/>
              <w:jc w:val="right"/>
              <w:rPr>
                <w:rFonts w:ascii="Arial" w:hAnsi="Arial" w:cs="Arial"/>
                <w:color w:val="000000"/>
                <w:sz w:val="16"/>
                <w:szCs w:val="16"/>
                <w:lang w:val="es-ES" w:eastAsia="es-ES"/>
              </w:rPr>
            </w:pPr>
            <w:r w:rsidRPr="00BF15FE">
              <w:rPr>
                <w:rFonts w:ascii="Arial" w:hAnsi="Arial" w:cs="Arial"/>
                <w:color w:val="000000"/>
                <w:sz w:val="16"/>
                <w:szCs w:val="16"/>
                <w:lang w:val="es-ES" w:eastAsia="es-ES"/>
              </w:rPr>
              <w:t xml:space="preserve"> habilitante </w:t>
            </w:r>
          </w:p>
        </w:tc>
        <w:tc>
          <w:tcPr>
            <w:tcW w:w="991" w:type="dxa"/>
            <w:gridSpan w:val="2"/>
            <w:tcBorders>
              <w:top w:val="single" w:sz="4" w:space="0" w:color="auto"/>
              <w:left w:val="single" w:sz="4" w:space="0" w:color="auto"/>
              <w:bottom w:val="single" w:sz="4" w:space="0" w:color="auto"/>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lang w:val="es-ES" w:eastAsia="es-ES"/>
              </w:rPr>
            </w:pPr>
            <w:r w:rsidRPr="00BF15FE">
              <w:rPr>
                <w:rFonts w:ascii="Arial" w:hAnsi="Arial" w:cs="Arial"/>
                <w:color w:val="000000"/>
                <w:sz w:val="16"/>
                <w:szCs w:val="16"/>
                <w:lang w:val="es-ES" w:eastAsia="es-ES"/>
              </w:rPr>
              <w:t> Master</w:t>
            </w:r>
          </w:p>
          <w:p w:rsidR="00414999" w:rsidRPr="00BF15FE" w:rsidRDefault="00414999" w:rsidP="00F44C41">
            <w:pPr>
              <w:tabs>
                <w:tab w:val="left" w:pos="8647"/>
              </w:tabs>
              <w:spacing w:after="0"/>
              <w:ind w:firstLine="0"/>
              <w:jc w:val="right"/>
              <w:rPr>
                <w:rFonts w:ascii="Arial" w:hAnsi="Arial" w:cs="Arial"/>
                <w:color w:val="000000"/>
                <w:sz w:val="16"/>
                <w:szCs w:val="16"/>
                <w:lang w:val="es-ES" w:eastAsia="es-ES"/>
              </w:rPr>
            </w:pPr>
            <w:r w:rsidRPr="00BF15FE">
              <w:rPr>
                <w:rFonts w:ascii="Arial" w:hAnsi="Arial" w:cs="Arial"/>
                <w:color w:val="000000"/>
                <w:sz w:val="16"/>
                <w:szCs w:val="16"/>
                <w:lang w:val="es-ES" w:eastAsia="es-ES"/>
              </w:rPr>
              <w:t xml:space="preserve"> habilitante</w:t>
            </w:r>
          </w:p>
        </w:tc>
        <w:tc>
          <w:tcPr>
            <w:tcW w:w="994" w:type="dxa"/>
            <w:tcBorders>
              <w:top w:val="single" w:sz="4" w:space="0" w:color="auto"/>
              <w:bottom w:val="single" w:sz="4" w:space="0" w:color="auto"/>
              <w:right w:val="nil"/>
            </w:tcBorders>
            <w:shd w:val="clear" w:color="auto" w:fill="B8CCE4" w:themeFill="accent1" w:themeFillTint="66"/>
            <w:vAlign w:val="center"/>
            <w:hideMark/>
          </w:tcPr>
          <w:p w:rsidR="00414999" w:rsidRPr="00BF15FE" w:rsidRDefault="00414999" w:rsidP="00F44C41">
            <w:pPr>
              <w:tabs>
                <w:tab w:val="left" w:pos="8647"/>
              </w:tabs>
              <w:spacing w:after="0"/>
              <w:ind w:firstLine="0"/>
              <w:jc w:val="right"/>
              <w:rPr>
                <w:rFonts w:ascii="Arial" w:hAnsi="Arial" w:cs="Arial"/>
                <w:color w:val="000000"/>
                <w:sz w:val="16"/>
                <w:szCs w:val="16"/>
                <w:lang w:val="es-ES" w:eastAsia="es-ES"/>
              </w:rPr>
            </w:pPr>
            <w:r w:rsidRPr="00BF15FE">
              <w:rPr>
                <w:rFonts w:ascii="Arial" w:hAnsi="Arial" w:cs="Arial"/>
                <w:color w:val="000000"/>
                <w:sz w:val="16"/>
                <w:szCs w:val="16"/>
                <w:lang w:val="es-ES" w:eastAsia="es-ES"/>
              </w:rPr>
              <w:t> Master no</w:t>
            </w:r>
          </w:p>
          <w:p w:rsidR="00414999" w:rsidRPr="00BF15FE" w:rsidRDefault="00414999" w:rsidP="00F44C41">
            <w:pPr>
              <w:tabs>
                <w:tab w:val="left" w:pos="8647"/>
              </w:tabs>
              <w:spacing w:after="0"/>
              <w:ind w:firstLine="0"/>
              <w:jc w:val="right"/>
              <w:rPr>
                <w:rFonts w:ascii="Arial" w:hAnsi="Arial" w:cs="Arial"/>
                <w:color w:val="000000"/>
                <w:sz w:val="16"/>
                <w:szCs w:val="16"/>
                <w:lang w:val="es-ES" w:eastAsia="es-ES"/>
              </w:rPr>
            </w:pPr>
            <w:r w:rsidRPr="00BF15FE">
              <w:rPr>
                <w:rFonts w:ascii="Arial" w:hAnsi="Arial" w:cs="Arial"/>
                <w:color w:val="000000"/>
                <w:sz w:val="16"/>
                <w:szCs w:val="16"/>
                <w:lang w:val="es-ES" w:eastAsia="es-ES"/>
              </w:rPr>
              <w:t xml:space="preserve"> habilitante </w:t>
            </w:r>
          </w:p>
        </w:tc>
      </w:tr>
      <w:tr w:rsidR="00414999" w:rsidRPr="006A3B56" w:rsidTr="000A1912">
        <w:trPr>
          <w:gridAfter w:val="1"/>
          <w:wAfter w:w="11" w:type="dxa"/>
          <w:trHeight w:val="255"/>
        </w:trPr>
        <w:tc>
          <w:tcPr>
            <w:tcW w:w="993" w:type="dxa"/>
            <w:tcBorders>
              <w:top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lef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1ª matrícula</w:t>
            </w:r>
          </w:p>
        </w:tc>
        <w:tc>
          <w:tcPr>
            <w:tcW w:w="992" w:type="dxa"/>
            <w:tcBorders>
              <w:top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27,34</w:t>
            </w:r>
          </w:p>
        </w:tc>
        <w:tc>
          <w:tcPr>
            <w:tcW w:w="997" w:type="dxa"/>
            <w:tcBorders>
              <w:top w:val="single" w:sz="4"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43,75</w:t>
            </w:r>
          </w:p>
        </w:tc>
        <w:tc>
          <w:tcPr>
            <w:tcW w:w="993" w:type="dxa"/>
            <w:tcBorders>
              <w:top w:val="single" w:sz="4"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27,70</w:t>
            </w:r>
          </w:p>
        </w:tc>
        <w:tc>
          <w:tcPr>
            <w:tcW w:w="992" w:type="dxa"/>
            <w:tcBorders>
              <w:top w:val="single" w:sz="4"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44,32</w:t>
            </w:r>
          </w:p>
        </w:tc>
        <w:tc>
          <w:tcPr>
            <w:tcW w:w="992" w:type="dxa"/>
            <w:gridSpan w:val="2"/>
            <w:tcBorders>
              <w:top w:val="single" w:sz="4"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22,67</w:t>
            </w:r>
          </w:p>
        </w:tc>
        <w:tc>
          <w:tcPr>
            <w:tcW w:w="994" w:type="dxa"/>
            <w:tcBorders>
              <w:top w:val="single" w:sz="4"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28,34</w:t>
            </w:r>
          </w:p>
        </w:tc>
        <w:tc>
          <w:tcPr>
            <w:tcW w:w="991" w:type="dxa"/>
            <w:gridSpan w:val="2"/>
            <w:tcBorders>
              <w:top w:val="single" w:sz="4"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22,65</w:t>
            </w:r>
          </w:p>
        </w:tc>
        <w:tc>
          <w:tcPr>
            <w:tcW w:w="994" w:type="dxa"/>
            <w:tcBorders>
              <w:top w:val="single" w:sz="4" w:space="0" w:color="auto"/>
              <w:bottom w:val="single" w:sz="2" w:space="0" w:color="auto"/>
              <w:right w:val="nil"/>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28,35</w:t>
            </w:r>
          </w:p>
        </w:tc>
      </w:tr>
      <w:tr w:rsidR="00414999" w:rsidRPr="006A3B56" w:rsidTr="000A1912">
        <w:trPr>
          <w:gridAfter w:val="1"/>
          <w:wAfter w:w="11" w:type="dxa"/>
          <w:trHeight w:val="255"/>
        </w:trPr>
        <w:tc>
          <w:tcPr>
            <w:tcW w:w="993" w:type="dxa"/>
            <w:tcBorders>
              <w:top w:val="single" w:sz="2"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lef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2ª matrícula</w:t>
            </w:r>
          </w:p>
        </w:tc>
        <w:tc>
          <w:tcPr>
            <w:tcW w:w="992" w:type="dxa"/>
            <w:tcBorders>
              <w:top w:val="single" w:sz="2"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32,81</w:t>
            </w:r>
          </w:p>
        </w:tc>
        <w:tc>
          <w:tcPr>
            <w:tcW w:w="997" w:type="dxa"/>
            <w:tcBorders>
              <w:top w:val="single" w:sz="2"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71,09</w:t>
            </w:r>
          </w:p>
        </w:tc>
        <w:tc>
          <w:tcPr>
            <w:tcW w:w="993" w:type="dxa"/>
            <w:tcBorders>
              <w:top w:val="single" w:sz="2"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33,24</w:t>
            </w:r>
          </w:p>
        </w:tc>
        <w:tc>
          <w:tcPr>
            <w:tcW w:w="992" w:type="dxa"/>
            <w:tcBorders>
              <w:top w:val="single" w:sz="2"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72,01</w:t>
            </w:r>
          </w:p>
        </w:tc>
        <w:tc>
          <w:tcPr>
            <w:tcW w:w="992" w:type="dxa"/>
            <w:gridSpan w:val="2"/>
            <w:tcBorders>
              <w:top w:val="single" w:sz="2"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34,00</w:t>
            </w:r>
          </w:p>
        </w:tc>
        <w:tc>
          <w:tcPr>
            <w:tcW w:w="994" w:type="dxa"/>
            <w:tcBorders>
              <w:top w:val="single" w:sz="2"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73,67</w:t>
            </w:r>
          </w:p>
        </w:tc>
        <w:tc>
          <w:tcPr>
            <w:tcW w:w="991" w:type="dxa"/>
            <w:gridSpan w:val="2"/>
            <w:tcBorders>
              <w:top w:val="single" w:sz="2"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34,00</w:t>
            </w:r>
          </w:p>
        </w:tc>
        <w:tc>
          <w:tcPr>
            <w:tcW w:w="994" w:type="dxa"/>
            <w:tcBorders>
              <w:top w:val="single" w:sz="2" w:space="0" w:color="auto"/>
              <w:bottom w:val="single" w:sz="2" w:space="0" w:color="auto"/>
              <w:right w:val="nil"/>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73,65</w:t>
            </w:r>
          </w:p>
        </w:tc>
      </w:tr>
      <w:tr w:rsidR="00414999" w:rsidRPr="006A3B56" w:rsidTr="000A1912">
        <w:trPr>
          <w:gridAfter w:val="1"/>
          <w:wAfter w:w="11" w:type="dxa"/>
          <w:trHeight w:val="255"/>
        </w:trPr>
        <w:tc>
          <w:tcPr>
            <w:tcW w:w="993" w:type="dxa"/>
            <w:tcBorders>
              <w:top w:val="single" w:sz="2"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lef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3ª matrícula</w:t>
            </w:r>
          </w:p>
        </w:tc>
        <w:tc>
          <w:tcPr>
            <w:tcW w:w="992" w:type="dxa"/>
            <w:tcBorders>
              <w:top w:val="single" w:sz="2"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71,09</w:t>
            </w:r>
          </w:p>
        </w:tc>
        <w:tc>
          <w:tcPr>
            <w:tcW w:w="997" w:type="dxa"/>
            <w:tcBorders>
              <w:top w:val="single" w:sz="2"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71,09</w:t>
            </w:r>
          </w:p>
        </w:tc>
        <w:tc>
          <w:tcPr>
            <w:tcW w:w="993" w:type="dxa"/>
            <w:tcBorders>
              <w:top w:val="single" w:sz="2"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72,01</w:t>
            </w:r>
          </w:p>
        </w:tc>
        <w:tc>
          <w:tcPr>
            <w:tcW w:w="992" w:type="dxa"/>
            <w:tcBorders>
              <w:top w:val="single" w:sz="2"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72,01</w:t>
            </w:r>
          </w:p>
        </w:tc>
        <w:tc>
          <w:tcPr>
            <w:tcW w:w="992" w:type="dxa"/>
            <w:gridSpan w:val="2"/>
            <w:tcBorders>
              <w:top w:val="single" w:sz="2"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73,67</w:t>
            </w:r>
          </w:p>
        </w:tc>
        <w:tc>
          <w:tcPr>
            <w:tcW w:w="994" w:type="dxa"/>
            <w:tcBorders>
              <w:top w:val="single" w:sz="2" w:space="0" w:color="auto"/>
              <w:bottom w:val="single" w:sz="2"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73,67</w:t>
            </w:r>
          </w:p>
        </w:tc>
        <w:tc>
          <w:tcPr>
            <w:tcW w:w="991" w:type="dxa"/>
            <w:gridSpan w:val="2"/>
            <w:tcBorders>
              <w:top w:val="single" w:sz="2" w:space="0" w:color="auto"/>
              <w:left w:val="single" w:sz="4" w:space="0" w:color="auto"/>
              <w:bottom w:val="single" w:sz="2"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73,65</w:t>
            </w:r>
          </w:p>
        </w:tc>
        <w:tc>
          <w:tcPr>
            <w:tcW w:w="994" w:type="dxa"/>
            <w:tcBorders>
              <w:top w:val="single" w:sz="2" w:space="0" w:color="auto"/>
              <w:bottom w:val="single" w:sz="2" w:space="0" w:color="auto"/>
              <w:right w:val="nil"/>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73,65</w:t>
            </w:r>
          </w:p>
        </w:tc>
      </w:tr>
      <w:tr w:rsidR="00414999" w:rsidRPr="006A3B56" w:rsidTr="000A1912">
        <w:trPr>
          <w:gridAfter w:val="1"/>
          <w:wAfter w:w="11" w:type="dxa"/>
          <w:trHeight w:val="255"/>
        </w:trPr>
        <w:tc>
          <w:tcPr>
            <w:tcW w:w="993" w:type="dxa"/>
            <w:tcBorders>
              <w:top w:val="single" w:sz="2" w:space="0" w:color="auto"/>
              <w:bottom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lef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4ª matrícula</w:t>
            </w:r>
          </w:p>
        </w:tc>
        <w:tc>
          <w:tcPr>
            <w:tcW w:w="992" w:type="dxa"/>
            <w:tcBorders>
              <w:top w:val="single" w:sz="2" w:space="0" w:color="auto"/>
              <w:bottom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98,43</w:t>
            </w:r>
          </w:p>
        </w:tc>
        <w:tc>
          <w:tcPr>
            <w:tcW w:w="997" w:type="dxa"/>
            <w:tcBorders>
              <w:top w:val="single" w:sz="2" w:space="0" w:color="auto"/>
              <w:bottom w:val="single" w:sz="4"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71,09</w:t>
            </w:r>
          </w:p>
        </w:tc>
        <w:tc>
          <w:tcPr>
            <w:tcW w:w="993" w:type="dxa"/>
            <w:tcBorders>
              <w:top w:val="single" w:sz="2" w:space="0" w:color="auto"/>
              <w:left w:val="single" w:sz="4" w:space="0" w:color="auto"/>
              <w:bottom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99,71</w:t>
            </w:r>
          </w:p>
        </w:tc>
        <w:tc>
          <w:tcPr>
            <w:tcW w:w="992" w:type="dxa"/>
            <w:tcBorders>
              <w:top w:val="single" w:sz="2" w:space="0" w:color="auto"/>
              <w:bottom w:val="single" w:sz="4"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72,01</w:t>
            </w:r>
          </w:p>
        </w:tc>
        <w:tc>
          <w:tcPr>
            <w:tcW w:w="992" w:type="dxa"/>
            <w:gridSpan w:val="2"/>
            <w:tcBorders>
              <w:top w:val="single" w:sz="2" w:space="0" w:color="auto"/>
              <w:left w:val="single" w:sz="4" w:space="0" w:color="auto"/>
              <w:bottom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102,00</w:t>
            </w:r>
          </w:p>
        </w:tc>
        <w:tc>
          <w:tcPr>
            <w:tcW w:w="994" w:type="dxa"/>
            <w:tcBorders>
              <w:top w:val="single" w:sz="2" w:space="0" w:color="auto"/>
              <w:bottom w:val="single" w:sz="4" w:space="0" w:color="auto"/>
              <w:right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73,67</w:t>
            </w:r>
          </w:p>
        </w:tc>
        <w:tc>
          <w:tcPr>
            <w:tcW w:w="991" w:type="dxa"/>
            <w:gridSpan w:val="2"/>
            <w:tcBorders>
              <w:top w:val="single" w:sz="2" w:space="0" w:color="auto"/>
              <w:left w:val="single" w:sz="4" w:space="0" w:color="auto"/>
              <w:bottom w:val="single" w:sz="4" w:space="0" w:color="auto"/>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102,00</w:t>
            </w:r>
          </w:p>
        </w:tc>
        <w:tc>
          <w:tcPr>
            <w:tcW w:w="994" w:type="dxa"/>
            <w:tcBorders>
              <w:top w:val="single" w:sz="2" w:space="0" w:color="auto"/>
              <w:bottom w:val="single" w:sz="4" w:space="0" w:color="auto"/>
              <w:right w:val="nil"/>
            </w:tcBorders>
            <w:shd w:val="clear" w:color="auto" w:fill="auto"/>
            <w:noWrap/>
            <w:vAlign w:val="center"/>
            <w:hideMark/>
          </w:tcPr>
          <w:p w:rsidR="00414999" w:rsidRPr="006A3B56" w:rsidRDefault="00414999" w:rsidP="00F44C41">
            <w:pPr>
              <w:tabs>
                <w:tab w:val="left" w:pos="8647"/>
              </w:tabs>
              <w:spacing w:after="0"/>
              <w:ind w:firstLine="0"/>
              <w:jc w:val="right"/>
              <w:rPr>
                <w:rFonts w:ascii="Arial Narrow" w:hAnsi="Arial Narrow" w:cs="Calibri"/>
                <w:color w:val="000000"/>
                <w:sz w:val="18"/>
                <w:szCs w:val="18"/>
                <w:lang w:val="es-ES" w:eastAsia="es-ES"/>
              </w:rPr>
            </w:pPr>
            <w:r w:rsidRPr="006A3B56">
              <w:rPr>
                <w:rFonts w:ascii="Arial Narrow" w:hAnsi="Arial Narrow" w:cs="Calibri"/>
                <w:color w:val="000000"/>
                <w:sz w:val="18"/>
                <w:szCs w:val="18"/>
                <w:lang w:val="es-ES" w:eastAsia="es-ES"/>
              </w:rPr>
              <w:t>73,65</w:t>
            </w:r>
          </w:p>
        </w:tc>
      </w:tr>
    </w:tbl>
    <w:p w:rsidR="001321DE" w:rsidRDefault="001321DE" w:rsidP="001321DE">
      <w:pPr>
        <w:autoSpaceDE w:val="0"/>
        <w:autoSpaceDN w:val="0"/>
        <w:adjustRightInd w:val="0"/>
        <w:spacing w:after="0"/>
        <w:ind w:firstLine="0"/>
        <w:jc w:val="left"/>
        <w:rPr>
          <w:rFonts w:ascii="Segoe UI" w:hAnsi="Segoe UI" w:cs="Segoe UI"/>
          <w:color w:val="000000"/>
          <w:sz w:val="17"/>
          <w:szCs w:val="17"/>
          <w:lang w:val="es-ES" w:eastAsia="es-ES"/>
        </w:rPr>
      </w:pPr>
    </w:p>
    <w:p w:rsidR="00414999" w:rsidRDefault="001321DE" w:rsidP="001321DE">
      <w:pPr>
        <w:tabs>
          <w:tab w:val="left" w:pos="8647"/>
        </w:tabs>
        <w:ind w:firstLine="284"/>
        <w:rPr>
          <w:rFonts w:eastAsia="Calibri"/>
          <w:spacing w:val="6"/>
          <w:sz w:val="26"/>
          <w:szCs w:val="26"/>
          <w:lang w:eastAsia="es-ES"/>
        </w:rPr>
      </w:pPr>
      <w:r w:rsidRPr="001321DE">
        <w:rPr>
          <w:rFonts w:eastAsia="Calibri"/>
          <w:spacing w:val="6"/>
          <w:sz w:val="26"/>
          <w:szCs w:val="26"/>
          <w:lang w:eastAsia="es-ES"/>
        </w:rPr>
        <w:lastRenderedPageBreak/>
        <w:t>Para la determinación de los precios por el Gobierno de Navarra no se utiliza ninguna documentación justificativa de la cobertura financiera de los costes c</w:t>
      </w:r>
      <w:r w:rsidRPr="001321DE">
        <w:rPr>
          <w:rFonts w:eastAsia="Calibri"/>
          <w:spacing w:val="6"/>
          <w:sz w:val="26"/>
          <w:szCs w:val="26"/>
          <w:lang w:eastAsia="es-ES"/>
        </w:rPr>
        <w:t>o</w:t>
      </w:r>
      <w:r w:rsidRPr="001321DE">
        <w:rPr>
          <w:rFonts w:eastAsia="Calibri"/>
          <w:spacing w:val="6"/>
          <w:sz w:val="26"/>
          <w:szCs w:val="26"/>
          <w:lang w:eastAsia="es-ES"/>
        </w:rPr>
        <w:t>rrespondientes elaborada por la UPNA</w:t>
      </w:r>
      <w:r w:rsidR="009B08F9">
        <w:rPr>
          <w:rFonts w:eastAsia="Calibri"/>
          <w:spacing w:val="6"/>
          <w:sz w:val="26"/>
          <w:szCs w:val="26"/>
          <w:lang w:eastAsia="es-ES"/>
        </w:rPr>
        <w:t>.</w:t>
      </w:r>
    </w:p>
    <w:p w:rsidR="00414999" w:rsidRDefault="00414999" w:rsidP="00F44C41">
      <w:pPr>
        <w:tabs>
          <w:tab w:val="left" w:pos="8647"/>
        </w:tabs>
        <w:ind w:firstLine="284"/>
        <w:rPr>
          <w:rFonts w:eastAsia="Calibri"/>
          <w:spacing w:val="6"/>
          <w:sz w:val="26"/>
          <w:szCs w:val="26"/>
          <w:lang w:eastAsia="es-ES"/>
        </w:rPr>
      </w:pPr>
      <w:r>
        <w:rPr>
          <w:rFonts w:eastAsia="Calibri"/>
          <w:spacing w:val="6"/>
          <w:sz w:val="26"/>
          <w:szCs w:val="26"/>
          <w:lang w:eastAsia="es-ES"/>
        </w:rPr>
        <w:t>Respecto al curso 2020/2021, en cumplimiento del nuevo modelo de fijación de precios públicos acordado en la Conferencia General de Política Universit</w:t>
      </w:r>
      <w:r>
        <w:rPr>
          <w:rFonts w:eastAsia="Calibri"/>
          <w:spacing w:val="6"/>
          <w:sz w:val="26"/>
          <w:szCs w:val="26"/>
          <w:lang w:eastAsia="es-ES"/>
        </w:rPr>
        <w:t>a</w:t>
      </w:r>
      <w:r>
        <w:rPr>
          <w:rFonts w:eastAsia="Calibri"/>
          <w:spacing w:val="6"/>
          <w:sz w:val="26"/>
          <w:szCs w:val="26"/>
          <w:lang w:eastAsia="es-ES"/>
        </w:rPr>
        <w:t xml:space="preserve">ria, se reduce la primera matrícula </w:t>
      </w:r>
      <w:r w:rsidR="009B08F9">
        <w:rPr>
          <w:rFonts w:eastAsia="Calibri"/>
          <w:spacing w:val="6"/>
          <w:sz w:val="26"/>
          <w:szCs w:val="26"/>
          <w:lang w:eastAsia="es-ES"/>
        </w:rPr>
        <w:t xml:space="preserve">de grado </w:t>
      </w:r>
      <w:r>
        <w:rPr>
          <w:rFonts w:eastAsia="Calibri"/>
          <w:spacing w:val="6"/>
          <w:sz w:val="26"/>
          <w:szCs w:val="26"/>
          <w:lang w:eastAsia="es-ES"/>
        </w:rPr>
        <w:t>un 2,3</w:t>
      </w:r>
      <w:r w:rsidR="001C03CE">
        <w:rPr>
          <w:rFonts w:eastAsia="Calibri"/>
          <w:spacing w:val="6"/>
          <w:sz w:val="26"/>
          <w:szCs w:val="26"/>
          <w:lang w:eastAsia="es-ES"/>
        </w:rPr>
        <w:t>8</w:t>
      </w:r>
      <w:r>
        <w:rPr>
          <w:rFonts w:eastAsia="Calibri"/>
          <w:spacing w:val="6"/>
          <w:sz w:val="26"/>
          <w:szCs w:val="26"/>
          <w:lang w:eastAsia="es-ES"/>
        </w:rPr>
        <w:t xml:space="preserve"> por ciento y se mantienen los </w:t>
      </w:r>
      <w:r w:rsidR="004E551B">
        <w:rPr>
          <w:rFonts w:eastAsia="Calibri"/>
          <w:spacing w:val="6"/>
          <w:sz w:val="26"/>
          <w:szCs w:val="26"/>
          <w:lang w:eastAsia="es-ES"/>
        </w:rPr>
        <w:t>precios del resto de matrículas, respecto al año anterior.</w:t>
      </w:r>
    </w:p>
    <w:p w:rsidR="00DB0BCC" w:rsidRDefault="00DB0BCC" w:rsidP="00F44C41">
      <w:pPr>
        <w:tabs>
          <w:tab w:val="left" w:pos="8647"/>
        </w:tabs>
        <w:ind w:firstLine="284"/>
        <w:rPr>
          <w:rFonts w:eastAsia="Calibri"/>
          <w:spacing w:val="6"/>
          <w:sz w:val="26"/>
          <w:szCs w:val="26"/>
          <w:lang w:eastAsia="es-ES"/>
        </w:rPr>
      </w:pPr>
      <w:r>
        <w:rPr>
          <w:rFonts w:eastAsia="Calibri"/>
          <w:spacing w:val="6"/>
          <w:sz w:val="26"/>
          <w:szCs w:val="26"/>
          <w:lang w:eastAsia="es-ES"/>
        </w:rPr>
        <w:t xml:space="preserve">En el anexo 1 se </w:t>
      </w:r>
      <w:r w:rsidR="0016603A">
        <w:rPr>
          <w:rFonts w:eastAsia="Calibri"/>
          <w:spacing w:val="6"/>
          <w:sz w:val="26"/>
          <w:szCs w:val="26"/>
          <w:lang w:eastAsia="es-ES"/>
        </w:rPr>
        <w:t xml:space="preserve">recoge más </w:t>
      </w:r>
      <w:r>
        <w:rPr>
          <w:rFonts w:eastAsia="Calibri"/>
          <w:spacing w:val="6"/>
          <w:sz w:val="26"/>
          <w:szCs w:val="26"/>
          <w:lang w:eastAsia="es-ES"/>
        </w:rPr>
        <w:t>detalla</w:t>
      </w:r>
      <w:r w:rsidR="0016603A">
        <w:rPr>
          <w:rFonts w:eastAsia="Calibri"/>
          <w:spacing w:val="6"/>
          <w:sz w:val="26"/>
          <w:szCs w:val="26"/>
          <w:lang w:eastAsia="es-ES"/>
        </w:rPr>
        <w:t>damente</w:t>
      </w:r>
      <w:r>
        <w:rPr>
          <w:rFonts w:eastAsia="Calibri"/>
          <w:spacing w:val="6"/>
          <w:sz w:val="26"/>
          <w:szCs w:val="26"/>
          <w:lang w:eastAsia="es-ES"/>
        </w:rPr>
        <w:t xml:space="preserve"> la evolución de los precios p</w:t>
      </w:r>
      <w:r>
        <w:rPr>
          <w:rFonts w:eastAsia="Calibri"/>
          <w:spacing w:val="6"/>
          <w:sz w:val="26"/>
          <w:szCs w:val="26"/>
          <w:lang w:eastAsia="es-ES"/>
        </w:rPr>
        <w:t>ú</w:t>
      </w:r>
      <w:r>
        <w:rPr>
          <w:rFonts w:eastAsia="Calibri"/>
          <w:spacing w:val="6"/>
          <w:sz w:val="26"/>
          <w:szCs w:val="26"/>
          <w:lang w:eastAsia="es-ES"/>
        </w:rPr>
        <w:t xml:space="preserve">blicos para la prestación de servicios académicos del periodo </w:t>
      </w:r>
      <w:r w:rsidR="0016603A">
        <w:rPr>
          <w:rFonts w:eastAsia="Calibri"/>
          <w:spacing w:val="6"/>
          <w:sz w:val="26"/>
          <w:szCs w:val="26"/>
          <w:lang w:eastAsia="es-ES"/>
        </w:rPr>
        <w:t>2012-2018.</w:t>
      </w:r>
    </w:p>
    <w:p w:rsidR="00414999" w:rsidRPr="008F1D6A" w:rsidRDefault="004B43B1" w:rsidP="00F44C41">
      <w:pPr>
        <w:tabs>
          <w:tab w:val="left" w:pos="8647"/>
        </w:tabs>
        <w:suppressAutoHyphens/>
        <w:autoSpaceDN w:val="0"/>
        <w:spacing w:before="120"/>
        <w:ind w:firstLine="284"/>
        <w:rPr>
          <w:spacing w:val="6"/>
          <w:sz w:val="26"/>
          <w:szCs w:val="26"/>
        </w:rPr>
      </w:pPr>
      <w:r>
        <w:rPr>
          <w:spacing w:val="6"/>
          <w:sz w:val="26"/>
          <w:szCs w:val="26"/>
        </w:rPr>
        <w:t xml:space="preserve">En el cuadro siguiente se exponen </w:t>
      </w:r>
      <w:r w:rsidR="00414999" w:rsidRPr="004B43B1">
        <w:rPr>
          <w:spacing w:val="6"/>
          <w:sz w:val="26"/>
          <w:szCs w:val="26"/>
        </w:rPr>
        <w:t xml:space="preserve">los ingresos por financiación pública básica recibidos y los ingresos por precios públicos correspondientes a cada </w:t>
      </w:r>
      <w:r w:rsidR="00414999" w:rsidRPr="008F1D6A">
        <w:rPr>
          <w:spacing w:val="6"/>
          <w:sz w:val="26"/>
          <w:szCs w:val="26"/>
        </w:rPr>
        <w:t xml:space="preserve">curso académico, </w:t>
      </w:r>
      <w:r>
        <w:rPr>
          <w:spacing w:val="6"/>
          <w:sz w:val="26"/>
          <w:szCs w:val="26"/>
        </w:rPr>
        <w:t>con indicación de es</w:t>
      </w:r>
      <w:r w:rsidR="00F31B6B">
        <w:rPr>
          <w:spacing w:val="6"/>
          <w:sz w:val="26"/>
          <w:szCs w:val="26"/>
        </w:rPr>
        <w:t xml:space="preserve">a financiación </w:t>
      </w:r>
      <w:r w:rsidR="00414999" w:rsidRPr="008F1D6A">
        <w:rPr>
          <w:spacing w:val="6"/>
          <w:sz w:val="26"/>
          <w:szCs w:val="26"/>
        </w:rPr>
        <w:t>por núme</w:t>
      </w:r>
      <w:r w:rsidR="00F31B6B">
        <w:rPr>
          <w:spacing w:val="6"/>
          <w:sz w:val="26"/>
          <w:szCs w:val="26"/>
        </w:rPr>
        <w:t>ro de estudiantes:</w:t>
      </w:r>
    </w:p>
    <w:p w:rsidR="00215467" w:rsidRPr="0084324C" w:rsidRDefault="004B43B1" w:rsidP="004B43B1">
      <w:pPr>
        <w:tabs>
          <w:tab w:val="left" w:pos="8647"/>
        </w:tabs>
        <w:spacing w:after="0" w:line="40" w:lineRule="atLeast"/>
        <w:ind w:firstLine="284"/>
        <w:jc w:val="right"/>
        <w:rPr>
          <w:rFonts w:ascii="Arial Narrow" w:eastAsia="Calibri" w:hAnsi="Arial Narrow"/>
          <w:spacing w:val="6"/>
          <w:lang w:eastAsia="es-ES"/>
        </w:rPr>
      </w:pPr>
      <w:r w:rsidRPr="0084324C">
        <w:rPr>
          <w:rFonts w:ascii="Arial Narrow" w:eastAsia="Calibri" w:hAnsi="Arial Narrow"/>
          <w:spacing w:val="6"/>
          <w:lang w:eastAsia="es-ES"/>
        </w:rPr>
        <w:t xml:space="preserve"> </w:t>
      </w:r>
      <w:r w:rsidR="00215467" w:rsidRPr="0084324C">
        <w:rPr>
          <w:rFonts w:ascii="Arial Narrow" w:eastAsia="Calibri" w:hAnsi="Arial Narrow"/>
          <w:spacing w:val="6"/>
          <w:lang w:eastAsia="es-ES"/>
        </w:rPr>
        <w:t>(en miles)</w:t>
      </w:r>
    </w:p>
    <w:tbl>
      <w:tblPr>
        <w:tblW w:w="9109" w:type="dxa"/>
        <w:jc w:val="center"/>
        <w:tblLayout w:type="fixed"/>
        <w:tblCellMar>
          <w:left w:w="70" w:type="dxa"/>
          <w:right w:w="70" w:type="dxa"/>
        </w:tblCellMar>
        <w:tblLook w:val="04A0" w:firstRow="1" w:lastRow="0" w:firstColumn="1" w:lastColumn="0" w:noHBand="0" w:noVBand="1"/>
      </w:tblPr>
      <w:tblGrid>
        <w:gridCol w:w="2835"/>
        <w:gridCol w:w="131"/>
        <w:gridCol w:w="576"/>
        <w:gridCol w:w="117"/>
        <w:gridCol w:w="593"/>
        <w:gridCol w:w="91"/>
        <w:gridCol w:w="651"/>
        <w:gridCol w:w="64"/>
        <w:gridCol w:w="644"/>
        <w:gridCol w:w="46"/>
        <w:gridCol w:w="644"/>
        <w:gridCol w:w="7"/>
        <w:gridCol w:w="723"/>
        <w:gridCol w:w="7"/>
        <w:gridCol w:w="639"/>
        <w:gridCol w:w="29"/>
        <w:gridCol w:w="620"/>
        <w:gridCol w:w="36"/>
        <w:gridCol w:w="649"/>
        <w:gridCol w:w="7"/>
      </w:tblGrid>
      <w:tr w:rsidR="00414999" w:rsidRPr="00BF15FE" w:rsidTr="00206B8D">
        <w:trPr>
          <w:gridAfter w:val="1"/>
          <w:wAfter w:w="7" w:type="dxa"/>
          <w:trHeight w:val="315"/>
          <w:jc w:val="center"/>
        </w:trPr>
        <w:tc>
          <w:tcPr>
            <w:tcW w:w="2966" w:type="dxa"/>
            <w:gridSpan w:val="2"/>
            <w:tcBorders>
              <w:top w:val="single" w:sz="4" w:space="0" w:color="auto"/>
              <w:left w:val="nil"/>
              <w:bottom w:val="single" w:sz="4" w:space="0" w:color="000000"/>
              <w:right w:val="nil"/>
            </w:tcBorders>
            <w:shd w:val="clear" w:color="auto" w:fill="B8CCE4" w:themeFill="accent1" w:themeFillTint="66"/>
            <w:vAlign w:val="center"/>
          </w:tcPr>
          <w:p w:rsidR="00414999" w:rsidRPr="00BF15FE" w:rsidRDefault="00414999" w:rsidP="004B43B1">
            <w:pPr>
              <w:tabs>
                <w:tab w:val="left" w:pos="8647"/>
              </w:tabs>
              <w:spacing w:after="0"/>
              <w:ind w:right="69" w:firstLine="0"/>
              <w:jc w:val="left"/>
              <w:rPr>
                <w:rFonts w:ascii="Arial" w:hAnsi="Arial" w:cs="Arial"/>
                <w:bCs/>
                <w:sz w:val="18"/>
                <w:szCs w:val="18"/>
                <w:lang w:val="es-ES" w:eastAsia="es-ES"/>
              </w:rPr>
            </w:pPr>
          </w:p>
        </w:tc>
        <w:tc>
          <w:tcPr>
            <w:tcW w:w="6136" w:type="dxa"/>
            <w:gridSpan w:val="17"/>
            <w:tcBorders>
              <w:top w:val="single" w:sz="4" w:space="0" w:color="auto"/>
              <w:left w:val="nil"/>
              <w:bottom w:val="single" w:sz="4" w:space="0" w:color="auto"/>
              <w:right w:val="nil"/>
            </w:tcBorders>
            <w:shd w:val="clear" w:color="auto" w:fill="B8CCE4" w:themeFill="accent1" w:themeFillTint="66"/>
            <w:vAlign w:val="center"/>
          </w:tcPr>
          <w:p w:rsidR="00414999" w:rsidRPr="00BF15FE" w:rsidRDefault="0084324C" w:rsidP="0084324C">
            <w:pPr>
              <w:tabs>
                <w:tab w:val="left" w:pos="8647"/>
              </w:tabs>
              <w:spacing w:after="0"/>
              <w:ind w:right="-69" w:firstLine="0"/>
              <w:jc w:val="center"/>
              <w:rPr>
                <w:rFonts w:ascii="Arial" w:hAnsi="Arial" w:cs="Arial"/>
                <w:bCs/>
                <w:sz w:val="18"/>
                <w:szCs w:val="18"/>
                <w:lang w:val="es-ES" w:eastAsia="es-ES"/>
              </w:rPr>
            </w:pPr>
            <w:r>
              <w:rPr>
                <w:rFonts w:ascii="Arial" w:hAnsi="Arial" w:cs="Arial"/>
                <w:bCs/>
                <w:sz w:val="18"/>
                <w:szCs w:val="18"/>
                <w:lang w:val="es-ES" w:eastAsia="es-ES"/>
              </w:rPr>
              <w:t>Ejercicio</w:t>
            </w:r>
            <w:r w:rsidR="00414999" w:rsidRPr="00BF15FE">
              <w:rPr>
                <w:rFonts w:ascii="Arial" w:hAnsi="Arial" w:cs="Arial"/>
                <w:bCs/>
                <w:sz w:val="18"/>
                <w:szCs w:val="18"/>
                <w:lang w:val="es-ES" w:eastAsia="es-ES"/>
              </w:rPr>
              <w:t>/C</w:t>
            </w:r>
            <w:r>
              <w:rPr>
                <w:rFonts w:ascii="Arial" w:hAnsi="Arial" w:cs="Arial"/>
                <w:bCs/>
                <w:sz w:val="18"/>
                <w:szCs w:val="18"/>
                <w:lang w:val="es-ES" w:eastAsia="es-ES"/>
              </w:rPr>
              <w:t>urso Académico</w:t>
            </w:r>
          </w:p>
        </w:tc>
      </w:tr>
      <w:tr w:rsidR="00414999" w:rsidRPr="00BF15FE" w:rsidTr="00206B8D">
        <w:trPr>
          <w:gridAfter w:val="1"/>
          <w:wAfter w:w="7" w:type="dxa"/>
          <w:trHeight w:val="315"/>
          <w:jc w:val="center"/>
        </w:trPr>
        <w:tc>
          <w:tcPr>
            <w:tcW w:w="2966" w:type="dxa"/>
            <w:gridSpan w:val="2"/>
            <w:tcBorders>
              <w:top w:val="single" w:sz="4" w:space="0" w:color="auto"/>
              <w:left w:val="nil"/>
              <w:bottom w:val="single" w:sz="4" w:space="0" w:color="000000"/>
              <w:right w:val="nil"/>
            </w:tcBorders>
            <w:shd w:val="clear" w:color="auto" w:fill="B8CCE4" w:themeFill="accent1" w:themeFillTint="66"/>
            <w:vAlign w:val="center"/>
            <w:hideMark/>
          </w:tcPr>
          <w:p w:rsidR="00414999" w:rsidRPr="00BF15FE" w:rsidRDefault="00414999" w:rsidP="00F44C41">
            <w:pPr>
              <w:tabs>
                <w:tab w:val="left" w:pos="8647"/>
              </w:tabs>
              <w:spacing w:after="0"/>
              <w:ind w:right="69" w:firstLine="0"/>
              <w:jc w:val="left"/>
              <w:rPr>
                <w:rFonts w:ascii="Arial" w:hAnsi="Arial" w:cs="Arial"/>
                <w:bCs/>
                <w:sz w:val="16"/>
                <w:szCs w:val="16"/>
                <w:lang w:val="es-ES" w:eastAsia="es-ES"/>
              </w:rPr>
            </w:pPr>
          </w:p>
        </w:tc>
        <w:tc>
          <w:tcPr>
            <w:tcW w:w="693" w:type="dxa"/>
            <w:gridSpan w:val="2"/>
            <w:tcBorders>
              <w:top w:val="nil"/>
              <w:left w:val="nil"/>
              <w:bottom w:val="single" w:sz="4" w:space="0" w:color="auto"/>
              <w:right w:val="nil"/>
            </w:tcBorders>
            <w:shd w:val="clear" w:color="auto" w:fill="B8CCE4" w:themeFill="accent1" w:themeFillTint="66"/>
            <w:vAlign w:val="center"/>
            <w:hideMark/>
          </w:tcPr>
          <w:p w:rsidR="00414999" w:rsidRPr="00BF15FE" w:rsidRDefault="00414999" w:rsidP="00F44C41">
            <w:pPr>
              <w:tabs>
                <w:tab w:val="left" w:pos="8647"/>
              </w:tabs>
              <w:spacing w:after="0"/>
              <w:ind w:right="2" w:firstLine="0"/>
              <w:jc w:val="center"/>
              <w:rPr>
                <w:rFonts w:ascii="Arial" w:hAnsi="Arial" w:cs="Arial"/>
                <w:bCs/>
                <w:sz w:val="16"/>
                <w:szCs w:val="16"/>
                <w:lang w:val="es-ES" w:eastAsia="es-ES"/>
              </w:rPr>
            </w:pPr>
            <w:r w:rsidRPr="00BF15FE">
              <w:rPr>
                <w:rFonts w:ascii="Arial" w:hAnsi="Arial" w:cs="Arial"/>
                <w:bCs/>
                <w:sz w:val="16"/>
                <w:szCs w:val="16"/>
                <w:lang w:val="es-ES" w:eastAsia="es-ES"/>
              </w:rPr>
              <w:t>2012</w:t>
            </w:r>
          </w:p>
        </w:tc>
        <w:tc>
          <w:tcPr>
            <w:tcW w:w="684" w:type="dxa"/>
            <w:gridSpan w:val="2"/>
            <w:tcBorders>
              <w:top w:val="nil"/>
              <w:left w:val="nil"/>
              <w:bottom w:val="single" w:sz="4" w:space="0" w:color="auto"/>
              <w:right w:val="nil"/>
            </w:tcBorders>
            <w:shd w:val="clear" w:color="auto" w:fill="B8CCE4" w:themeFill="accent1" w:themeFillTint="66"/>
            <w:vAlign w:val="center"/>
            <w:hideMark/>
          </w:tcPr>
          <w:p w:rsidR="00414999" w:rsidRPr="00BF15FE" w:rsidRDefault="00414999" w:rsidP="00F44C41">
            <w:pPr>
              <w:tabs>
                <w:tab w:val="left" w:pos="8647"/>
              </w:tabs>
              <w:spacing w:after="0"/>
              <w:ind w:right="31" w:firstLine="0"/>
              <w:jc w:val="center"/>
              <w:rPr>
                <w:rFonts w:ascii="Arial" w:hAnsi="Arial" w:cs="Arial"/>
                <w:bCs/>
                <w:sz w:val="16"/>
                <w:szCs w:val="16"/>
                <w:lang w:val="es-ES" w:eastAsia="es-ES"/>
              </w:rPr>
            </w:pPr>
            <w:r w:rsidRPr="00BF15FE">
              <w:rPr>
                <w:rFonts w:ascii="Arial" w:hAnsi="Arial" w:cs="Arial"/>
                <w:bCs/>
                <w:sz w:val="16"/>
                <w:szCs w:val="16"/>
                <w:lang w:val="es-ES" w:eastAsia="es-ES"/>
              </w:rPr>
              <w:t>2013</w:t>
            </w:r>
          </w:p>
        </w:tc>
        <w:tc>
          <w:tcPr>
            <w:tcW w:w="715" w:type="dxa"/>
            <w:gridSpan w:val="2"/>
            <w:tcBorders>
              <w:top w:val="nil"/>
              <w:left w:val="nil"/>
              <w:bottom w:val="single" w:sz="4" w:space="0" w:color="auto"/>
              <w:right w:val="nil"/>
            </w:tcBorders>
            <w:shd w:val="clear" w:color="auto" w:fill="B8CCE4" w:themeFill="accent1" w:themeFillTint="66"/>
            <w:vAlign w:val="center"/>
            <w:hideMark/>
          </w:tcPr>
          <w:p w:rsidR="00414999" w:rsidRPr="00BF15FE" w:rsidRDefault="00414999" w:rsidP="00F44C41">
            <w:pPr>
              <w:tabs>
                <w:tab w:val="left" w:pos="8647"/>
              </w:tabs>
              <w:spacing w:after="0"/>
              <w:ind w:right="48" w:firstLine="0"/>
              <w:jc w:val="center"/>
              <w:rPr>
                <w:rFonts w:ascii="Arial" w:hAnsi="Arial" w:cs="Arial"/>
                <w:bCs/>
                <w:sz w:val="16"/>
                <w:szCs w:val="16"/>
                <w:lang w:val="es-ES" w:eastAsia="es-ES"/>
              </w:rPr>
            </w:pPr>
            <w:r w:rsidRPr="00BF15FE">
              <w:rPr>
                <w:rFonts w:ascii="Arial" w:hAnsi="Arial" w:cs="Arial"/>
                <w:bCs/>
                <w:sz w:val="16"/>
                <w:szCs w:val="16"/>
                <w:lang w:val="es-ES" w:eastAsia="es-ES"/>
              </w:rPr>
              <w:t>2014</w:t>
            </w:r>
          </w:p>
        </w:tc>
        <w:tc>
          <w:tcPr>
            <w:tcW w:w="690" w:type="dxa"/>
            <w:gridSpan w:val="2"/>
            <w:tcBorders>
              <w:top w:val="nil"/>
              <w:left w:val="nil"/>
              <w:bottom w:val="single" w:sz="4" w:space="0" w:color="auto"/>
              <w:right w:val="nil"/>
            </w:tcBorders>
            <w:shd w:val="clear" w:color="auto" w:fill="B8CCE4" w:themeFill="accent1" w:themeFillTint="66"/>
            <w:vAlign w:val="center"/>
            <w:hideMark/>
          </w:tcPr>
          <w:p w:rsidR="00414999" w:rsidRPr="00BF15FE" w:rsidRDefault="00414999" w:rsidP="00F44C41">
            <w:pPr>
              <w:tabs>
                <w:tab w:val="left" w:pos="8647"/>
              </w:tabs>
              <w:spacing w:after="0"/>
              <w:ind w:right="77" w:firstLine="0"/>
              <w:jc w:val="center"/>
              <w:rPr>
                <w:rFonts w:ascii="Arial" w:hAnsi="Arial" w:cs="Arial"/>
                <w:bCs/>
                <w:sz w:val="16"/>
                <w:szCs w:val="16"/>
                <w:lang w:val="es-ES" w:eastAsia="es-ES"/>
              </w:rPr>
            </w:pPr>
            <w:r w:rsidRPr="00BF15FE">
              <w:rPr>
                <w:rFonts w:ascii="Arial" w:hAnsi="Arial" w:cs="Arial"/>
                <w:bCs/>
                <w:sz w:val="16"/>
                <w:szCs w:val="16"/>
                <w:lang w:val="es-ES" w:eastAsia="es-ES"/>
              </w:rPr>
              <w:t>2015</w:t>
            </w:r>
          </w:p>
        </w:tc>
        <w:tc>
          <w:tcPr>
            <w:tcW w:w="644" w:type="dxa"/>
            <w:tcBorders>
              <w:top w:val="nil"/>
              <w:left w:val="nil"/>
              <w:bottom w:val="single" w:sz="4" w:space="0" w:color="auto"/>
              <w:right w:val="nil"/>
            </w:tcBorders>
            <w:shd w:val="clear" w:color="auto" w:fill="B8CCE4" w:themeFill="accent1" w:themeFillTint="66"/>
            <w:vAlign w:val="center"/>
            <w:hideMark/>
          </w:tcPr>
          <w:p w:rsidR="00414999" w:rsidRPr="00BF15FE" w:rsidRDefault="00414999" w:rsidP="00F44C41">
            <w:pPr>
              <w:tabs>
                <w:tab w:val="left" w:pos="8647"/>
              </w:tabs>
              <w:spacing w:after="0"/>
              <w:ind w:right="107" w:firstLine="0"/>
              <w:jc w:val="center"/>
              <w:rPr>
                <w:rFonts w:ascii="Arial" w:hAnsi="Arial" w:cs="Arial"/>
                <w:bCs/>
                <w:sz w:val="16"/>
                <w:szCs w:val="16"/>
                <w:lang w:val="es-ES" w:eastAsia="es-ES"/>
              </w:rPr>
            </w:pPr>
            <w:r w:rsidRPr="00BF15FE">
              <w:rPr>
                <w:rFonts w:ascii="Arial" w:hAnsi="Arial" w:cs="Arial"/>
                <w:bCs/>
                <w:sz w:val="16"/>
                <w:szCs w:val="16"/>
                <w:lang w:val="es-ES" w:eastAsia="es-ES"/>
              </w:rPr>
              <w:t>2016</w:t>
            </w:r>
          </w:p>
        </w:tc>
        <w:tc>
          <w:tcPr>
            <w:tcW w:w="730" w:type="dxa"/>
            <w:gridSpan w:val="2"/>
            <w:tcBorders>
              <w:top w:val="nil"/>
              <w:left w:val="nil"/>
              <w:bottom w:val="single" w:sz="4" w:space="0" w:color="auto"/>
              <w:right w:val="nil"/>
            </w:tcBorders>
            <w:shd w:val="clear" w:color="auto" w:fill="B8CCE4" w:themeFill="accent1" w:themeFillTint="66"/>
            <w:vAlign w:val="center"/>
            <w:hideMark/>
          </w:tcPr>
          <w:p w:rsidR="00414999" w:rsidRPr="00BF15FE" w:rsidRDefault="00414999" w:rsidP="00F44C41">
            <w:pPr>
              <w:tabs>
                <w:tab w:val="left" w:pos="8647"/>
              </w:tabs>
              <w:spacing w:after="0"/>
              <w:ind w:right="123" w:firstLine="0"/>
              <w:jc w:val="center"/>
              <w:rPr>
                <w:rFonts w:ascii="Arial" w:hAnsi="Arial" w:cs="Arial"/>
                <w:bCs/>
                <w:sz w:val="16"/>
                <w:szCs w:val="16"/>
                <w:lang w:val="es-ES" w:eastAsia="es-ES"/>
              </w:rPr>
            </w:pPr>
            <w:r w:rsidRPr="00BF15FE">
              <w:rPr>
                <w:rFonts w:ascii="Arial" w:hAnsi="Arial" w:cs="Arial"/>
                <w:bCs/>
                <w:sz w:val="16"/>
                <w:szCs w:val="16"/>
                <w:lang w:val="es-ES" w:eastAsia="es-ES"/>
              </w:rPr>
              <w:t>2017</w:t>
            </w:r>
          </w:p>
        </w:tc>
        <w:tc>
          <w:tcPr>
            <w:tcW w:w="646" w:type="dxa"/>
            <w:gridSpan w:val="2"/>
            <w:tcBorders>
              <w:top w:val="nil"/>
              <w:left w:val="nil"/>
              <w:bottom w:val="single" w:sz="4" w:space="0" w:color="auto"/>
              <w:right w:val="nil"/>
            </w:tcBorders>
            <w:shd w:val="clear" w:color="auto" w:fill="B8CCE4" w:themeFill="accent1" w:themeFillTint="66"/>
            <w:vAlign w:val="center"/>
            <w:hideMark/>
          </w:tcPr>
          <w:p w:rsidR="00414999" w:rsidRPr="00BF15FE" w:rsidRDefault="00414999" w:rsidP="00F44C41">
            <w:pPr>
              <w:tabs>
                <w:tab w:val="left" w:pos="8647"/>
              </w:tabs>
              <w:spacing w:after="0"/>
              <w:ind w:right="-69" w:firstLine="0"/>
              <w:jc w:val="center"/>
              <w:rPr>
                <w:rFonts w:ascii="Arial" w:hAnsi="Arial" w:cs="Arial"/>
                <w:bCs/>
                <w:sz w:val="16"/>
                <w:szCs w:val="16"/>
                <w:lang w:val="es-ES" w:eastAsia="es-ES"/>
              </w:rPr>
            </w:pPr>
            <w:r w:rsidRPr="00BF15FE">
              <w:rPr>
                <w:rFonts w:ascii="Arial" w:hAnsi="Arial" w:cs="Arial"/>
                <w:bCs/>
                <w:sz w:val="16"/>
                <w:szCs w:val="16"/>
                <w:lang w:val="es-ES" w:eastAsia="es-ES"/>
              </w:rPr>
              <w:t>2018</w:t>
            </w:r>
          </w:p>
        </w:tc>
        <w:tc>
          <w:tcPr>
            <w:tcW w:w="649" w:type="dxa"/>
            <w:gridSpan w:val="2"/>
            <w:tcBorders>
              <w:top w:val="nil"/>
              <w:left w:val="nil"/>
              <w:bottom w:val="single" w:sz="4" w:space="0" w:color="auto"/>
              <w:right w:val="nil"/>
            </w:tcBorders>
            <w:shd w:val="clear" w:color="auto" w:fill="B8CCE4" w:themeFill="accent1" w:themeFillTint="66"/>
            <w:vAlign w:val="center"/>
          </w:tcPr>
          <w:p w:rsidR="00414999" w:rsidRPr="00BF15FE" w:rsidRDefault="00414999" w:rsidP="00F44C41">
            <w:pPr>
              <w:tabs>
                <w:tab w:val="left" w:pos="8647"/>
              </w:tabs>
              <w:spacing w:after="0"/>
              <w:ind w:right="-69" w:firstLine="0"/>
              <w:jc w:val="center"/>
              <w:rPr>
                <w:rFonts w:ascii="Arial" w:hAnsi="Arial" w:cs="Arial"/>
                <w:bCs/>
                <w:sz w:val="16"/>
                <w:szCs w:val="16"/>
                <w:lang w:val="es-ES" w:eastAsia="es-ES"/>
              </w:rPr>
            </w:pPr>
            <w:r w:rsidRPr="00BF15FE">
              <w:rPr>
                <w:rFonts w:ascii="Arial" w:hAnsi="Arial" w:cs="Arial"/>
                <w:bCs/>
                <w:sz w:val="16"/>
                <w:szCs w:val="16"/>
                <w:lang w:val="es-ES" w:eastAsia="es-ES"/>
              </w:rPr>
              <w:t xml:space="preserve">% </w:t>
            </w:r>
            <w:r w:rsidR="00BF15FE">
              <w:rPr>
                <w:rFonts w:ascii="Arial" w:hAnsi="Arial" w:cs="Arial"/>
                <w:bCs/>
                <w:sz w:val="16"/>
                <w:szCs w:val="16"/>
                <w:lang w:val="es-ES" w:eastAsia="es-ES"/>
              </w:rPr>
              <w:t>V</w:t>
            </w:r>
            <w:r w:rsidRPr="00BF15FE">
              <w:rPr>
                <w:rFonts w:ascii="Arial" w:hAnsi="Arial" w:cs="Arial"/>
                <w:bCs/>
                <w:sz w:val="16"/>
                <w:szCs w:val="16"/>
                <w:lang w:val="es-ES" w:eastAsia="es-ES"/>
              </w:rPr>
              <w:t>ar.</w:t>
            </w:r>
          </w:p>
          <w:p w:rsidR="00414999" w:rsidRPr="00BF15FE" w:rsidRDefault="00414999" w:rsidP="00F44C41">
            <w:pPr>
              <w:tabs>
                <w:tab w:val="left" w:pos="8647"/>
              </w:tabs>
              <w:spacing w:after="0"/>
              <w:ind w:right="-69" w:firstLine="0"/>
              <w:jc w:val="center"/>
              <w:rPr>
                <w:rFonts w:ascii="Arial" w:hAnsi="Arial" w:cs="Arial"/>
                <w:bCs/>
                <w:sz w:val="16"/>
                <w:szCs w:val="16"/>
                <w:lang w:val="es-ES" w:eastAsia="es-ES"/>
              </w:rPr>
            </w:pPr>
            <w:r w:rsidRPr="00BF15FE">
              <w:rPr>
                <w:rFonts w:ascii="Arial" w:hAnsi="Arial" w:cs="Arial"/>
                <w:bCs/>
                <w:sz w:val="16"/>
                <w:szCs w:val="16"/>
                <w:lang w:val="es-ES" w:eastAsia="es-ES"/>
              </w:rPr>
              <w:t>18/17</w:t>
            </w:r>
          </w:p>
        </w:tc>
        <w:tc>
          <w:tcPr>
            <w:tcW w:w="685" w:type="dxa"/>
            <w:gridSpan w:val="2"/>
            <w:tcBorders>
              <w:top w:val="nil"/>
              <w:left w:val="nil"/>
              <w:bottom w:val="single" w:sz="4" w:space="0" w:color="auto"/>
              <w:right w:val="nil"/>
            </w:tcBorders>
            <w:shd w:val="clear" w:color="auto" w:fill="B8CCE4" w:themeFill="accent1" w:themeFillTint="66"/>
            <w:vAlign w:val="center"/>
          </w:tcPr>
          <w:p w:rsidR="00414999" w:rsidRPr="00BF15FE" w:rsidRDefault="00414999" w:rsidP="00F44C41">
            <w:pPr>
              <w:tabs>
                <w:tab w:val="left" w:pos="8647"/>
              </w:tabs>
              <w:spacing w:after="0"/>
              <w:ind w:right="-69" w:firstLine="0"/>
              <w:jc w:val="center"/>
              <w:rPr>
                <w:rFonts w:ascii="Arial" w:hAnsi="Arial" w:cs="Arial"/>
                <w:bCs/>
                <w:sz w:val="16"/>
                <w:szCs w:val="16"/>
                <w:lang w:val="es-ES" w:eastAsia="es-ES"/>
              </w:rPr>
            </w:pPr>
            <w:r w:rsidRPr="00BF15FE">
              <w:rPr>
                <w:rFonts w:ascii="Arial" w:hAnsi="Arial" w:cs="Arial"/>
                <w:bCs/>
                <w:sz w:val="16"/>
                <w:szCs w:val="16"/>
                <w:lang w:val="es-ES" w:eastAsia="es-ES"/>
              </w:rPr>
              <w:t>%</w:t>
            </w:r>
            <w:r w:rsidR="0084324C">
              <w:rPr>
                <w:rFonts w:ascii="Arial" w:hAnsi="Arial" w:cs="Arial"/>
                <w:bCs/>
                <w:sz w:val="16"/>
                <w:szCs w:val="16"/>
                <w:lang w:val="es-ES" w:eastAsia="es-ES"/>
              </w:rPr>
              <w:t>V</w:t>
            </w:r>
            <w:r w:rsidRPr="00BF15FE">
              <w:rPr>
                <w:rFonts w:ascii="Arial" w:hAnsi="Arial" w:cs="Arial"/>
                <w:bCs/>
                <w:sz w:val="16"/>
                <w:szCs w:val="16"/>
                <w:lang w:val="es-ES" w:eastAsia="es-ES"/>
              </w:rPr>
              <w:t>ar.</w:t>
            </w:r>
          </w:p>
          <w:p w:rsidR="00414999" w:rsidRPr="00BF15FE" w:rsidRDefault="00414999" w:rsidP="00F44C41">
            <w:pPr>
              <w:tabs>
                <w:tab w:val="left" w:pos="8647"/>
              </w:tabs>
              <w:spacing w:after="0"/>
              <w:ind w:right="-69" w:firstLine="0"/>
              <w:jc w:val="center"/>
              <w:rPr>
                <w:rFonts w:ascii="Arial" w:hAnsi="Arial" w:cs="Arial"/>
                <w:bCs/>
                <w:sz w:val="16"/>
                <w:szCs w:val="16"/>
                <w:lang w:val="es-ES" w:eastAsia="es-ES"/>
              </w:rPr>
            </w:pPr>
            <w:r w:rsidRPr="00BF15FE">
              <w:rPr>
                <w:rFonts w:ascii="Arial" w:hAnsi="Arial" w:cs="Arial"/>
                <w:bCs/>
                <w:sz w:val="16"/>
                <w:szCs w:val="16"/>
                <w:lang w:val="es-ES" w:eastAsia="es-ES"/>
              </w:rPr>
              <w:t>18/12</w:t>
            </w:r>
          </w:p>
        </w:tc>
      </w:tr>
      <w:tr w:rsidR="00414999" w:rsidRPr="00BF15FE" w:rsidTr="00206B8D">
        <w:trPr>
          <w:trHeight w:val="300"/>
          <w:jc w:val="center"/>
        </w:trPr>
        <w:tc>
          <w:tcPr>
            <w:tcW w:w="2835" w:type="dxa"/>
            <w:tcBorders>
              <w:top w:val="nil"/>
              <w:left w:val="nil"/>
              <w:bottom w:val="nil"/>
              <w:right w:val="nil"/>
            </w:tcBorders>
            <w:shd w:val="clear" w:color="auto" w:fill="auto"/>
            <w:noWrap/>
            <w:vAlign w:val="center"/>
            <w:hideMark/>
          </w:tcPr>
          <w:p w:rsidR="00414999" w:rsidRPr="00BF15FE" w:rsidRDefault="00BF15FE" w:rsidP="00F44C41">
            <w:pPr>
              <w:tabs>
                <w:tab w:val="left" w:pos="8647"/>
              </w:tabs>
              <w:spacing w:after="0"/>
              <w:ind w:right="-68" w:firstLine="0"/>
              <w:jc w:val="left"/>
              <w:rPr>
                <w:rFonts w:ascii="Arial Narrow" w:hAnsi="Arial Narrow" w:cs="Arial"/>
                <w:lang w:val="es-ES" w:eastAsia="es-ES"/>
              </w:rPr>
            </w:pPr>
            <w:r w:rsidRPr="00BF15FE">
              <w:rPr>
                <w:rFonts w:ascii="Arial Narrow" w:hAnsi="Arial Narrow" w:cs="Arial"/>
                <w:lang w:val="es-ES" w:eastAsia="es-ES"/>
              </w:rPr>
              <w:t>Financiación pública básica</w:t>
            </w:r>
          </w:p>
        </w:tc>
        <w:tc>
          <w:tcPr>
            <w:tcW w:w="707" w:type="dxa"/>
            <w:gridSpan w:val="2"/>
            <w:tcBorders>
              <w:top w:val="nil"/>
              <w:left w:val="nil"/>
              <w:bottom w:val="nil"/>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51.645</w:t>
            </w:r>
          </w:p>
        </w:tc>
        <w:tc>
          <w:tcPr>
            <w:tcW w:w="710" w:type="dxa"/>
            <w:gridSpan w:val="2"/>
            <w:tcBorders>
              <w:top w:val="nil"/>
              <w:left w:val="nil"/>
              <w:bottom w:val="nil"/>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51.017</w:t>
            </w:r>
          </w:p>
        </w:tc>
        <w:tc>
          <w:tcPr>
            <w:tcW w:w="742" w:type="dxa"/>
            <w:gridSpan w:val="2"/>
            <w:tcBorders>
              <w:top w:val="nil"/>
              <w:left w:val="nil"/>
              <w:bottom w:val="nil"/>
              <w:right w:val="nil"/>
            </w:tcBorders>
            <w:shd w:val="clear" w:color="auto" w:fill="auto"/>
            <w:noWrap/>
            <w:vAlign w:val="center"/>
            <w:hideMark/>
          </w:tcPr>
          <w:p w:rsidR="00414999" w:rsidRPr="00BF15FE" w:rsidRDefault="00414999" w:rsidP="00F44C41">
            <w:pPr>
              <w:tabs>
                <w:tab w:val="left" w:pos="8647"/>
              </w:tabs>
              <w:spacing w:after="0"/>
              <w:ind w:right="57"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51.751</w:t>
            </w:r>
          </w:p>
        </w:tc>
        <w:tc>
          <w:tcPr>
            <w:tcW w:w="708" w:type="dxa"/>
            <w:gridSpan w:val="2"/>
            <w:tcBorders>
              <w:top w:val="nil"/>
              <w:left w:val="nil"/>
              <w:bottom w:val="nil"/>
              <w:right w:val="nil"/>
            </w:tcBorders>
            <w:shd w:val="clear" w:color="auto" w:fill="auto"/>
            <w:noWrap/>
            <w:vAlign w:val="center"/>
            <w:hideMark/>
          </w:tcPr>
          <w:p w:rsidR="00414999" w:rsidRPr="00BF15FE" w:rsidRDefault="00414999" w:rsidP="00F44C41">
            <w:pPr>
              <w:tabs>
                <w:tab w:val="left" w:pos="8647"/>
              </w:tabs>
              <w:spacing w:after="0"/>
              <w:ind w:right="73"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52.444</w:t>
            </w:r>
          </w:p>
        </w:tc>
        <w:tc>
          <w:tcPr>
            <w:tcW w:w="697" w:type="dxa"/>
            <w:gridSpan w:val="3"/>
            <w:tcBorders>
              <w:top w:val="nil"/>
              <w:left w:val="nil"/>
              <w:bottom w:val="nil"/>
              <w:right w:val="nil"/>
            </w:tcBorders>
            <w:shd w:val="clear" w:color="auto" w:fill="auto"/>
            <w:noWrap/>
            <w:vAlign w:val="center"/>
            <w:hideMark/>
          </w:tcPr>
          <w:p w:rsidR="00414999" w:rsidRPr="00BF15FE" w:rsidRDefault="00414999" w:rsidP="00F44C41">
            <w:pPr>
              <w:tabs>
                <w:tab w:val="left" w:pos="8647"/>
              </w:tabs>
              <w:spacing w:after="0"/>
              <w:ind w:right="102"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51.639</w:t>
            </w:r>
          </w:p>
        </w:tc>
        <w:tc>
          <w:tcPr>
            <w:tcW w:w="730" w:type="dxa"/>
            <w:gridSpan w:val="2"/>
            <w:tcBorders>
              <w:top w:val="nil"/>
              <w:left w:val="nil"/>
              <w:bottom w:val="nil"/>
              <w:right w:val="nil"/>
            </w:tcBorders>
            <w:shd w:val="clear" w:color="auto" w:fill="auto"/>
            <w:noWrap/>
            <w:vAlign w:val="center"/>
            <w:hideMark/>
          </w:tcPr>
          <w:p w:rsidR="00414999" w:rsidRPr="00BF15FE" w:rsidRDefault="00414999" w:rsidP="00F44C41">
            <w:pPr>
              <w:tabs>
                <w:tab w:val="left" w:pos="8647"/>
              </w:tabs>
              <w:spacing w:after="0"/>
              <w:ind w:right="131"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54.467</w:t>
            </w:r>
          </w:p>
        </w:tc>
        <w:tc>
          <w:tcPr>
            <w:tcW w:w="668" w:type="dxa"/>
            <w:gridSpan w:val="2"/>
            <w:tcBorders>
              <w:top w:val="nil"/>
              <w:left w:val="nil"/>
              <w:bottom w:val="nil"/>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56.921</w:t>
            </w:r>
          </w:p>
        </w:tc>
        <w:tc>
          <w:tcPr>
            <w:tcW w:w="656" w:type="dxa"/>
            <w:gridSpan w:val="2"/>
            <w:tcBorders>
              <w:top w:val="nil"/>
              <w:left w:val="nil"/>
              <w:bottom w:val="nil"/>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5</w:t>
            </w:r>
          </w:p>
        </w:tc>
        <w:tc>
          <w:tcPr>
            <w:tcW w:w="656" w:type="dxa"/>
            <w:gridSpan w:val="2"/>
            <w:tcBorders>
              <w:top w:val="nil"/>
              <w:left w:val="nil"/>
              <w:bottom w:val="nil"/>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10</w:t>
            </w:r>
          </w:p>
        </w:tc>
      </w:tr>
      <w:tr w:rsidR="00414999" w:rsidRPr="00BF15FE" w:rsidTr="008661DA">
        <w:trPr>
          <w:trHeight w:val="300"/>
          <w:jc w:val="center"/>
        </w:trPr>
        <w:tc>
          <w:tcPr>
            <w:tcW w:w="2835" w:type="dxa"/>
            <w:tcBorders>
              <w:top w:val="nil"/>
              <w:left w:val="nil"/>
              <w:bottom w:val="single" w:sz="2" w:space="0" w:color="auto"/>
              <w:right w:val="nil"/>
            </w:tcBorders>
            <w:shd w:val="clear" w:color="auto" w:fill="auto"/>
            <w:noWrap/>
            <w:vAlign w:val="center"/>
            <w:hideMark/>
          </w:tcPr>
          <w:p w:rsidR="00414999" w:rsidRPr="00BF15FE" w:rsidRDefault="00414999" w:rsidP="00F44C41">
            <w:pPr>
              <w:tabs>
                <w:tab w:val="left" w:pos="8647"/>
              </w:tabs>
              <w:spacing w:after="0"/>
              <w:ind w:right="-68" w:firstLine="0"/>
              <w:jc w:val="left"/>
              <w:rPr>
                <w:rFonts w:ascii="Arial Narrow" w:hAnsi="Arial Narrow" w:cs="Arial"/>
                <w:lang w:val="es-ES" w:eastAsia="es-ES"/>
              </w:rPr>
            </w:pPr>
            <w:r w:rsidRPr="00BF15FE">
              <w:rPr>
                <w:rFonts w:ascii="Arial Narrow" w:hAnsi="Arial Narrow" w:cs="Arial"/>
                <w:lang w:val="es-ES" w:eastAsia="es-ES"/>
              </w:rPr>
              <w:t>F</w:t>
            </w:r>
            <w:r w:rsidR="00BF15FE" w:rsidRPr="00BF15FE">
              <w:rPr>
                <w:rFonts w:ascii="Arial Narrow" w:hAnsi="Arial Narrow" w:cs="Arial"/>
                <w:lang w:val="es-ES" w:eastAsia="es-ES"/>
              </w:rPr>
              <w:t>inanciación por precios públicos</w:t>
            </w:r>
          </w:p>
        </w:tc>
        <w:tc>
          <w:tcPr>
            <w:tcW w:w="707" w:type="dxa"/>
            <w:gridSpan w:val="2"/>
            <w:tcBorders>
              <w:top w:val="nil"/>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8.265</w:t>
            </w:r>
          </w:p>
        </w:tc>
        <w:tc>
          <w:tcPr>
            <w:tcW w:w="710" w:type="dxa"/>
            <w:gridSpan w:val="2"/>
            <w:tcBorders>
              <w:top w:val="nil"/>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9.234</w:t>
            </w:r>
          </w:p>
        </w:tc>
        <w:tc>
          <w:tcPr>
            <w:tcW w:w="742" w:type="dxa"/>
            <w:gridSpan w:val="2"/>
            <w:tcBorders>
              <w:top w:val="nil"/>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right="57"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10.481</w:t>
            </w:r>
          </w:p>
        </w:tc>
        <w:tc>
          <w:tcPr>
            <w:tcW w:w="708" w:type="dxa"/>
            <w:gridSpan w:val="2"/>
            <w:tcBorders>
              <w:top w:val="nil"/>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right="73"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9.586</w:t>
            </w:r>
          </w:p>
        </w:tc>
        <w:tc>
          <w:tcPr>
            <w:tcW w:w="697" w:type="dxa"/>
            <w:gridSpan w:val="3"/>
            <w:tcBorders>
              <w:top w:val="nil"/>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right="102"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10.918</w:t>
            </w:r>
          </w:p>
        </w:tc>
        <w:tc>
          <w:tcPr>
            <w:tcW w:w="730" w:type="dxa"/>
            <w:gridSpan w:val="2"/>
            <w:tcBorders>
              <w:top w:val="nil"/>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right="131"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9.709</w:t>
            </w:r>
          </w:p>
        </w:tc>
        <w:tc>
          <w:tcPr>
            <w:tcW w:w="668" w:type="dxa"/>
            <w:gridSpan w:val="2"/>
            <w:tcBorders>
              <w:top w:val="nil"/>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9.818</w:t>
            </w:r>
          </w:p>
        </w:tc>
        <w:tc>
          <w:tcPr>
            <w:tcW w:w="656" w:type="dxa"/>
            <w:gridSpan w:val="2"/>
            <w:tcBorders>
              <w:top w:val="nil"/>
              <w:left w:val="nil"/>
              <w:bottom w:val="single" w:sz="2"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1</w:t>
            </w:r>
          </w:p>
        </w:tc>
        <w:tc>
          <w:tcPr>
            <w:tcW w:w="656" w:type="dxa"/>
            <w:gridSpan w:val="2"/>
            <w:tcBorders>
              <w:top w:val="nil"/>
              <w:left w:val="nil"/>
              <w:bottom w:val="single" w:sz="2"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19</w:t>
            </w:r>
          </w:p>
        </w:tc>
      </w:tr>
      <w:tr w:rsidR="00414999" w:rsidRPr="00BF15FE" w:rsidTr="0084324C">
        <w:trPr>
          <w:trHeight w:val="300"/>
          <w:jc w:val="center"/>
        </w:trPr>
        <w:tc>
          <w:tcPr>
            <w:tcW w:w="2835" w:type="dxa"/>
            <w:tcBorders>
              <w:top w:val="single" w:sz="2" w:space="0" w:color="auto"/>
              <w:left w:val="nil"/>
              <w:bottom w:val="single" w:sz="4" w:space="0" w:color="auto"/>
              <w:right w:val="nil"/>
            </w:tcBorders>
            <w:shd w:val="clear" w:color="auto" w:fill="auto"/>
            <w:noWrap/>
            <w:vAlign w:val="center"/>
            <w:hideMark/>
          </w:tcPr>
          <w:p w:rsidR="00414999" w:rsidRPr="00BF15FE" w:rsidRDefault="00BF15FE" w:rsidP="00F44C41">
            <w:pPr>
              <w:tabs>
                <w:tab w:val="left" w:pos="8647"/>
              </w:tabs>
              <w:spacing w:after="0"/>
              <w:ind w:right="-68" w:firstLine="0"/>
              <w:jc w:val="left"/>
              <w:rPr>
                <w:rFonts w:ascii="Arial Narrow" w:hAnsi="Arial Narrow" w:cs="Arial"/>
                <w:lang w:val="es-ES" w:eastAsia="es-ES"/>
              </w:rPr>
            </w:pPr>
            <w:r>
              <w:rPr>
                <w:rFonts w:ascii="Arial Narrow" w:hAnsi="Arial Narrow" w:cs="Arial"/>
                <w:lang w:val="es-ES" w:eastAsia="es-ES"/>
              </w:rPr>
              <w:t>Estudiantes matriculados</w:t>
            </w:r>
          </w:p>
          <w:p w:rsidR="00414999" w:rsidRPr="00BF15FE" w:rsidRDefault="00414999" w:rsidP="00F44C41">
            <w:pPr>
              <w:tabs>
                <w:tab w:val="left" w:pos="8647"/>
              </w:tabs>
              <w:spacing w:after="0"/>
              <w:ind w:right="-68" w:firstLine="0"/>
              <w:jc w:val="left"/>
              <w:rPr>
                <w:rFonts w:ascii="Arial Narrow" w:hAnsi="Arial Narrow" w:cs="Arial"/>
                <w:lang w:val="es-ES" w:eastAsia="es-ES"/>
              </w:rPr>
            </w:pPr>
            <w:r w:rsidRPr="00BF15FE">
              <w:rPr>
                <w:rFonts w:ascii="Arial Narrow" w:hAnsi="Arial Narrow" w:cs="Arial"/>
                <w:lang w:val="es-ES" w:eastAsia="es-ES"/>
              </w:rPr>
              <w:t>(</w:t>
            </w:r>
            <w:proofErr w:type="spellStart"/>
            <w:r w:rsidRPr="00BF15FE">
              <w:rPr>
                <w:rFonts w:ascii="Arial Narrow" w:hAnsi="Arial Narrow" w:cs="Arial"/>
                <w:lang w:val="es-ES" w:eastAsia="es-ES"/>
              </w:rPr>
              <w:t>Grados+Ciclos+Máster</w:t>
            </w:r>
            <w:proofErr w:type="spellEnd"/>
            <w:r w:rsidRPr="00BF15FE">
              <w:rPr>
                <w:rFonts w:ascii="Arial Narrow" w:hAnsi="Arial Narrow" w:cs="Arial"/>
                <w:lang w:val="es-ES" w:eastAsia="es-ES"/>
              </w:rPr>
              <w:t>+ Doctorado)</w:t>
            </w:r>
          </w:p>
        </w:tc>
        <w:tc>
          <w:tcPr>
            <w:tcW w:w="707" w:type="dxa"/>
            <w:gridSpan w:val="2"/>
            <w:tcBorders>
              <w:top w:val="single" w:sz="2"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8.055</w:t>
            </w:r>
          </w:p>
        </w:tc>
        <w:tc>
          <w:tcPr>
            <w:tcW w:w="710" w:type="dxa"/>
            <w:gridSpan w:val="2"/>
            <w:tcBorders>
              <w:top w:val="single" w:sz="2"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8.369</w:t>
            </w:r>
          </w:p>
        </w:tc>
        <w:tc>
          <w:tcPr>
            <w:tcW w:w="742" w:type="dxa"/>
            <w:gridSpan w:val="2"/>
            <w:tcBorders>
              <w:top w:val="single" w:sz="2"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right="57"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8.295</w:t>
            </w:r>
          </w:p>
        </w:tc>
        <w:tc>
          <w:tcPr>
            <w:tcW w:w="708" w:type="dxa"/>
            <w:gridSpan w:val="2"/>
            <w:tcBorders>
              <w:top w:val="single" w:sz="2"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right="73"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8.308</w:t>
            </w:r>
          </w:p>
        </w:tc>
        <w:tc>
          <w:tcPr>
            <w:tcW w:w="697" w:type="dxa"/>
            <w:gridSpan w:val="3"/>
            <w:tcBorders>
              <w:top w:val="single" w:sz="2"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right="102"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8.134</w:t>
            </w:r>
          </w:p>
        </w:tc>
        <w:tc>
          <w:tcPr>
            <w:tcW w:w="730" w:type="dxa"/>
            <w:gridSpan w:val="2"/>
            <w:tcBorders>
              <w:top w:val="single" w:sz="2"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right="131"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8.143</w:t>
            </w:r>
          </w:p>
        </w:tc>
        <w:tc>
          <w:tcPr>
            <w:tcW w:w="668" w:type="dxa"/>
            <w:gridSpan w:val="2"/>
            <w:tcBorders>
              <w:top w:val="single" w:sz="2"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8.225</w:t>
            </w:r>
          </w:p>
        </w:tc>
        <w:tc>
          <w:tcPr>
            <w:tcW w:w="656" w:type="dxa"/>
            <w:gridSpan w:val="2"/>
            <w:tcBorders>
              <w:top w:val="single" w:sz="2"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1</w:t>
            </w:r>
          </w:p>
        </w:tc>
        <w:tc>
          <w:tcPr>
            <w:tcW w:w="656" w:type="dxa"/>
            <w:gridSpan w:val="2"/>
            <w:tcBorders>
              <w:top w:val="single" w:sz="2"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2</w:t>
            </w:r>
          </w:p>
        </w:tc>
      </w:tr>
      <w:tr w:rsidR="00414999" w:rsidRPr="00BF15FE" w:rsidTr="0084324C">
        <w:trPr>
          <w:trHeight w:val="300"/>
          <w:jc w:val="center"/>
        </w:trPr>
        <w:tc>
          <w:tcPr>
            <w:tcW w:w="2835" w:type="dxa"/>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68" w:firstLine="0"/>
              <w:jc w:val="left"/>
              <w:rPr>
                <w:rFonts w:ascii="Arial Narrow" w:hAnsi="Arial Narrow" w:cs="Arial"/>
                <w:b/>
                <w:bCs/>
                <w:lang w:val="es-ES" w:eastAsia="es-ES"/>
              </w:rPr>
            </w:pPr>
            <w:r w:rsidRPr="00BF15FE">
              <w:rPr>
                <w:rFonts w:ascii="Arial Narrow" w:hAnsi="Arial Narrow" w:cs="Arial"/>
                <w:b/>
                <w:bCs/>
                <w:lang w:val="es-ES" w:eastAsia="es-ES"/>
              </w:rPr>
              <w:t>F</w:t>
            </w:r>
            <w:r w:rsidR="00BF15FE">
              <w:rPr>
                <w:rFonts w:ascii="Arial Narrow" w:hAnsi="Arial Narrow" w:cs="Arial"/>
                <w:b/>
                <w:bCs/>
                <w:lang w:val="es-ES" w:eastAsia="es-ES"/>
              </w:rPr>
              <w:t>inanciación pública básica por estudiantes</w:t>
            </w:r>
          </w:p>
        </w:tc>
        <w:tc>
          <w:tcPr>
            <w:tcW w:w="707" w:type="dxa"/>
            <w:gridSpan w:val="2"/>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6,41</w:t>
            </w:r>
          </w:p>
        </w:tc>
        <w:tc>
          <w:tcPr>
            <w:tcW w:w="710" w:type="dxa"/>
            <w:gridSpan w:val="2"/>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6,10</w:t>
            </w:r>
          </w:p>
        </w:tc>
        <w:tc>
          <w:tcPr>
            <w:tcW w:w="742" w:type="dxa"/>
            <w:gridSpan w:val="2"/>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right="57"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6,24</w:t>
            </w:r>
          </w:p>
        </w:tc>
        <w:tc>
          <w:tcPr>
            <w:tcW w:w="708" w:type="dxa"/>
            <w:gridSpan w:val="2"/>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right="73"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6,31</w:t>
            </w:r>
          </w:p>
        </w:tc>
        <w:tc>
          <w:tcPr>
            <w:tcW w:w="697" w:type="dxa"/>
            <w:gridSpan w:val="3"/>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right="102"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6,35</w:t>
            </w:r>
          </w:p>
        </w:tc>
        <w:tc>
          <w:tcPr>
            <w:tcW w:w="730" w:type="dxa"/>
            <w:gridSpan w:val="2"/>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right="131"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6,69</w:t>
            </w:r>
          </w:p>
        </w:tc>
        <w:tc>
          <w:tcPr>
            <w:tcW w:w="668" w:type="dxa"/>
            <w:gridSpan w:val="2"/>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6,92</w:t>
            </w:r>
          </w:p>
        </w:tc>
        <w:tc>
          <w:tcPr>
            <w:tcW w:w="656" w:type="dxa"/>
            <w:gridSpan w:val="2"/>
            <w:tcBorders>
              <w:top w:val="single" w:sz="4"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3</w:t>
            </w:r>
          </w:p>
        </w:tc>
        <w:tc>
          <w:tcPr>
            <w:tcW w:w="656" w:type="dxa"/>
            <w:gridSpan w:val="2"/>
            <w:tcBorders>
              <w:top w:val="single" w:sz="4"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8</w:t>
            </w:r>
          </w:p>
        </w:tc>
      </w:tr>
      <w:tr w:rsidR="00414999" w:rsidRPr="00BF15FE" w:rsidTr="0084324C">
        <w:trPr>
          <w:trHeight w:val="300"/>
          <w:jc w:val="center"/>
        </w:trPr>
        <w:tc>
          <w:tcPr>
            <w:tcW w:w="2835" w:type="dxa"/>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68" w:firstLine="0"/>
              <w:jc w:val="left"/>
              <w:rPr>
                <w:rFonts w:ascii="Arial Narrow" w:hAnsi="Arial Narrow" w:cs="Arial"/>
                <w:b/>
                <w:bCs/>
                <w:lang w:val="es-ES" w:eastAsia="es-ES"/>
              </w:rPr>
            </w:pPr>
            <w:r w:rsidRPr="00BF15FE">
              <w:rPr>
                <w:rFonts w:ascii="Arial Narrow" w:hAnsi="Arial Narrow" w:cs="Arial"/>
                <w:b/>
                <w:bCs/>
                <w:lang w:val="es-ES" w:eastAsia="es-ES"/>
              </w:rPr>
              <w:t>P</w:t>
            </w:r>
            <w:r w:rsidR="00BF15FE">
              <w:rPr>
                <w:rFonts w:ascii="Arial Narrow" w:hAnsi="Arial Narrow" w:cs="Arial"/>
                <w:b/>
                <w:bCs/>
                <w:lang w:val="es-ES" w:eastAsia="es-ES"/>
              </w:rPr>
              <w:t>recio público por estudiante</w:t>
            </w:r>
          </w:p>
        </w:tc>
        <w:tc>
          <w:tcPr>
            <w:tcW w:w="707" w:type="dxa"/>
            <w:gridSpan w:val="2"/>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1,03</w:t>
            </w:r>
          </w:p>
        </w:tc>
        <w:tc>
          <w:tcPr>
            <w:tcW w:w="710" w:type="dxa"/>
            <w:gridSpan w:val="2"/>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1,10</w:t>
            </w:r>
          </w:p>
        </w:tc>
        <w:tc>
          <w:tcPr>
            <w:tcW w:w="742" w:type="dxa"/>
            <w:gridSpan w:val="2"/>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right="57"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1,26</w:t>
            </w:r>
          </w:p>
        </w:tc>
        <w:tc>
          <w:tcPr>
            <w:tcW w:w="708" w:type="dxa"/>
            <w:gridSpan w:val="2"/>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right="73"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1,15</w:t>
            </w:r>
          </w:p>
        </w:tc>
        <w:tc>
          <w:tcPr>
            <w:tcW w:w="697" w:type="dxa"/>
            <w:gridSpan w:val="3"/>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right="102"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1,34</w:t>
            </w:r>
          </w:p>
        </w:tc>
        <w:tc>
          <w:tcPr>
            <w:tcW w:w="730" w:type="dxa"/>
            <w:gridSpan w:val="2"/>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right="131"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1,19</w:t>
            </w:r>
          </w:p>
        </w:tc>
        <w:tc>
          <w:tcPr>
            <w:tcW w:w="668" w:type="dxa"/>
            <w:gridSpan w:val="2"/>
            <w:tcBorders>
              <w:top w:val="single" w:sz="4" w:space="0" w:color="auto"/>
              <w:left w:val="nil"/>
              <w:bottom w:val="single" w:sz="4"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1,19</w:t>
            </w:r>
          </w:p>
        </w:tc>
        <w:tc>
          <w:tcPr>
            <w:tcW w:w="656" w:type="dxa"/>
            <w:gridSpan w:val="2"/>
            <w:tcBorders>
              <w:top w:val="single" w:sz="4"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0</w:t>
            </w:r>
          </w:p>
        </w:tc>
        <w:tc>
          <w:tcPr>
            <w:tcW w:w="656" w:type="dxa"/>
            <w:gridSpan w:val="2"/>
            <w:tcBorders>
              <w:top w:val="single" w:sz="4"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16</w:t>
            </w:r>
          </w:p>
        </w:tc>
      </w:tr>
      <w:tr w:rsidR="00414999" w:rsidRPr="00BF15FE" w:rsidTr="0084324C">
        <w:trPr>
          <w:trHeight w:val="300"/>
          <w:jc w:val="center"/>
        </w:trPr>
        <w:tc>
          <w:tcPr>
            <w:tcW w:w="2835" w:type="dxa"/>
            <w:tcBorders>
              <w:top w:val="single" w:sz="4" w:space="0" w:color="auto"/>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right="-68" w:firstLine="0"/>
              <w:jc w:val="left"/>
              <w:rPr>
                <w:rFonts w:ascii="Arial Narrow" w:hAnsi="Arial Narrow" w:cs="Arial"/>
                <w:lang w:val="es-ES" w:eastAsia="es-ES"/>
              </w:rPr>
            </w:pPr>
            <w:r w:rsidRPr="00BF15FE">
              <w:rPr>
                <w:rFonts w:ascii="Arial Narrow" w:hAnsi="Arial Narrow" w:cs="Arial"/>
                <w:lang w:val="es-ES" w:eastAsia="es-ES"/>
              </w:rPr>
              <w:t>P</w:t>
            </w:r>
            <w:r w:rsidR="00BF15FE">
              <w:rPr>
                <w:rFonts w:ascii="Arial Narrow" w:hAnsi="Arial Narrow" w:cs="Arial"/>
                <w:lang w:val="es-ES" w:eastAsia="es-ES"/>
              </w:rPr>
              <w:t>recios públicos por grado</w:t>
            </w:r>
          </w:p>
          <w:p w:rsidR="00414999" w:rsidRPr="00BF15FE" w:rsidRDefault="00414999" w:rsidP="00F44C41">
            <w:pPr>
              <w:tabs>
                <w:tab w:val="left" w:pos="8647"/>
              </w:tabs>
              <w:spacing w:after="0"/>
              <w:ind w:right="-68" w:firstLine="0"/>
              <w:jc w:val="left"/>
              <w:rPr>
                <w:rFonts w:ascii="Arial Narrow" w:hAnsi="Arial Narrow" w:cs="Arial"/>
                <w:lang w:val="es-ES" w:eastAsia="es-ES"/>
              </w:rPr>
            </w:pPr>
            <w:r w:rsidRPr="00BF15FE">
              <w:rPr>
                <w:rFonts w:ascii="Arial Narrow" w:hAnsi="Arial Narrow" w:cs="Arial"/>
                <w:lang w:val="es-ES" w:eastAsia="es-ES"/>
              </w:rPr>
              <w:t>(</w:t>
            </w:r>
            <w:proofErr w:type="spellStart"/>
            <w:r w:rsidRPr="00BF15FE">
              <w:rPr>
                <w:rFonts w:ascii="Arial Narrow" w:hAnsi="Arial Narrow" w:cs="Arial"/>
                <w:lang w:val="es-ES" w:eastAsia="es-ES"/>
              </w:rPr>
              <w:t>Grados+Ciclos</w:t>
            </w:r>
            <w:proofErr w:type="spellEnd"/>
            <w:r w:rsidRPr="00BF15FE">
              <w:rPr>
                <w:rFonts w:ascii="Arial Narrow" w:hAnsi="Arial Narrow" w:cs="Arial"/>
                <w:lang w:val="es-ES" w:eastAsia="es-ES"/>
              </w:rPr>
              <w:t>)</w:t>
            </w:r>
          </w:p>
        </w:tc>
        <w:tc>
          <w:tcPr>
            <w:tcW w:w="707" w:type="dxa"/>
            <w:gridSpan w:val="2"/>
            <w:tcBorders>
              <w:top w:val="single" w:sz="4" w:space="0" w:color="auto"/>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6.157</w:t>
            </w:r>
          </w:p>
        </w:tc>
        <w:tc>
          <w:tcPr>
            <w:tcW w:w="710" w:type="dxa"/>
            <w:gridSpan w:val="2"/>
            <w:tcBorders>
              <w:top w:val="single" w:sz="4" w:space="0" w:color="auto"/>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7.020</w:t>
            </w:r>
          </w:p>
        </w:tc>
        <w:tc>
          <w:tcPr>
            <w:tcW w:w="742" w:type="dxa"/>
            <w:gridSpan w:val="2"/>
            <w:tcBorders>
              <w:top w:val="single" w:sz="4" w:space="0" w:color="auto"/>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right="57"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7.463</w:t>
            </w:r>
          </w:p>
        </w:tc>
        <w:tc>
          <w:tcPr>
            <w:tcW w:w="708" w:type="dxa"/>
            <w:gridSpan w:val="2"/>
            <w:tcBorders>
              <w:top w:val="single" w:sz="4" w:space="0" w:color="auto"/>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right="73"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6.402</w:t>
            </w:r>
          </w:p>
        </w:tc>
        <w:tc>
          <w:tcPr>
            <w:tcW w:w="697" w:type="dxa"/>
            <w:gridSpan w:val="3"/>
            <w:tcBorders>
              <w:top w:val="single" w:sz="4" w:space="0" w:color="auto"/>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right="102"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7..835</w:t>
            </w:r>
          </w:p>
        </w:tc>
        <w:tc>
          <w:tcPr>
            <w:tcW w:w="730" w:type="dxa"/>
            <w:gridSpan w:val="2"/>
            <w:tcBorders>
              <w:top w:val="single" w:sz="4" w:space="0" w:color="auto"/>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right="131"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6.979</w:t>
            </w:r>
          </w:p>
        </w:tc>
        <w:tc>
          <w:tcPr>
            <w:tcW w:w="668" w:type="dxa"/>
            <w:gridSpan w:val="2"/>
            <w:tcBorders>
              <w:top w:val="single" w:sz="4" w:space="0" w:color="auto"/>
              <w:left w:val="nil"/>
              <w:bottom w:val="single" w:sz="2" w:space="0" w:color="auto"/>
              <w:right w:val="nil"/>
            </w:tcBorders>
            <w:shd w:val="clear" w:color="auto" w:fill="auto"/>
            <w:noWrap/>
            <w:vAlign w:val="center"/>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6.930</w:t>
            </w:r>
          </w:p>
        </w:tc>
        <w:tc>
          <w:tcPr>
            <w:tcW w:w="656" w:type="dxa"/>
            <w:gridSpan w:val="2"/>
            <w:tcBorders>
              <w:top w:val="single" w:sz="4" w:space="0" w:color="auto"/>
              <w:left w:val="nil"/>
              <w:bottom w:val="single" w:sz="2"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-1</w:t>
            </w:r>
          </w:p>
        </w:tc>
        <w:tc>
          <w:tcPr>
            <w:tcW w:w="656" w:type="dxa"/>
            <w:gridSpan w:val="2"/>
            <w:tcBorders>
              <w:top w:val="single" w:sz="4" w:space="0" w:color="auto"/>
              <w:left w:val="nil"/>
              <w:bottom w:val="single" w:sz="2"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13</w:t>
            </w:r>
          </w:p>
        </w:tc>
      </w:tr>
      <w:tr w:rsidR="00414999" w:rsidRPr="00BF15FE" w:rsidTr="0084324C">
        <w:trPr>
          <w:trHeight w:val="300"/>
          <w:jc w:val="center"/>
        </w:trPr>
        <w:tc>
          <w:tcPr>
            <w:tcW w:w="2835" w:type="dxa"/>
            <w:tcBorders>
              <w:top w:val="single" w:sz="2" w:space="0" w:color="auto"/>
              <w:left w:val="nil"/>
              <w:bottom w:val="single" w:sz="4" w:space="0" w:color="auto"/>
              <w:right w:val="nil"/>
            </w:tcBorders>
            <w:shd w:val="clear" w:color="auto" w:fill="auto"/>
            <w:noWrap/>
            <w:vAlign w:val="center"/>
            <w:hideMark/>
          </w:tcPr>
          <w:p w:rsidR="00414999" w:rsidRPr="00BF15FE" w:rsidRDefault="00BF15FE" w:rsidP="00F44C41">
            <w:pPr>
              <w:tabs>
                <w:tab w:val="left" w:pos="8647"/>
              </w:tabs>
              <w:spacing w:after="0"/>
              <w:ind w:right="-68" w:firstLine="0"/>
              <w:jc w:val="left"/>
              <w:rPr>
                <w:rFonts w:ascii="Arial Narrow" w:hAnsi="Arial Narrow" w:cs="Arial"/>
                <w:lang w:val="es-ES" w:eastAsia="es-ES"/>
              </w:rPr>
            </w:pPr>
            <w:r>
              <w:rPr>
                <w:rFonts w:ascii="Arial Narrow" w:hAnsi="Arial Narrow" w:cs="Arial"/>
                <w:lang w:val="es-ES" w:eastAsia="es-ES"/>
              </w:rPr>
              <w:t>Estudiantes matriculados en grado</w:t>
            </w:r>
            <w:r w:rsidR="00414999" w:rsidRPr="00BF15FE">
              <w:rPr>
                <w:rFonts w:ascii="Arial Narrow" w:hAnsi="Arial Narrow" w:cs="Arial"/>
                <w:lang w:val="es-ES" w:eastAsia="es-ES"/>
              </w:rPr>
              <w:t xml:space="preserve"> (</w:t>
            </w:r>
            <w:proofErr w:type="spellStart"/>
            <w:r w:rsidR="00414999" w:rsidRPr="00BF15FE">
              <w:rPr>
                <w:rFonts w:ascii="Arial Narrow" w:hAnsi="Arial Narrow" w:cs="Arial"/>
                <w:lang w:val="es-ES" w:eastAsia="es-ES"/>
              </w:rPr>
              <w:t>Grados+Ciclos</w:t>
            </w:r>
            <w:proofErr w:type="spellEnd"/>
            <w:r w:rsidR="00414999" w:rsidRPr="00BF15FE">
              <w:rPr>
                <w:rFonts w:ascii="Arial Narrow" w:hAnsi="Arial Narrow" w:cs="Arial"/>
                <w:lang w:val="es-ES" w:eastAsia="es-ES"/>
              </w:rPr>
              <w:t>)</w:t>
            </w:r>
          </w:p>
        </w:tc>
        <w:tc>
          <w:tcPr>
            <w:tcW w:w="707" w:type="dxa"/>
            <w:gridSpan w:val="2"/>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7.044</w:t>
            </w:r>
          </w:p>
        </w:tc>
        <w:tc>
          <w:tcPr>
            <w:tcW w:w="710" w:type="dxa"/>
            <w:gridSpan w:val="2"/>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7.195</w:t>
            </w:r>
          </w:p>
        </w:tc>
        <w:tc>
          <w:tcPr>
            <w:tcW w:w="742" w:type="dxa"/>
            <w:gridSpan w:val="2"/>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57"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7.065</w:t>
            </w:r>
          </w:p>
        </w:tc>
        <w:tc>
          <w:tcPr>
            <w:tcW w:w="708" w:type="dxa"/>
            <w:gridSpan w:val="2"/>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73"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7.050</w:t>
            </w:r>
          </w:p>
        </w:tc>
        <w:tc>
          <w:tcPr>
            <w:tcW w:w="697" w:type="dxa"/>
            <w:gridSpan w:val="3"/>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102"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6.929</w:t>
            </w:r>
          </w:p>
        </w:tc>
        <w:tc>
          <w:tcPr>
            <w:tcW w:w="730" w:type="dxa"/>
            <w:gridSpan w:val="2"/>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131"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7.001</w:t>
            </w:r>
          </w:p>
        </w:tc>
        <w:tc>
          <w:tcPr>
            <w:tcW w:w="668" w:type="dxa"/>
            <w:gridSpan w:val="2"/>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7.007</w:t>
            </w:r>
          </w:p>
        </w:tc>
        <w:tc>
          <w:tcPr>
            <w:tcW w:w="656" w:type="dxa"/>
            <w:gridSpan w:val="2"/>
            <w:tcBorders>
              <w:top w:val="single" w:sz="2"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0</w:t>
            </w:r>
          </w:p>
        </w:tc>
        <w:tc>
          <w:tcPr>
            <w:tcW w:w="656" w:type="dxa"/>
            <w:gridSpan w:val="2"/>
            <w:tcBorders>
              <w:top w:val="single" w:sz="2"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-1</w:t>
            </w:r>
          </w:p>
        </w:tc>
      </w:tr>
      <w:tr w:rsidR="00414999" w:rsidRPr="00BF15FE" w:rsidTr="0084324C">
        <w:trPr>
          <w:trHeight w:val="300"/>
          <w:jc w:val="center"/>
        </w:trPr>
        <w:tc>
          <w:tcPr>
            <w:tcW w:w="2835" w:type="dxa"/>
            <w:tcBorders>
              <w:top w:val="single" w:sz="4" w:space="0" w:color="auto"/>
              <w:left w:val="nil"/>
              <w:bottom w:val="single" w:sz="4" w:space="0" w:color="auto"/>
              <w:right w:val="nil"/>
            </w:tcBorders>
            <w:shd w:val="clear" w:color="auto" w:fill="auto"/>
            <w:noWrap/>
            <w:vAlign w:val="center"/>
            <w:hideMark/>
          </w:tcPr>
          <w:p w:rsidR="00414999" w:rsidRPr="00BF15FE" w:rsidRDefault="00414999" w:rsidP="002F4D81">
            <w:pPr>
              <w:tabs>
                <w:tab w:val="left" w:pos="8647"/>
              </w:tabs>
              <w:spacing w:after="0"/>
              <w:ind w:right="-68" w:firstLine="0"/>
              <w:jc w:val="left"/>
              <w:rPr>
                <w:rFonts w:ascii="Arial Narrow" w:hAnsi="Arial Narrow" w:cs="Arial"/>
                <w:b/>
                <w:bCs/>
                <w:lang w:val="es-ES" w:eastAsia="es-ES"/>
              </w:rPr>
            </w:pPr>
            <w:r w:rsidRPr="00BF15FE">
              <w:rPr>
                <w:rFonts w:ascii="Arial Narrow" w:hAnsi="Arial Narrow" w:cs="Arial"/>
                <w:b/>
                <w:bCs/>
                <w:lang w:val="es-ES" w:eastAsia="es-ES"/>
              </w:rPr>
              <w:t>P</w:t>
            </w:r>
            <w:r w:rsidR="00BF15FE">
              <w:rPr>
                <w:rFonts w:ascii="Arial Narrow" w:hAnsi="Arial Narrow" w:cs="Arial"/>
                <w:b/>
                <w:bCs/>
                <w:lang w:val="es-ES" w:eastAsia="es-ES"/>
              </w:rPr>
              <w:t>recio púb</w:t>
            </w:r>
            <w:r w:rsidR="002F4D81">
              <w:rPr>
                <w:rFonts w:ascii="Arial Narrow" w:hAnsi="Arial Narrow" w:cs="Arial"/>
                <w:b/>
                <w:bCs/>
                <w:lang w:val="es-ES" w:eastAsia="es-ES"/>
              </w:rPr>
              <w:t xml:space="preserve">lico </w:t>
            </w:r>
            <w:r w:rsidR="00206B8D">
              <w:rPr>
                <w:rFonts w:ascii="Arial Narrow" w:hAnsi="Arial Narrow" w:cs="Arial"/>
                <w:b/>
                <w:bCs/>
                <w:lang w:val="es-ES" w:eastAsia="es-ES"/>
              </w:rPr>
              <w:t>por</w:t>
            </w:r>
            <w:r w:rsidR="00BF15FE">
              <w:rPr>
                <w:rFonts w:ascii="Arial Narrow" w:hAnsi="Arial Narrow" w:cs="Arial"/>
                <w:b/>
                <w:bCs/>
                <w:lang w:val="es-ES" w:eastAsia="es-ES"/>
              </w:rPr>
              <w:t xml:space="preserve"> estudiante de grado</w:t>
            </w:r>
          </w:p>
        </w:tc>
        <w:tc>
          <w:tcPr>
            <w:tcW w:w="707" w:type="dxa"/>
            <w:gridSpan w:val="2"/>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0,87</w:t>
            </w:r>
          </w:p>
        </w:tc>
        <w:tc>
          <w:tcPr>
            <w:tcW w:w="710" w:type="dxa"/>
            <w:gridSpan w:val="2"/>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0,98</w:t>
            </w:r>
          </w:p>
        </w:tc>
        <w:tc>
          <w:tcPr>
            <w:tcW w:w="742" w:type="dxa"/>
            <w:gridSpan w:val="2"/>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57"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1,06</w:t>
            </w:r>
          </w:p>
        </w:tc>
        <w:tc>
          <w:tcPr>
            <w:tcW w:w="708" w:type="dxa"/>
            <w:gridSpan w:val="2"/>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73"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0,91</w:t>
            </w:r>
          </w:p>
        </w:tc>
        <w:tc>
          <w:tcPr>
            <w:tcW w:w="697" w:type="dxa"/>
            <w:gridSpan w:val="3"/>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102"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1,13</w:t>
            </w:r>
          </w:p>
        </w:tc>
        <w:tc>
          <w:tcPr>
            <w:tcW w:w="730" w:type="dxa"/>
            <w:gridSpan w:val="2"/>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131"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1,00</w:t>
            </w:r>
          </w:p>
        </w:tc>
        <w:tc>
          <w:tcPr>
            <w:tcW w:w="668" w:type="dxa"/>
            <w:gridSpan w:val="2"/>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0,99</w:t>
            </w:r>
          </w:p>
        </w:tc>
        <w:tc>
          <w:tcPr>
            <w:tcW w:w="656" w:type="dxa"/>
            <w:gridSpan w:val="2"/>
            <w:tcBorders>
              <w:top w:val="single" w:sz="4"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-1</w:t>
            </w:r>
          </w:p>
        </w:tc>
        <w:tc>
          <w:tcPr>
            <w:tcW w:w="656" w:type="dxa"/>
            <w:gridSpan w:val="2"/>
            <w:tcBorders>
              <w:top w:val="single" w:sz="4"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13</w:t>
            </w:r>
          </w:p>
        </w:tc>
      </w:tr>
      <w:tr w:rsidR="00414999" w:rsidRPr="00BF15FE" w:rsidTr="0084324C">
        <w:trPr>
          <w:trHeight w:val="300"/>
          <w:jc w:val="center"/>
        </w:trPr>
        <w:tc>
          <w:tcPr>
            <w:tcW w:w="2835" w:type="dxa"/>
            <w:tcBorders>
              <w:top w:val="single" w:sz="4" w:space="0" w:color="auto"/>
              <w:left w:val="nil"/>
              <w:bottom w:val="single" w:sz="2" w:space="0" w:color="auto"/>
              <w:right w:val="nil"/>
            </w:tcBorders>
            <w:shd w:val="clear" w:color="auto" w:fill="auto"/>
            <w:noWrap/>
            <w:vAlign w:val="center"/>
            <w:hideMark/>
          </w:tcPr>
          <w:p w:rsidR="00414999" w:rsidRPr="00BF15FE" w:rsidRDefault="00414999" w:rsidP="00F44C41">
            <w:pPr>
              <w:tabs>
                <w:tab w:val="left" w:pos="8647"/>
              </w:tabs>
              <w:spacing w:after="0"/>
              <w:ind w:right="-68" w:firstLine="0"/>
              <w:jc w:val="left"/>
              <w:rPr>
                <w:rFonts w:ascii="Arial Narrow" w:hAnsi="Arial Narrow" w:cs="Arial"/>
                <w:lang w:val="es-ES" w:eastAsia="es-ES"/>
              </w:rPr>
            </w:pPr>
            <w:r w:rsidRPr="00BF15FE">
              <w:rPr>
                <w:rFonts w:ascii="Arial Narrow" w:hAnsi="Arial Narrow" w:cs="Arial"/>
                <w:lang w:val="es-ES" w:eastAsia="es-ES"/>
              </w:rPr>
              <w:t>P</w:t>
            </w:r>
            <w:r w:rsidR="00BF15FE">
              <w:rPr>
                <w:rFonts w:ascii="Arial Narrow" w:hAnsi="Arial Narrow" w:cs="Arial"/>
                <w:lang w:val="es-ES" w:eastAsia="es-ES"/>
              </w:rPr>
              <w:t>recios públicos por Máster</w:t>
            </w:r>
          </w:p>
        </w:tc>
        <w:tc>
          <w:tcPr>
            <w:tcW w:w="707" w:type="dxa"/>
            <w:gridSpan w:val="2"/>
            <w:tcBorders>
              <w:top w:val="single" w:sz="4" w:space="0" w:color="auto"/>
              <w:left w:val="nil"/>
              <w:bottom w:val="single" w:sz="2"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776</w:t>
            </w:r>
          </w:p>
        </w:tc>
        <w:tc>
          <w:tcPr>
            <w:tcW w:w="710" w:type="dxa"/>
            <w:gridSpan w:val="2"/>
            <w:tcBorders>
              <w:top w:val="single" w:sz="4" w:space="0" w:color="auto"/>
              <w:left w:val="nil"/>
              <w:bottom w:val="single" w:sz="2"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828</w:t>
            </w:r>
          </w:p>
        </w:tc>
        <w:tc>
          <w:tcPr>
            <w:tcW w:w="742" w:type="dxa"/>
            <w:gridSpan w:val="2"/>
            <w:tcBorders>
              <w:top w:val="single" w:sz="4" w:space="0" w:color="auto"/>
              <w:left w:val="nil"/>
              <w:bottom w:val="single" w:sz="2" w:space="0" w:color="auto"/>
              <w:right w:val="nil"/>
            </w:tcBorders>
            <w:shd w:val="clear" w:color="auto" w:fill="auto"/>
            <w:noWrap/>
            <w:vAlign w:val="center"/>
            <w:hideMark/>
          </w:tcPr>
          <w:p w:rsidR="00414999" w:rsidRPr="00BF15FE" w:rsidRDefault="00414999" w:rsidP="00F44C41">
            <w:pPr>
              <w:tabs>
                <w:tab w:val="left" w:pos="8647"/>
              </w:tabs>
              <w:spacing w:after="0"/>
              <w:ind w:right="57"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927</w:t>
            </w:r>
          </w:p>
        </w:tc>
        <w:tc>
          <w:tcPr>
            <w:tcW w:w="708" w:type="dxa"/>
            <w:gridSpan w:val="2"/>
            <w:tcBorders>
              <w:top w:val="single" w:sz="4" w:space="0" w:color="auto"/>
              <w:left w:val="nil"/>
              <w:bottom w:val="single" w:sz="2" w:space="0" w:color="auto"/>
              <w:right w:val="nil"/>
            </w:tcBorders>
            <w:shd w:val="clear" w:color="auto" w:fill="auto"/>
            <w:noWrap/>
            <w:vAlign w:val="center"/>
            <w:hideMark/>
          </w:tcPr>
          <w:p w:rsidR="00414999" w:rsidRPr="00BF15FE" w:rsidRDefault="00414999" w:rsidP="00F44C41">
            <w:pPr>
              <w:tabs>
                <w:tab w:val="left" w:pos="8647"/>
              </w:tabs>
              <w:spacing w:after="0"/>
              <w:ind w:right="73"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936</w:t>
            </w:r>
          </w:p>
        </w:tc>
        <w:tc>
          <w:tcPr>
            <w:tcW w:w="697" w:type="dxa"/>
            <w:gridSpan w:val="3"/>
            <w:tcBorders>
              <w:top w:val="single" w:sz="4" w:space="0" w:color="auto"/>
              <w:left w:val="nil"/>
              <w:bottom w:val="single" w:sz="2" w:space="0" w:color="auto"/>
              <w:right w:val="nil"/>
            </w:tcBorders>
            <w:shd w:val="clear" w:color="auto" w:fill="auto"/>
            <w:noWrap/>
            <w:vAlign w:val="center"/>
            <w:hideMark/>
          </w:tcPr>
          <w:p w:rsidR="00414999" w:rsidRPr="00BF15FE" w:rsidRDefault="00414999" w:rsidP="00F44C41">
            <w:pPr>
              <w:tabs>
                <w:tab w:val="left" w:pos="8647"/>
              </w:tabs>
              <w:spacing w:after="0"/>
              <w:ind w:right="102"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981</w:t>
            </w:r>
          </w:p>
        </w:tc>
        <w:tc>
          <w:tcPr>
            <w:tcW w:w="730" w:type="dxa"/>
            <w:gridSpan w:val="2"/>
            <w:tcBorders>
              <w:top w:val="single" w:sz="4" w:space="0" w:color="auto"/>
              <w:left w:val="nil"/>
              <w:bottom w:val="single" w:sz="2" w:space="0" w:color="auto"/>
              <w:right w:val="nil"/>
            </w:tcBorders>
            <w:shd w:val="clear" w:color="auto" w:fill="auto"/>
            <w:noWrap/>
            <w:vAlign w:val="center"/>
            <w:hideMark/>
          </w:tcPr>
          <w:p w:rsidR="00414999" w:rsidRPr="00BF15FE" w:rsidRDefault="00414999" w:rsidP="00F44C41">
            <w:pPr>
              <w:tabs>
                <w:tab w:val="left" w:pos="8647"/>
              </w:tabs>
              <w:spacing w:after="0"/>
              <w:ind w:right="131"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757</w:t>
            </w:r>
          </w:p>
        </w:tc>
        <w:tc>
          <w:tcPr>
            <w:tcW w:w="668" w:type="dxa"/>
            <w:gridSpan w:val="2"/>
            <w:tcBorders>
              <w:top w:val="single" w:sz="4" w:space="0" w:color="auto"/>
              <w:left w:val="nil"/>
              <w:bottom w:val="single" w:sz="2"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820</w:t>
            </w:r>
          </w:p>
        </w:tc>
        <w:tc>
          <w:tcPr>
            <w:tcW w:w="656" w:type="dxa"/>
            <w:gridSpan w:val="2"/>
            <w:tcBorders>
              <w:top w:val="single" w:sz="4" w:space="0" w:color="auto"/>
              <w:left w:val="nil"/>
              <w:bottom w:val="single" w:sz="2"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8</w:t>
            </w:r>
          </w:p>
        </w:tc>
        <w:tc>
          <w:tcPr>
            <w:tcW w:w="656" w:type="dxa"/>
            <w:gridSpan w:val="2"/>
            <w:tcBorders>
              <w:top w:val="single" w:sz="4" w:space="0" w:color="auto"/>
              <w:left w:val="nil"/>
              <w:bottom w:val="single" w:sz="2"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6</w:t>
            </w:r>
          </w:p>
        </w:tc>
      </w:tr>
      <w:tr w:rsidR="00414999" w:rsidRPr="00BF15FE" w:rsidTr="0084324C">
        <w:trPr>
          <w:trHeight w:val="300"/>
          <w:jc w:val="center"/>
        </w:trPr>
        <w:tc>
          <w:tcPr>
            <w:tcW w:w="2835" w:type="dxa"/>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68" w:firstLine="0"/>
              <w:jc w:val="left"/>
              <w:rPr>
                <w:rFonts w:ascii="Arial Narrow" w:hAnsi="Arial Narrow" w:cs="Arial"/>
                <w:lang w:val="es-ES" w:eastAsia="es-ES"/>
              </w:rPr>
            </w:pPr>
            <w:r w:rsidRPr="00BF15FE">
              <w:rPr>
                <w:rFonts w:ascii="Arial Narrow" w:hAnsi="Arial Narrow" w:cs="Arial"/>
                <w:lang w:val="es-ES" w:eastAsia="es-ES"/>
              </w:rPr>
              <w:t>E</w:t>
            </w:r>
            <w:r w:rsidR="00BF15FE">
              <w:rPr>
                <w:rFonts w:ascii="Arial Narrow" w:hAnsi="Arial Narrow" w:cs="Arial"/>
                <w:lang w:val="es-ES" w:eastAsia="es-ES"/>
              </w:rPr>
              <w:t>studiantes matriculados en Máster</w:t>
            </w:r>
          </w:p>
        </w:tc>
        <w:tc>
          <w:tcPr>
            <w:tcW w:w="707" w:type="dxa"/>
            <w:gridSpan w:val="2"/>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644</w:t>
            </w:r>
          </w:p>
        </w:tc>
        <w:tc>
          <w:tcPr>
            <w:tcW w:w="710" w:type="dxa"/>
            <w:gridSpan w:val="2"/>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706</w:t>
            </w:r>
          </w:p>
        </w:tc>
        <w:tc>
          <w:tcPr>
            <w:tcW w:w="742" w:type="dxa"/>
            <w:gridSpan w:val="2"/>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57"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745</w:t>
            </w:r>
          </w:p>
        </w:tc>
        <w:tc>
          <w:tcPr>
            <w:tcW w:w="708" w:type="dxa"/>
            <w:gridSpan w:val="2"/>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73"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794</w:t>
            </w:r>
          </w:p>
        </w:tc>
        <w:tc>
          <w:tcPr>
            <w:tcW w:w="697" w:type="dxa"/>
            <w:gridSpan w:val="3"/>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102"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753</w:t>
            </w:r>
          </w:p>
        </w:tc>
        <w:tc>
          <w:tcPr>
            <w:tcW w:w="730" w:type="dxa"/>
            <w:gridSpan w:val="2"/>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131"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766</w:t>
            </w:r>
          </w:p>
        </w:tc>
        <w:tc>
          <w:tcPr>
            <w:tcW w:w="668" w:type="dxa"/>
            <w:gridSpan w:val="2"/>
            <w:tcBorders>
              <w:top w:val="single" w:sz="2"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823</w:t>
            </w:r>
          </w:p>
        </w:tc>
        <w:tc>
          <w:tcPr>
            <w:tcW w:w="656" w:type="dxa"/>
            <w:gridSpan w:val="2"/>
            <w:tcBorders>
              <w:top w:val="single" w:sz="2"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7</w:t>
            </w:r>
          </w:p>
        </w:tc>
        <w:tc>
          <w:tcPr>
            <w:tcW w:w="656" w:type="dxa"/>
            <w:gridSpan w:val="2"/>
            <w:tcBorders>
              <w:top w:val="single" w:sz="2"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sz w:val="18"/>
                <w:szCs w:val="18"/>
                <w:lang w:val="es-ES" w:eastAsia="es-ES"/>
              </w:rPr>
            </w:pPr>
            <w:r w:rsidRPr="00BF15FE">
              <w:rPr>
                <w:rFonts w:ascii="Arial Narrow" w:hAnsi="Arial Narrow" w:cs="Arial"/>
                <w:sz w:val="18"/>
                <w:szCs w:val="18"/>
                <w:lang w:val="es-ES" w:eastAsia="es-ES"/>
              </w:rPr>
              <w:t>28</w:t>
            </w:r>
          </w:p>
        </w:tc>
      </w:tr>
      <w:tr w:rsidR="00414999" w:rsidRPr="00BF15FE" w:rsidTr="0084324C">
        <w:trPr>
          <w:trHeight w:val="315"/>
          <w:jc w:val="center"/>
        </w:trPr>
        <w:tc>
          <w:tcPr>
            <w:tcW w:w="2835" w:type="dxa"/>
            <w:tcBorders>
              <w:top w:val="single" w:sz="4" w:space="0" w:color="auto"/>
              <w:left w:val="nil"/>
              <w:bottom w:val="single" w:sz="4" w:space="0" w:color="auto"/>
              <w:right w:val="nil"/>
            </w:tcBorders>
            <w:shd w:val="clear" w:color="auto" w:fill="auto"/>
            <w:noWrap/>
            <w:vAlign w:val="center"/>
            <w:hideMark/>
          </w:tcPr>
          <w:p w:rsidR="00414999" w:rsidRPr="00BF15FE" w:rsidRDefault="00414999" w:rsidP="00206B8D">
            <w:pPr>
              <w:tabs>
                <w:tab w:val="left" w:pos="8647"/>
              </w:tabs>
              <w:spacing w:after="0"/>
              <w:ind w:right="-68" w:firstLine="0"/>
              <w:jc w:val="left"/>
              <w:rPr>
                <w:rFonts w:ascii="Arial Narrow" w:hAnsi="Arial Narrow" w:cs="Arial"/>
                <w:b/>
                <w:bCs/>
                <w:lang w:val="es-ES" w:eastAsia="es-ES"/>
              </w:rPr>
            </w:pPr>
            <w:r w:rsidRPr="00BF15FE">
              <w:rPr>
                <w:rFonts w:ascii="Arial Narrow" w:hAnsi="Arial Narrow" w:cs="Arial"/>
                <w:b/>
                <w:bCs/>
                <w:lang w:val="es-ES" w:eastAsia="es-ES"/>
              </w:rPr>
              <w:t>P</w:t>
            </w:r>
            <w:r w:rsidR="00BF15FE">
              <w:rPr>
                <w:rFonts w:ascii="Arial Narrow" w:hAnsi="Arial Narrow" w:cs="Arial"/>
                <w:b/>
                <w:bCs/>
                <w:lang w:val="es-ES" w:eastAsia="es-ES"/>
              </w:rPr>
              <w:t xml:space="preserve">recio </w:t>
            </w:r>
            <w:proofErr w:type="spellStart"/>
            <w:r w:rsidR="00BF15FE">
              <w:rPr>
                <w:rFonts w:ascii="Arial Narrow" w:hAnsi="Arial Narrow" w:cs="Arial"/>
                <w:b/>
                <w:bCs/>
                <w:lang w:val="es-ES" w:eastAsia="es-ES"/>
              </w:rPr>
              <w:t>púb</w:t>
            </w:r>
            <w:proofErr w:type="spellEnd"/>
            <w:r w:rsidR="00206B8D">
              <w:rPr>
                <w:rFonts w:ascii="Arial Narrow" w:hAnsi="Arial Narrow" w:cs="Arial"/>
                <w:b/>
                <w:bCs/>
                <w:lang w:val="es-ES" w:eastAsia="es-ES"/>
              </w:rPr>
              <w:t>.</w:t>
            </w:r>
            <w:r w:rsidR="00BF15FE">
              <w:rPr>
                <w:rFonts w:ascii="Arial Narrow" w:hAnsi="Arial Narrow" w:cs="Arial"/>
                <w:b/>
                <w:bCs/>
                <w:lang w:val="es-ES" w:eastAsia="es-ES"/>
              </w:rPr>
              <w:t xml:space="preserve"> por estudiante Máster</w:t>
            </w:r>
          </w:p>
        </w:tc>
        <w:tc>
          <w:tcPr>
            <w:tcW w:w="707" w:type="dxa"/>
            <w:gridSpan w:val="2"/>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1,20</w:t>
            </w:r>
          </w:p>
        </w:tc>
        <w:tc>
          <w:tcPr>
            <w:tcW w:w="710" w:type="dxa"/>
            <w:gridSpan w:val="2"/>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1,17</w:t>
            </w:r>
          </w:p>
        </w:tc>
        <w:tc>
          <w:tcPr>
            <w:tcW w:w="742" w:type="dxa"/>
            <w:gridSpan w:val="2"/>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57"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1,24</w:t>
            </w:r>
          </w:p>
        </w:tc>
        <w:tc>
          <w:tcPr>
            <w:tcW w:w="708" w:type="dxa"/>
            <w:gridSpan w:val="2"/>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73"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1,18</w:t>
            </w:r>
          </w:p>
        </w:tc>
        <w:tc>
          <w:tcPr>
            <w:tcW w:w="697" w:type="dxa"/>
            <w:gridSpan w:val="3"/>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102"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1,30</w:t>
            </w:r>
          </w:p>
        </w:tc>
        <w:tc>
          <w:tcPr>
            <w:tcW w:w="730" w:type="dxa"/>
            <w:gridSpan w:val="2"/>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right="131"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0,99</w:t>
            </w:r>
          </w:p>
        </w:tc>
        <w:tc>
          <w:tcPr>
            <w:tcW w:w="668" w:type="dxa"/>
            <w:gridSpan w:val="2"/>
            <w:tcBorders>
              <w:top w:val="single" w:sz="4" w:space="0" w:color="auto"/>
              <w:left w:val="nil"/>
              <w:bottom w:val="single" w:sz="4" w:space="0" w:color="auto"/>
              <w:right w:val="nil"/>
            </w:tcBorders>
            <w:shd w:val="clear" w:color="auto" w:fill="auto"/>
            <w:noWrap/>
            <w:vAlign w:val="center"/>
            <w:hideMark/>
          </w:tcPr>
          <w:p w:rsidR="00414999" w:rsidRPr="00BF15FE" w:rsidRDefault="00414999" w:rsidP="00F44C41">
            <w:pPr>
              <w:tabs>
                <w:tab w:val="left" w:pos="8647"/>
              </w:tabs>
              <w:spacing w:after="0"/>
              <w:ind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1,00</w:t>
            </w:r>
          </w:p>
        </w:tc>
        <w:tc>
          <w:tcPr>
            <w:tcW w:w="656" w:type="dxa"/>
            <w:gridSpan w:val="2"/>
            <w:tcBorders>
              <w:top w:val="single" w:sz="4"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1</w:t>
            </w:r>
          </w:p>
        </w:tc>
        <w:tc>
          <w:tcPr>
            <w:tcW w:w="656" w:type="dxa"/>
            <w:gridSpan w:val="2"/>
            <w:tcBorders>
              <w:top w:val="single" w:sz="4" w:space="0" w:color="auto"/>
              <w:left w:val="nil"/>
              <w:bottom w:val="single" w:sz="4" w:space="0" w:color="auto"/>
              <w:right w:val="nil"/>
            </w:tcBorders>
            <w:vAlign w:val="center"/>
          </w:tcPr>
          <w:p w:rsidR="00414999" w:rsidRPr="00BF15FE" w:rsidRDefault="00414999" w:rsidP="00F44C41">
            <w:pPr>
              <w:tabs>
                <w:tab w:val="left" w:pos="8647"/>
              </w:tabs>
              <w:spacing w:after="0"/>
              <w:ind w:firstLine="0"/>
              <w:jc w:val="right"/>
              <w:rPr>
                <w:rFonts w:ascii="Arial Narrow" w:hAnsi="Arial Narrow" w:cs="Arial"/>
                <w:b/>
                <w:bCs/>
                <w:sz w:val="18"/>
                <w:szCs w:val="18"/>
                <w:lang w:val="es-ES" w:eastAsia="es-ES"/>
              </w:rPr>
            </w:pPr>
            <w:r w:rsidRPr="00BF15FE">
              <w:rPr>
                <w:rFonts w:ascii="Arial Narrow" w:hAnsi="Arial Narrow" w:cs="Arial"/>
                <w:b/>
                <w:bCs/>
                <w:sz w:val="18"/>
                <w:szCs w:val="18"/>
                <w:lang w:val="es-ES" w:eastAsia="es-ES"/>
              </w:rPr>
              <w:t>-17</w:t>
            </w:r>
          </w:p>
        </w:tc>
      </w:tr>
    </w:tbl>
    <w:p w:rsidR="00414999" w:rsidRPr="004B43B1" w:rsidRDefault="00215467" w:rsidP="004B43B1">
      <w:pPr>
        <w:tabs>
          <w:tab w:val="left" w:pos="8647"/>
        </w:tabs>
        <w:spacing w:before="60"/>
        <w:ind w:right="284" w:firstLine="0"/>
        <w:rPr>
          <w:rFonts w:ascii="Arial" w:eastAsia="Calibri" w:hAnsi="Arial" w:cs="Arial"/>
          <w:spacing w:val="6"/>
          <w:sz w:val="16"/>
          <w:szCs w:val="16"/>
          <w:lang w:val="es-ES" w:eastAsia="es-ES"/>
        </w:rPr>
      </w:pPr>
      <w:r w:rsidRPr="004B43B1">
        <w:rPr>
          <w:rFonts w:ascii="Arial" w:eastAsia="Calibri" w:hAnsi="Arial" w:cs="Arial"/>
          <w:spacing w:val="6"/>
          <w:sz w:val="16"/>
          <w:szCs w:val="16"/>
          <w:lang w:val="es-ES" w:eastAsia="es-ES"/>
        </w:rPr>
        <w:t>Fuente: UPNA</w:t>
      </w:r>
    </w:p>
    <w:p w:rsidR="00414999" w:rsidRDefault="00414999" w:rsidP="00206B8D">
      <w:pPr>
        <w:tabs>
          <w:tab w:val="left" w:pos="8647"/>
        </w:tabs>
        <w:spacing w:before="240"/>
        <w:ind w:firstLine="284"/>
        <w:rPr>
          <w:rFonts w:eastAsia="Calibri"/>
          <w:spacing w:val="6"/>
          <w:sz w:val="26"/>
          <w:szCs w:val="26"/>
          <w:lang w:eastAsia="es-ES"/>
        </w:rPr>
      </w:pPr>
      <w:r>
        <w:rPr>
          <w:rFonts w:eastAsia="Calibri"/>
          <w:spacing w:val="6"/>
          <w:sz w:val="26"/>
          <w:szCs w:val="26"/>
          <w:lang w:eastAsia="es-ES"/>
        </w:rPr>
        <w:t xml:space="preserve">La financiación pública muestra una tendencia creciente, </w:t>
      </w:r>
      <w:r w:rsidR="004E551B">
        <w:rPr>
          <w:rFonts w:eastAsia="Calibri"/>
          <w:spacing w:val="6"/>
          <w:sz w:val="26"/>
          <w:szCs w:val="26"/>
          <w:lang w:eastAsia="es-ES"/>
        </w:rPr>
        <w:t xml:space="preserve">con </w:t>
      </w:r>
      <w:r w:rsidRPr="00BF4067">
        <w:rPr>
          <w:rFonts w:eastAsia="Calibri"/>
          <w:spacing w:val="6"/>
          <w:sz w:val="26"/>
          <w:szCs w:val="26"/>
          <w:lang w:eastAsia="es-ES"/>
        </w:rPr>
        <w:t xml:space="preserve">un cinco por ciento </w:t>
      </w:r>
      <w:r w:rsidR="004E551B">
        <w:rPr>
          <w:rFonts w:eastAsia="Calibri"/>
          <w:spacing w:val="6"/>
          <w:sz w:val="26"/>
          <w:szCs w:val="26"/>
          <w:lang w:eastAsia="es-ES"/>
        </w:rPr>
        <w:t xml:space="preserve">de incremento </w:t>
      </w:r>
      <w:r w:rsidRPr="00BF4067">
        <w:rPr>
          <w:rFonts w:eastAsia="Calibri"/>
          <w:spacing w:val="6"/>
          <w:sz w:val="26"/>
          <w:szCs w:val="26"/>
          <w:lang w:eastAsia="es-ES"/>
        </w:rPr>
        <w:t>en 2018 respecto a 2017 y un diez por ciento respecto a 2012</w:t>
      </w:r>
      <w:r>
        <w:rPr>
          <w:rFonts w:eastAsia="Calibri"/>
          <w:spacing w:val="6"/>
          <w:sz w:val="26"/>
          <w:szCs w:val="26"/>
          <w:lang w:eastAsia="es-ES"/>
        </w:rPr>
        <w:t>, al igual que la financiación por precios públicos, con un</w:t>
      </w:r>
      <w:r w:rsidR="009B08F9">
        <w:rPr>
          <w:rFonts w:eastAsia="Calibri"/>
          <w:spacing w:val="6"/>
          <w:sz w:val="26"/>
          <w:szCs w:val="26"/>
          <w:lang w:eastAsia="es-ES"/>
        </w:rPr>
        <w:t xml:space="preserve"> aumento de un</w:t>
      </w:r>
      <w:r>
        <w:rPr>
          <w:rFonts w:eastAsia="Calibri"/>
          <w:spacing w:val="6"/>
          <w:sz w:val="26"/>
          <w:szCs w:val="26"/>
          <w:lang w:eastAsia="es-ES"/>
        </w:rPr>
        <w:t xml:space="preserve"> uno y un 19 por ciento, respecto a 2017 y 2012, respectivamente.</w:t>
      </w:r>
    </w:p>
    <w:p w:rsidR="00414999" w:rsidRPr="00AB664C" w:rsidRDefault="00414999" w:rsidP="00F44C41">
      <w:pPr>
        <w:tabs>
          <w:tab w:val="left" w:pos="8647"/>
        </w:tabs>
        <w:ind w:firstLine="284"/>
        <w:rPr>
          <w:rFonts w:eastAsia="Calibri"/>
          <w:spacing w:val="6"/>
          <w:sz w:val="26"/>
          <w:szCs w:val="26"/>
          <w:lang w:eastAsia="es-ES"/>
        </w:rPr>
      </w:pPr>
      <w:r>
        <w:rPr>
          <w:rFonts w:eastAsia="Calibri"/>
          <w:spacing w:val="6"/>
          <w:sz w:val="26"/>
          <w:szCs w:val="26"/>
          <w:lang w:eastAsia="es-ES"/>
        </w:rPr>
        <w:t xml:space="preserve">En 2016, </w:t>
      </w:r>
      <w:r w:rsidR="00D8009B">
        <w:rPr>
          <w:rFonts w:eastAsia="Calibri"/>
          <w:spacing w:val="6"/>
          <w:sz w:val="26"/>
          <w:szCs w:val="26"/>
          <w:lang w:eastAsia="es-ES"/>
        </w:rPr>
        <w:t>la disminución de</w:t>
      </w:r>
      <w:r>
        <w:rPr>
          <w:rFonts w:eastAsia="Calibri"/>
          <w:spacing w:val="6"/>
          <w:sz w:val="26"/>
          <w:szCs w:val="26"/>
          <w:lang w:eastAsia="es-ES"/>
        </w:rPr>
        <w:t xml:space="preserve"> la financiación pública básica y </w:t>
      </w:r>
      <w:r w:rsidR="00D8009B">
        <w:rPr>
          <w:rFonts w:eastAsia="Calibri"/>
          <w:spacing w:val="6"/>
          <w:sz w:val="26"/>
          <w:szCs w:val="26"/>
          <w:lang w:eastAsia="es-ES"/>
        </w:rPr>
        <w:t>el aumento de</w:t>
      </w:r>
      <w:r>
        <w:rPr>
          <w:rFonts w:eastAsia="Calibri"/>
          <w:spacing w:val="6"/>
          <w:sz w:val="26"/>
          <w:szCs w:val="26"/>
          <w:lang w:eastAsia="es-ES"/>
        </w:rPr>
        <w:t xml:space="preserve"> la financiación por precios públicos</w:t>
      </w:r>
      <w:r w:rsidR="00D8009B">
        <w:rPr>
          <w:rFonts w:eastAsia="Calibri"/>
          <w:spacing w:val="6"/>
          <w:sz w:val="26"/>
          <w:szCs w:val="26"/>
          <w:lang w:eastAsia="es-ES"/>
        </w:rPr>
        <w:t>,</w:t>
      </w:r>
      <w:r>
        <w:rPr>
          <w:rFonts w:eastAsia="Calibri"/>
          <w:spacing w:val="6"/>
          <w:sz w:val="26"/>
          <w:szCs w:val="26"/>
          <w:lang w:eastAsia="es-ES"/>
        </w:rPr>
        <w:t xml:space="preserve"> se debe al efecto del cambio de calendario de matriculación </w:t>
      </w:r>
      <w:r w:rsidR="004E551B">
        <w:rPr>
          <w:rFonts w:eastAsia="Calibri"/>
          <w:spacing w:val="6"/>
          <w:sz w:val="26"/>
          <w:szCs w:val="26"/>
          <w:lang w:eastAsia="es-ES"/>
        </w:rPr>
        <w:t>de</w:t>
      </w:r>
      <w:r>
        <w:rPr>
          <w:rFonts w:eastAsia="Calibri"/>
          <w:spacing w:val="6"/>
          <w:sz w:val="26"/>
          <w:szCs w:val="26"/>
          <w:lang w:eastAsia="es-ES"/>
        </w:rPr>
        <w:t xml:space="preserve"> las titulaciones de grado en el curso 2016/2017</w:t>
      </w:r>
      <w:r w:rsidR="004E551B">
        <w:rPr>
          <w:rFonts w:eastAsia="Calibri"/>
          <w:spacing w:val="6"/>
          <w:sz w:val="26"/>
          <w:szCs w:val="26"/>
          <w:lang w:eastAsia="es-ES"/>
        </w:rPr>
        <w:t>, que pasa de realizarse en dos cobros semestrales a un cobro al inicio del curso académico</w:t>
      </w:r>
      <w:r>
        <w:rPr>
          <w:rFonts w:eastAsia="Calibri"/>
          <w:spacing w:val="6"/>
          <w:sz w:val="26"/>
          <w:szCs w:val="26"/>
          <w:lang w:eastAsia="es-ES"/>
        </w:rPr>
        <w:t xml:space="preserve">; </w:t>
      </w:r>
      <w:r>
        <w:rPr>
          <w:rFonts w:eastAsia="Calibri"/>
          <w:spacing w:val="6"/>
          <w:sz w:val="26"/>
          <w:szCs w:val="26"/>
          <w:lang w:eastAsia="es-ES"/>
        </w:rPr>
        <w:lastRenderedPageBreak/>
        <w:t>aumentan los ingresos por prestación de servicios en la universidad y, cons</w:t>
      </w:r>
      <w:r>
        <w:rPr>
          <w:rFonts w:eastAsia="Calibri"/>
          <w:spacing w:val="6"/>
          <w:sz w:val="26"/>
          <w:szCs w:val="26"/>
          <w:lang w:eastAsia="es-ES"/>
        </w:rPr>
        <w:t>e</w:t>
      </w:r>
      <w:r>
        <w:rPr>
          <w:rFonts w:eastAsia="Calibri"/>
          <w:spacing w:val="6"/>
          <w:sz w:val="26"/>
          <w:szCs w:val="26"/>
          <w:lang w:eastAsia="es-ES"/>
        </w:rPr>
        <w:t>cuencia de ello, se acuerda minorar la aportación pública procedente del co</w:t>
      </w:r>
      <w:r>
        <w:rPr>
          <w:rFonts w:eastAsia="Calibri"/>
          <w:spacing w:val="6"/>
          <w:sz w:val="26"/>
          <w:szCs w:val="26"/>
          <w:lang w:eastAsia="es-ES"/>
        </w:rPr>
        <w:t>n</w:t>
      </w:r>
      <w:r>
        <w:rPr>
          <w:rFonts w:eastAsia="Calibri"/>
          <w:spacing w:val="6"/>
          <w:sz w:val="26"/>
          <w:szCs w:val="26"/>
          <w:lang w:eastAsia="es-ES"/>
        </w:rPr>
        <w:t>venio de financiación en el cuarto trimestre de ese año.</w:t>
      </w:r>
    </w:p>
    <w:p w:rsidR="00414999" w:rsidRPr="00D833AF" w:rsidRDefault="00414999" w:rsidP="00206B8D">
      <w:pPr>
        <w:tabs>
          <w:tab w:val="left" w:pos="8647"/>
        </w:tabs>
        <w:spacing w:after="240"/>
        <w:ind w:firstLine="284"/>
        <w:rPr>
          <w:rFonts w:eastAsia="Calibri"/>
          <w:spacing w:val="6"/>
          <w:sz w:val="26"/>
          <w:szCs w:val="26"/>
          <w:lang w:eastAsia="es-ES"/>
        </w:rPr>
      </w:pPr>
      <w:r w:rsidRPr="004B43B1">
        <w:rPr>
          <w:rFonts w:eastAsia="Calibri"/>
          <w:spacing w:val="6"/>
          <w:sz w:val="26"/>
          <w:szCs w:val="26"/>
          <w:lang w:eastAsia="es-ES"/>
        </w:rPr>
        <w:t>En el cuadro siguiente se presenta el peso relativo que tiene</w:t>
      </w:r>
      <w:r w:rsidR="00683BAC" w:rsidRPr="004B43B1">
        <w:rPr>
          <w:rFonts w:eastAsia="Calibri"/>
          <w:spacing w:val="6"/>
          <w:sz w:val="26"/>
          <w:szCs w:val="26"/>
          <w:lang w:eastAsia="es-ES"/>
        </w:rPr>
        <w:t>,</w:t>
      </w:r>
      <w:r w:rsidRPr="004B43B1">
        <w:rPr>
          <w:rFonts w:eastAsia="Calibri"/>
          <w:spacing w:val="6"/>
          <w:sz w:val="26"/>
          <w:szCs w:val="26"/>
          <w:lang w:eastAsia="es-ES"/>
        </w:rPr>
        <w:t xml:space="preserve"> </w:t>
      </w:r>
      <w:r w:rsidR="00683BAC" w:rsidRPr="004B43B1">
        <w:rPr>
          <w:rFonts w:eastAsia="Calibri"/>
          <w:spacing w:val="6"/>
          <w:sz w:val="26"/>
          <w:szCs w:val="26"/>
          <w:lang w:eastAsia="es-ES"/>
        </w:rPr>
        <w:t xml:space="preserve">cada una de las fuentes de financiación </w:t>
      </w:r>
      <w:r w:rsidRPr="004B43B1">
        <w:rPr>
          <w:rFonts w:eastAsia="Calibri"/>
          <w:spacing w:val="6"/>
          <w:sz w:val="26"/>
          <w:szCs w:val="26"/>
          <w:lang w:eastAsia="es-ES"/>
        </w:rPr>
        <w:t xml:space="preserve">sobre el </w:t>
      </w:r>
      <w:r w:rsidRPr="00BE3DA2">
        <w:rPr>
          <w:rFonts w:eastAsia="Calibri"/>
          <w:spacing w:val="6"/>
          <w:sz w:val="26"/>
          <w:szCs w:val="26"/>
          <w:lang w:eastAsia="es-ES"/>
        </w:rPr>
        <w:t>total, durante los ejercicios 2012 a 2018. La financiación pública básica es superior al 80 por ciento en todos los ejercicios:</w:t>
      </w:r>
    </w:p>
    <w:tbl>
      <w:tblPr>
        <w:tblW w:w="8760" w:type="dxa"/>
        <w:tblCellMar>
          <w:left w:w="70" w:type="dxa"/>
          <w:right w:w="70" w:type="dxa"/>
        </w:tblCellMar>
        <w:tblLook w:val="04A0" w:firstRow="1" w:lastRow="0" w:firstColumn="1" w:lastColumn="0" w:noHBand="0" w:noVBand="1"/>
      </w:tblPr>
      <w:tblGrid>
        <w:gridCol w:w="1560"/>
        <w:gridCol w:w="709"/>
        <w:gridCol w:w="992"/>
        <w:gridCol w:w="992"/>
        <w:gridCol w:w="678"/>
        <w:gridCol w:w="992"/>
        <w:gridCol w:w="881"/>
        <w:gridCol w:w="928"/>
        <w:gridCol w:w="1028"/>
      </w:tblGrid>
      <w:tr w:rsidR="00414999" w:rsidRPr="00880DF3" w:rsidTr="003F1E6D">
        <w:trPr>
          <w:trHeight w:val="255"/>
        </w:trPr>
        <w:tc>
          <w:tcPr>
            <w:tcW w:w="1560" w:type="dxa"/>
            <w:tcBorders>
              <w:top w:val="single" w:sz="4" w:space="0" w:color="auto"/>
              <w:left w:val="nil"/>
              <w:bottom w:val="single" w:sz="4" w:space="0" w:color="auto"/>
              <w:right w:val="single" w:sz="2" w:space="0" w:color="auto"/>
            </w:tcBorders>
            <w:shd w:val="clear" w:color="000000" w:fill="B8CCE4"/>
            <w:noWrap/>
            <w:vAlign w:val="center"/>
            <w:hideMark/>
          </w:tcPr>
          <w:p w:rsidR="00414999" w:rsidRPr="00880DF3" w:rsidRDefault="00414999" w:rsidP="00F44C41">
            <w:pPr>
              <w:pStyle w:val="cuadroCabe"/>
              <w:tabs>
                <w:tab w:val="left" w:pos="8647"/>
              </w:tabs>
              <w:rPr>
                <w:lang w:val="es-ES" w:eastAsia="es-ES"/>
              </w:rPr>
            </w:pPr>
            <w:r w:rsidRPr="00880DF3">
              <w:rPr>
                <w:lang w:val="es-ES" w:eastAsia="es-ES"/>
              </w:rPr>
              <w:t> </w:t>
            </w:r>
          </w:p>
        </w:tc>
        <w:tc>
          <w:tcPr>
            <w:tcW w:w="2693" w:type="dxa"/>
            <w:gridSpan w:val="3"/>
            <w:tcBorders>
              <w:top w:val="single" w:sz="4" w:space="0" w:color="auto"/>
              <w:left w:val="single" w:sz="2" w:space="0" w:color="auto"/>
              <w:bottom w:val="single" w:sz="4" w:space="0" w:color="auto"/>
              <w:right w:val="single" w:sz="2" w:space="0" w:color="auto"/>
            </w:tcBorders>
            <w:shd w:val="clear" w:color="000000" w:fill="B8CCE4"/>
            <w:vAlign w:val="center"/>
            <w:hideMark/>
          </w:tcPr>
          <w:p w:rsidR="00414999" w:rsidRPr="00880DF3" w:rsidRDefault="00414999" w:rsidP="00F44C41">
            <w:pPr>
              <w:pStyle w:val="cuadroCabe"/>
              <w:tabs>
                <w:tab w:val="clear" w:pos="3969"/>
                <w:tab w:val="left" w:pos="8647"/>
              </w:tabs>
              <w:rPr>
                <w:rFonts w:cs="Calibri"/>
                <w:szCs w:val="18"/>
                <w:lang w:val="es-ES" w:eastAsia="es-ES"/>
              </w:rPr>
            </w:pPr>
            <w:r w:rsidRPr="00880DF3">
              <w:rPr>
                <w:rFonts w:cs="Calibri"/>
                <w:szCs w:val="18"/>
                <w:lang w:val="es-ES" w:eastAsia="es-ES"/>
              </w:rPr>
              <w:t>F</w:t>
            </w:r>
            <w:r w:rsidR="00BF15FE">
              <w:rPr>
                <w:rFonts w:cs="Calibri"/>
                <w:szCs w:val="18"/>
                <w:lang w:val="es-ES" w:eastAsia="es-ES"/>
              </w:rPr>
              <w:t>inanciación Pública Básica</w:t>
            </w:r>
          </w:p>
        </w:tc>
        <w:tc>
          <w:tcPr>
            <w:tcW w:w="2551" w:type="dxa"/>
            <w:gridSpan w:val="3"/>
            <w:tcBorders>
              <w:top w:val="single" w:sz="4" w:space="0" w:color="auto"/>
              <w:left w:val="single" w:sz="2" w:space="0" w:color="auto"/>
              <w:bottom w:val="single" w:sz="4" w:space="0" w:color="auto"/>
              <w:right w:val="single" w:sz="8" w:space="0" w:color="000000"/>
            </w:tcBorders>
            <w:shd w:val="clear" w:color="000000" w:fill="B8CCE4"/>
            <w:vAlign w:val="center"/>
            <w:hideMark/>
          </w:tcPr>
          <w:p w:rsidR="00414999" w:rsidRPr="00880DF3" w:rsidRDefault="00414999" w:rsidP="0084324C">
            <w:pPr>
              <w:pStyle w:val="cuadroCabe"/>
              <w:tabs>
                <w:tab w:val="clear" w:pos="3969"/>
                <w:tab w:val="left" w:pos="8647"/>
              </w:tabs>
              <w:rPr>
                <w:rFonts w:cs="Calibri"/>
                <w:szCs w:val="18"/>
                <w:lang w:val="es-ES" w:eastAsia="es-ES"/>
              </w:rPr>
            </w:pPr>
            <w:proofErr w:type="spellStart"/>
            <w:r w:rsidRPr="00880DF3">
              <w:rPr>
                <w:rFonts w:cs="Calibri"/>
                <w:szCs w:val="18"/>
                <w:lang w:val="es-ES" w:eastAsia="es-ES"/>
              </w:rPr>
              <w:t>F</w:t>
            </w:r>
            <w:r w:rsidR="00D833AF">
              <w:rPr>
                <w:rFonts w:cs="Calibri"/>
                <w:szCs w:val="18"/>
                <w:lang w:val="es-ES" w:eastAsia="es-ES"/>
              </w:rPr>
              <w:t>inanc</w:t>
            </w:r>
            <w:r w:rsidR="0084324C">
              <w:rPr>
                <w:rFonts w:cs="Calibri"/>
                <w:szCs w:val="18"/>
                <w:lang w:val="es-ES" w:eastAsia="es-ES"/>
              </w:rPr>
              <w:t>.</w:t>
            </w:r>
            <w:r w:rsidR="00D833AF">
              <w:rPr>
                <w:rFonts w:cs="Calibri"/>
                <w:szCs w:val="18"/>
                <w:lang w:val="es-ES" w:eastAsia="es-ES"/>
              </w:rPr>
              <w:t>por</w:t>
            </w:r>
            <w:proofErr w:type="spellEnd"/>
            <w:r w:rsidR="00D833AF">
              <w:rPr>
                <w:rFonts w:cs="Calibri"/>
                <w:szCs w:val="18"/>
                <w:lang w:val="es-ES" w:eastAsia="es-ES"/>
              </w:rPr>
              <w:t xml:space="preserve"> precios públicos</w:t>
            </w:r>
          </w:p>
        </w:tc>
        <w:tc>
          <w:tcPr>
            <w:tcW w:w="1956" w:type="dxa"/>
            <w:gridSpan w:val="2"/>
            <w:tcBorders>
              <w:top w:val="single" w:sz="4" w:space="0" w:color="auto"/>
              <w:left w:val="nil"/>
              <w:bottom w:val="single" w:sz="4" w:space="0" w:color="auto"/>
              <w:right w:val="single" w:sz="8" w:space="0" w:color="000000"/>
            </w:tcBorders>
            <w:shd w:val="clear" w:color="000000" w:fill="B8CCE4"/>
            <w:noWrap/>
            <w:vAlign w:val="center"/>
            <w:hideMark/>
          </w:tcPr>
          <w:p w:rsidR="00414999" w:rsidRPr="00880DF3" w:rsidRDefault="00414999" w:rsidP="0084324C">
            <w:pPr>
              <w:pStyle w:val="cuadroCabe"/>
              <w:tabs>
                <w:tab w:val="clear" w:pos="3969"/>
                <w:tab w:val="left" w:pos="8647"/>
              </w:tabs>
              <w:jc w:val="center"/>
              <w:rPr>
                <w:rFonts w:cs="Calibri"/>
                <w:szCs w:val="18"/>
                <w:lang w:val="es-ES" w:eastAsia="es-ES"/>
              </w:rPr>
            </w:pPr>
            <w:r w:rsidRPr="00880DF3">
              <w:rPr>
                <w:rFonts w:cs="Calibri"/>
                <w:szCs w:val="18"/>
                <w:lang w:val="es-ES" w:eastAsia="es-ES"/>
              </w:rPr>
              <w:t>T</w:t>
            </w:r>
            <w:r w:rsidR="00D833AF">
              <w:rPr>
                <w:rFonts w:cs="Calibri"/>
                <w:szCs w:val="18"/>
                <w:lang w:val="es-ES" w:eastAsia="es-ES"/>
              </w:rPr>
              <w:t>otal</w:t>
            </w:r>
          </w:p>
        </w:tc>
      </w:tr>
      <w:tr w:rsidR="00D833AF" w:rsidRPr="00D833AF" w:rsidTr="003F1E6D">
        <w:trPr>
          <w:trHeight w:val="255"/>
        </w:trPr>
        <w:tc>
          <w:tcPr>
            <w:tcW w:w="1560" w:type="dxa"/>
            <w:tcBorders>
              <w:top w:val="single" w:sz="4" w:space="0" w:color="auto"/>
              <w:left w:val="nil"/>
              <w:bottom w:val="single" w:sz="4" w:space="0" w:color="auto"/>
              <w:right w:val="single" w:sz="2" w:space="0" w:color="auto"/>
            </w:tcBorders>
            <w:shd w:val="clear" w:color="auto" w:fill="B8CCE4" w:themeFill="accent1" w:themeFillTint="66"/>
            <w:vAlign w:val="center"/>
          </w:tcPr>
          <w:p w:rsidR="00414999" w:rsidRPr="00D833AF" w:rsidRDefault="00414999" w:rsidP="00F44C41">
            <w:pPr>
              <w:pStyle w:val="cuadroCabe"/>
              <w:tabs>
                <w:tab w:val="left" w:pos="8647"/>
              </w:tabs>
              <w:rPr>
                <w:sz w:val="16"/>
                <w:szCs w:val="16"/>
                <w:lang w:val="es-ES" w:eastAsia="es-ES"/>
              </w:rPr>
            </w:pPr>
            <w:r w:rsidRPr="00D833AF">
              <w:rPr>
                <w:sz w:val="16"/>
                <w:szCs w:val="16"/>
                <w:lang w:val="es-ES" w:eastAsia="es-ES"/>
              </w:rPr>
              <w:t>Ejercicio</w:t>
            </w:r>
            <w:r w:rsidR="00D833AF">
              <w:rPr>
                <w:sz w:val="16"/>
                <w:szCs w:val="16"/>
                <w:lang w:val="es-ES" w:eastAsia="es-ES"/>
              </w:rPr>
              <w:t xml:space="preserve"> </w:t>
            </w:r>
            <w:r w:rsidRPr="00D833AF">
              <w:rPr>
                <w:sz w:val="16"/>
                <w:szCs w:val="16"/>
                <w:lang w:val="es-ES" w:eastAsia="es-ES"/>
              </w:rPr>
              <w:t>/</w:t>
            </w:r>
            <w:r w:rsidR="00D833AF">
              <w:rPr>
                <w:sz w:val="16"/>
                <w:szCs w:val="16"/>
                <w:lang w:val="es-ES" w:eastAsia="es-ES"/>
              </w:rPr>
              <w:t xml:space="preserve"> </w:t>
            </w:r>
            <w:r w:rsidRPr="00D833AF">
              <w:rPr>
                <w:sz w:val="16"/>
                <w:szCs w:val="16"/>
                <w:lang w:val="es-ES" w:eastAsia="es-ES"/>
              </w:rPr>
              <w:t>curso académico</w:t>
            </w:r>
          </w:p>
        </w:tc>
        <w:tc>
          <w:tcPr>
            <w:tcW w:w="709" w:type="dxa"/>
            <w:tcBorders>
              <w:top w:val="single" w:sz="4" w:space="0" w:color="auto"/>
              <w:left w:val="single" w:sz="2" w:space="0" w:color="auto"/>
              <w:bottom w:val="single" w:sz="4" w:space="0" w:color="auto"/>
              <w:right w:val="nil"/>
            </w:tcBorders>
            <w:shd w:val="clear" w:color="auto" w:fill="B8CCE4" w:themeFill="accent1" w:themeFillTint="66"/>
            <w:noWrap/>
            <w:vAlign w:val="center"/>
          </w:tcPr>
          <w:p w:rsidR="00414999" w:rsidRPr="00D833AF" w:rsidRDefault="00414999" w:rsidP="00F44C41">
            <w:pPr>
              <w:pStyle w:val="cuadroCabe"/>
              <w:tabs>
                <w:tab w:val="left" w:pos="8647"/>
              </w:tabs>
              <w:jc w:val="right"/>
              <w:rPr>
                <w:sz w:val="16"/>
                <w:szCs w:val="16"/>
                <w:lang w:val="es-ES" w:eastAsia="es-ES"/>
              </w:rPr>
            </w:pPr>
            <w:r w:rsidRPr="00D833AF">
              <w:rPr>
                <w:sz w:val="16"/>
                <w:szCs w:val="16"/>
                <w:lang w:val="es-ES" w:eastAsia="es-ES"/>
              </w:rPr>
              <w:t>Total</w:t>
            </w:r>
          </w:p>
        </w:tc>
        <w:tc>
          <w:tcPr>
            <w:tcW w:w="992" w:type="dxa"/>
            <w:tcBorders>
              <w:top w:val="single" w:sz="4" w:space="0" w:color="auto"/>
              <w:left w:val="nil"/>
              <w:bottom w:val="single" w:sz="4" w:space="0" w:color="auto"/>
              <w:right w:val="nil"/>
            </w:tcBorders>
            <w:shd w:val="clear" w:color="auto" w:fill="B8CCE4" w:themeFill="accent1" w:themeFillTint="66"/>
            <w:noWrap/>
            <w:vAlign w:val="center"/>
          </w:tcPr>
          <w:p w:rsidR="00414999" w:rsidRPr="00D833AF" w:rsidRDefault="00414999" w:rsidP="00F44C41">
            <w:pPr>
              <w:pStyle w:val="cuadroCabe"/>
              <w:tabs>
                <w:tab w:val="left" w:pos="8647"/>
              </w:tabs>
              <w:jc w:val="right"/>
              <w:rPr>
                <w:sz w:val="16"/>
                <w:szCs w:val="16"/>
                <w:lang w:val="es-ES" w:eastAsia="es-ES"/>
              </w:rPr>
            </w:pPr>
            <w:r w:rsidRPr="00D833AF">
              <w:rPr>
                <w:sz w:val="16"/>
                <w:szCs w:val="16"/>
                <w:lang w:val="es-ES" w:eastAsia="es-ES"/>
              </w:rPr>
              <w:t>Por</w:t>
            </w:r>
          </w:p>
          <w:p w:rsidR="00414999" w:rsidRPr="00D833AF" w:rsidRDefault="00414999" w:rsidP="00F44C41">
            <w:pPr>
              <w:pStyle w:val="cuadroCabe"/>
              <w:tabs>
                <w:tab w:val="left" w:pos="8647"/>
              </w:tabs>
              <w:jc w:val="right"/>
              <w:rPr>
                <w:sz w:val="16"/>
                <w:szCs w:val="16"/>
                <w:lang w:val="es-ES" w:eastAsia="es-ES"/>
              </w:rPr>
            </w:pPr>
            <w:r w:rsidRPr="00D833AF">
              <w:rPr>
                <w:sz w:val="16"/>
                <w:szCs w:val="16"/>
                <w:lang w:val="es-ES" w:eastAsia="es-ES"/>
              </w:rPr>
              <w:t xml:space="preserve"> estudiante</w:t>
            </w:r>
          </w:p>
        </w:tc>
        <w:tc>
          <w:tcPr>
            <w:tcW w:w="992" w:type="dxa"/>
            <w:tcBorders>
              <w:top w:val="single" w:sz="4" w:space="0" w:color="auto"/>
              <w:left w:val="nil"/>
              <w:bottom w:val="single" w:sz="4" w:space="0" w:color="auto"/>
              <w:right w:val="single" w:sz="2" w:space="0" w:color="auto"/>
            </w:tcBorders>
            <w:shd w:val="clear" w:color="auto" w:fill="B8CCE4" w:themeFill="accent1" w:themeFillTint="66"/>
            <w:noWrap/>
            <w:vAlign w:val="center"/>
          </w:tcPr>
          <w:p w:rsidR="00414999" w:rsidRPr="00D833AF" w:rsidRDefault="00414999" w:rsidP="00F44C41">
            <w:pPr>
              <w:pStyle w:val="cuadroCabe"/>
              <w:tabs>
                <w:tab w:val="clear" w:pos="3969"/>
                <w:tab w:val="left" w:pos="8647"/>
              </w:tabs>
              <w:jc w:val="right"/>
              <w:rPr>
                <w:sz w:val="16"/>
                <w:szCs w:val="16"/>
                <w:lang w:val="es-ES" w:eastAsia="es-ES"/>
              </w:rPr>
            </w:pPr>
            <w:r w:rsidRPr="00D833AF">
              <w:rPr>
                <w:sz w:val="16"/>
                <w:szCs w:val="16"/>
                <w:lang w:val="es-ES" w:eastAsia="es-ES"/>
              </w:rPr>
              <w:t>%</w:t>
            </w:r>
          </w:p>
          <w:p w:rsidR="00414999" w:rsidRPr="00D833AF" w:rsidRDefault="00414999" w:rsidP="00F44C41">
            <w:pPr>
              <w:pStyle w:val="cuadroCabe"/>
              <w:tabs>
                <w:tab w:val="clear" w:pos="3969"/>
                <w:tab w:val="left" w:pos="8647"/>
              </w:tabs>
              <w:jc w:val="right"/>
              <w:rPr>
                <w:sz w:val="16"/>
                <w:szCs w:val="16"/>
                <w:lang w:val="es-ES" w:eastAsia="es-ES"/>
              </w:rPr>
            </w:pPr>
            <w:r w:rsidRPr="00D833AF">
              <w:rPr>
                <w:sz w:val="16"/>
                <w:szCs w:val="16"/>
                <w:lang w:val="es-ES" w:eastAsia="es-ES"/>
              </w:rPr>
              <w:t>s/total</w:t>
            </w:r>
          </w:p>
        </w:tc>
        <w:tc>
          <w:tcPr>
            <w:tcW w:w="678" w:type="dxa"/>
            <w:tcBorders>
              <w:top w:val="single" w:sz="4" w:space="0" w:color="auto"/>
              <w:left w:val="single" w:sz="2" w:space="0" w:color="auto"/>
              <w:bottom w:val="single" w:sz="4" w:space="0" w:color="auto"/>
              <w:right w:val="nil"/>
            </w:tcBorders>
            <w:shd w:val="clear" w:color="auto" w:fill="B8CCE4" w:themeFill="accent1" w:themeFillTint="66"/>
            <w:noWrap/>
            <w:vAlign w:val="center"/>
          </w:tcPr>
          <w:p w:rsidR="00414999" w:rsidRPr="00D833AF" w:rsidRDefault="00414999" w:rsidP="00F44C41">
            <w:pPr>
              <w:pStyle w:val="cuadroCabe"/>
              <w:tabs>
                <w:tab w:val="clear" w:pos="3969"/>
                <w:tab w:val="left" w:pos="8647"/>
              </w:tabs>
              <w:jc w:val="right"/>
              <w:rPr>
                <w:sz w:val="16"/>
                <w:szCs w:val="16"/>
                <w:lang w:val="es-ES" w:eastAsia="es-ES"/>
              </w:rPr>
            </w:pPr>
            <w:r w:rsidRPr="00D833AF">
              <w:rPr>
                <w:sz w:val="16"/>
                <w:szCs w:val="16"/>
                <w:lang w:val="es-ES" w:eastAsia="es-ES"/>
              </w:rPr>
              <w:t>Total</w:t>
            </w:r>
          </w:p>
        </w:tc>
        <w:tc>
          <w:tcPr>
            <w:tcW w:w="992" w:type="dxa"/>
            <w:tcBorders>
              <w:top w:val="single" w:sz="4" w:space="0" w:color="auto"/>
              <w:left w:val="nil"/>
              <w:bottom w:val="single" w:sz="4" w:space="0" w:color="auto"/>
              <w:right w:val="nil"/>
            </w:tcBorders>
            <w:shd w:val="clear" w:color="auto" w:fill="B8CCE4" w:themeFill="accent1" w:themeFillTint="66"/>
            <w:noWrap/>
            <w:vAlign w:val="center"/>
          </w:tcPr>
          <w:p w:rsidR="00414999" w:rsidRPr="00D833AF" w:rsidRDefault="00414999" w:rsidP="00F44C41">
            <w:pPr>
              <w:pStyle w:val="cuadroCabe"/>
              <w:tabs>
                <w:tab w:val="clear" w:pos="3969"/>
                <w:tab w:val="left" w:pos="8647"/>
              </w:tabs>
              <w:jc w:val="right"/>
              <w:rPr>
                <w:sz w:val="16"/>
                <w:szCs w:val="16"/>
                <w:lang w:val="es-ES" w:eastAsia="es-ES"/>
              </w:rPr>
            </w:pPr>
            <w:r w:rsidRPr="00D833AF">
              <w:rPr>
                <w:sz w:val="16"/>
                <w:szCs w:val="16"/>
                <w:lang w:val="es-ES" w:eastAsia="es-ES"/>
              </w:rPr>
              <w:t>Por</w:t>
            </w:r>
          </w:p>
          <w:p w:rsidR="00414999" w:rsidRPr="00D833AF" w:rsidRDefault="00414999" w:rsidP="00F44C41">
            <w:pPr>
              <w:pStyle w:val="cuadroCabe"/>
              <w:tabs>
                <w:tab w:val="clear" w:pos="3969"/>
                <w:tab w:val="left" w:pos="8647"/>
              </w:tabs>
              <w:jc w:val="right"/>
              <w:rPr>
                <w:sz w:val="16"/>
                <w:szCs w:val="16"/>
                <w:lang w:val="es-ES" w:eastAsia="es-ES"/>
              </w:rPr>
            </w:pPr>
            <w:r w:rsidRPr="00D833AF">
              <w:rPr>
                <w:sz w:val="16"/>
                <w:szCs w:val="16"/>
                <w:lang w:val="es-ES" w:eastAsia="es-ES"/>
              </w:rPr>
              <w:t xml:space="preserve"> estudiante</w:t>
            </w:r>
          </w:p>
        </w:tc>
        <w:tc>
          <w:tcPr>
            <w:tcW w:w="881" w:type="dxa"/>
            <w:tcBorders>
              <w:top w:val="single" w:sz="4" w:space="0" w:color="auto"/>
              <w:left w:val="nil"/>
              <w:bottom w:val="single" w:sz="4" w:space="0" w:color="auto"/>
              <w:right w:val="single" w:sz="2" w:space="0" w:color="auto"/>
            </w:tcBorders>
            <w:shd w:val="clear" w:color="auto" w:fill="B8CCE4" w:themeFill="accent1" w:themeFillTint="66"/>
            <w:noWrap/>
            <w:vAlign w:val="center"/>
          </w:tcPr>
          <w:p w:rsidR="00414999" w:rsidRPr="00D833AF" w:rsidRDefault="00414999" w:rsidP="00F44C41">
            <w:pPr>
              <w:pStyle w:val="cuadroCabe"/>
              <w:tabs>
                <w:tab w:val="clear" w:pos="3969"/>
                <w:tab w:val="left" w:pos="8647"/>
              </w:tabs>
              <w:jc w:val="right"/>
              <w:rPr>
                <w:sz w:val="16"/>
                <w:szCs w:val="16"/>
                <w:lang w:val="es-ES" w:eastAsia="es-ES"/>
              </w:rPr>
            </w:pPr>
            <w:r w:rsidRPr="00D833AF">
              <w:rPr>
                <w:sz w:val="16"/>
                <w:szCs w:val="16"/>
                <w:lang w:val="es-ES" w:eastAsia="es-ES"/>
              </w:rPr>
              <w:t>%s/total</w:t>
            </w:r>
          </w:p>
        </w:tc>
        <w:tc>
          <w:tcPr>
            <w:tcW w:w="928" w:type="dxa"/>
            <w:tcBorders>
              <w:top w:val="single" w:sz="4" w:space="0" w:color="auto"/>
              <w:left w:val="single" w:sz="2" w:space="0" w:color="auto"/>
              <w:bottom w:val="single" w:sz="4" w:space="0" w:color="auto"/>
              <w:right w:val="nil"/>
            </w:tcBorders>
            <w:shd w:val="clear" w:color="auto" w:fill="B8CCE4" w:themeFill="accent1" w:themeFillTint="66"/>
            <w:noWrap/>
            <w:vAlign w:val="center"/>
          </w:tcPr>
          <w:p w:rsidR="00414999" w:rsidRPr="00D833AF" w:rsidRDefault="00414999" w:rsidP="00F44C41">
            <w:pPr>
              <w:pStyle w:val="cuadroCabe"/>
              <w:tabs>
                <w:tab w:val="clear" w:pos="3969"/>
                <w:tab w:val="left" w:pos="8647"/>
              </w:tabs>
              <w:jc w:val="right"/>
              <w:rPr>
                <w:sz w:val="16"/>
                <w:szCs w:val="16"/>
                <w:lang w:val="es-ES" w:eastAsia="es-ES"/>
              </w:rPr>
            </w:pPr>
            <w:r w:rsidRPr="00D833AF">
              <w:rPr>
                <w:sz w:val="16"/>
                <w:szCs w:val="16"/>
                <w:lang w:val="es-ES" w:eastAsia="es-ES"/>
              </w:rPr>
              <w:t>Total</w:t>
            </w:r>
          </w:p>
        </w:tc>
        <w:tc>
          <w:tcPr>
            <w:tcW w:w="1028" w:type="dxa"/>
            <w:tcBorders>
              <w:top w:val="single" w:sz="4" w:space="0" w:color="auto"/>
              <w:left w:val="nil"/>
              <w:bottom w:val="single" w:sz="4" w:space="0" w:color="auto"/>
              <w:right w:val="single" w:sz="8" w:space="0" w:color="auto"/>
            </w:tcBorders>
            <w:shd w:val="clear" w:color="auto" w:fill="B8CCE4" w:themeFill="accent1" w:themeFillTint="66"/>
            <w:noWrap/>
            <w:vAlign w:val="center"/>
          </w:tcPr>
          <w:p w:rsidR="00414999" w:rsidRPr="00D833AF" w:rsidRDefault="00414999" w:rsidP="00F44C41">
            <w:pPr>
              <w:pStyle w:val="cuadroCabe"/>
              <w:tabs>
                <w:tab w:val="clear" w:pos="3969"/>
                <w:tab w:val="left" w:pos="8647"/>
              </w:tabs>
              <w:jc w:val="right"/>
              <w:rPr>
                <w:sz w:val="16"/>
                <w:szCs w:val="16"/>
                <w:lang w:val="es-ES" w:eastAsia="es-ES"/>
              </w:rPr>
            </w:pPr>
            <w:r w:rsidRPr="00D833AF">
              <w:rPr>
                <w:sz w:val="16"/>
                <w:szCs w:val="16"/>
                <w:lang w:val="es-ES" w:eastAsia="es-ES"/>
              </w:rPr>
              <w:t>Por</w:t>
            </w:r>
          </w:p>
          <w:p w:rsidR="00414999" w:rsidRPr="00D833AF" w:rsidRDefault="00414999" w:rsidP="00F44C41">
            <w:pPr>
              <w:pStyle w:val="cuadroCabe"/>
              <w:tabs>
                <w:tab w:val="clear" w:pos="3969"/>
                <w:tab w:val="left" w:pos="8647"/>
              </w:tabs>
              <w:jc w:val="right"/>
              <w:rPr>
                <w:sz w:val="16"/>
                <w:szCs w:val="16"/>
                <w:lang w:val="es-ES" w:eastAsia="es-ES"/>
              </w:rPr>
            </w:pPr>
            <w:r w:rsidRPr="00D833AF">
              <w:rPr>
                <w:sz w:val="16"/>
                <w:szCs w:val="16"/>
                <w:lang w:val="es-ES" w:eastAsia="es-ES"/>
              </w:rPr>
              <w:t xml:space="preserve"> estudiante</w:t>
            </w:r>
          </w:p>
        </w:tc>
      </w:tr>
      <w:tr w:rsidR="00414999" w:rsidRPr="00880DF3" w:rsidTr="003F1E6D">
        <w:trPr>
          <w:trHeight w:val="255"/>
        </w:trPr>
        <w:tc>
          <w:tcPr>
            <w:tcW w:w="1560" w:type="dxa"/>
            <w:tcBorders>
              <w:top w:val="single" w:sz="4" w:space="0" w:color="auto"/>
              <w:left w:val="nil"/>
              <w:bottom w:val="single" w:sz="2" w:space="0" w:color="auto"/>
              <w:right w:val="single" w:sz="2" w:space="0" w:color="auto"/>
            </w:tcBorders>
            <w:shd w:val="clear" w:color="auto" w:fill="auto"/>
            <w:vAlign w:val="center"/>
            <w:hideMark/>
          </w:tcPr>
          <w:p w:rsidR="00414999" w:rsidRPr="00880DF3" w:rsidRDefault="00414999" w:rsidP="00F44C41">
            <w:pPr>
              <w:pStyle w:val="cuatexto"/>
              <w:tabs>
                <w:tab w:val="left" w:pos="8647"/>
              </w:tabs>
              <w:rPr>
                <w:lang w:val="es-ES" w:eastAsia="es-ES"/>
              </w:rPr>
            </w:pPr>
            <w:r w:rsidRPr="00880DF3">
              <w:rPr>
                <w:lang w:val="es-ES" w:eastAsia="es-ES"/>
              </w:rPr>
              <w:t>2012</w:t>
            </w:r>
          </w:p>
        </w:tc>
        <w:tc>
          <w:tcPr>
            <w:tcW w:w="709" w:type="dxa"/>
            <w:tcBorders>
              <w:top w:val="single" w:sz="4"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left" w:pos="8647"/>
              </w:tabs>
              <w:jc w:val="right"/>
              <w:rPr>
                <w:lang w:val="es-ES" w:eastAsia="es-ES"/>
              </w:rPr>
            </w:pPr>
            <w:r w:rsidRPr="00880DF3">
              <w:rPr>
                <w:lang w:val="es-ES" w:eastAsia="es-ES"/>
              </w:rPr>
              <w:t>51.645</w:t>
            </w:r>
          </w:p>
        </w:tc>
        <w:tc>
          <w:tcPr>
            <w:tcW w:w="992" w:type="dxa"/>
            <w:tcBorders>
              <w:top w:val="single" w:sz="4" w:space="0" w:color="auto"/>
              <w:left w:val="nil"/>
              <w:bottom w:val="single" w:sz="2" w:space="0" w:color="auto"/>
              <w:right w:val="nil"/>
            </w:tcBorders>
            <w:shd w:val="clear" w:color="auto" w:fill="auto"/>
            <w:noWrap/>
            <w:vAlign w:val="center"/>
            <w:hideMark/>
          </w:tcPr>
          <w:p w:rsidR="00414999" w:rsidRPr="00880DF3" w:rsidRDefault="00414999" w:rsidP="00F44C41">
            <w:pPr>
              <w:pStyle w:val="cuatexto"/>
              <w:tabs>
                <w:tab w:val="left" w:pos="8647"/>
              </w:tabs>
              <w:jc w:val="right"/>
              <w:rPr>
                <w:lang w:val="es-ES" w:eastAsia="es-ES"/>
              </w:rPr>
            </w:pPr>
            <w:r w:rsidRPr="00880DF3">
              <w:rPr>
                <w:lang w:val="es-ES" w:eastAsia="es-ES"/>
              </w:rPr>
              <w:t>6,41</w:t>
            </w:r>
          </w:p>
        </w:tc>
        <w:tc>
          <w:tcPr>
            <w:tcW w:w="992" w:type="dxa"/>
            <w:tcBorders>
              <w:top w:val="single" w:sz="4" w:space="0" w:color="auto"/>
              <w:left w:val="nil"/>
              <w:bottom w:val="single" w:sz="2"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86,20</w:t>
            </w:r>
          </w:p>
        </w:tc>
        <w:tc>
          <w:tcPr>
            <w:tcW w:w="678" w:type="dxa"/>
            <w:tcBorders>
              <w:top w:val="single" w:sz="4"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8.265</w:t>
            </w:r>
          </w:p>
        </w:tc>
        <w:tc>
          <w:tcPr>
            <w:tcW w:w="992" w:type="dxa"/>
            <w:tcBorders>
              <w:top w:val="single" w:sz="4" w:space="0" w:color="auto"/>
              <w:left w:val="nil"/>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1,03</w:t>
            </w:r>
          </w:p>
        </w:tc>
        <w:tc>
          <w:tcPr>
            <w:tcW w:w="881" w:type="dxa"/>
            <w:tcBorders>
              <w:top w:val="single" w:sz="4" w:space="0" w:color="auto"/>
              <w:left w:val="nil"/>
              <w:bottom w:val="single" w:sz="2"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13,80</w:t>
            </w:r>
          </w:p>
        </w:tc>
        <w:tc>
          <w:tcPr>
            <w:tcW w:w="928" w:type="dxa"/>
            <w:tcBorders>
              <w:top w:val="single" w:sz="4"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59.910</w:t>
            </w:r>
          </w:p>
        </w:tc>
        <w:tc>
          <w:tcPr>
            <w:tcW w:w="1028" w:type="dxa"/>
            <w:tcBorders>
              <w:top w:val="single" w:sz="4" w:space="0" w:color="auto"/>
              <w:left w:val="nil"/>
              <w:bottom w:val="single" w:sz="2" w:space="0" w:color="auto"/>
              <w:right w:val="single" w:sz="8"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7,44</w:t>
            </w:r>
          </w:p>
        </w:tc>
      </w:tr>
      <w:tr w:rsidR="00414999" w:rsidRPr="00880DF3" w:rsidTr="003F1E6D">
        <w:trPr>
          <w:trHeight w:val="255"/>
        </w:trPr>
        <w:tc>
          <w:tcPr>
            <w:tcW w:w="1560" w:type="dxa"/>
            <w:tcBorders>
              <w:top w:val="single" w:sz="2" w:space="0" w:color="auto"/>
              <w:left w:val="nil"/>
              <w:bottom w:val="single" w:sz="2" w:space="0" w:color="auto"/>
              <w:right w:val="single" w:sz="2" w:space="0" w:color="auto"/>
            </w:tcBorders>
            <w:shd w:val="clear" w:color="auto" w:fill="auto"/>
            <w:vAlign w:val="center"/>
            <w:hideMark/>
          </w:tcPr>
          <w:p w:rsidR="00414999" w:rsidRPr="00880DF3" w:rsidRDefault="00414999" w:rsidP="00F44C41">
            <w:pPr>
              <w:pStyle w:val="cuatexto"/>
              <w:tabs>
                <w:tab w:val="left" w:pos="8647"/>
              </w:tabs>
              <w:rPr>
                <w:lang w:val="es-ES" w:eastAsia="es-ES"/>
              </w:rPr>
            </w:pPr>
            <w:r w:rsidRPr="00880DF3">
              <w:rPr>
                <w:lang w:val="es-ES" w:eastAsia="es-ES"/>
              </w:rPr>
              <w:t>2013</w:t>
            </w:r>
          </w:p>
        </w:tc>
        <w:tc>
          <w:tcPr>
            <w:tcW w:w="709"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left" w:pos="8647"/>
              </w:tabs>
              <w:jc w:val="right"/>
              <w:rPr>
                <w:lang w:val="es-ES" w:eastAsia="es-ES"/>
              </w:rPr>
            </w:pPr>
            <w:r w:rsidRPr="00880DF3">
              <w:rPr>
                <w:lang w:val="es-ES" w:eastAsia="es-ES"/>
              </w:rPr>
              <w:t>51.017</w:t>
            </w:r>
          </w:p>
        </w:tc>
        <w:tc>
          <w:tcPr>
            <w:tcW w:w="992" w:type="dxa"/>
            <w:tcBorders>
              <w:top w:val="single" w:sz="2" w:space="0" w:color="auto"/>
              <w:left w:val="nil"/>
              <w:bottom w:val="single" w:sz="2" w:space="0" w:color="auto"/>
              <w:right w:val="nil"/>
            </w:tcBorders>
            <w:shd w:val="clear" w:color="auto" w:fill="auto"/>
            <w:noWrap/>
            <w:vAlign w:val="center"/>
            <w:hideMark/>
          </w:tcPr>
          <w:p w:rsidR="00414999" w:rsidRPr="00880DF3" w:rsidRDefault="00414999" w:rsidP="00F44C41">
            <w:pPr>
              <w:pStyle w:val="cuatexto"/>
              <w:tabs>
                <w:tab w:val="left" w:pos="8647"/>
              </w:tabs>
              <w:jc w:val="right"/>
              <w:rPr>
                <w:lang w:val="es-ES" w:eastAsia="es-ES"/>
              </w:rPr>
            </w:pPr>
            <w:r w:rsidRPr="00880DF3">
              <w:rPr>
                <w:lang w:val="es-ES" w:eastAsia="es-ES"/>
              </w:rPr>
              <w:t>6,10</w:t>
            </w:r>
          </w:p>
        </w:tc>
        <w:tc>
          <w:tcPr>
            <w:tcW w:w="992" w:type="dxa"/>
            <w:tcBorders>
              <w:top w:val="single" w:sz="2" w:space="0" w:color="auto"/>
              <w:left w:val="nil"/>
              <w:bottom w:val="single" w:sz="2"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84,67</w:t>
            </w:r>
          </w:p>
        </w:tc>
        <w:tc>
          <w:tcPr>
            <w:tcW w:w="678"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9.234</w:t>
            </w:r>
          </w:p>
        </w:tc>
        <w:tc>
          <w:tcPr>
            <w:tcW w:w="992" w:type="dxa"/>
            <w:tcBorders>
              <w:top w:val="single" w:sz="2" w:space="0" w:color="auto"/>
              <w:left w:val="nil"/>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1,10</w:t>
            </w:r>
          </w:p>
        </w:tc>
        <w:tc>
          <w:tcPr>
            <w:tcW w:w="881" w:type="dxa"/>
            <w:tcBorders>
              <w:top w:val="single" w:sz="2" w:space="0" w:color="auto"/>
              <w:left w:val="nil"/>
              <w:bottom w:val="single" w:sz="2"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15,33</w:t>
            </w:r>
          </w:p>
        </w:tc>
        <w:tc>
          <w:tcPr>
            <w:tcW w:w="928"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60.251</w:t>
            </w:r>
          </w:p>
        </w:tc>
        <w:tc>
          <w:tcPr>
            <w:tcW w:w="1028" w:type="dxa"/>
            <w:tcBorders>
              <w:top w:val="single" w:sz="2" w:space="0" w:color="auto"/>
              <w:left w:val="nil"/>
              <w:bottom w:val="single" w:sz="2" w:space="0" w:color="auto"/>
              <w:right w:val="single" w:sz="8"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7,20</w:t>
            </w:r>
          </w:p>
        </w:tc>
      </w:tr>
      <w:tr w:rsidR="00414999" w:rsidRPr="00880DF3" w:rsidTr="003F1E6D">
        <w:trPr>
          <w:trHeight w:val="255"/>
        </w:trPr>
        <w:tc>
          <w:tcPr>
            <w:tcW w:w="1560" w:type="dxa"/>
            <w:tcBorders>
              <w:top w:val="single" w:sz="2" w:space="0" w:color="auto"/>
              <w:left w:val="nil"/>
              <w:bottom w:val="single" w:sz="2" w:space="0" w:color="auto"/>
              <w:right w:val="single" w:sz="2" w:space="0" w:color="auto"/>
            </w:tcBorders>
            <w:shd w:val="clear" w:color="auto" w:fill="auto"/>
            <w:vAlign w:val="center"/>
            <w:hideMark/>
          </w:tcPr>
          <w:p w:rsidR="00414999" w:rsidRPr="00880DF3" w:rsidRDefault="00414999" w:rsidP="00F44C41">
            <w:pPr>
              <w:pStyle w:val="cuatexto"/>
              <w:tabs>
                <w:tab w:val="left" w:pos="8647"/>
              </w:tabs>
              <w:rPr>
                <w:lang w:val="es-ES" w:eastAsia="es-ES"/>
              </w:rPr>
            </w:pPr>
            <w:r w:rsidRPr="00880DF3">
              <w:rPr>
                <w:lang w:val="es-ES" w:eastAsia="es-ES"/>
              </w:rPr>
              <w:t>2014</w:t>
            </w:r>
          </w:p>
        </w:tc>
        <w:tc>
          <w:tcPr>
            <w:tcW w:w="709"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left" w:pos="8647"/>
              </w:tabs>
              <w:jc w:val="right"/>
              <w:rPr>
                <w:lang w:val="es-ES" w:eastAsia="es-ES"/>
              </w:rPr>
            </w:pPr>
            <w:r w:rsidRPr="00880DF3">
              <w:rPr>
                <w:lang w:val="es-ES" w:eastAsia="es-ES"/>
              </w:rPr>
              <w:t>51.751</w:t>
            </w:r>
          </w:p>
        </w:tc>
        <w:tc>
          <w:tcPr>
            <w:tcW w:w="992" w:type="dxa"/>
            <w:tcBorders>
              <w:top w:val="single" w:sz="2" w:space="0" w:color="auto"/>
              <w:left w:val="nil"/>
              <w:bottom w:val="single" w:sz="2" w:space="0" w:color="auto"/>
              <w:right w:val="nil"/>
            </w:tcBorders>
            <w:shd w:val="clear" w:color="auto" w:fill="auto"/>
            <w:noWrap/>
            <w:vAlign w:val="center"/>
            <w:hideMark/>
          </w:tcPr>
          <w:p w:rsidR="00414999" w:rsidRPr="00880DF3" w:rsidRDefault="00414999" w:rsidP="00F44C41">
            <w:pPr>
              <w:pStyle w:val="cuatexto"/>
              <w:tabs>
                <w:tab w:val="left" w:pos="8647"/>
              </w:tabs>
              <w:jc w:val="right"/>
              <w:rPr>
                <w:lang w:val="es-ES" w:eastAsia="es-ES"/>
              </w:rPr>
            </w:pPr>
            <w:r w:rsidRPr="00880DF3">
              <w:rPr>
                <w:lang w:val="es-ES" w:eastAsia="es-ES"/>
              </w:rPr>
              <w:t>6,24</w:t>
            </w:r>
          </w:p>
        </w:tc>
        <w:tc>
          <w:tcPr>
            <w:tcW w:w="992" w:type="dxa"/>
            <w:tcBorders>
              <w:top w:val="single" w:sz="2" w:space="0" w:color="auto"/>
              <w:left w:val="nil"/>
              <w:bottom w:val="single" w:sz="2"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83,16</w:t>
            </w:r>
          </w:p>
        </w:tc>
        <w:tc>
          <w:tcPr>
            <w:tcW w:w="678"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10.481</w:t>
            </w:r>
          </w:p>
        </w:tc>
        <w:tc>
          <w:tcPr>
            <w:tcW w:w="992" w:type="dxa"/>
            <w:tcBorders>
              <w:top w:val="single" w:sz="2" w:space="0" w:color="auto"/>
              <w:left w:val="nil"/>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1,26</w:t>
            </w:r>
          </w:p>
        </w:tc>
        <w:tc>
          <w:tcPr>
            <w:tcW w:w="881" w:type="dxa"/>
            <w:tcBorders>
              <w:top w:val="single" w:sz="2" w:space="0" w:color="auto"/>
              <w:left w:val="nil"/>
              <w:bottom w:val="single" w:sz="2"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16,84</w:t>
            </w:r>
          </w:p>
        </w:tc>
        <w:tc>
          <w:tcPr>
            <w:tcW w:w="928"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62.232</w:t>
            </w:r>
          </w:p>
        </w:tc>
        <w:tc>
          <w:tcPr>
            <w:tcW w:w="1028" w:type="dxa"/>
            <w:tcBorders>
              <w:top w:val="single" w:sz="2" w:space="0" w:color="auto"/>
              <w:left w:val="nil"/>
              <w:bottom w:val="single" w:sz="2" w:space="0" w:color="auto"/>
              <w:right w:val="single" w:sz="8"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7,50</w:t>
            </w:r>
          </w:p>
        </w:tc>
      </w:tr>
      <w:tr w:rsidR="00414999" w:rsidRPr="00880DF3" w:rsidTr="003F1E6D">
        <w:trPr>
          <w:trHeight w:val="255"/>
        </w:trPr>
        <w:tc>
          <w:tcPr>
            <w:tcW w:w="1560" w:type="dxa"/>
            <w:tcBorders>
              <w:top w:val="single" w:sz="2" w:space="0" w:color="auto"/>
              <w:left w:val="nil"/>
              <w:bottom w:val="single" w:sz="2" w:space="0" w:color="auto"/>
              <w:right w:val="single" w:sz="2" w:space="0" w:color="auto"/>
            </w:tcBorders>
            <w:shd w:val="clear" w:color="auto" w:fill="auto"/>
            <w:vAlign w:val="center"/>
            <w:hideMark/>
          </w:tcPr>
          <w:p w:rsidR="00414999" w:rsidRPr="00880DF3" w:rsidRDefault="00414999" w:rsidP="00F44C41">
            <w:pPr>
              <w:pStyle w:val="cuatexto"/>
              <w:tabs>
                <w:tab w:val="left" w:pos="8647"/>
              </w:tabs>
              <w:rPr>
                <w:lang w:val="es-ES" w:eastAsia="es-ES"/>
              </w:rPr>
            </w:pPr>
            <w:r w:rsidRPr="00880DF3">
              <w:rPr>
                <w:lang w:val="es-ES" w:eastAsia="es-ES"/>
              </w:rPr>
              <w:t>2015</w:t>
            </w:r>
          </w:p>
        </w:tc>
        <w:tc>
          <w:tcPr>
            <w:tcW w:w="709"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left" w:pos="8647"/>
              </w:tabs>
              <w:jc w:val="right"/>
              <w:rPr>
                <w:lang w:val="es-ES" w:eastAsia="es-ES"/>
              </w:rPr>
            </w:pPr>
            <w:r w:rsidRPr="00880DF3">
              <w:rPr>
                <w:lang w:val="es-ES" w:eastAsia="es-ES"/>
              </w:rPr>
              <w:t>52.444</w:t>
            </w:r>
          </w:p>
        </w:tc>
        <w:tc>
          <w:tcPr>
            <w:tcW w:w="992" w:type="dxa"/>
            <w:tcBorders>
              <w:top w:val="single" w:sz="2" w:space="0" w:color="auto"/>
              <w:left w:val="nil"/>
              <w:bottom w:val="single" w:sz="2" w:space="0" w:color="auto"/>
              <w:right w:val="nil"/>
            </w:tcBorders>
            <w:shd w:val="clear" w:color="auto" w:fill="auto"/>
            <w:noWrap/>
            <w:vAlign w:val="center"/>
            <w:hideMark/>
          </w:tcPr>
          <w:p w:rsidR="00414999" w:rsidRPr="00880DF3" w:rsidRDefault="00414999" w:rsidP="00F44C41">
            <w:pPr>
              <w:pStyle w:val="cuatexto"/>
              <w:tabs>
                <w:tab w:val="left" w:pos="8647"/>
              </w:tabs>
              <w:jc w:val="right"/>
              <w:rPr>
                <w:lang w:val="es-ES" w:eastAsia="es-ES"/>
              </w:rPr>
            </w:pPr>
            <w:r w:rsidRPr="00880DF3">
              <w:rPr>
                <w:lang w:val="es-ES" w:eastAsia="es-ES"/>
              </w:rPr>
              <w:t>6,31</w:t>
            </w:r>
          </w:p>
        </w:tc>
        <w:tc>
          <w:tcPr>
            <w:tcW w:w="992" w:type="dxa"/>
            <w:tcBorders>
              <w:top w:val="single" w:sz="2" w:space="0" w:color="auto"/>
              <w:left w:val="nil"/>
              <w:bottom w:val="single" w:sz="2"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84,55</w:t>
            </w:r>
          </w:p>
        </w:tc>
        <w:tc>
          <w:tcPr>
            <w:tcW w:w="678"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9.586</w:t>
            </w:r>
          </w:p>
        </w:tc>
        <w:tc>
          <w:tcPr>
            <w:tcW w:w="992" w:type="dxa"/>
            <w:tcBorders>
              <w:top w:val="single" w:sz="2" w:space="0" w:color="auto"/>
              <w:left w:val="nil"/>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1,15</w:t>
            </w:r>
          </w:p>
        </w:tc>
        <w:tc>
          <w:tcPr>
            <w:tcW w:w="881" w:type="dxa"/>
            <w:tcBorders>
              <w:top w:val="single" w:sz="2" w:space="0" w:color="auto"/>
              <w:left w:val="nil"/>
              <w:bottom w:val="single" w:sz="2"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15,45</w:t>
            </w:r>
          </w:p>
        </w:tc>
        <w:tc>
          <w:tcPr>
            <w:tcW w:w="928"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62.030</w:t>
            </w:r>
          </w:p>
        </w:tc>
        <w:tc>
          <w:tcPr>
            <w:tcW w:w="1028" w:type="dxa"/>
            <w:tcBorders>
              <w:top w:val="single" w:sz="2" w:space="0" w:color="auto"/>
              <w:left w:val="nil"/>
              <w:bottom w:val="single" w:sz="2" w:space="0" w:color="auto"/>
              <w:right w:val="single" w:sz="8"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7,47</w:t>
            </w:r>
          </w:p>
        </w:tc>
      </w:tr>
      <w:tr w:rsidR="00414999" w:rsidRPr="00880DF3" w:rsidTr="003F1E6D">
        <w:trPr>
          <w:trHeight w:val="255"/>
        </w:trPr>
        <w:tc>
          <w:tcPr>
            <w:tcW w:w="1560" w:type="dxa"/>
            <w:tcBorders>
              <w:top w:val="single" w:sz="2" w:space="0" w:color="auto"/>
              <w:left w:val="nil"/>
              <w:bottom w:val="single" w:sz="2" w:space="0" w:color="auto"/>
              <w:right w:val="single" w:sz="2" w:space="0" w:color="auto"/>
            </w:tcBorders>
            <w:shd w:val="clear" w:color="auto" w:fill="auto"/>
            <w:vAlign w:val="center"/>
            <w:hideMark/>
          </w:tcPr>
          <w:p w:rsidR="00414999" w:rsidRPr="00880DF3" w:rsidRDefault="00414999" w:rsidP="00F44C41">
            <w:pPr>
              <w:pStyle w:val="cuatexto"/>
              <w:tabs>
                <w:tab w:val="left" w:pos="8647"/>
              </w:tabs>
              <w:rPr>
                <w:lang w:val="es-ES" w:eastAsia="es-ES"/>
              </w:rPr>
            </w:pPr>
            <w:r w:rsidRPr="00880DF3">
              <w:rPr>
                <w:lang w:val="es-ES" w:eastAsia="es-ES"/>
              </w:rPr>
              <w:t>2016</w:t>
            </w:r>
          </w:p>
        </w:tc>
        <w:tc>
          <w:tcPr>
            <w:tcW w:w="709"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left" w:pos="8647"/>
              </w:tabs>
              <w:jc w:val="right"/>
              <w:rPr>
                <w:lang w:val="es-ES" w:eastAsia="es-ES"/>
              </w:rPr>
            </w:pPr>
            <w:r w:rsidRPr="00880DF3">
              <w:rPr>
                <w:lang w:val="es-ES" w:eastAsia="es-ES"/>
              </w:rPr>
              <w:t>51.639</w:t>
            </w:r>
          </w:p>
        </w:tc>
        <w:tc>
          <w:tcPr>
            <w:tcW w:w="992" w:type="dxa"/>
            <w:tcBorders>
              <w:top w:val="single" w:sz="2" w:space="0" w:color="auto"/>
              <w:left w:val="nil"/>
              <w:bottom w:val="single" w:sz="2" w:space="0" w:color="auto"/>
              <w:right w:val="nil"/>
            </w:tcBorders>
            <w:shd w:val="clear" w:color="auto" w:fill="auto"/>
            <w:noWrap/>
            <w:vAlign w:val="center"/>
            <w:hideMark/>
          </w:tcPr>
          <w:p w:rsidR="00414999" w:rsidRPr="00880DF3" w:rsidRDefault="00414999" w:rsidP="00F44C41">
            <w:pPr>
              <w:pStyle w:val="cuatexto"/>
              <w:tabs>
                <w:tab w:val="left" w:pos="8647"/>
              </w:tabs>
              <w:jc w:val="right"/>
              <w:rPr>
                <w:lang w:val="es-ES" w:eastAsia="es-ES"/>
              </w:rPr>
            </w:pPr>
            <w:r w:rsidRPr="00880DF3">
              <w:rPr>
                <w:lang w:val="es-ES" w:eastAsia="es-ES"/>
              </w:rPr>
              <w:t>6,35</w:t>
            </w:r>
          </w:p>
        </w:tc>
        <w:tc>
          <w:tcPr>
            <w:tcW w:w="992" w:type="dxa"/>
            <w:tcBorders>
              <w:top w:val="single" w:sz="2" w:space="0" w:color="auto"/>
              <w:left w:val="nil"/>
              <w:bottom w:val="single" w:sz="2"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82,55</w:t>
            </w:r>
          </w:p>
        </w:tc>
        <w:tc>
          <w:tcPr>
            <w:tcW w:w="678"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10.918</w:t>
            </w:r>
          </w:p>
        </w:tc>
        <w:tc>
          <w:tcPr>
            <w:tcW w:w="992" w:type="dxa"/>
            <w:tcBorders>
              <w:top w:val="single" w:sz="2" w:space="0" w:color="auto"/>
              <w:left w:val="nil"/>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1,34</w:t>
            </w:r>
          </w:p>
        </w:tc>
        <w:tc>
          <w:tcPr>
            <w:tcW w:w="881" w:type="dxa"/>
            <w:tcBorders>
              <w:top w:val="single" w:sz="2" w:space="0" w:color="auto"/>
              <w:left w:val="nil"/>
              <w:bottom w:val="single" w:sz="2"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17,45</w:t>
            </w:r>
          </w:p>
        </w:tc>
        <w:tc>
          <w:tcPr>
            <w:tcW w:w="928"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62.557</w:t>
            </w:r>
          </w:p>
        </w:tc>
        <w:tc>
          <w:tcPr>
            <w:tcW w:w="1028" w:type="dxa"/>
            <w:tcBorders>
              <w:top w:val="single" w:sz="2" w:space="0" w:color="auto"/>
              <w:left w:val="nil"/>
              <w:bottom w:val="single" w:sz="2" w:space="0" w:color="auto"/>
              <w:right w:val="single" w:sz="8"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7,69</w:t>
            </w:r>
          </w:p>
        </w:tc>
      </w:tr>
      <w:tr w:rsidR="00414999" w:rsidRPr="00880DF3" w:rsidTr="003F1E6D">
        <w:trPr>
          <w:trHeight w:val="255"/>
        </w:trPr>
        <w:tc>
          <w:tcPr>
            <w:tcW w:w="1560" w:type="dxa"/>
            <w:tcBorders>
              <w:top w:val="single" w:sz="2" w:space="0" w:color="auto"/>
              <w:left w:val="nil"/>
              <w:bottom w:val="single" w:sz="2" w:space="0" w:color="auto"/>
              <w:right w:val="single" w:sz="2" w:space="0" w:color="auto"/>
            </w:tcBorders>
            <w:shd w:val="clear" w:color="auto" w:fill="auto"/>
            <w:vAlign w:val="center"/>
            <w:hideMark/>
          </w:tcPr>
          <w:p w:rsidR="00414999" w:rsidRPr="00880DF3" w:rsidRDefault="00414999" w:rsidP="00F44C41">
            <w:pPr>
              <w:pStyle w:val="cuatexto"/>
              <w:tabs>
                <w:tab w:val="left" w:pos="8647"/>
              </w:tabs>
              <w:rPr>
                <w:lang w:val="es-ES" w:eastAsia="es-ES"/>
              </w:rPr>
            </w:pPr>
            <w:r w:rsidRPr="00880DF3">
              <w:rPr>
                <w:lang w:val="es-ES" w:eastAsia="es-ES"/>
              </w:rPr>
              <w:t>2017</w:t>
            </w:r>
          </w:p>
        </w:tc>
        <w:tc>
          <w:tcPr>
            <w:tcW w:w="709"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left" w:pos="8647"/>
              </w:tabs>
              <w:jc w:val="right"/>
              <w:rPr>
                <w:lang w:val="es-ES" w:eastAsia="es-ES"/>
              </w:rPr>
            </w:pPr>
            <w:r w:rsidRPr="00880DF3">
              <w:rPr>
                <w:lang w:val="es-ES" w:eastAsia="es-ES"/>
              </w:rPr>
              <w:t>54.467</w:t>
            </w:r>
          </w:p>
        </w:tc>
        <w:tc>
          <w:tcPr>
            <w:tcW w:w="992" w:type="dxa"/>
            <w:tcBorders>
              <w:top w:val="single" w:sz="2" w:space="0" w:color="auto"/>
              <w:left w:val="nil"/>
              <w:bottom w:val="single" w:sz="2" w:space="0" w:color="auto"/>
              <w:right w:val="nil"/>
            </w:tcBorders>
            <w:shd w:val="clear" w:color="auto" w:fill="auto"/>
            <w:noWrap/>
            <w:vAlign w:val="center"/>
            <w:hideMark/>
          </w:tcPr>
          <w:p w:rsidR="00414999" w:rsidRPr="00880DF3" w:rsidRDefault="00414999" w:rsidP="00F44C41">
            <w:pPr>
              <w:pStyle w:val="cuatexto"/>
              <w:tabs>
                <w:tab w:val="left" w:pos="8647"/>
              </w:tabs>
              <w:jc w:val="right"/>
              <w:rPr>
                <w:lang w:val="es-ES" w:eastAsia="es-ES"/>
              </w:rPr>
            </w:pPr>
            <w:r w:rsidRPr="00880DF3">
              <w:rPr>
                <w:lang w:val="es-ES" w:eastAsia="es-ES"/>
              </w:rPr>
              <w:t>6,69</w:t>
            </w:r>
          </w:p>
        </w:tc>
        <w:tc>
          <w:tcPr>
            <w:tcW w:w="992" w:type="dxa"/>
            <w:tcBorders>
              <w:top w:val="single" w:sz="2" w:space="0" w:color="auto"/>
              <w:left w:val="nil"/>
              <w:bottom w:val="single" w:sz="2"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84,87</w:t>
            </w:r>
          </w:p>
        </w:tc>
        <w:tc>
          <w:tcPr>
            <w:tcW w:w="678"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9.709</w:t>
            </w:r>
          </w:p>
        </w:tc>
        <w:tc>
          <w:tcPr>
            <w:tcW w:w="992" w:type="dxa"/>
            <w:tcBorders>
              <w:top w:val="single" w:sz="2" w:space="0" w:color="auto"/>
              <w:left w:val="nil"/>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1,19</w:t>
            </w:r>
          </w:p>
        </w:tc>
        <w:tc>
          <w:tcPr>
            <w:tcW w:w="881" w:type="dxa"/>
            <w:tcBorders>
              <w:top w:val="single" w:sz="2" w:space="0" w:color="auto"/>
              <w:left w:val="nil"/>
              <w:bottom w:val="single" w:sz="2"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15,13</w:t>
            </w:r>
          </w:p>
        </w:tc>
        <w:tc>
          <w:tcPr>
            <w:tcW w:w="928" w:type="dxa"/>
            <w:tcBorders>
              <w:top w:val="single" w:sz="2" w:space="0" w:color="auto"/>
              <w:left w:val="single" w:sz="2" w:space="0" w:color="auto"/>
              <w:bottom w:val="single" w:sz="2"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64.176</w:t>
            </w:r>
          </w:p>
        </w:tc>
        <w:tc>
          <w:tcPr>
            <w:tcW w:w="1028" w:type="dxa"/>
            <w:tcBorders>
              <w:top w:val="single" w:sz="2" w:space="0" w:color="auto"/>
              <w:left w:val="nil"/>
              <w:bottom w:val="single" w:sz="2" w:space="0" w:color="auto"/>
              <w:right w:val="single" w:sz="8"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7,88</w:t>
            </w:r>
          </w:p>
        </w:tc>
      </w:tr>
      <w:tr w:rsidR="00414999" w:rsidRPr="00880DF3" w:rsidTr="003F1E6D">
        <w:trPr>
          <w:trHeight w:val="255"/>
        </w:trPr>
        <w:tc>
          <w:tcPr>
            <w:tcW w:w="1560" w:type="dxa"/>
            <w:tcBorders>
              <w:top w:val="single" w:sz="2" w:space="0" w:color="auto"/>
              <w:left w:val="nil"/>
              <w:bottom w:val="single" w:sz="4" w:space="0" w:color="auto"/>
              <w:right w:val="single" w:sz="2" w:space="0" w:color="auto"/>
            </w:tcBorders>
            <w:shd w:val="clear" w:color="auto" w:fill="auto"/>
            <w:vAlign w:val="center"/>
            <w:hideMark/>
          </w:tcPr>
          <w:p w:rsidR="00414999" w:rsidRPr="00880DF3" w:rsidRDefault="00414999" w:rsidP="00F44C41">
            <w:pPr>
              <w:pStyle w:val="cuatexto"/>
              <w:tabs>
                <w:tab w:val="left" w:pos="8647"/>
              </w:tabs>
              <w:rPr>
                <w:lang w:val="es-ES" w:eastAsia="es-ES"/>
              </w:rPr>
            </w:pPr>
            <w:r w:rsidRPr="00880DF3">
              <w:rPr>
                <w:lang w:val="es-ES" w:eastAsia="es-ES"/>
              </w:rPr>
              <w:t>2018</w:t>
            </w:r>
          </w:p>
        </w:tc>
        <w:tc>
          <w:tcPr>
            <w:tcW w:w="709" w:type="dxa"/>
            <w:tcBorders>
              <w:top w:val="single" w:sz="2" w:space="0" w:color="auto"/>
              <w:left w:val="single" w:sz="2" w:space="0" w:color="auto"/>
              <w:bottom w:val="single" w:sz="4" w:space="0" w:color="auto"/>
              <w:right w:val="nil"/>
            </w:tcBorders>
            <w:shd w:val="clear" w:color="auto" w:fill="auto"/>
            <w:noWrap/>
            <w:vAlign w:val="center"/>
            <w:hideMark/>
          </w:tcPr>
          <w:p w:rsidR="00414999" w:rsidRPr="00880DF3" w:rsidRDefault="00414999" w:rsidP="00F44C41">
            <w:pPr>
              <w:pStyle w:val="cuatexto"/>
              <w:tabs>
                <w:tab w:val="left" w:pos="8647"/>
              </w:tabs>
              <w:jc w:val="right"/>
              <w:rPr>
                <w:lang w:val="es-ES" w:eastAsia="es-ES"/>
              </w:rPr>
            </w:pPr>
            <w:r w:rsidRPr="00880DF3">
              <w:rPr>
                <w:lang w:val="es-ES" w:eastAsia="es-ES"/>
              </w:rPr>
              <w:t>56.921</w:t>
            </w:r>
          </w:p>
        </w:tc>
        <w:tc>
          <w:tcPr>
            <w:tcW w:w="992" w:type="dxa"/>
            <w:tcBorders>
              <w:top w:val="single" w:sz="2" w:space="0" w:color="auto"/>
              <w:left w:val="nil"/>
              <w:bottom w:val="single" w:sz="4" w:space="0" w:color="auto"/>
              <w:right w:val="nil"/>
            </w:tcBorders>
            <w:shd w:val="clear" w:color="auto" w:fill="auto"/>
            <w:noWrap/>
            <w:vAlign w:val="center"/>
            <w:hideMark/>
          </w:tcPr>
          <w:p w:rsidR="00414999" w:rsidRPr="00880DF3" w:rsidRDefault="00414999" w:rsidP="00F44C41">
            <w:pPr>
              <w:pStyle w:val="cuatexto"/>
              <w:tabs>
                <w:tab w:val="left" w:pos="8647"/>
              </w:tabs>
              <w:jc w:val="right"/>
              <w:rPr>
                <w:lang w:val="es-ES" w:eastAsia="es-ES"/>
              </w:rPr>
            </w:pPr>
            <w:r w:rsidRPr="00880DF3">
              <w:rPr>
                <w:lang w:val="es-ES" w:eastAsia="es-ES"/>
              </w:rPr>
              <w:t>6,92</w:t>
            </w:r>
          </w:p>
        </w:tc>
        <w:tc>
          <w:tcPr>
            <w:tcW w:w="992" w:type="dxa"/>
            <w:tcBorders>
              <w:top w:val="single" w:sz="2" w:space="0" w:color="auto"/>
              <w:left w:val="nil"/>
              <w:bottom w:val="single" w:sz="4"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85,29</w:t>
            </w:r>
          </w:p>
        </w:tc>
        <w:tc>
          <w:tcPr>
            <w:tcW w:w="678" w:type="dxa"/>
            <w:tcBorders>
              <w:top w:val="single" w:sz="2" w:space="0" w:color="auto"/>
              <w:left w:val="single" w:sz="2" w:space="0" w:color="auto"/>
              <w:bottom w:val="single" w:sz="4"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9.818</w:t>
            </w:r>
          </w:p>
        </w:tc>
        <w:tc>
          <w:tcPr>
            <w:tcW w:w="992" w:type="dxa"/>
            <w:tcBorders>
              <w:top w:val="single" w:sz="2" w:space="0" w:color="auto"/>
              <w:left w:val="nil"/>
              <w:bottom w:val="single" w:sz="4"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1,19</w:t>
            </w:r>
          </w:p>
        </w:tc>
        <w:tc>
          <w:tcPr>
            <w:tcW w:w="881" w:type="dxa"/>
            <w:tcBorders>
              <w:top w:val="single" w:sz="2" w:space="0" w:color="auto"/>
              <w:left w:val="nil"/>
              <w:bottom w:val="single" w:sz="4" w:space="0" w:color="auto"/>
              <w:right w:val="single" w:sz="2"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14,71</w:t>
            </w:r>
          </w:p>
        </w:tc>
        <w:tc>
          <w:tcPr>
            <w:tcW w:w="928" w:type="dxa"/>
            <w:tcBorders>
              <w:top w:val="single" w:sz="2" w:space="0" w:color="auto"/>
              <w:left w:val="single" w:sz="2" w:space="0" w:color="auto"/>
              <w:bottom w:val="single" w:sz="4" w:space="0" w:color="auto"/>
              <w:right w:val="nil"/>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66.739</w:t>
            </w:r>
          </w:p>
        </w:tc>
        <w:tc>
          <w:tcPr>
            <w:tcW w:w="1028" w:type="dxa"/>
            <w:tcBorders>
              <w:top w:val="single" w:sz="2" w:space="0" w:color="auto"/>
              <w:left w:val="nil"/>
              <w:bottom w:val="single" w:sz="4" w:space="0" w:color="auto"/>
              <w:right w:val="single" w:sz="8" w:space="0" w:color="auto"/>
            </w:tcBorders>
            <w:shd w:val="clear" w:color="auto" w:fill="auto"/>
            <w:noWrap/>
            <w:vAlign w:val="center"/>
            <w:hideMark/>
          </w:tcPr>
          <w:p w:rsidR="00414999" w:rsidRPr="00880DF3" w:rsidRDefault="00414999" w:rsidP="00F44C41">
            <w:pPr>
              <w:pStyle w:val="cuatexto"/>
              <w:tabs>
                <w:tab w:val="clear" w:pos="3969"/>
                <w:tab w:val="left" w:pos="8647"/>
              </w:tabs>
              <w:jc w:val="right"/>
              <w:rPr>
                <w:lang w:val="es-ES" w:eastAsia="es-ES"/>
              </w:rPr>
            </w:pPr>
            <w:r w:rsidRPr="00880DF3">
              <w:rPr>
                <w:lang w:val="es-ES" w:eastAsia="es-ES"/>
              </w:rPr>
              <w:t>8,11</w:t>
            </w:r>
          </w:p>
        </w:tc>
      </w:tr>
    </w:tbl>
    <w:p w:rsidR="00414999" w:rsidRPr="004B43B1" w:rsidRDefault="00D8585F" w:rsidP="00206B8D">
      <w:pPr>
        <w:tabs>
          <w:tab w:val="left" w:pos="8647"/>
        </w:tabs>
        <w:spacing w:before="240"/>
        <w:ind w:firstLine="284"/>
        <w:rPr>
          <w:rFonts w:eastAsia="Calibri"/>
          <w:spacing w:val="4"/>
          <w:sz w:val="26"/>
          <w:szCs w:val="26"/>
          <w:lang w:eastAsia="es-ES"/>
        </w:rPr>
      </w:pPr>
      <w:r>
        <w:rPr>
          <w:rFonts w:eastAsia="Calibri"/>
          <w:spacing w:val="4"/>
          <w:sz w:val="26"/>
          <w:szCs w:val="26"/>
          <w:lang w:eastAsia="es-ES"/>
        </w:rPr>
        <w:t>Hasta que</w:t>
      </w:r>
      <w:r w:rsidR="00414999" w:rsidRPr="00D833AF">
        <w:rPr>
          <w:rFonts w:eastAsia="Calibri"/>
          <w:spacing w:val="4"/>
          <w:sz w:val="26"/>
          <w:szCs w:val="26"/>
          <w:lang w:eastAsia="es-ES"/>
        </w:rPr>
        <w:t xml:space="preserve"> no se implante de forma adecuada un sistema de contabilidad anal</w:t>
      </w:r>
      <w:r w:rsidR="00414999" w:rsidRPr="00D833AF">
        <w:rPr>
          <w:rFonts w:eastAsia="Calibri"/>
          <w:spacing w:val="4"/>
          <w:sz w:val="26"/>
          <w:szCs w:val="26"/>
          <w:lang w:eastAsia="es-ES"/>
        </w:rPr>
        <w:t>í</w:t>
      </w:r>
      <w:r w:rsidR="00414999" w:rsidRPr="00D833AF">
        <w:rPr>
          <w:rFonts w:eastAsia="Calibri"/>
          <w:spacing w:val="4"/>
          <w:sz w:val="26"/>
          <w:szCs w:val="26"/>
          <w:lang w:eastAsia="es-ES"/>
        </w:rPr>
        <w:t xml:space="preserve">tica, el análisis efectuado se refiere únicamente a la evolución de los precios de cada uno de los estudios y de </w:t>
      </w:r>
      <w:r w:rsidR="00097AA7">
        <w:rPr>
          <w:rFonts w:eastAsia="Calibri"/>
          <w:spacing w:val="4"/>
          <w:sz w:val="26"/>
          <w:szCs w:val="26"/>
          <w:lang w:eastAsia="es-ES"/>
        </w:rPr>
        <w:t xml:space="preserve">la financiación recibida de la </w:t>
      </w:r>
      <w:r w:rsidR="00414999" w:rsidRPr="00D833AF">
        <w:rPr>
          <w:rFonts w:eastAsia="Calibri"/>
          <w:spacing w:val="4"/>
          <w:sz w:val="26"/>
          <w:szCs w:val="26"/>
          <w:lang w:eastAsia="es-ES"/>
        </w:rPr>
        <w:t>CFN</w:t>
      </w:r>
      <w:r>
        <w:rPr>
          <w:rFonts w:eastAsia="Calibri"/>
          <w:spacing w:val="4"/>
          <w:sz w:val="26"/>
          <w:szCs w:val="26"/>
          <w:lang w:eastAsia="es-ES"/>
        </w:rPr>
        <w:t>.</w:t>
      </w:r>
    </w:p>
    <w:p w:rsidR="009B08F9" w:rsidRPr="009B08F9" w:rsidRDefault="00414999" w:rsidP="00DB0BCC">
      <w:pPr>
        <w:autoSpaceDE w:val="0"/>
        <w:autoSpaceDN w:val="0"/>
        <w:adjustRightInd w:val="0"/>
        <w:spacing w:after="0"/>
        <w:ind w:firstLine="426"/>
        <w:rPr>
          <w:rFonts w:eastAsia="Calibri"/>
          <w:spacing w:val="2"/>
          <w:sz w:val="26"/>
          <w:szCs w:val="26"/>
          <w:lang w:eastAsia="es-ES"/>
        </w:rPr>
      </w:pPr>
      <w:r w:rsidRPr="008E5C02">
        <w:rPr>
          <w:rFonts w:eastAsia="Calibri"/>
          <w:b/>
          <w:spacing w:val="6"/>
          <w:sz w:val="26"/>
          <w:szCs w:val="26"/>
          <w:lang w:eastAsia="es-ES"/>
        </w:rPr>
        <w:t>En conclusión</w:t>
      </w:r>
      <w:r w:rsidRPr="008E5C02">
        <w:rPr>
          <w:rFonts w:eastAsia="Calibri"/>
          <w:spacing w:val="6"/>
          <w:sz w:val="26"/>
          <w:szCs w:val="26"/>
          <w:lang w:eastAsia="es-ES"/>
        </w:rPr>
        <w:t xml:space="preserve">, </w:t>
      </w:r>
      <w:r>
        <w:rPr>
          <w:rFonts w:eastAsia="Calibri"/>
          <w:spacing w:val="6"/>
          <w:sz w:val="26"/>
          <w:szCs w:val="26"/>
          <w:lang w:eastAsia="es-ES"/>
        </w:rPr>
        <w:t>los precios fijados por la CFN para el curso 2012/2013 e</w:t>
      </w:r>
      <w:r>
        <w:rPr>
          <w:rFonts w:eastAsia="Calibri"/>
          <w:spacing w:val="6"/>
          <w:sz w:val="26"/>
          <w:szCs w:val="26"/>
          <w:lang w:eastAsia="es-ES"/>
        </w:rPr>
        <w:t>s</w:t>
      </w:r>
      <w:r>
        <w:rPr>
          <w:rFonts w:eastAsia="Calibri"/>
          <w:spacing w:val="6"/>
          <w:sz w:val="26"/>
          <w:szCs w:val="26"/>
          <w:lang w:eastAsia="es-ES"/>
        </w:rPr>
        <w:t xml:space="preserve">tán basados en una actualización de los precios del curso anterior, estimando que los precios de primera matrícula de grado y máster representan el 15, el 25 y el 40 por ciento de su coste, respectivamente. </w:t>
      </w:r>
      <w:r w:rsidR="009B08F9" w:rsidRPr="009B08F9">
        <w:rPr>
          <w:rFonts w:eastAsia="Calibri"/>
          <w:spacing w:val="2"/>
          <w:sz w:val="26"/>
          <w:szCs w:val="26"/>
          <w:lang w:eastAsia="es-ES"/>
        </w:rPr>
        <w:t>Desde entonces</w:t>
      </w:r>
      <w:r w:rsidR="00741221">
        <w:rPr>
          <w:rFonts w:eastAsia="Calibri"/>
          <w:spacing w:val="2"/>
          <w:sz w:val="26"/>
          <w:szCs w:val="26"/>
          <w:lang w:eastAsia="es-ES"/>
        </w:rPr>
        <w:t>,</w:t>
      </w:r>
      <w:r w:rsidR="009B08F9" w:rsidRPr="009B08F9">
        <w:rPr>
          <w:rFonts w:eastAsia="Calibri"/>
          <w:spacing w:val="2"/>
          <w:sz w:val="26"/>
          <w:szCs w:val="26"/>
          <w:lang w:eastAsia="es-ES"/>
        </w:rPr>
        <w:t xml:space="preserve"> los precios se han establecido anualmente aplicando </w:t>
      </w:r>
      <w:r w:rsidR="009B08F9">
        <w:rPr>
          <w:rFonts w:eastAsia="Calibri"/>
          <w:spacing w:val="2"/>
          <w:sz w:val="26"/>
          <w:szCs w:val="26"/>
          <w:lang w:eastAsia="es-ES"/>
        </w:rPr>
        <w:t xml:space="preserve">el </w:t>
      </w:r>
      <w:r w:rsidR="00D46DB7">
        <w:rPr>
          <w:rFonts w:eastAsia="Calibri"/>
          <w:spacing w:val="2"/>
          <w:sz w:val="26"/>
          <w:szCs w:val="26"/>
          <w:lang w:eastAsia="es-ES"/>
        </w:rPr>
        <w:t>IPC</w:t>
      </w:r>
      <w:r w:rsidR="009B08F9">
        <w:rPr>
          <w:rFonts w:eastAsia="Calibri"/>
          <w:spacing w:val="2"/>
          <w:sz w:val="26"/>
          <w:szCs w:val="26"/>
          <w:lang w:eastAsia="es-ES"/>
        </w:rPr>
        <w:t xml:space="preserve"> en dos ocasiones</w:t>
      </w:r>
      <w:r w:rsidR="009B08F9" w:rsidRPr="009B08F9">
        <w:rPr>
          <w:rFonts w:eastAsia="Calibri"/>
          <w:spacing w:val="2"/>
          <w:sz w:val="26"/>
          <w:szCs w:val="26"/>
          <w:lang w:eastAsia="es-ES"/>
        </w:rPr>
        <w:t xml:space="preserve"> o modificando el precio de la matrícula de master en el curso 2017/2018</w:t>
      </w:r>
      <w:r w:rsidR="009B08F9">
        <w:rPr>
          <w:rFonts w:eastAsia="Calibri"/>
          <w:spacing w:val="2"/>
          <w:sz w:val="26"/>
          <w:szCs w:val="26"/>
          <w:lang w:eastAsia="es-ES"/>
        </w:rPr>
        <w:t>.</w:t>
      </w:r>
    </w:p>
    <w:p w:rsidR="00414999" w:rsidRPr="00D833AF" w:rsidRDefault="00414999" w:rsidP="00B95438">
      <w:pPr>
        <w:tabs>
          <w:tab w:val="left" w:pos="8647"/>
        </w:tabs>
        <w:spacing w:before="120" w:after="240"/>
        <w:ind w:firstLine="284"/>
        <w:rPr>
          <w:rFonts w:eastAsia="Calibri"/>
          <w:spacing w:val="2"/>
          <w:sz w:val="26"/>
          <w:szCs w:val="26"/>
          <w:lang w:eastAsia="es-ES"/>
        </w:rPr>
      </w:pPr>
      <w:r w:rsidRPr="00D833AF">
        <w:rPr>
          <w:rFonts w:eastAsia="Calibri"/>
          <w:spacing w:val="2"/>
          <w:sz w:val="26"/>
          <w:szCs w:val="26"/>
          <w:lang w:eastAsia="es-ES"/>
        </w:rPr>
        <w:t xml:space="preserve">La falta de una contabilidad analítica impide el establecimiento de los precios públicos y derechos conducentes a la obtención de </w:t>
      </w:r>
      <w:r w:rsidR="00215467">
        <w:rPr>
          <w:rFonts w:eastAsia="Calibri"/>
          <w:spacing w:val="2"/>
          <w:sz w:val="26"/>
          <w:szCs w:val="26"/>
          <w:lang w:eastAsia="es-ES"/>
        </w:rPr>
        <w:t>títulos oficiales</w:t>
      </w:r>
      <w:r w:rsidRPr="00D833AF">
        <w:rPr>
          <w:rFonts w:eastAsia="Calibri"/>
          <w:spacing w:val="2"/>
          <w:sz w:val="26"/>
          <w:szCs w:val="26"/>
          <w:lang w:eastAsia="es-ES"/>
        </w:rPr>
        <w:t xml:space="preserve"> en relación con los costes de prestación del servicio, como señala el artículo 81.3 b) de la LOU.</w:t>
      </w:r>
    </w:p>
    <w:p w:rsidR="00414999" w:rsidRPr="0002640C" w:rsidRDefault="00414999" w:rsidP="0002640C">
      <w:pPr>
        <w:pStyle w:val="atitulo2"/>
        <w:tabs>
          <w:tab w:val="left" w:pos="8647"/>
        </w:tabs>
        <w:ind w:right="283"/>
        <w:rPr>
          <w:spacing w:val="6"/>
        </w:rPr>
      </w:pPr>
      <w:bookmarkStart w:id="19" w:name="_Toc57285457"/>
      <w:r w:rsidRPr="0002640C">
        <w:rPr>
          <w:spacing w:val="6"/>
        </w:rPr>
        <w:t>IV.1.3 Financiación ordinaria de la universidad</w:t>
      </w:r>
      <w:bookmarkEnd w:id="19"/>
    </w:p>
    <w:p w:rsidR="00414999" w:rsidRPr="00920312"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920312">
        <w:rPr>
          <w:spacing w:val="6"/>
          <w:sz w:val="26"/>
          <w:szCs w:val="26"/>
          <w:lang w:eastAsia="es-ES"/>
        </w:rPr>
        <w:t xml:space="preserve">Hasta </w:t>
      </w:r>
      <w:r w:rsidRPr="004B43B1">
        <w:rPr>
          <w:spacing w:val="6"/>
          <w:sz w:val="26"/>
          <w:szCs w:val="26"/>
          <w:lang w:eastAsia="es-ES"/>
        </w:rPr>
        <w:t>el año 201</w:t>
      </w:r>
      <w:r w:rsidR="00683BAC" w:rsidRPr="004B43B1">
        <w:rPr>
          <w:spacing w:val="6"/>
          <w:sz w:val="26"/>
          <w:szCs w:val="26"/>
          <w:lang w:eastAsia="es-ES"/>
        </w:rPr>
        <w:t>7</w:t>
      </w:r>
      <w:r w:rsidRPr="00920312">
        <w:rPr>
          <w:spacing w:val="6"/>
          <w:sz w:val="26"/>
          <w:szCs w:val="26"/>
          <w:lang w:eastAsia="es-ES"/>
        </w:rPr>
        <w:t>, el Gobierno de Navarra y la UPNA firma</w:t>
      </w:r>
      <w:r w:rsidR="00942218">
        <w:rPr>
          <w:spacing w:val="6"/>
          <w:sz w:val="26"/>
          <w:szCs w:val="26"/>
          <w:lang w:eastAsia="es-ES"/>
        </w:rPr>
        <w:t>ro</w:t>
      </w:r>
      <w:r w:rsidRPr="00920312">
        <w:rPr>
          <w:spacing w:val="6"/>
          <w:sz w:val="26"/>
          <w:szCs w:val="26"/>
          <w:lang w:eastAsia="es-ES"/>
        </w:rPr>
        <w:t>n un conv</w:t>
      </w:r>
      <w:r w:rsidRPr="00920312">
        <w:rPr>
          <w:spacing w:val="6"/>
          <w:sz w:val="26"/>
          <w:szCs w:val="26"/>
          <w:lang w:eastAsia="es-ES"/>
        </w:rPr>
        <w:t>e</w:t>
      </w:r>
      <w:r w:rsidRPr="00920312">
        <w:rPr>
          <w:spacing w:val="6"/>
          <w:sz w:val="26"/>
          <w:szCs w:val="26"/>
          <w:lang w:eastAsia="es-ES"/>
        </w:rPr>
        <w:t>nio anual para la financiación de la universidad; el Gobierno de Navarra se compromete a garantizar el normal funcionamiento de la actividad docente e investigadora y a promover la autonomía financiera de la universidad en el uso eficiente de sus recursos económicos. Por su parte, la UPNA se compromete a gestionar eficazmente la encomienda recibida del servicio público de la educ</w:t>
      </w:r>
      <w:r w:rsidRPr="00920312">
        <w:rPr>
          <w:spacing w:val="6"/>
          <w:sz w:val="26"/>
          <w:szCs w:val="26"/>
          <w:lang w:eastAsia="es-ES"/>
        </w:rPr>
        <w:t>a</w:t>
      </w:r>
      <w:r w:rsidRPr="00920312">
        <w:rPr>
          <w:spacing w:val="6"/>
          <w:sz w:val="26"/>
          <w:szCs w:val="26"/>
          <w:lang w:eastAsia="es-ES"/>
        </w:rPr>
        <w:t>ción superior en Navarra, mediante el ejercicio de la docencia, el estudio y la investigación.</w:t>
      </w:r>
    </w:p>
    <w:p w:rsidR="00414999" w:rsidRDefault="00414999" w:rsidP="00F44C41">
      <w:pPr>
        <w:tabs>
          <w:tab w:val="left" w:pos="8647"/>
        </w:tabs>
        <w:suppressAutoHyphens/>
        <w:autoSpaceDN w:val="0"/>
        <w:ind w:firstLine="284"/>
        <w:rPr>
          <w:spacing w:val="6"/>
          <w:sz w:val="26"/>
          <w:szCs w:val="26"/>
        </w:rPr>
      </w:pPr>
      <w:r>
        <w:rPr>
          <w:spacing w:val="6"/>
          <w:sz w:val="26"/>
          <w:szCs w:val="26"/>
        </w:rPr>
        <w:t xml:space="preserve">Adicionalmente, en los </w:t>
      </w:r>
      <w:r w:rsidRPr="00D8585F">
        <w:rPr>
          <w:spacing w:val="6"/>
          <w:sz w:val="26"/>
          <w:szCs w:val="26"/>
        </w:rPr>
        <w:t xml:space="preserve">últimos convenios </w:t>
      </w:r>
      <w:r>
        <w:rPr>
          <w:spacing w:val="6"/>
          <w:sz w:val="26"/>
          <w:szCs w:val="26"/>
        </w:rPr>
        <w:t xml:space="preserve">se recogen compromisos de la universidad en el sentido de continuar </w:t>
      </w:r>
      <w:r w:rsidR="00D8585F">
        <w:rPr>
          <w:spacing w:val="6"/>
          <w:sz w:val="26"/>
          <w:szCs w:val="26"/>
        </w:rPr>
        <w:t xml:space="preserve">el proceso de diseño de los sistemas de </w:t>
      </w:r>
      <w:r w:rsidR="00D8585F">
        <w:rPr>
          <w:spacing w:val="6"/>
          <w:sz w:val="26"/>
          <w:szCs w:val="26"/>
        </w:rPr>
        <w:lastRenderedPageBreak/>
        <w:t xml:space="preserve">gestión contable para determinar los costes de la actividad </w:t>
      </w:r>
      <w:r>
        <w:rPr>
          <w:spacing w:val="6"/>
          <w:sz w:val="26"/>
          <w:szCs w:val="26"/>
        </w:rPr>
        <w:t>y culminar la implantación de una contabilidad analítica con el objeto de diseñar un nuevo modelo de financiación basado en un sistema de costes.</w:t>
      </w:r>
    </w:p>
    <w:p w:rsidR="00414999" w:rsidRDefault="00414999" w:rsidP="00F44C41">
      <w:pPr>
        <w:tabs>
          <w:tab w:val="left" w:pos="8647"/>
        </w:tabs>
        <w:suppressAutoHyphens/>
        <w:autoSpaceDN w:val="0"/>
        <w:ind w:firstLine="284"/>
        <w:rPr>
          <w:spacing w:val="6"/>
          <w:sz w:val="26"/>
          <w:szCs w:val="26"/>
        </w:rPr>
      </w:pPr>
      <w:r>
        <w:rPr>
          <w:spacing w:val="6"/>
          <w:sz w:val="26"/>
          <w:szCs w:val="26"/>
        </w:rPr>
        <w:t>La aportación anual se determina en los Presupuestos Generales de Navarra y se materializa, fundamentalmente, en dos partidas presupuestarias: de transferencias corrientes y de capital, estas últimas afectas a determinadas inversiones.</w:t>
      </w:r>
    </w:p>
    <w:p w:rsidR="00414999" w:rsidRPr="00362A9A" w:rsidRDefault="00414999" w:rsidP="00B95438">
      <w:pPr>
        <w:pStyle w:val="Prrafodelista"/>
        <w:numPr>
          <w:ilvl w:val="0"/>
          <w:numId w:val="17"/>
        </w:numPr>
        <w:tabs>
          <w:tab w:val="left" w:pos="426"/>
          <w:tab w:val="left" w:pos="567"/>
        </w:tabs>
        <w:spacing w:after="240"/>
        <w:ind w:left="0" w:firstLine="284"/>
        <w:contextualSpacing w:val="0"/>
        <w:rPr>
          <w:spacing w:val="4"/>
          <w:sz w:val="26"/>
          <w:szCs w:val="26"/>
          <w:lang w:eastAsia="es-ES"/>
        </w:rPr>
      </w:pPr>
      <w:r w:rsidRPr="00362A9A">
        <w:rPr>
          <w:spacing w:val="4"/>
          <w:sz w:val="26"/>
          <w:szCs w:val="26"/>
          <w:lang w:eastAsia="es-ES"/>
        </w:rPr>
        <w:t>En diciembre de 2017 se firm</w:t>
      </w:r>
      <w:r w:rsidR="00942218" w:rsidRPr="00362A9A">
        <w:rPr>
          <w:spacing w:val="4"/>
          <w:sz w:val="26"/>
          <w:szCs w:val="26"/>
          <w:lang w:eastAsia="es-ES"/>
        </w:rPr>
        <w:t>ó</w:t>
      </w:r>
      <w:r w:rsidRPr="00362A9A">
        <w:rPr>
          <w:spacing w:val="4"/>
          <w:sz w:val="26"/>
          <w:szCs w:val="26"/>
          <w:lang w:eastAsia="es-ES"/>
        </w:rPr>
        <w:t xml:space="preserve"> el Convenio de Financiación </w:t>
      </w:r>
      <w:r w:rsidR="00362A9A" w:rsidRPr="00362A9A">
        <w:rPr>
          <w:spacing w:val="4"/>
          <w:sz w:val="26"/>
          <w:szCs w:val="26"/>
          <w:lang w:eastAsia="es-ES"/>
        </w:rPr>
        <w:t xml:space="preserve">Plurianual 2018-2020; en él se establece un modelo que regula la financiación </w:t>
      </w:r>
      <w:r w:rsidRPr="00362A9A">
        <w:rPr>
          <w:spacing w:val="4"/>
          <w:sz w:val="26"/>
          <w:szCs w:val="26"/>
          <w:lang w:eastAsia="es-ES"/>
        </w:rPr>
        <w:t>pública a percibir por la UPNA de los Presupuestos Generales de Navarra</w:t>
      </w:r>
      <w:r w:rsidR="00362A9A" w:rsidRPr="00362A9A">
        <w:rPr>
          <w:spacing w:val="4"/>
          <w:sz w:val="26"/>
          <w:szCs w:val="26"/>
          <w:lang w:eastAsia="es-ES"/>
        </w:rPr>
        <w:t xml:space="preserve"> y la que se deriva del uso de su remanente de tesorería no afecto. La financia</w:t>
      </w:r>
      <w:r w:rsidRPr="00362A9A">
        <w:rPr>
          <w:spacing w:val="4"/>
          <w:sz w:val="26"/>
          <w:szCs w:val="26"/>
          <w:lang w:eastAsia="es-ES"/>
        </w:rPr>
        <w:t xml:space="preserve">ción anual </w:t>
      </w:r>
      <w:r w:rsidR="00362A9A" w:rsidRPr="00362A9A">
        <w:rPr>
          <w:spacing w:val="4"/>
          <w:sz w:val="26"/>
          <w:szCs w:val="26"/>
          <w:lang w:eastAsia="es-ES"/>
        </w:rPr>
        <w:t>es</w:t>
      </w:r>
      <w:r w:rsidRPr="00362A9A">
        <w:rPr>
          <w:spacing w:val="4"/>
          <w:sz w:val="26"/>
          <w:szCs w:val="26"/>
          <w:lang w:eastAsia="es-ES"/>
        </w:rPr>
        <w:t xml:space="preserve"> la suma de los cuatro componentes</w:t>
      </w:r>
      <w:r w:rsidR="00362A9A" w:rsidRPr="00362A9A">
        <w:rPr>
          <w:spacing w:val="4"/>
          <w:sz w:val="26"/>
          <w:szCs w:val="26"/>
          <w:lang w:eastAsia="es-ES"/>
        </w:rPr>
        <w:t xml:space="preserve"> cuyos importes estimados inicialmente, eran los</w:t>
      </w:r>
      <w:r w:rsidRPr="00362A9A">
        <w:rPr>
          <w:spacing w:val="4"/>
          <w:sz w:val="26"/>
          <w:szCs w:val="26"/>
          <w:lang w:eastAsia="es-ES"/>
        </w:rPr>
        <w:t xml:space="preserve"> siguie</w:t>
      </w:r>
      <w:r w:rsidRPr="00362A9A">
        <w:rPr>
          <w:spacing w:val="4"/>
          <w:sz w:val="26"/>
          <w:szCs w:val="26"/>
          <w:lang w:eastAsia="es-ES"/>
        </w:rPr>
        <w:t>n</w:t>
      </w:r>
      <w:r w:rsidRPr="00362A9A">
        <w:rPr>
          <w:spacing w:val="4"/>
          <w:sz w:val="26"/>
          <w:szCs w:val="26"/>
          <w:lang w:eastAsia="es-ES"/>
        </w:rPr>
        <w:t>tes:</w:t>
      </w:r>
    </w:p>
    <w:tbl>
      <w:tblPr>
        <w:tblStyle w:val="Tablaconcuadrcula"/>
        <w:tblW w:w="87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551"/>
        <w:gridCol w:w="1417"/>
        <w:gridCol w:w="1418"/>
        <w:gridCol w:w="1418"/>
      </w:tblGrid>
      <w:tr w:rsidR="007B762E" w:rsidRPr="000E2484" w:rsidTr="00D833AF">
        <w:trPr>
          <w:trHeight w:val="284"/>
        </w:trPr>
        <w:tc>
          <w:tcPr>
            <w:tcW w:w="1985" w:type="dxa"/>
            <w:tcBorders>
              <w:top w:val="single" w:sz="4" w:space="0" w:color="auto"/>
              <w:bottom w:val="single" w:sz="4" w:space="0" w:color="auto"/>
            </w:tcBorders>
            <w:shd w:val="clear" w:color="auto" w:fill="B8CCE4" w:themeFill="accent1" w:themeFillTint="66"/>
            <w:vAlign w:val="center"/>
          </w:tcPr>
          <w:p w:rsidR="00414999" w:rsidRPr="000E2484" w:rsidRDefault="00D833AF" w:rsidP="00F44C41">
            <w:pPr>
              <w:pStyle w:val="cuadroCabe"/>
              <w:tabs>
                <w:tab w:val="left" w:pos="8647"/>
              </w:tabs>
            </w:pPr>
            <w:r>
              <w:t>C</w:t>
            </w:r>
            <w:r w:rsidRPr="000E2484">
              <w:t>omponente</w:t>
            </w:r>
          </w:p>
        </w:tc>
        <w:tc>
          <w:tcPr>
            <w:tcW w:w="2551" w:type="dxa"/>
            <w:tcBorders>
              <w:top w:val="single" w:sz="4" w:space="0" w:color="auto"/>
              <w:bottom w:val="single" w:sz="4" w:space="0" w:color="auto"/>
            </w:tcBorders>
            <w:shd w:val="clear" w:color="auto" w:fill="B8CCE4" w:themeFill="accent1" w:themeFillTint="66"/>
            <w:vAlign w:val="center"/>
          </w:tcPr>
          <w:p w:rsidR="00414999" w:rsidRPr="000E2484" w:rsidRDefault="00414999" w:rsidP="00F44C41">
            <w:pPr>
              <w:pStyle w:val="cuadroCabe"/>
              <w:tabs>
                <w:tab w:val="left" w:pos="8647"/>
              </w:tabs>
            </w:pPr>
            <w:r w:rsidRPr="000E2484">
              <w:t>Instrumentos</w:t>
            </w:r>
          </w:p>
        </w:tc>
        <w:tc>
          <w:tcPr>
            <w:tcW w:w="1417" w:type="dxa"/>
            <w:tcBorders>
              <w:top w:val="single" w:sz="4" w:space="0" w:color="auto"/>
              <w:bottom w:val="single" w:sz="4" w:space="0" w:color="auto"/>
            </w:tcBorders>
            <w:shd w:val="clear" w:color="auto" w:fill="B8CCE4" w:themeFill="accent1" w:themeFillTint="66"/>
            <w:vAlign w:val="center"/>
          </w:tcPr>
          <w:p w:rsidR="00414999" w:rsidRPr="000E2484" w:rsidRDefault="00414999" w:rsidP="00F44C41">
            <w:pPr>
              <w:pStyle w:val="cuadroCabe"/>
              <w:tabs>
                <w:tab w:val="left" w:pos="8647"/>
              </w:tabs>
              <w:jc w:val="right"/>
            </w:pPr>
            <w:r w:rsidRPr="000E2484">
              <w:t>2018</w:t>
            </w:r>
          </w:p>
        </w:tc>
        <w:tc>
          <w:tcPr>
            <w:tcW w:w="1418" w:type="dxa"/>
            <w:tcBorders>
              <w:top w:val="single" w:sz="4" w:space="0" w:color="auto"/>
              <w:bottom w:val="single" w:sz="4" w:space="0" w:color="auto"/>
            </w:tcBorders>
            <w:shd w:val="clear" w:color="auto" w:fill="B8CCE4" w:themeFill="accent1" w:themeFillTint="66"/>
            <w:vAlign w:val="center"/>
          </w:tcPr>
          <w:p w:rsidR="00414999" w:rsidRPr="000E2484" w:rsidRDefault="00414999" w:rsidP="00F44C41">
            <w:pPr>
              <w:pStyle w:val="cuadroCabe"/>
              <w:tabs>
                <w:tab w:val="left" w:pos="8647"/>
              </w:tabs>
              <w:jc w:val="right"/>
            </w:pPr>
            <w:r w:rsidRPr="000E2484">
              <w:t>2019</w:t>
            </w:r>
          </w:p>
        </w:tc>
        <w:tc>
          <w:tcPr>
            <w:tcW w:w="1418" w:type="dxa"/>
            <w:tcBorders>
              <w:top w:val="single" w:sz="4" w:space="0" w:color="auto"/>
              <w:bottom w:val="single" w:sz="4" w:space="0" w:color="auto"/>
            </w:tcBorders>
            <w:shd w:val="clear" w:color="auto" w:fill="B8CCE4" w:themeFill="accent1" w:themeFillTint="66"/>
            <w:vAlign w:val="center"/>
          </w:tcPr>
          <w:p w:rsidR="00414999" w:rsidRPr="000E2484" w:rsidRDefault="00414999" w:rsidP="00F44C41">
            <w:pPr>
              <w:pStyle w:val="cuadroCabe"/>
              <w:tabs>
                <w:tab w:val="left" w:pos="8647"/>
              </w:tabs>
              <w:jc w:val="right"/>
            </w:pPr>
            <w:r w:rsidRPr="000E2484">
              <w:t>2020</w:t>
            </w:r>
          </w:p>
        </w:tc>
      </w:tr>
      <w:tr w:rsidR="007B762E" w:rsidRPr="00706766" w:rsidTr="00D833AF">
        <w:trPr>
          <w:trHeight w:val="284"/>
        </w:trPr>
        <w:tc>
          <w:tcPr>
            <w:tcW w:w="1985" w:type="dxa"/>
            <w:vMerge w:val="restart"/>
            <w:tcBorders>
              <w:top w:val="single" w:sz="4" w:space="0" w:color="auto"/>
            </w:tcBorders>
            <w:vAlign w:val="center"/>
          </w:tcPr>
          <w:p w:rsidR="00414999" w:rsidRPr="00E95649" w:rsidRDefault="00D833AF" w:rsidP="00F44C41">
            <w:pPr>
              <w:pStyle w:val="cuatexto"/>
              <w:tabs>
                <w:tab w:val="left" w:pos="8647"/>
              </w:tabs>
            </w:pPr>
            <w:r>
              <w:t>F</w:t>
            </w:r>
            <w:r w:rsidRPr="00E95649">
              <w:t xml:space="preserve">inanciación </w:t>
            </w:r>
          </w:p>
          <w:p w:rsidR="00414999" w:rsidRPr="00E95649" w:rsidRDefault="00D833AF" w:rsidP="00920312">
            <w:pPr>
              <w:pStyle w:val="cuatexto"/>
              <w:tabs>
                <w:tab w:val="left" w:pos="8647"/>
              </w:tabs>
            </w:pPr>
            <w:r w:rsidRPr="00E95649">
              <w:t>estructural (</w:t>
            </w:r>
            <w:r w:rsidR="00920312">
              <w:t>FE</w:t>
            </w:r>
            <w:r w:rsidRPr="00E95649">
              <w:t>)</w:t>
            </w:r>
          </w:p>
        </w:tc>
        <w:tc>
          <w:tcPr>
            <w:tcW w:w="2551" w:type="dxa"/>
            <w:tcBorders>
              <w:top w:val="single" w:sz="4" w:space="0" w:color="auto"/>
            </w:tcBorders>
            <w:vAlign w:val="center"/>
          </w:tcPr>
          <w:p w:rsidR="00414999" w:rsidRPr="00E95649" w:rsidRDefault="00414999" w:rsidP="00F44C41">
            <w:pPr>
              <w:pStyle w:val="cuatexto"/>
              <w:tabs>
                <w:tab w:val="left" w:pos="8647"/>
              </w:tabs>
            </w:pPr>
            <w:r w:rsidRPr="00E95649">
              <w:t>Subvención Fija (SF)</w:t>
            </w:r>
          </w:p>
        </w:tc>
        <w:tc>
          <w:tcPr>
            <w:tcW w:w="1417" w:type="dxa"/>
            <w:tcBorders>
              <w:top w:val="single" w:sz="4" w:space="0" w:color="auto"/>
            </w:tcBorders>
            <w:vAlign w:val="center"/>
          </w:tcPr>
          <w:p w:rsidR="00414999" w:rsidRPr="00E95649" w:rsidRDefault="00414999" w:rsidP="00F44C41">
            <w:pPr>
              <w:pStyle w:val="cuatexto"/>
              <w:tabs>
                <w:tab w:val="left" w:pos="8647"/>
              </w:tabs>
              <w:jc w:val="right"/>
            </w:pPr>
            <w:r>
              <w:t>21.849.336</w:t>
            </w:r>
          </w:p>
        </w:tc>
        <w:tc>
          <w:tcPr>
            <w:tcW w:w="1418" w:type="dxa"/>
            <w:tcBorders>
              <w:top w:val="single" w:sz="4" w:space="0" w:color="auto"/>
            </w:tcBorders>
            <w:vAlign w:val="center"/>
          </w:tcPr>
          <w:p w:rsidR="00414999" w:rsidRPr="00E95649" w:rsidRDefault="00414999" w:rsidP="00F44C41">
            <w:pPr>
              <w:pStyle w:val="cuatexto"/>
              <w:tabs>
                <w:tab w:val="left" w:pos="8647"/>
              </w:tabs>
              <w:jc w:val="right"/>
            </w:pPr>
            <w:r>
              <w:t>22.504.816</w:t>
            </w:r>
          </w:p>
        </w:tc>
        <w:tc>
          <w:tcPr>
            <w:tcW w:w="1418" w:type="dxa"/>
            <w:tcBorders>
              <w:top w:val="single" w:sz="4" w:space="0" w:color="auto"/>
            </w:tcBorders>
            <w:vAlign w:val="center"/>
          </w:tcPr>
          <w:p w:rsidR="00414999" w:rsidRPr="00E95649" w:rsidRDefault="00414999" w:rsidP="00F44C41">
            <w:pPr>
              <w:pStyle w:val="cuatexto"/>
              <w:tabs>
                <w:tab w:val="left" w:pos="8647"/>
              </w:tabs>
              <w:jc w:val="right"/>
            </w:pPr>
            <w:r>
              <w:t>23.179.960</w:t>
            </w:r>
          </w:p>
        </w:tc>
      </w:tr>
      <w:tr w:rsidR="007B762E" w:rsidRPr="00706766" w:rsidTr="00D833AF">
        <w:trPr>
          <w:trHeight w:val="284"/>
        </w:trPr>
        <w:tc>
          <w:tcPr>
            <w:tcW w:w="1985" w:type="dxa"/>
            <w:vMerge/>
            <w:vAlign w:val="center"/>
          </w:tcPr>
          <w:p w:rsidR="00414999" w:rsidRPr="00E95649" w:rsidRDefault="00414999" w:rsidP="00F44C41">
            <w:pPr>
              <w:pStyle w:val="cuatexto"/>
              <w:tabs>
                <w:tab w:val="left" w:pos="8647"/>
              </w:tabs>
            </w:pPr>
          </w:p>
        </w:tc>
        <w:tc>
          <w:tcPr>
            <w:tcW w:w="2551" w:type="dxa"/>
            <w:vAlign w:val="center"/>
          </w:tcPr>
          <w:p w:rsidR="00414999" w:rsidRPr="00E95649" w:rsidRDefault="00414999" w:rsidP="00F44C41">
            <w:pPr>
              <w:pStyle w:val="cuatexto"/>
              <w:tabs>
                <w:tab w:val="left" w:pos="8647"/>
              </w:tabs>
            </w:pPr>
            <w:r w:rsidRPr="00E95649">
              <w:t xml:space="preserve">Financiación de la Capacidad </w:t>
            </w:r>
          </w:p>
          <w:p w:rsidR="00414999" w:rsidRPr="00E95649" w:rsidRDefault="00414999" w:rsidP="00F44C41">
            <w:pPr>
              <w:pStyle w:val="cuatexto"/>
              <w:tabs>
                <w:tab w:val="left" w:pos="8647"/>
              </w:tabs>
            </w:pPr>
            <w:r w:rsidRPr="00E95649">
              <w:t>Investigadora (FCI)</w:t>
            </w:r>
          </w:p>
        </w:tc>
        <w:tc>
          <w:tcPr>
            <w:tcW w:w="1417" w:type="dxa"/>
            <w:vAlign w:val="center"/>
          </w:tcPr>
          <w:p w:rsidR="00414999" w:rsidRPr="00E95649" w:rsidRDefault="00414999" w:rsidP="00F44C41">
            <w:pPr>
              <w:pStyle w:val="cuatexto"/>
              <w:tabs>
                <w:tab w:val="left" w:pos="8647"/>
              </w:tabs>
              <w:jc w:val="right"/>
            </w:pPr>
            <w:r>
              <w:t>9.545.416</w:t>
            </w:r>
          </w:p>
        </w:tc>
        <w:tc>
          <w:tcPr>
            <w:tcW w:w="1418" w:type="dxa"/>
            <w:vAlign w:val="center"/>
          </w:tcPr>
          <w:p w:rsidR="00414999" w:rsidRPr="00E95649" w:rsidRDefault="00414999" w:rsidP="00F44C41">
            <w:pPr>
              <w:pStyle w:val="cuatexto"/>
              <w:tabs>
                <w:tab w:val="left" w:pos="8647"/>
              </w:tabs>
              <w:jc w:val="right"/>
            </w:pPr>
            <w:r>
              <w:t>9.831.778</w:t>
            </w:r>
          </w:p>
        </w:tc>
        <w:tc>
          <w:tcPr>
            <w:tcW w:w="1418" w:type="dxa"/>
            <w:vAlign w:val="center"/>
          </w:tcPr>
          <w:p w:rsidR="00414999" w:rsidRPr="00E95649" w:rsidRDefault="00414999" w:rsidP="00F44C41">
            <w:pPr>
              <w:pStyle w:val="cuatexto"/>
              <w:tabs>
                <w:tab w:val="left" w:pos="8647"/>
              </w:tabs>
              <w:jc w:val="right"/>
            </w:pPr>
            <w:r>
              <w:t>10.126.731</w:t>
            </w:r>
          </w:p>
        </w:tc>
      </w:tr>
      <w:tr w:rsidR="007B762E" w:rsidRPr="00706766" w:rsidTr="00D833AF">
        <w:trPr>
          <w:trHeight w:val="284"/>
        </w:trPr>
        <w:tc>
          <w:tcPr>
            <w:tcW w:w="4536" w:type="dxa"/>
            <w:gridSpan w:val="2"/>
            <w:shd w:val="clear" w:color="auto" w:fill="B8CCE4" w:themeFill="accent1" w:themeFillTint="66"/>
            <w:vAlign w:val="center"/>
          </w:tcPr>
          <w:p w:rsidR="00414999" w:rsidRPr="00360A02" w:rsidRDefault="00D833AF" w:rsidP="00F44C41">
            <w:pPr>
              <w:pStyle w:val="cuadroCabe"/>
              <w:tabs>
                <w:tab w:val="left" w:pos="8647"/>
              </w:tabs>
            </w:pPr>
            <w:r>
              <w:t>T</w:t>
            </w:r>
            <w:r w:rsidRPr="00360A02">
              <w:t>otal financiación estructural</w:t>
            </w:r>
          </w:p>
        </w:tc>
        <w:tc>
          <w:tcPr>
            <w:tcW w:w="1417" w:type="dxa"/>
            <w:shd w:val="clear" w:color="auto" w:fill="B8CCE4" w:themeFill="accent1" w:themeFillTint="66"/>
            <w:vAlign w:val="center"/>
          </w:tcPr>
          <w:p w:rsidR="00414999" w:rsidRDefault="00414999" w:rsidP="00F44C41">
            <w:pPr>
              <w:pStyle w:val="cuadroCabe"/>
              <w:tabs>
                <w:tab w:val="left" w:pos="8647"/>
              </w:tabs>
              <w:jc w:val="right"/>
            </w:pPr>
            <w:r>
              <w:t>31.394.752</w:t>
            </w:r>
          </w:p>
        </w:tc>
        <w:tc>
          <w:tcPr>
            <w:tcW w:w="1418" w:type="dxa"/>
            <w:shd w:val="clear" w:color="auto" w:fill="B8CCE4" w:themeFill="accent1" w:themeFillTint="66"/>
            <w:vAlign w:val="center"/>
          </w:tcPr>
          <w:p w:rsidR="00414999" w:rsidRDefault="00414999" w:rsidP="007B762E">
            <w:pPr>
              <w:pStyle w:val="cuadroCabe"/>
              <w:tabs>
                <w:tab w:val="left" w:pos="8647"/>
              </w:tabs>
              <w:jc w:val="right"/>
            </w:pPr>
            <w:r>
              <w:t>32.336.59</w:t>
            </w:r>
            <w:r w:rsidR="007B762E">
              <w:t>4</w:t>
            </w:r>
          </w:p>
        </w:tc>
        <w:tc>
          <w:tcPr>
            <w:tcW w:w="1418" w:type="dxa"/>
            <w:shd w:val="clear" w:color="auto" w:fill="B8CCE4" w:themeFill="accent1" w:themeFillTint="66"/>
            <w:vAlign w:val="center"/>
          </w:tcPr>
          <w:p w:rsidR="00414999" w:rsidRDefault="00414999" w:rsidP="007B762E">
            <w:pPr>
              <w:pStyle w:val="cuadroCabe"/>
              <w:tabs>
                <w:tab w:val="left" w:pos="8647"/>
              </w:tabs>
              <w:jc w:val="right"/>
            </w:pPr>
            <w:r>
              <w:t>33.306.69</w:t>
            </w:r>
            <w:r w:rsidR="007B762E">
              <w:t>1</w:t>
            </w:r>
          </w:p>
        </w:tc>
      </w:tr>
      <w:tr w:rsidR="007B762E" w:rsidRPr="00706766" w:rsidTr="00D833AF">
        <w:trPr>
          <w:trHeight w:val="284"/>
        </w:trPr>
        <w:tc>
          <w:tcPr>
            <w:tcW w:w="1985" w:type="dxa"/>
            <w:vMerge w:val="restart"/>
            <w:vAlign w:val="center"/>
          </w:tcPr>
          <w:p w:rsidR="00414999" w:rsidRPr="00E95649" w:rsidRDefault="00D833AF" w:rsidP="00F44C41">
            <w:pPr>
              <w:pStyle w:val="cuatexto"/>
              <w:tabs>
                <w:tab w:val="left" w:pos="8647"/>
              </w:tabs>
            </w:pPr>
            <w:r>
              <w:t>F</w:t>
            </w:r>
            <w:r w:rsidRPr="00E95649">
              <w:t>inanciación por</w:t>
            </w:r>
          </w:p>
          <w:p w:rsidR="00414999" w:rsidRPr="00E95649" w:rsidRDefault="00D833AF" w:rsidP="00920312">
            <w:pPr>
              <w:pStyle w:val="cuatexto"/>
              <w:tabs>
                <w:tab w:val="left" w:pos="8647"/>
              </w:tabs>
            </w:pPr>
            <w:r w:rsidRPr="00E95649">
              <w:t xml:space="preserve"> resultados (</w:t>
            </w:r>
            <w:r w:rsidR="00920312">
              <w:t>FR</w:t>
            </w:r>
            <w:r w:rsidRPr="00E95649">
              <w:t>)</w:t>
            </w:r>
          </w:p>
        </w:tc>
        <w:tc>
          <w:tcPr>
            <w:tcW w:w="2551" w:type="dxa"/>
            <w:vAlign w:val="center"/>
          </w:tcPr>
          <w:p w:rsidR="00414999" w:rsidRPr="00E95649" w:rsidRDefault="00414999" w:rsidP="00F44C41">
            <w:pPr>
              <w:pStyle w:val="cuatexto"/>
              <w:tabs>
                <w:tab w:val="left" w:pos="8647"/>
              </w:tabs>
            </w:pPr>
            <w:r w:rsidRPr="00E95649">
              <w:t>Subvención por Resultados</w:t>
            </w:r>
          </w:p>
          <w:p w:rsidR="00414999" w:rsidRPr="00E95649" w:rsidRDefault="00414999" w:rsidP="00F44C41">
            <w:pPr>
              <w:pStyle w:val="cuatexto"/>
              <w:tabs>
                <w:tab w:val="left" w:pos="8647"/>
              </w:tabs>
            </w:pPr>
            <w:r w:rsidRPr="00E95649">
              <w:t>Docentes (SRD)</w:t>
            </w:r>
          </w:p>
        </w:tc>
        <w:tc>
          <w:tcPr>
            <w:tcW w:w="1417" w:type="dxa"/>
            <w:vAlign w:val="center"/>
          </w:tcPr>
          <w:p w:rsidR="00414999" w:rsidRPr="00E95649" w:rsidRDefault="00414999" w:rsidP="00F44C41">
            <w:pPr>
              <w:pStyle w:val="cuatexto"/>
              <w:tabs>
                <w:tab w:val="left" w:pos="8647"/>
              </w:tabs>
              <w:jc w:val="right"/>
            </w:pPr>
            <w:r>
              <w:t>20.435.437</w:t>
            </w:r>
          </w:p>
        </w:tc>
        <w:tc>
          <w:tcPr>
            <w:tcW w:w="1418" w:type="dxa"/>
            <w:vAlign w:val="center"/>
          </w:tcPr>
          <w:p w:rsidR="00414999" w:rsidRPr="00E95649" w:rsidRDefault="00414999" w:rsidP="007B762E">
            <w:pPr>
              <w:pStyle w:val="cuatexto"/>
              <w:tabs>
                <w:tab w:val="left" w:pos="8647"/>
              </w:tabs>
              <w:jc w:val="right"/>
            </w:pPr>
            <w:r>
              <w:t>21.</w:t>
            </w:r>
            <w:r w:rsidR="007B762E">
              <w:t>360</w:t>
            </w:r>
            <w:r>
              <w:t>.</w:t>
            </w:r>
            <w:r w:rsidR="007B762E">
              <w:t>597</w:t>
            </w:r>
          </w:p>
        </w:tc>
        <w:tc>
          <w:tcPr>
            <w:tcW w:w="1418" w:type="dxa"/>
            <w:vAlign w:val="center"/>
          </w:tcPr>
          <w:p w:rsidR="00414999" w:rsidRPr="00E95649" w:rsidRDefault="00414999" w:rsidP="007B762E">
            <w:pPr>
              <w:pStyle w:val="cuatexto"/>
              <w:tabs>
                <w:tab w:val="left" w:pos="8647"/>
              </w:tabs>
              <w:jc w:val="right"/>
            </w:pPr>
            <w:r>
              <w:t>22.</w:t>
            </w:r>
            <w:r w:rsidR="007B762E">
              <w:t>322.976</w:t>
            </w:r>
          </w:p>
        </w:tc>
      </w:tr>
      <w:tr w:rsidR="007B762E" w:rsidRPr="00706766" w:rsidTr="00D833AF">
        <w:trPr>
          <w:trHeight w:val="284"/>
        </w:trPr>
        <w:tc>
          <w:tcPr>
            <w:tcW w:w="1985" w:type="dxa"/>
            <w:vMerge/>
            <w:vAlign w:val="center"/>
          </w:tcPr>
          <w:p w:rsidR="00414999" w:rsidRPr="00E95649" w:rsidRDefault="00414999" w:rsidP="00F44C41">
            <w:pPr>
              <w:pStyle w:val="cuatexto"/>
              <w:tabs>
                <w:tab w:val="left" w:pos="8647"/>
              </w:tabs>
            </w:pPr>
          </w:p>
        </w:tc>
        <w:tc>
          <w:tcPr>
            <w:tcW w:w="2551" w:type="dxa"/>
            <w:vAlign w:val="center"/>
          </w:tcPr>
          <w:p w:rsidR="00414999" w:rsidRPr="00E95649" w:rsidRDefault="00414999" w:rsidP="00F44C41">
            <w:pPr>
              <w:pStyle w:val="cuatexto"/>
              <w:tabs>
                <w:tab w:val="left" w:pos="8647"/>
              </w:tabs>
            </w:pPr>
            <w:r w:rsidRPr="00E95649">
              <w:t>Subvención por Resultados</w:t>
            </w:r>
          </w:p>
          <w:p w:rsidR="00414999" w:rsidRPr="00E95649" w:rsidRDefault="00414999" w:rsidP="00F44C41">
            <w:pPr>
              <w:pStyle w:val="cuatexto"/>
              <w:tabs>
                <w:tab w:val="left" w:pos="8647"/>
              </w:tabs>
            </w:pPr>
            <w:r w:rsidRPr="00E95649">
              <w:t>de Investigación (SRI)</w:t>
            </w:r>
          </w:p>
        </w:tc>
        <w:tc>
          <w:tcPr>
            <w:tcW w:w="1417" w:type="dxa"/>
            <w:vAlign w:val="center"/>
          </w:tcPr>
          <w:p w:rsidR="00414999" w:rsidRPr="00E95649" w:rsidRDefault="00414999" w:rsidP="00F44C41">
            <w:pPr>
              <w:pStyle w:val="cuatexto"/>
              <w:tabs>
                <w:tab w:val="left" w:pos="8647"/>
              </w:tabs>
              <w:jc w:val="right"/>
            </w:pPr>
            <w:r>
              <w:t>4.002.934</w:t>
            </w:r>
          </w:p>
        </w:tc>
        <w:tc>
          <w:tcPr>
            <w:tcW w:w="1418" w:type="dxa"/>
            <w:vAlign w:val="center"/>
          </w:tcPr>
          <w:p w:rsidR="00414999" w:rsidRPr="00E95649" w:rsidRDefault="00414999" w:rsidP="00F44C41">
            <w:pPr>
              <w:pStyle w:val="cuatexto"/>
              <w:tabs>
                <w:tab w:val="left" w:pos="8647"/>
              </w:tabs>
              <w:jc w:val="right"/>
            </w:pPr>
            <w:r>
              <w:t>4.108.763</w:t>
            </w:r>
          </w:p>
        </w:tc>
        <w:tc>
          <w:tcPr>
            <w:tcW w:w="1418" w:type="dxa"/>
            <w:vAlign w:val="center"/>
          </w:tcPr>
          <w:p w:rsidR="00414999" w:rsidRPr="00E95649" w:rsidRDefault="00414999" w:rsidP="00F44C41">
            <w:pPr>
              <w:pStyle w:val="cuatexto"/>
              <w:tabs>
                <w:tab w:val="left" w:pos="8647"/>
              </w:tabs>
              <w:jc w:val="right"/>
            </w:pPr>
            <w:r>
              <w:t>4.217.766</w:t>
            </w:r>
          </w:p>
        </w:tc>
      </w:tr>
      <w:tr w:rsidR="007B762E" w:rsidRPr="00706766" w:rsidTr="00D833AF">
        <w:trPr>
          <w:trHeight w:val="284"/>
        </w:trPr>
        <w:tc>
          <w:tcPr>
            <w:tcW w:w="1985" w:type="dxa"/>
            <w:vMerge/>
            <w:vAlign w:val="center"/>
          </w:tcPr>
          <w:p w:rsidR="00414999" w:rsidRPr="00E95649" w:rsidRDefault="00414999" w:rsidP="00F44C41">
            <w:pPr>
              <w:pStyle w:val="cuatexto"/>
              <w:tabs>
                <w:tab w:val="left" w:pos="8647"/>
              </w:tabs>
            </w:pPr>
          </w:p>
        </w:tc>
        <w:tc>
          <w:tcPr>
            <w:tcW w:w="2551" w:type="dxa"/>
            <w:vAlign w:val="center"/>
          </w:tcPr>
          <w:p w:rsidR="00414999" w:rsidRPr="00E95649" w:rsidRDefault="00414999" w:rsidP="00F44C41">
            <w:pPr>
              <w:pStyle w:val="cuatexto"/>
              <w:tabs>
                <w:tab w:val="left" w:pos="8647"/>
              </w:tabs>
            </w:pPr>
            <w:r w:rsidRPr="00E95649">
              <w:t>Transferencias por Result</w:t>
            </w:r>
            <w:r w:rsidRPr="00E95649">
              <w:t>a</w:t>
            </w:r>
            <w:r w:rsidRPr="00E95649">
              <w:t>dos de Transferencia (SRTC)</w:t>
            </w:r>
          </w:p>
        </w:tc>
        <w:tc>
          <w:tcPr>
            <w:tcW w:w="1417" w:type="dxa"/>
            <w:vAlign w:val="center"/>
          </w:tcPr>
          <w:p w:rsidR="00414999" w:rsidRPr="00E95649" w:rsidRDefault="00414999" w:rsidP="00F44C41">
            <w:pPr>
              <w:pStyle w:val="cuatexto"/>
              <w:tabs>
                <w:tab w:val="left" w:pos="8647"/>
              </w:tabs>
              <w:jc w:val="right"/>
            </w:pPr>
            <w:r>
              <w:t>503.796</w:t>
            </w:r>
          </w:p>
        </w:tc>
        <w:tc>
          <w:tcPr>
            <w:tcW w:w="1418" w:type="dxa"/>
            <w:vAlign w:val="center"/>
          </w:tcPr>
          <w:p w:rsidR="00414999" w:rsidRPr="00E95649" w:rsidRDefault="00414999" w:rsidP="00F44C41">
            <w:pPr>
              <w:pStyle w:val="cuatexto"/>
              <w:tabs>
                <w:tab w:val="left" w:pos="8647"/>
              </w:tabs>
              <w:jc w:val="right"/>
            </w:pPr>
            <w:r>
              <w:t>503.796</w:t>
            </w:r>
          </w:p>
        </w:tc>
        <w:tc>
          <w:tcPr>
            <w:tcW w:w="1418" w:type="dxa"/>
            <w:vAlign w:val="center"/>
          </w:tcPr>
          <w:p w:rsidR="00414999" w:rsidRPr="00E95649" w:rsidRDefault="00414999" w:rsidP="00F44C41">
            <w:pPr>
              <w:pStyle w:val="cuatexto"/>
              <w:tabs>
                <w:tab w:val="left" w:pos="8647"/>
              </w:tabs>
              <w:jc w:val="right"/>
            </w:pPr>
            <w:r>
              <w:t>503.796</w:t>
            </w:r>
          </w:p>
        </w:tc>
      </w:tr>
      <w:tr w:rsidR="007B762E" w:rsidRPr="00706766" w:rsidTr="00D833AF">
        <w:trPr>
          <w:trHeight w:val="284"/>
        </w:trPr>
        <w:tc>
          <w:tcPr>
            <w:tcW w:w="4536" w:type="dxa"/>
            <w:gridSpan w:val="2"/>
            <w:tcBorders>
              <w:bottom w:val="single" w:sz="4" w:space="0" w:color="auto"/>
            </w:tcBorders>
            <w:shd w:val="clear" w:color="auto" w:fill="B8CCE4" w:themeFill="accent1" w:themeFillTint="66"/>
            <w:vAlign w:val="center"/>
          </w:tcPr>
          <w:p w:rsidR="00414999" w:rsidRPr="00360A02" w:rsidRDefault="00D833AF" w:rsidP="00F44C41">
            <w:pPr>
              <w:pStyle w:val="cuadroCabe"/>
              <w:tabs>
                <w:tab w:val="left" w:pos="8647"/>
              </w:tabs>
            </w:pPr>
            <w:r>
              <w:t>T</w:t>
            </w:r>
            <w:r w:rsidRPr="00360A02">
              <w:t>otal financiación por resultados</w:t>
            </w:r>
          </w:p>
        </w:tc>
        <w:tc>
          <w:tcPr>
            <w:tcW w:w="1417" w:type="dxa"/>
            <w:tcBorders>
              <w:bottom w:val="single" w:sz="4" w:space="0" w:color="auto"/>
            </w:tcBorders>
            <w:shd w:val="clear" w:color="auto" w:fill="B8CCE4" w:themeFill="accent1" w:themeFillTint="66"/>
            <w:vAlign w:val="center"/>
          </w:tcPr>
          <w:p w:rsidR="00414999" w:rsidRDefault="00414999" w:rsidP="00F44C41">
            <w:pPr>
              <w:pStyle w:val="cuadroCabe"/>
              <w:tabs>
                <w:tab w:val="left" w:pos="8647"/>
              </w:tabs>
              <w:jc w:val="right"/>
            </w:pPr>
            <w:r>
              <w:t>24.942.166</w:t>
            </w:r>
          </w:p>
        </w:tc>
        <w:tc>
          <w:tcPr>
            <w:tcW w:w="1418" w:type="dxa"/>
            <w:tcBorders>
              <w:bottom w:val="single" w:sz="4" w:space="0" w:color="auto"/>
            </w:tcBorders>
            <w:shd w:val="clear" w:color="auto" w:fill="B8CCE4" w:themeFill="accent1" w:themeFillTint="66"/>
            <w:vAlign w:val="center"/>
          </w:tcPr>
          <w:p w:rsidR="00414999" w:rsidRDefault="00414999" w:rsidP="00F44C41">
            <w:pPr>
              <w:pStyle w:val="cuadroCabe"/>
              <w:tabs>
                <w:tab w:val="left" w:pos="8647"/>
              </w:tabs>
              <w:jc w:val="right"/>
            </w:pPr>
            <w:r>
              <w:t>25.973.154</w:t>
            </w:r>
          </w:p>
        </w:tc>
        <w:tc>
          <w:tcPr>
            <w:tcW w:w="1418" w:type="dxa"/>
            <w:tcBorders>
              <w:bottom w:val="single" w:sz="4" w:space="0" w:color="auto"/>
            </w:tcBorders>
            <w:shd w:val="clear" w:color="auto" w:fill="B8CCE4" w:themeFill="accent1" w:themeFillTint="66"/>
            <w:vAlign w:val="center"/>
          </w:tcPr>
          <w:p w:rsidR="00414999" w:rsidRDefault="00414999" w:rsidP="00F44C41">
            <w:pPr>
              <w:pStyle w:val="cuadroCabe"/>
              <w:tabs>
                <w:tab w:val="left" w:pos="8647"/>
              </w:tabs>
              <w:jc w:val="right"/>
            </w:pPr>
            <w:r>
              <w:t>27.044.538</w:t>
            </w:r>
          </w:p>
        </w:tc>
      </w:tr>
      <w:tr w:rsidR="007B762E" w:rsidRPr="00706766" w:rsidTr="00D833AF">
        <w:trPr>
          <w:trHeight w:val="284"/>
        </w:trPr>
        <w:tc>
          <w:tcPr>
            <w:tcW w:w="1985" w:type="dxa"/>
            <w:tcBorders>
              <w:bottom w:val="single" w:sz="4" w:space="0" w:color="auto"/>
            </w:tcBorders>
            <w:vAlign w:val="center"/>
          </w:tcPr>
          <w:p w:rsidR="00414999" w:rsidRPr="00E95649" w:rsidRDefault="00D833AF" w:rsidP="00F44C41">
            <w:pPr>
              <w:pStyle w:val="cuatexto"/>
              <w:tabs>
                <w:tab w:val="left" w:pos="8647"/>
              </w:tabs>
            </w:pPr>
            <w:r>
              <w:t>F</w:t>
            </w:r>
            <w:r w:rsidRPr="00E95649">
              <w:t xml:space="preserve">inanciación para </w:t>
            </w:r>
          </w:p>
          <w:p w:rsidR="00414999" w:rsidRPr="00E95649" w:rsidRDefault="00D833AF" w:rsidP="00920312">
            <w:pPr>
              <w:pStyle w:val="cuatexto"/>
              <w:tabs>
                <w:tab w:val="left" w:pos="8647"/>
              </w:tabs>
            </w:pPr>
            <w:r w:rsidRPr="00E95649">
              <w:t>mejoras (</w:t>
            </w:r>
            <w:r w:rsidR="00920312">
              <w:t>FM</w:t>
            </w:r>
            <w:r w:rsidRPr="00E95649">
              <w:t>)</w:t>
            </w:r>
          </w:p>
        </w:tc>
        <w:tc>
          <w:tcPr>
            <w:tcW w:w="2551" w:type="dxa"/>
            <w:tcBorders>
              <w:bottom w:val="single" w:sz="4" w:space="0" w:color="auto"/>
            </w:tcBorders>
            <w:vAlign w:val="center"/>
          </w:tcPr>
          <w:p w:rsidR="00414999" w:rsidRPr="00E95649" w:rsidRDefault="00414999" w:rsidP="00F44C41">
            <w:pPr>
              <w:pStyle w:val="cuatexto"/>
              <w:tabs>
                <w:tab w:val="left" w:pos="8647"/>
              </w:tabs>
            </w:pPr>
            <w:r w:rsidRPr="00E95649">
              <w:t>Transferencias por la mejora</w:t>
            </w:r>
          </w:p>
          <w:p w:rsidR="00414999" w:rsidRPr="00E95649" w:rsidRDefault="00414999" w:rsidP="00F44C41">
            <w:pPr>
              <w:pStyle w:val="cuatexto"/>
              <w:tabs>
                <w:tab w:val="left" w:pos="8647"/>
              </w:tabs>
            </w:pPr>
            <w:r w:rsidRPr="00E95649">
              <w:t xml:space="preserve">de calidad </w:t>
            </w:r>
          </w:p>
        </w:tc>
        <w:tc>
          <w:tcPr>
            <w:tcW w:w="1417" w:type="dxa"/>
            <w:tcBorders>
              <w:bottom w:val="single" w:sz="4" w:space="0" w:color="auto"/>
            </w:tcBorders>
            <w:vAlign w:val="center"/>
          </w:tcPr>
          <w:p w:rsidR="00414999" w:rsidRPr="00E95649" w:rsidRDefault="00414999" w:rsidP="00F44C41">
            <w:pPr>
              <w:pStyle w:val="cuatexto"/>
              <w:tabs>
                <w:tab w:val="left" w:pos="8647"/>
              </w:tabs>
              <w:jc w:val="right"/>
            </w:pPr>
            <w:r>
              <w:t>584.161</w:t>
            </w:r>
          </w:p>
        </w:tc>
        <w:tc>
          <w:tcPr>
            <w:tcW w:w="1418" w:type="dxa"/>
            <w:tcBorders>
              <w:bottom w:val="single" w:sz="4" w:space="0" w:color="auto"/>
            </w:tcBorders>
            <w:vAlign w:val="center"/>
          </w:tcPr>
          <w:p w:rsidR="00414999" w:rsidRPr="00E95649" w:rsidRDefault="00414999" w:rsidP="00F44C41">
            <w:pPr>
              <w:pStyle w:val="cuatexto"/>
              <w:tabs>
                <w:tab w:val="left" w:pos="8647"/>
              </w:tabs>
              <w:jc w:val="right"/>
            </w:pPr>
            <w:r>
              <w:t>1.111.589</w:t>
            </w:r>
          </w:p>
        </w:tc>
        <w:tc>
          <w:tcPr>
            <w:tcW w:w="1418" w:type="dxa"/>
            <w:tcBorders>
              <w:bottom w:val="single" w:sz="4" w:space="0" w:color="auto"/>
            </w:tcBorders>
            <w:vAlign w:val="center"/>
          </w:tcPr>
          <w:p w:rsidR="00414999" w:rsidRPr="00E95649" w:rsidRDefault="00414999" w:rsidP="00F44C41">
            <w:pPr>
              <w:pStyle w:val="cuatexto"/>
              <w:tabs>
                <w:tab w:val="left" w:pos="8647"/>
              </w:tabs>
              <w:jc w:val="right"/>
            </w:pPr>
            <w:r>
              <w:t>1.368.884</w:t>
            </w:r>
          </w:p>
        </w:tc>
      </w:tr>
      <w:tr w:rsidR="007B762E" w:rsidRPr="00706766" w:rsidTr="00D833AF">
        <w:trPr>
          <w:trHeight w:val="284"/>
        </w:trPr>
        <w:tc>
          <w:tcPr>
            <w:tcW w:w="1985" w:type="dxa"/>
            <w:tcBorders>
              <w:top w:val="single" w:sz="4" w:space="0" w:color="auto"/>
              <w:bottom w:val="single" w:sz="4" w:space="0" w:color="auto"/>
            </w:tcBorders>
            <w:vAlign w:val="center"/>
          </w:tcPr>
          <w:p w:rsidR="00414999" w:rsidRPr="00E95649" w:rsidRDefault="00D833AF" w:rsidP="00F44C41">
            <w:pPr>
              <w:pStyle w:val="cuatexto"/>
              <w:tabs>
                <w:tab w:val="left" w:pos="8647"/>
              </w:tabs>
            </w:pPr>
            <w:r>
              <w:t>F</w:t>
            </w:r>
            <w:r w:rsidRPr="00E95649">
              <w:t>inanciación para</w:t>
            </w:r>
          </w:p>
          <w:p w:rsidR="00414999" w:rsidRPr="00E95649" w:rsidRDefault="00D833AF" w:rsidP="00920312">
            <w:pPr>
              <w:pStyle w:val="cuatexto"/>
              <w:tabs>
                <w:tab w:val="left" w:pos="8647"/>
              </w:tabs>
            </w:pPr>
            <w:r w:rsidRPr="00E95649">
              <w:t xml:space="preserve"> inversiones (</w:t>
            </w:r>
            <w:r w:rsidR="00920312">
              <w:t>FI</w:t>
            </w:r>
            <w:r w:rsidRPr="00E95649">
              <w:t>)</w:t>
            </w:r>
          </w:p>
        </w:tc>
        <w:tc>
          <w:tcPr>
            <w:tcW w:w="2551" w:type="dxa"/>
            <w:tcBorders>
              <w:top w:val="single" w:sz="4" w:space="0" w:color="auto"/>
              <w:bottom w:val="single" w:sz="4" w:space="0" w:color="auto"/>
            </w:tcBorders>
            <w:vAlign w:val="center"/>
          </w:tcPr>
          <w:p w:rsidR="00414999" w:rsidRDefault="00414999" w:rsidP="00F44C41">
            <w:pPr>
              <w:pStyle w:val="cuatexto"/>
              <w:tabs>
                <w:tab w:val="left" w:pos="8647"/>
              </w:tabs>
            </w:pPr>
            <w:r w:rsidRPr="00E95649">
              <w:t>Transferencias para</w:t>
            </w:r>
          </w:p>
          <w:p w:rsidR="00414999" w:rsidRPr="00E95649" w:rsidRDefault="00414999" w:rsidP="00F44C41">
            <w:pPr>
              <w:pStyle w:val="cuatexto"/>
              <w:tabs>
                <w:tab w:val="left" w:pos="8647"/>
              </w:tabs>
            </w:pPr>
            <w:r w:rsidRPr="00E95649">
              <w:t>Inversiones Específicas</w:t>
            </w:r>
          </w:p>
        </w:tc>
        <w:tc>
          <w:tcPr>
            <w:tcW w:w="1417" w:type="dxa"/>
            <w:tcBorders>
              <w:top w:val="single" w:sz="4" w:space="0" w:color="auto"/>
              <w:bottom w:val="single" w:sz="4" w:space="0" w:color="auto"/>
            </w:tcBorders>
            <w:vAlign w:val="center"/>
          </w:tcPr>
          <w:p w:rsidR="00414999" w:rsidRPr="00E95649" w:rsidRDefault="00414999" w:rsidP="00F44C41">
            <w:pPr>
              <w:pStyle w:val="cuatexto"/>
              <w:tabs>
                <w:tab w:val="left" w:pos="8647"/>
              </w:tabs>
              <w:jc w:val="right"/>
            </w:pPr>
            <w:r>
              <w:t>1.777.000</w:t>
            </w:r>
          </w:p>
        </w:tc>
        <w:tc>
          <w:tcPr>
            <w:tcW w:w="1418" w:type="dxa"/>
            <w:tcBorders>
              <w:top w:val="single" w:sz="4" w:space="0" w:color="auto"/>
              <w:bottom w:val="single" w:sz="4" w:space="0" w:color="auto"/>
            </w:tcBorders>
            <w:vAlign w:val="center"/>
          </w:tcPr>
          <w:p w:rsidR="00414999" w:rsidRPr="00E95649" w:rsidRDefault="00414999" w:rsidP="00F44C41">
            <w:pPr>
              <w:pStyle w:val="cuatexto"/>
              <w:tabs>
                <w:tab w:val="left" w:pos="8647"/>
              </w:tabs>
              <w:jc w:val="right"/>
            </w:pPr>
            <w:r>
              <w:t>1.565.000</w:t>
            </w:r>
          </w:p>
        </w:tc>
        <w:tc>
          <w:tcPr>
            <w:tcW w:w="1418" w:type="dxa"/>
            <w:tcBorders>
              <w:top w:val="single" w:sz="4" w:space="0" w:color="auto"/>
              <w:bottom w:val="single" w:sz="4" w:space="0" w:color="auto"/>
            </w:tcBorders>
            <w:vAlign w:val="center"/>
          </w:tcPr>
          <w:p w:rsidR="00414999" w:rsidRPr="00E95649" w:rsidRDefault="00414999" w:rsidP="00362A9A">
            <w:pPr>
              <w:pStyle w:val="cuatexto"/>
              <w:tabs>
                <w:tab w:val="left" w:pos="8647"/>
              </w:tabs>
              <w:jc w:val="right"/>
            </w:pPr>
            <w:r>
              <w:t>1.</w:t>
            </w:r>
            <w:r w:rsidR="00362A9A">
              <w:t>9</w:t>
            </w:r>
            <w:r>
              <w:t>11.000</w:t>
            </w:r>
          </w:p>
        </w:tc>
      </w:tr>
      <w:tr w:rsidR="007B762E" w:rsidRPr="00360A02" w:rsidTr="00D833AF">
        <w:trPr>
          <w:trHeight w:val="284"/>
        </w:trPr>
        <w:tc>
          <w:tcPr>
            <w:tcW w:w="1985" w:type="dxa"/>
            <w:tcBorders>
              <w:top w:val="single" w:sz="4" w:space="0" w:color="auto"/>
              <w:bottom w:val="single" w:sz="4" w:space="0" w:color="auto"/>
            </w:tcBorders>
            <w:shd w:val="clear" w:color="auto" w:fill="B8CCE4" w:themeFill="accent1" w:themeFillTint="66"/>
            <w:vAlign w:val="center"/>
          </w:tcPr>
          <w:p w:rsidR="00414999" w:rsidRPr="00683BAC" w:rsidRDefault="00D833AF" w:rsidP="00F44C41">
            <w:pPr>
              <w:pStyle w:val="cuadroCabe"/>
              <w:tabs>
                <w:tab w:val="left" w:pos="8647"/>
              </w:tabs>
              <w:rPr>
                <w:lang w:val="en-US"/>
              </w:rPr>
            </w:pPr>
            <w:r w:rsidRPr="00683BAC">
              <w:rPr>
                <w:lang w:val="en-US"/>
              </w:rPr>
              <w:t>Total</w:t>
            </w:r>
            <w:r w:rsidR="00683BAC" w:rsidRPr="00683BAC">
              <w:rPr>
                <w:lang w:val="en-US"/>
              </w:rPr>
              <w:t xml:space="preserve"> FE+FR+FM+FI</w:t>
            </w:r>
          </w:p>
        </w:tc>
        <w:tc>
          <w:tcPr>
            <w:tcW w:w="2551" w:type="dxa"/>
            <w:tcBorders>
              <w:top w:val="single" w:sz="4" w:space="0" w:color="auto"/>
              <w:bottom w:val="single" w:sz="4" w:space="0" w:color="auto"/>
            </w:tcBorders>
            <w:shd w:val="clear" w:color="auto" w:fill="B8CCE4" w:themeFill="accent1" w:themeFillTint="66"/>
            <w:vAlign w:val="center"/>
          </w:tcPr>
          <w:p w:rsidR="00414999" w:rsidRPr="00683BAC" w:rsidRDefault="00414999" w:rsidP="00F44C41">
            <w:pPr>
              <w:pStyle w:val="cuadroCabe"/>
              <w:tabs>
                <w:tab w:val="left" w:pos="8647"/>
              </w:tabs>
              <w:rPr>
                <w:lang w:val="en-US"/>
              </w:rPr>
            </w:pPr>
          </w:p>
        </w:tc>
        <w:tc>
          <w:tcPr>
            <w:tcW w:w="1417" w:type="dxa"/>
            <w:tcBorders>
              <w:top w:val="single" w:sz="4" w:space="0" w:color="auto"/>
              <w:bottom w:val="single" w:sz="4" w:space="0" w:color="auto"/>
            </w:tcBorders>
            <w:shd w:val="clear" w:color="auto" w:fill="B8CCE4" w:themeFill="accent1" w:themeFillTint="66"/>
            <w:vAlign w:val="center"/>
          </w:tcPr>
          <w:p w:rsidR="00414999" w:rsidRPr="00360A02" w:rsidRDefault="00414999" w:rsidP="007B762E">
            <w:pPr>
              <w:pStyle w:val="cuadroCabe"/>
              <w:tabs>
                <w:tab w:val="left" w:pos="8647"/>
              </w:tabs>
              <w:jc w:val="right"/>
            </w:pPr>
            <w:r w:rsidRPr="00360A02">
              <w:t>58.</w:t>
            </w:r>
            <w:r w:rsidR="007B762E">
              <w:t>698</w:t>
            </w:r>
            <w:r w:rsidRPr="00360A02">
              <w:t>.080</w:t>
            </w:r>
          </w:p>
        </w:tc>
        <w:tc>
          <w:tcPr>
            <w:tcW w:w="1418" w:type="dxa"/>
            <w:tcBorders>
              <w:top w:val="single" w:sz="4" w:space="0" w:color="auto"/>
              <w:bottom w:val="single" w:sz="4" w:space="0" w:color="auto"/>
            </w:tcBorders>
            <w:shd w:val="clear" w:color="auto" w:fill="B8CCE4" w:themeFill="accent1" w:themeFillTint="66"/>
            <w:vAlign w:val="center"/>
          </w:tcPr>
          <w:p w:rsidR="00414999" w:rsidRPr="00360A02" w:rsidRDefault="00414999" w:rsidP="007B762E">
            <w:pPr>
              <w:pStyle w:val="cuadroCabe"/>
              <w:tabs>
                <w:tab w:val="left" w:pos="8647"/>
              </w:tabs>
              <w:jc w:val="right"/>
            </w:pPr>
            <w:r w:rsidRPr="00360A02">
              <w:t>6</w:t>
            </w:r>
            <w:r w:rsidR="007B762E">
              <w:t>0.986.339</w:t>
            </w:r>
          </w:p>
        </w:tc>
        <w:tc>
          <w:tcPr>
            <w:tcW w:w="1418" w:type="dxa"/>
            <w:tcBorders>
              <w:top w:val="single" w:sz="4" w:space="0" w:color="auto"/>
              <w:bottom w:val="single" w:sz="4" w:space="0" w:color="auto"/>
            </w:tcBorders>
            <w:shd w:val="clear" w:color="auto" w:fill="B8CCE4" w:themeFill="accent1" w:themeFillTint="66"/>
            <w:vAlign w:val="center"/>
          </w:tcPr>
          <w:p w:rsidR="00414999" w:rsidRPr="00360A02" w:rsidRDefault="00414999" w:rsidP="007B762E">
            <w:pPr>
              <w:pStyle w:val="cuadroCabe"/>
              <w:tabs>
                <w:tab w:val="left" w:pos="8647"/>
              </w:tabs>
              <w:jc w:val="right"/>
            </w:pPr>
            <w:r w:rsidRPr="00360A02">
              <w:t>63.</w:t>
            </w:r>
            <w:r w:rsidR="007B762E">
              <w:t>631</w:t>
            </w:r>
            <w:r w:rsidRPr="00360A02">
              <w:t>.</w:t>
            </w:r>
            <w:r w:rsidR="007B762E">
              <w:t>113</w:t>
            </w:r>
          </w:p>
        </w:tc>
      </w:tr>
    </w:tbl>
    <w:p w:rsidR="00D833AF" w:rsidRDefault="00D833AF" w:rsidP="00643374">
      <w:pPr>
        <w:tabs>
          <w:tab w:val="left" w:pos="8647"/>
        </w:tabs>
        <w:suppressAutoHyphens/>
        <w:autoSpaceDN w:val="0"/>
        <w:spacing w:after="0"/>
        <w:ind w:right="284" w:firstLine="284"/>
        <w:rPr>
          <w:spacing w:val="6"/>
          <w:sz w:val="26"/>
          <w:szCs w:val="26"/>
        </w:rPr>
      </w:pPr>
    </w:p>
    <w:p w:rsidR="00414999" w:rsidRPr="00206B8D" w:rsidRDefault="00206B8D" w:rsidP="00206B8D">
      <w:pPr>
        <w:tabs>
          <w:tab w:val="left" w:pos="8647"/>
        </w:tabs>
        <w:suppressAutoHyphens/>
        <w:autoSpaceDN w:val="0"/>
        <w:ind w:firstLine="284"/>
        <w:rPr>
          <w:spacing w:val="6"/>
          <w:sz w:val="26"/>
          <w:szCs w:val="26"/>
        </w:rPr>
      </w:pPr>
      <w:r>
        <w:rPr>
          <w:spacing w:val="6"/>
          <w:sz w:val="26"/>
          <w:szCs w:val="26"/>
        </w:rPr>
        <w:t xml:space="preserve">a) </w:t>
      </w:r>
      <w:r w:rsidR="00414999" w:rsidRPr="00206B8D">
        <w:rPr>
          <w:spacing w:val="6"/>
          <w:sz w:val="26"/>
          <w:szCs w:val="26"/>
        </w:rPr>
        <w:t xml:space="preserve">La financiación estructural contempla una subvención fija destinada a atender gastos de carácter estructural de la </w:t>
      </w:r>
      <w:r w:rsidR="00414999" w:rsidRPr="004B43B1">
        <w:rPr>
          <w:spacing w:val="6"/>
          <w:sz w:val="26"/>
          <w:szCs w:val="26"/>
        </w:rPr>
        <w:t xml:space="preserve">universidad y </w:t>
      </w:r>
      <w:r w:rsidR="0044328F" w:rsidRPr="004B43B1">
        <w:rPr>
          <w:spacing w:val="6"/>
          <w:sz w:val="26"/>
          <w:szCs w:val="26"/>
        </w:rPr>
        <w:t xml:space="preserve">a la financiación de la capacidad investigadora, </w:t>
      </w:r>
      <w:r w:rsidR="00414999" w:rsidRPr="004B43B1">
        <w:rPr>
          <w:spacing w:val="6"/>
          <w:sz w:val="26"/>
          <w:szCs w:val="26"/>
        </w:rPr>
        <w:t>destinada a financiar el 30 p</w:t>
      </w:r>
      <w:r w:rsidR="00414999" w:rsidRPr="00206B8D">
        <w:rPr>
          <w:spacing w:val="6"/>
          <w:sz w:val="26"/>
          <w:szCs w:val="26"/>
        </w:rPr>
        <w:t xml:space="preserve">or ciento del coste del personal docente e investigador (PDI) ya que es el porcentaje de la jornada laboral que el profesorado fijo dedica a la investigación. </w:t>
      </w:r>
    </w:p>
    <w:p w:rsidR="00414999" w:rsidRDefault="00206B8D" w:rsidP="00206B8D">
      <w:pPr>
        <w:tabs>
          <w:tab w:val="left" w:pos="8647"/>
        </w:tabs>
        <w:suppressAutoHyphens/>
        <w:autoSpaceDN w:val="0"/>
        <w:ind w:firstLine="284"/>
        <w:rPr>
          <w:spacing w:val="6"/>
          <w:sz w:val="26"/>
          <w:szCs w:val="26"/>
        </w:rPr>
      </w:pPr>
      <w:r>
        <w:rPr>
          <w:spacing w:val="6"/>
          <w:sz w:val="26"/>
          <w:szCs w:val="26"/>
        </w:rPr>
        <w:t xml:space="preserve">b) </w:t>
      </w:r>
      <w:r w:rsidR="00414999">
        <w:rPr>
          <w:spacing w:val="6"/>
          <w:sz w:val="26"/>
          <w:szCs w:val="26"/>
        </w:rPr>
        <w:t xml:space="preserve">La financiación por resultados </w:t>
      </w:r>
      <w:r w:rsidR="00414999" w:rsidRPr="00F55A44">
        <w:rPr>
          <w:spacing w:val="6"/>
          <w:sz w:val="26"/>
          <w:szCs w:val="26"/>
        </w:rPr>
        <w:t>se determina</w:t>
      </w:r>
      <w:r w:rsidR="00414999">
        <w:rPr>
          <w:spacing w:val="6"/>
          <w:sz w:val="26"/>
          <w:szCs w:val="26"/>
        </w:rPr>
        <w:t>,</w:t>
      </w:r>
      <w:r w:rsidR="00414999" w:rsidRPr="00F55A44">
        <w:rPr>
          <w:spacing w:val="6"/>
          <w:sz w:val="26"/>
          <w:szCs w:val="26"/>
        </w:rPr>
        <w:t xml:space="preserve"> para cada año de vigencia del convenio mediante subvenciones asociadas a los resultados obtenidos en diferentes elementos de la actividad universitaria: número de grupos de docencia, internacionalización, investigación y transferencia de conocimiento.</w:t>
      </w:r>
    </w:p>
    <w:p w:rsidR="00414999" w:rsidRDefault="00206B8D" w:rsidP="00206B8D">
      <w:pPr>
        <w:tabs>
          <w:tab w:val="left" w:pos="8647"/>
        </w:tabs>
        <w:suppressAutoHyphens/>
        <w:autoSpaceDN w:val="0"/>
        <w:ind w:firstLine="284"/>
        <w:rPr>
          <w:spacing w:val="6"/>
          <w:sz w:val="26"/>
          <w:szCs w:val="26"/>
        </w:rPr>
      </w:pPr>
      <w:r>
        <w:rPr>
          <w:spacing w:val="6"/>
          <w:sz w:val="26"/>
          <w:szCs w:val="26"/>
        </w:rPr>
        <w:lastRenderedPageBreak/>
        <w:t xml:space="preserve">c) </w:t>
      </w:r>
      <w:r w:rsidR="00414999">
        <w:rPr>
          <w:spacing w:val="6"/>
          <w:sz w:val="26"/>
          <w:szCs w:val="26"/>
        </w:rPr>
        <w:t>La financiación para mejoras pretende impulsar e incentivar mejoras de calidad en</w:t>
      </w:r>
      <w:r w:rsidR="00414999" w:rsidRPr="00F55A44">
        <w:rPr>
          <w:spacing w:val="6"/>
          <w:sz w:val="26"/>
          <w:szCs w:val="26"/>
        </w:rPr>
        <w:t xml:space="preserve"> aspectos relevantes de la actividad de la universidad y </w:t>
      </w:r>
      <w:r w:rsidR="00414999">
        <w:rPr>
          <w:spacing w:val="6"/>
          <w:sz w:val="26"/>
          <w:szCs w:val="26"/>
        </w:rPr>
        <w:t>tiene definidos unos importes asociados a la consecución de objetivos</w:t>
      </w:r>
      <w:r w:rsidR="00414999" w:rsidRPr="00F55A44">
        <w:rPr>
          <w:spacing w:val="6"/>
          <w:sz w:val="26"/>
          <w:szCs w:val="26"/>
        </w:rPr>
        <w:t>.</w:t>
      </w:r>
    </w:p>
    <w:p w:rsidR="00414999" w:rsidRDefault="00414999" w:rsidP="00206B8D">
      <w:pPr>
        <w:tabs>
          <w:tab w:val="left" w:pos="8647"/>
        </w:tabs>
        <w:suppressAutoHyphens/>
        <w:autoSpaceDN w:val="0"/>
        <w:spacing w:after="120"/>
        <w:ind w:firstLine="284"/>
        <w:rPr>
          <w:spacing w:val="6"/>
          <w:sz w:val="26"/>
          <w:szCs w:val="26"/>
        </w:rPr>
      </w:pPr>
      <w:r>
        <w:rPr>
          <w:spacing w:val="6"/>
          <w:sz w:val="26"/>
          <w:szCs w:val="26"/>
        </w:rPr>
        <w:t>Los fondos destinados a financiación estructural, por resultados y para mejoras se calculan por fórmulas e indicadores, con el objetivo de la financiación global de la universidad; el destino específico de los fondos para inversiones se fija en el propio convenio plurianual.</w:t>
      </w:r>
    </w:p>
    <w:p w:rsidR="0044328F" w:rsidRDefault="00362A9A" w:rsidP="00206B8D">
      <w:pPr>
        <w:tabs>
          <w:tab w:val="left" w:pos="8647"/>
        </w:tabs>
        <w:suppressAutoHyphens/>
        <w:autoSpaceDN w:val="0"/>
        <w:spacing w:after="120"/>
        <w:ind w:firstLine="284"/>
        <w:rPr>
          <w:spacing w:val="6"/>
          <w:sz w:val="26"/>
          <w:szCs w:val="26"/>
        </w:rPr>
      </w:pPr>
      <w:r>
        <w:rPr>
          <w:spacing w:val="6"/>
          <w:sz w:val="26"/>
          <w:szCs w:val="26"/>
        </w:rPr>
        <w:t xml:space="preserve">Los importes definitivos anuales se determinan </w:t>
      </w:r>
      <w:r w:rsidR="00414999">
        <w:rPr>
          <w:spacing w:val="6"/>
          <w:sz w:val="26"/>
          <w:szCs w:val="26"/>
        </w:rPr>
        <w:t>según un índice de actualización</w:t>
      </w:r>
      <w:r>
        <w:rPr>
          <w:rStyle w:val="Refdenotaalpie"/>
          <w:spacing w:val="6"/>
          <w:sz w:val="26"/>
          <w:szCs w:val="26"/>
        </w:rPr>
        <w:footnoteReference w:id="2"/>
      </w:r>
      <w:r w:rsidR="00414999" w:rsidRPr="000D1D2F">
        <w:rPr>
          <w:spacing w:val="6"/>
          <w:sz w:val="26"/>
          <w:szCs w:val="26"/>
        </w:rPr>
        <w:t xml:space="preserve"> </w:t>
      </w:r>
      <w:r w:rsidR="00414999">
        <w:rPr>
          <w:spacing w:val="6"/>
          <w:sz w:val="26"/>
          <w:szCs w:val="26"/>
        </w:rPr>
        <w:t xml:space="preserve">que se aplica a diferentes parámetros y </w:t>
      </w:r>
      <w:r w:rsidR="005E55D3">
        <w:rPr>
          <w:spacing w:val="6"/>
          <w:sz w:val="26"/>
          <w:szCs w:val="26"/>
        </w:rPr>
        <w:t xml:space="preserve">mediante </w:t>
      </w:r>
      <w:r w:rsidR="00414999">
        <w:rPr>
          <w:spacing w:val="6"/>
          <w:sz w:val="26"/>
          <w:szCs w:val="26"/>
        </w:rPr>
        <w:t>la actualización de las cantidades e indicadores de las distintas variables del convenio</w:t>
      </w:r>
      <w:r>
        <w:rPr>
          <w:spacing w:val="6"/>
          <w:sz w:val="26"/>
          <w:szCs w:val="26"/>
        </w:rPr>
        <w:t>, ajustándose la financiación final conforme a los efectos económicos derivados de nuevas normativas y de la evolución de las magnitudes económicas y presupuestarias de la CFN.</w:t>
      </w:r>
    </w:p>
    <w:p w:rsidR="00362A9A" w:rsidRDefault="00362A9A" w:rsidP="00A36484">
      <w:pPr>
        <w:tabs>
          <w:tab w:val="left" w:pos="8647"/>
        </w:tabs>
        <w:suppressAutoHyphens/>
        <w:autoSpaceDN w:val="0"/>
        <w:spacing w:after="240"/>
        <w:ind w:firstLine="284"/>
        <w:rPr>
          <w:spacing w:val="6"/>
          <w:sz w:val="26"/>
          <w:szCs w:val="26"/>
        </w:rPr>
      </w:pPr>
      <w:r>
        <w:rPr>
          <w:spacing w:val="6"/>
          <w:sz w:val="26"/>
          <w:szCs w:val="26"/>
        </w:rPr>
        <w:t>La financiación procedente de los Presupuestos Generales de Navarra en el período 2018-2020, así como el remanente de tesorería no afecto, ha sido la siguiente:</w:t>
      </w:r>
    </w:p>
    <w:tbl>
      <w:tblPr>
        <w:tblW w:w="8789" w:type="dxa"/>
        <w:tblCellMar>
          <w:left w:w="70" w:type="dxa"/>
          <w:right w:w="70" w:type="dxa"/>
        </w:tblCellMar>
        <w:tblLook w:val="04A0" w:firstRow="1" w:lastRow="0" w:firstColumn="1" w:lastColumn="0" w:noHBand="0" w:noVBand="1"/>
      </w:tblPr>
      <w:tblGrid>
        <w:gridCol w:w="3686"/>
        <w:gridCol w:w="1276"/>
        <w:gridCol w:w="1984"/>
        <w:gridCol w:w="1843"/>
      </w:tblGrid>
      <w:tr w:rsidR="00362A9A" w:rsidRPr="009C7823" w:rsidTr="00C408F9">
        <w:trPr>
          <w:trHeight w:val="284"/>
        </w:trPr>
        <w:tc>
          <w:tcPr>
            <w:tcW w:w="3686" w:type="dxa"/>
            <w:tcBorders>
              <w:top w:val="single" w:sz="4" w:space="0" w:color="auto"/>
              <w:left w:val="nil"/>
              <w:bottom w:val="single" w:sz="4" w:space="0" w:color="auto"/>
              <w:right w:val="nil"/>
            </w:tcBorders>
            <w:shd w:val="clear" w:color="auto" w:fill="B8CCE4" w:themeFill="accent1" w:themeFillTint="66"/>
            <w:noWrap/>
            <w:vAlign w:val="center"/>
          </w:tcPr>
          <w:p w:rsidR="00362A9A" w:rsidRPr="009C7823" w:rsidRDefault="00362A9A" w:rsidP="00A36484">
            <w:pPr>
              <w:pStyle w:val="cuadroCabe"/>
              <w:rPr>
                <w:lang w:val="es-ES" w:eastAsia="es-ES"/>
              </w:rPr>
            </w:pPr>
          </w:p>
        </w:tc>
        <w:tc>
          <w:tcPr>
            <w:tcW w:w="1276" w:type="dxa"/>
            <w:tcBorders>
              <w:top w:val="single" w:sz="4" w:space="0" w:color="auto"/>
              <w:left w:val="nil"/>
              <w:bottom w:val="single" w:sz="4" w:space="0" w:color="auto"/>
              <w:right w:val="nil"/>
            </w:tcBorders>
            <w:shd w:val="clear" w:color="auto" w:fill="B8CCE4" w:themeFill="accent1" w:themeFillTint="66"/>
            <w:noWrap/>
            <w:vAlign w:val="center"/>
          </w:tcPr>
          <w:p w:rsidR="00362A9A" w:rsidRPr="009C7823" w:rsidRDefault="00362A9A" w:rsidP="00A36484">
            <w:pPr>
              <w:pStyle w:val="cuadroCabe"/>
              <w:jc w:val="right"/>
              <w:rPr>
                <w:lang w:val="es-ES" w:eastAsia="es-ES"/>
              </w:rPr>
            </w:pPr>
            <w:r>
              <w:rPr>
                <w:lang w:val="es-ES" w:eastAsia="es-ES"/>
              </w:rPr>
              <w:t>2018</w:t>
            </w:r>
          </w:p>
        </w:tc>
        <w:tc>
          <w:tcPr>
            <w:tcW w:w="1984" w:type="dxa"/>
            <w:tcBorders>
              <w:top w:val="single" w:sz="4" w:space="0" w:color="auto"/>
              <w:left w:val="nil"/>
              <w:bottom w:val="single" w:sz="4" w:space="0" w:color="auto"/>
              <w:right w:val="nil"/>
            </w:tcBorders>
            <w:shd w:val="clear" w:color="auto" w:fill="B8CCE4" w:themeFill="accent1" w:themeFillTint="66"/>
            <w:noWrap/>
            <w:vAlign w:val="center"/>
          </w:tcPr>
          <w:p w:rsidR="00362A9A" w:rsidRPr="009C7823" w:rsidRDefault="00362A9A" w:rsidP="00A36484">
            <w:pPr>
              <w:pStyle w:val="cuadroCabe"/>
              <w:jc w:val="right"/>
              <w:rPr>
                <w:lang w:val="es-ES" w:eastAsia="es-ES"/>
              </w:rPr>
            </w:pPr>
            <w:r>
              <w:rPr>
                <w:lang w:val="es-ES" w:eastAsia="es-ES"/>
              </w:rPr>
              <w:t>2019</w:t>
            </w:r>
          </w:p>
        </w:tc>
        <w:tc>
          <w:tcPr>
            <w:tcW w:w="1843" w:type="dxa"/>
            <w:tcBorders>
              <w:top w:val="single" w:sz="4" w:space="0" w:color="auto"/>
              <w:left w:val="nil"/>
              <w:bottom w:val="single" w:sz="4" w:space="0" w:color="auto"/>
              <w:right w:val="nil"/>
            </w:tcBorders>
            <w:shd w:val="clear" w:color="auto" w:fill="B8CCE4" w:themeFill="accent1" w:themeFillTint="66"/>
            <w:vAlign w:val="center"/>
          </w:tcPr>
          <w:p w:rsidR="00362A9A" w:rsidRPr="009C7823" w:rsidRDefault="00362A9A" w:rsidP="00BB0AD0">
            <w:pPr>
              <w:pStyle w:val="cuadroCabe"/>
              <w:jc w:val="right"/>
              <w:rPr>
                <w:lang w:val="es-ES" w:eastAsia="es-ES"/>
              </w:rPr>
            </w:pPr>
            <w:r>
              <w:rPr>
                <w:lang w:val="es-ES" w:eastAsia="es-ES"/>
              </w:rPr>
              <w:t>2020</w:t>
            </w:r>
          </w:p>
        </w:tc>
      </w:tr>
      <w:tr w:rsidR="00362A9A" w:rsidRPr="008661DA" w:rsidTr="00C408F9">
        <w:trPr>
          <w:trHeight w:val="284"/>
        </w:trPr>
        <w:tc>
          <w:tcPr>
            <w:tcW w:w="3686" w:type="dxa"/>
            <w:tcBorders>
              <w:top w:val="single" w:sz="4" w:space="0" w:color="auto"/>
              <w:left w:val="nil"/>
              <w:bottom w:val="single" w:sz="2" w:space="0" w:color="auto"/>
              <w:right w:val="nil"/>
            </w:tcBorders>
            <w:shd w:val="clear" w:color="auto" w:fill="auto"/>
            <w:noWrap/>
            <w:vAlign w:val="center"/>
          </w:tcPr>
          <w:p w:rsidR="00362A9A" w:rsidRPr="008661DA" w:rsidRDefault="00362A9A" w:rsidP="00A36484">
            <w:pPr>
              <w:pStyle w:val="cuatexto"/>
              <w:rPr>
                <w:lang w:val="es-ES" w:eastAsia="es-ES"/>
              </w:rPr>
            </w:pPr>
            <w:r>
              <w:rPr>
                <w:lang w:val="es-ES" w:eastAsia="es-ES"/>
              </w:rPr>
              <w:t>Transferencias corrientes</w:t>
            </w:r>
          </w:p>
        </w:tc>
        <w:tc>
          <w:tcPr>
            <w:tcW w:w="1276" w:type="dxa"/>
            <w:tcBorders>
              <w:top w:val="single" w:sz="4" w:space="0" w:color="auto"/>
              <w:left w:val="nil"/>
              <w:bottom w:val="single" w:sz="2" w:space="0" w:color="auto"/>
              <w:right w:val="nil"/>
            </w:tcBorders>
            <w:shd w:val="clear" w:color="auto" w:fill="auto"/>
            <w:noWrap/>
            <w:vAlign w:val="center"/>
          </w:tcPr>
          <w:p w:rsidR="00362A9A" w:rsidRPr="008661DA" w:rsidRDefault="00362A9A" w:rsidP="00A36484">
            <w:pPr>
              <w:pStyle w:val="cuatexto"/>
              <w:jc w:val="right"/>
              <w:rPr>
                <w:lang w:val="es-ES" w:eastAsia="es-ES"/>
              </w:rPr>
            </w:pPr>
            <w:r>
              <w:rPr>
                <w:lang w:val="es-ES" w:eastAsia="es-ES"/>
              </w:rPr>
              <w:t>56.921.080</w:t>
            </w:r>
          </w:p>
        </w:tc>
        <w:tc>
          <w:tcPr>
            <w:tcW w:w="1984" w:type="dxa"/>
            <w:tcBorders>
              <w:top w:val="single" w:sz="4" w:space="0" w:color="auto"/>
              <w:left w:val="nil"/>
              <w:bottom w:val="single" w:sz="2" w:space="0" w:color="auto"/>
              <w:right w:val="nil"/>
            </w:tcBorders>
            <w:shd w:val="clear" w:color="auto" w:fill="auto"/>
            <w:noWrap/>
            <w:vAlign w:val="center"/>
          </w:tcPr>
          <w:p w:rsidR="00362A9A" w:rsidRPr="008661DA" w:rsidRDefault="009A0D1F" w:rsidP="00A36484">
            <w:pPr>
              <w:pStyle w:val="cuatexto"/>
              <w:jc w:val="right"/>
              <w:rPr>
                <w:lang w:val="es-ES" w:eastAsia="es-ES"/>
              </w:rPr>
            </w:pPr>
            <w:r>
              <w:rPr>
                <w:lang w:val="es-ES" w:eastAsia="es-ES"/>
              </w:rPr>
              <w:t>61.821.338</w:t>
            </w:r>
          </w:p>
        </w:tc>
        <w:tc>
          <w:tcPr>
            <w:tcW w:w="1843" w:type="dxa"/>
            <w:tcBorders>
              <w:top w:val="single" w:sz="4" w:space="0" w:color="auto"/>
              <w:left w:val="nil"/>
              <w:bottom w:val="single" w:sz="2" w:space="0" w:color="auto"/>
              <w:right w:val="nil"/>
            </w:tcBorders>
            <w:vAlign w:val="center"/>
          </w:tcPr>
          <w:p w:rsidR="00362A9A" w:rsidRPr="008661DA" w:rsidRDefault="009A0D1F" w:rsidP="00A36484">
            <w:pPr>
              <w:pStyle w:val="cuatexto"/>
              <w:jc w:val="right"/>
              <w:rPr>
                <w:lang w:val="es-ES" w:eastAsia="es-ES"/>
              </w:rPr>
            </w:pPr>
            <w:r>
              <w:rPr>
                <w:lang w:val="es-ES" w:eastAsia="es-ES"/>
              </w:rPr>
              <w:t>67.489.000</w:t>
            </w:r>
          </w:p>
        </w:tc>
      </w:tr>
      <w:tr w:rsidR="00362A9A" w:rsidRPr="008661DA" w:rsidTr="00C408F9">
        <w:trPr>
          <w:trHeight w:val="284"/>
        </w:trPr>
        <w:tc>
          <w:tcPr>
            <w:tcW w:w="3686" w:type="dxa"/>
            <w:tcBorders>
              <w:top w:val="single" w:sz="2" w:space="0" w:color="auto"/>
              <w:left w:val="nil"/>
              <w:bottom w:val="single" w:sz="2" w:space="0" w:color="auto"/>
              <w:right w:val="nil"/>
            </w:tcBorders>
            <w:shd w:val="clear" w:color="auto" w:fill="auto"/>
            <w:noWrap/>
            <w:vAlign w:val="center"/>
          </w:tcPr>
          <w:p w:rsidR="00362A9A" w:rsidRPr="008661DA" w:rsidRDefault="009A0D1F" w:rsidP="00A36484">
            <w:pPr>
              <w:pStyle w:val="cuatexto"/>
              <w:rPr>
                <w:bCs/>
                <w:lang w:val="es-ES" w:eastAsia="es-ES"/>
              </w:rPr>
            </w:pPr>
            <w:r>
              <w:rPr>
                <w:bCs/>
                <w:lang w:val="es-ES" w:eastAsia="es-ES"/>
              </w:rPr>
              <w:t>Transferencias de capital</w:t>
            </w:r>
          </w:p>
        </w:tc>
        <w:tc>
          <w:tcPr>
            <w:tcW w:w="1276" w:type="dxa"/>
            <w:tcBorders>
              <w:top w:val="single" w:sz="2" w:space="0" w:color="auto"/>
              <w:left w:val="nil"/>
              <w:bottom w:val="single" w:sz="2" w:space="0" w:color="auto"/>
              <w:right w:val="nil"/>
            </w:tcBorders>
            <w:shd w:val="clear" w:color="auto" w:fill="auto"/>
            <w:noWrap/>
            <w:vAlign w:val="center"/>
          </w:tcPr>
          <w:p w:rsidR="00362A9A" w:rsidRPr="008661DA" w:rsidRDefault="009A0D1F" w:rsidP="00A36484">
            <w:pPr>
              <w:pStyle w:val="cuatexto"/>
              <w:jc w:val="right"/>
              <w:rPr>
                <w:bCs/>
                <w:lang w:val="es-ES" w:eastAsia="es-ES"/>
              </w:rPr>
            </w:pPr>
            <w:r>
              <w:rPr>
                <w:bCs/>
                <w:lang w:val="es-ES" w:eastAsia="es-ES"/>
              </w:rPr>
              <w:t>777.000</w:t>
            </w:r>
          </w:p>
        </w:tc>
        <w:tc>
          <w:tcPr>
            <w:tcW w:w="1984" w:type="dxa"/>
            <w:tcBorders>
              <w:top w:val="single" w:sz="2" w:space="0" w:color="auto"/>
              <w:left w:val="nil"/>
              <w:bottom w:val="single" w:sz="2" w:space="0" w:color="auto"/>
              <w:right w:val="nil"/>
            </w:tcBorders>
            <w:shd w:val="clear" w:color="auto" w:fill="auto"/>
            <w:noWrap/>
            <w:vAlign w:val="center"/>
          </w:tcPr>
          <w:p w:rsidR="00362A9A" w:rsidRPr="008661DA" w:rsidRDefault="009A0D1F" w:rsidP="00A36484">
            <w:pPr>
              <w:pStyle w:val="cuatexto"/>
              <w:jc w:val="right"/>
              <w:rPr>
                <w:bCs/>
                <w:lang w:val="es-ES" w:eastAsia="es-ES"/>
              </w:rPr>
            </w:pPr>
            <w:r>
              <w:rPr>
                <w:bCs/>
                <w:lang w:val="es-ES" w:eastAsia="es-ES"/>
              </w:rPr>
              <w:t>665.000</w:t>
            </w:r>
          </w:p>
        </w:tc>
        <w:tc>
          <w:tcPr>
            <w:tcW w:w="1843" w:type="dxa"/>
            <w:tcBorders>
              <w:top w:val="single" w:sz="2" w:space="0" w:color="auto"/>
              <w:left w:val="nil"/>
              <w:bottom w:val="single" w:sz="2" w:space="0" w:color="auto"/>
              <w:right w:val="nil"/>
            </w:tcBorders>
            <w:vAlign w:val="center"/>
          </w:tcPr>
          <w:p w:rsidR="00362A9A" w:rsidRPr="008661DA" w:rsidRDefault="009A0D1F" w:rsidP="00A36484">
            <w:pPr>
              <w:pStyle w:val="cuatexto"/>
              <w:jc w:val="right"/>
              <w:rPr>
                <w:bCs/>
                <w:lang w:val="es-ES" w:eastAsia="es-ES"/>
              </w:rPr>
            </w:pPr>
            <w:r>
              <w:rPr>
                <w:bCs/>
                <w:lang w:val="es-ES" w:eastAsia="es-ES"/>
              </w:rPr>
              <w:t>1.011.000</w:t>
            </w:r>
          </w:p>
        </w:tc>
      </w:tr>
      <w:tr w:rsidR="00362A9A" w:rsidRPr="008661DA" w:rsidTr="00C408F9">
        <w:trPr>
          <w:trHeight w:val="284"/>
        </w:trPr>
        <w:tc>
          <w:tcPr>
            <w:tcW w:w="3686" w:type="dxa"/>
            <w:tcBorders>
              <w:top w:val="single" w:sz="2" w:space="0" w:color="auto"/>
              <w:left w:val="nil"/>
              <w:bottom w:val="single" w:sz="2" w:space="0" w:color="auto"/>
              <w:right w:val="nil"/>
            </w:tcBorders>
            <w:shd w:val="clear" w:color="auto" w:fill="auto"/>
            <w:noWrap/>
            <w:vAlign w:val="center"/>
          </w:tcPr>
          <w:p w:rsidR="00362A9A" w:rsidRPr="008661DA" w:rsidRDefault="009A0D1F" w:rsidP="00A36484">
            <w:pPr>
              <w:pStyle w:val="cuatexto"/>
              <w:rPr>
                <w:bCs/>
                <w:lang w:val="es-ES" w:eastAsia="es-ES"/>
              </w:rPr>
            </w:pPr>
            <w:r>
              <w:rPr>
                <w:bCs/>
                <w:lang w:val="es-ES" w:eastAsia="es-ES"/>
              </w:rPr>
              <w:t>Remanente de tesorería no afecto</w:t>
            </w:r>
          </w:p>
        </w:tc>
        <w:tc>
          <w:tcPr>
            <w:tcW w:w="1276" w:type="dxa"/>
            <w:tcBorders>
              <w:top w:val="single" w:sz="2" w:space="0" w:color="auto"/>
              <w:left w:val="nil"/>
              <w:bottom w:val="single" w:sz="2" w:space="0" w:color="auto"/>
              <w:right w:val="nil"/>
            </w:tcBorders>
            <w:shd w:val="clear" w:color="auto" w:fill="auto"/>
            <w:noWrap/>
            <w:vAlign w:val="center"/>
          </w:tcPr>
          <w:p w:rsidR="00362A9A" w:rsidRPr="008661DA" w:rsidRDefault="009A0D1F" w:rsidP="00A36484">
            <w:pPr>
              <w:pStyle w:val="cuatexto"/>
              <w:jc w:val="right"/>
              <w:rPr>
                <w:bCs/>
                <w:lang w:val="es-ES" w:eastAsia="es-ES"/>
              </w:rPr>
            </w:pPr>
            <w:r>
              <w:rPr>
                <w:bCs/>
                <w:lang w:val="es-ES" w:eastAsia="es-ES"/>
              </w:rPr>
              <w:t>1.847.018</w:t>
            </w:r>
          </w:p>
        </w:tc>
        <w:tc>
          <w:tcPr>
            <w:tcW w:w="1984" w:type="dxa"/>
            <w:tcBorders>
              <w:top w:val="single" w:sz="2" w:space="0" w:color="auto"/>
              <w:left w:val="nil"/>
              <w:bottom w:val="single" w:sz="2" w:space="0" w:color="auto"/>
              <w:right w:val="nil"/>
            </w:tcBorders>
            <w:shd w:val="clear" w:color="auto" w:fill="auto"/>
            <w:noWrap/>
            <w:vAlign w:val="center"/>
          </w:tcPr>
          <w:p w:rsidR="00362A9A" w:rsidRPr="008661DA" w:rsidRDefault="009A0D1F" w:rsidP="00A36484">
            <w:pPr>
              <w:pStyle w:val="cuatexto"/>
              <w:jc w:val="right"/>
              <w:rPr>
                <w:bCs/>
                <w:lang w:eastAsia="es-ES"/>
              </w:rPr>
            </w:pPr>
            <w:r>
              <w:rPr>
                <w:bCs/>
                <w:lang w:eastAsia="es-ES"/>
              </w:rPr>
              <w:t>900.000</w:t>
            </w:r>
          </w:p>
        </w:tc>
        <w:tc>
          <w:tcPr>
            <w:tcW w:w="1843" w:type="dxa"/>
            <w:tcBorders>
              <w:top w:val="single" w:sz="2" w:space="0" w:color="auto"/>
              <w:left w:val="nil"/>
              <w:bottom w:val="single" w:sz="2" w:space="0" w:color="auto"/>
              <w:right w:val="nil"/>
            </w:tcBorders>
            <w:vAlign w:val="center"/>
          </w:tcPr>
          <w:p w:rsidR="00362A9A" w:rsidRPr="008661DA" w:rsidRDefault="009A0D1F" w:rsidP="00A36484">
            <w:pPr>
              <w:pStyle w:val="cuatexto"/>
              <w:jc w:val="right"/>
              <w:rPr>
                <w:bCs/>
                <w:lang w:eastAsia="es-ES"/>
              </w:rPr>
            </w:pPr>
            <w:r>
              <w:rPr>
                <w:bCs/>
                <w:lang w:eastAsia="es-ES"/>
              </w:rPr>
              <w:t>900.000</w:t>
            </w:r>
          </w:p>
        </w:tc>
      </w:tr>
      <w:tr w:rsidR="00362A9A" w:rsidRPr="008661DA" w:rsidTr="00C408F9">
        <w:trPr>
          <w:trHeight w:val="284"/>
        </w:trPr>
        <w:tc>
          <w:tcPr>
            <w:tcW w:w="3686" w:type="dxa"/>
            <w:tcBorders>
              <w:top w:val="single" w:sz="2" w:space="0" w:color="auto"/>
              <w:left w:val="nil"/>
              <w:bottom w:val="single" w:sz="2" w:space="0" w:color="auto"/>
              <w:right w:val="nil"/>
            </w:tcBorders>
            <w:shd w:val="clear" w:color="auto" w:fill="B8CCE4" w:themeFill="accent1" w:themeFillTint="66"/>
            <w:noWrap/>
            <w:vAlign w:val="center"/>
          </w:tcPr>
          <w:p w:rsidR="00362A9A" w:rsidRPr="008661DA" w:rsidRDefault="009A0D1F" w:rsidP="00A36484">
            <w:pPr>
              <w:pStyle w:val="cuadroCabe"/>
              <w:rPr>
                <w:lang w:val="es-ES" w:eastAsia="es-ES"/>
              </w:rPr>
            </w:pPr>
            <w:r>
              <w:rPr>
                <w:lang w:val="es-ES" w:eastAsia="es-ES"/>
              </w:rPr>
              <w:t>Total</w:t>
            </w:r>
          </w:p>
        </w:tc>
        <w:tc>
          <w:tcPr>
            <w:tcW w:w="1276" w:type="dxa"/>
            <w:tcBorders>
              <w:top w:val="single" w:sz="2" w:space="0" w:color="auto"/>
              <w:left w:val="nil"/>
              <w:bottom w:val="single" w:sz="2" w:space="0" w:color="auto"/>
              <w:right w:val="nil"/>
            </w:tcBorders>
            <w:shd w:val="clear" w:color="auto" w:fill="B8CCE4" w:themeFill="accent1" w:themeFillTint="66"/>
            <w:noWrap/>
            <w:vAlign w:val="center"/>
          </w:tcPr>
          <w:p w:rsidR="00362A9A" w:rsidRPr="008661DA" w:rsidRDefault="009A0D1F" w:rsidP="00A36484">
            <w:pPr>
              <w:pStyle w:val="cuadroCabe"/>
              <w:jc w:val="right"/>
              <w:rPr>
                <w:lang w:val="es-ES" w:eastAsia="es-ES"/>
              </w:rPr>
            </w:pPr>
            <w:r>
              <w:rPr>
                <w:lang w:val="es-ES" w:eastAsia="es-ES"/>
              </w:rPr>
              <w:t>59.545.098</w:t>
            </w:r>
          </w:p>
        </w:tc>
        <w:tc>
          <w:tcPr>
            <w:tcW w:w="1984" w:type="dxa"/>
            <w:tcBorders>
              <w:top w:val="single" w:sz="2" w:space="0" w:color="auto"/>
              <w:left w:val="nil"/>
              <w:bottom w:val="single" w:sz="2" w:space="0" w:color="auto"/>
              <w:right w:val="nil"/>
            </w:tcBorders>
            <w:shd w:val="clear" w:color="auto" w:fill="B8CCE4" w:themeFill="accent1" w:themeFillTint="66"/>
            <w:noWrap/>
            <w:vAlign w:val="center"/>
          </w:tcPr>
          <w:p w:rsidR="00362A9A" w:rsidRPr="008661DA" w:rsidRDefault="009A0D1F" w:rsidP="00A36484">
            <w:pPr>
              <w:pStyle w:val="cuadroCabe"/>
              <w:jc w:val="right"/>
              <w:rPr>
                <w:lang w:eastAsia="es-ES"/>
              </w:rPr>
            </w:pPr>
            <w:r>
              <w:rPr>
                <w:lang w:eastAsia="es-ES"/>
              </w:rPr>
              <w:t>63.386.338</w:t>
            </w:r>
          </w:p>
        </w:tc>
        <w:tc>
          <w:tcPr>
            <w:tcW w:w="1843" w:type="dxa"/>
            <w:tcBorders>
              <w:top w:val="single" w:sz="2" w:space="0" w:color="auto"/>
              <w:left w:val="nil"/>
              <w:bottom w:val="single" w:sz="2" w:space="0" w:color="auto"/>
              <w:right w:val="nil"/>
            </w:tcBorders>
            <w:shd w:val="clear" w:color="auto" w:fill="B8CCE4" w:themeFill="accent1" w:themeFillTint="66"/>
            <w:vAlign w:val="center"/>
          </w:tcPr>
          <w:p w:rsidR="00362A9A" w:rsidRPr="008661DA" w:rsidRDefault="009A0D1F" w:rsidP="00A36484">
            <w:pPr>
              <w:pStyle w:val="cuadroCabe"/>
              <w:jc w:val="right"/>
              <w:rPr>
                <w:lang w:eastAsia="es-ES"/>
              </w:rPr>
            </w:pPr>
            <w:r>
              <w:rPr>
                <w:lang w:eastAsia="es-ES"/>
              </w:rPr>
              <w:t>69.400.000</w:t>
            </w:r>
          </w:p>
        </w:tc>
      </w:tr>
    </w:tbl>
    <w:p w:rsidR="00414999" w:rsidRDefault="00414999" w:rsidP="00A36484">
      <w:pPr>
        <w:tabs>
          <w:tab w:val="left" w:pos="8647"/>
        </w:tabs>
        <w:suppressAutoHyphens/>
        <w:autoSpaceDN w:val="0"/>
        <w:spacing w:before="240"/>
        <w:ind w:firstLine="284"/>
        <w:rPr>
          <w:spacing w:val="6"/>
          <w:sz w:val="26"/>
          <w:szCs w:val="26"/>
        </w:rPr>
      </w:pPr>
      <w:r>
        <w:rPr>
          <w:spacing w:val="6"/>
          <w:sz w:val="26"/>
          <w:szCs w:val="26"/>
        </w:rPr>
        <w:t xml:space="preserve">En el Anexo </w:t>
      </w:r>
      <w:r w:rsidR="00DB0BCC">
        <w:rPr>
          <w:spacing w:val="6"/>
          <w:sz w:val="26"/>
          <w:szCs w:val="26"/>
        </w:rPr>
        <w:t>2</w:t>
      </w:r>
      <w:r>
        <w:rPr>
          <w:spacing w:val="6"/>
          <w:sz w:val="26"/>
          <w:szCs w:val="26"/>
        </w:rPr>
        <w:t xml:space="preserve"> de este informe se recogen más detalladamente los componentes, instrumentos e indicadores del Convenio de Financiación </w:t>
      </w:r>
      <w:r w:rsidR="00DB0BCC">
        <w:rPr>
          <w:spacing w:val="6"/>
          <w:sz w:val="26"/>
          <w:szCs w:val="26"/>
        </w:rPr>
        <w:t>P</w:t>
      </w:r>
      <w:r>
        <w:rPr>
          <w:spacing w:val="6"/>
          <w:sz w:val="26"/>
          <w:szCs w:val="26"/>
        </w:rPr>
        <w:t xml:space="preserve">lurianual </w:t>
      </w:r>
      <w:r w:rsidR="00DB0BCC">
        <w:rPr>
          <w:spacing w:val="6"/>
          <w:sz w:val="26"/>
          <w:szCs w:val="26"/>
        </w:rPr>
        <w:t xml:space="preserve">de la Universidad Pública de Navarra </w:t>
      </w:r>
      <w:r>
        <w:rPr>
          <w:spacing w:val="6"/>
          <w:sz w:val="26"/>
          <w:szCs w:val="26"/>
        </w:rPr>
        <w:t>2018-2020</w:t>
      </w:r>
      <w:r w:rsidR="00DB0BCC">
        <w:rPr>
          <w:spacing w:val="6"/>
          <w:sz w:val="26"/>
          <w:szCs w:val="26"/>
        </w:rPr>
        <w:t>.</w:t>
      </w:r>
    </w:p>
    <w:p w:rsidR="00414999" w:rsidRDefault="00414999" w:rsidP="00206B8D">
      <w:pPr>
        <w:tabs>
          <w:tab w:val="left" w:pos="8647"/>
        </w:tabs>
        <w:suppressAutoHyphens/>
        <w:autoSpaceDN w:val="0"/>
        <w:spacing w:after="120"/>
        <w:ind w:firstLine="284"/>
        <w:rPr>
          <w:spacing w:val="6"/>
          <w:sz w:val="26"/>
          <w:szCs w:val="26"/>
        </w:rPr>
      </w:pPr>
      <w:r w:rsidRPr="002E6968">
        <w:rPr>
          <w:b/>
          <w:spacing w:val="6"/>
          <w:sz w:val="26"/>
          <w:szCs w:val="26"/>
        </w:rPr>
        <w:t>En conclusión</w:t>
      </w:r>
      <w:r>
        <w:rPr>
          <w:spacing w:val="6"/>
          <w:sz w:val="26"/>
          <w:szCs w:val="26"/>
        </w:rPr>
        <w:t>, el nuevo modelo de financiación de la UPNA mediante un convenio plurianual</w:t>
      </w:r>
      <w:r w:rsidRPr="002E6968">
        <w:rPr>
          <w:spacing w:val="6"/>
          <w:sz w:val="26"/>
          <w:szCs w:val="26"/>
        </w:rPr>
        <w:t xml:space="preserve"> </w:t>
      </w:r>
      <w:r>
        <w:rPr>
          <w:spacing w:val="6"/>
          <w:sz w:val="26"/>
          <w:szCs w:val="26"/>
        </w:rPr>
        <w:t>supone un avance importante con respecto a anteriores convenios anuales de financiación</w:t>
      </w:r>
      <w:r w:rsidR="00741221">
        <w:rPr>
          <w:spacing w:val="6"/>
          <w:sz w:val="26"/>
          <w:szCs w:val="26"/>
        </w:rPr>
        <w:t>;</w:t>
      </w:r>
      <w:r>
        <w:rPr>
          <w:spacing w:val="6"/>
          <w:sz w:val="26"/>
          <w:szCs w:val="26"/>
        </w:rPr>
        <w:t xml:space="preserve"> permite un marco de financiación estable para la universidad durante el periodo 2018-20</w:t>
      </w:r>
      <w:r w:rsidR="00AD1FB4">
        <w:rPr>
          <w:spacing w:val="6"/>
          <w:sz w:val="26"/>
          <w:szCs w:val="26"/>
        </w:rPr>
        <w:t>20</w:t>
      </w:r>
      <w:r w:rsidR="00741221">
        <w:rPr>
          <w:spacing w:val="6"/>
          <w:sz w:val="26"/>
          <w:szCs w:val="26"/>
        </w:rPr>
        <w:t>;</w:t>
      </w:r>
      <w:r>
        <w:rPr>
          <w:spacing w:val="6"/>
          <w:sz w:val="26"/>
          <w:szCs w:val="26"/>
        </w:rPr>
        <w:t xml:space="preserve"> introduce indicadores y valores para el cálculo de los componentes de financiación</w:t>
      </w:r>
      <w:r w:rsidR="00741221">
        <w:rPr>
          <w:spacing w:val="6"/>
          <w:sz w:val="26"/>
          <w:szCs w:val="26"/>
        </w:rPr>
        <w:t>;</w:t>
      </w:r>
      <w:r>
        <w:rPr>
          <w:spacing w:val="6"/>
          <w:sz w:val="26"/>
          <w:szCs w:val="26"/>
        </w:rPr>
        <w:t xml:space="preserve"> y aporta transparencia y objetividad en la asignación de recursos públicos.</w:t>
      </w:r>
    </w:p>
    <w:p w:rsidR="00414999" w:rsidRDefault="00FB58A3" w:rsidP="00643374">
      <w:pPr>
        <w:tabs>
          <w:tab w:val="left" w:pos="8647"/>
        </w:tabs>
        <w:suppressAutoHyphens/>
        <w:autoSpaceDN w:val="0"/>
        <w:spacing w:after="0"/>
        <w:ind w:firstLine="284"/>
        <w:rPr>
          <w:spacing w:val="6"/>
          <w:sz w:val="26"/>
          <w:szCs w:val="26"/>
        </w:rPr>
      </w:pPr>
      <w:r>
        <w:rPr>
          <w:spacing w:val="6"/>
          <w:sz w:val="26"/>
          <w:szCs w:val="26"/>
        </w:rPr>
        <w:t xml:space="preserve">El modelo, a partir de </w:t>
      </w:r>
      <w:r w:rsidR="00414999">
        <w:rPr>
          <w:spacing w:val="6"/>
          <w:sz w:val="26"/>
          <w:szCs w:val="26"/>
        </w:rPr>
        <w:t>unos valores fijados para el año base 20</w:t>
      </w:r>
      <w:r>
        <w:rPr>
          <w:spacing w:val="6"/>
          <w:sz w:val="26"/>
          <w:szCs w:val="26"/>
        </w:rPr>
        <w:t>17,</w:t>
      </w:r>
      <w:r w:rsidR="00414999">
        <w:rPr>
          <w:spacing w:val="6"/>
          <w:sz w:val="26"/>
          <w:szCs w:val="26"/>
        </w:rPr>
        <w:t xml:space="preserve"> establece la financiación para los tres años posteriores.</w:t>
      </w:r>
    </w:p>
    <w:p w:rsidR="00643374" w:rsidRDefault="00643374" w:rsidP="00643374">
      <w:pPr>
        <w:tabs>
          <w:tab w:val="left" w:pos="8647"/>
        </w:tabs>
        <w:suppressAutoHyphens/>
        <w:autoSpaceDN w:val="0"/>
        <w:spacing w:after="0"/>
        <w:ind w:firstLine="284"/>
        <w:rPr>
          <w:spacing w:val="6"/>
          <w:sz w:val="26"/>
          <w:szCs w:val="26"/>
        </w:rPr>
      </w:pPr>
    </w:p>
    <w:p w:rsidR="00414999" w:rsidRPr="00F449FC" w:rsidRDefault="00414999" w:rsidP="00206B8D">
      <w:pPr>
        <w:pStyle w:val="atitulo2"/>
        <w:tabs>
          <w:tab w:val="left" w:pos="8647"/>
        </w:tabs>
        <w:spacing w:before="240" w:after="120"/>
        <w:ind w:right="284"/>
        <w:rPr>
          <w:color w:val="auto"/>
          <w:spacing w:val="6"/>
        </w:rPr>
      </w:pPr>
      <w:bookmarkStart w:id="20" w:name="_Toc57285458"/>
      <w:r w:rsidRPr="00F449FC">
        <w:rPr>
          <w:color w:val="auto"/>
          <w:spacing w:val="6"/>
        </w:rPr>
        <w:lastRenderedPageBreak/>
        <w:t>IV.1.4 Ayudas al estudio universitario</w:t>
      </w:r>
      <w:bookmarkEnd w:id="20"/>
    </w:p>
    <w:p w:rsidR="009D154E" w:rsidRDefault="009D154E" w:rsidP="009D154E">
      <w:pPr>
        <w:tabs>
          <w:tab w:val="left" w:pos="8647"/>
        </w:tabs>
        <w:suppressAutoHyphens/>
        <w:autoSpaceDN w:val="0"/>
        <w:spacing w:before="240"/>
        <w:ind w:firstLine="284"/>
        <w:rPr>
          <w:spacing w:val="6"/>
          <w:sz w:val="26"/>
          <w:szCs w:val="26"/>
        </w:rPr>
      </w:pPr>
      <w:r>
        <w:rPr>
          <w:spacing w:val="6"/>
          <w:sz w:val="26"/>
          <w:szCs w:val="26"/>
        </w:rPr>
        <w:t>En el ámbito universitario, a fin de que nadie quede excluido del estudio en la universidad por razones económicas, el artículo 45 de la LOU regula las becas y ayudas al estudio.</w:t>
      </w:r>
    </w:p>
    <w:p w:rsidR="009D154E" w:rsidRPr="00F83E7D" w:rsidRDefault="009D154E" w:rsidP="009D154E">
      <w:pPr>
        <w:tabs>
          <w:tab w:val="left" w:pos="8647"/>
        </w:tabs>
        <w:suppressAutoHyphens/>
        <w:autoSpaceDN w:val="0"/>
        <w:ind w:firstLine="284"/>
        <w:rPr>
          <w:spacing w:val="6"/>
          <w:sz w:val="26"/>
          <w:szCs w:val="26"/>
        </w:rPr>
      </w:pPr>
      <w:r>
        <w:rPr>
          <w:spacing w:val="6"/>
          <w:sz w:val="26"/>
          <w:szCs w:val="26"/>
        </w:rPr>
        <w:t>En el sistema transitorio</w:t>
      </w:r>
      <w:r w:rsidRPr="00F83E7D">
        <w:rPr>
          <w:spacing w:val="6"/>
          <w:sz w:val="26"/>
          <w:szCs w:val="26"/>
        </w:rPr>
        <w:t xml:space="preserve"> </w:t>
      </w:r>
      <w:r>
        <w:rPr>
          <w:spacing w:val="6"/>
          <w:sz w:val="26"/>
          <w:szCs w:val="26"/>
        </w:rPr>
        <w:t>de financiación de dichas becas,</w:t>
      </w:r>
      <w:r w:rsidRPr="00F83E7D">
        <w:rPr>
          <w:spacing w:val="6"/>
          <w:sz w:val="26"/>
          <w:szCs w:val="26"/>
        </w:rPr>
        <w:t xml:space="preserve"> el Estado compensa a </w:t>
      </w:r>
      <w:r>
        <w:rPr>
          <w:spacing w:val="6"/>
          <w:sz w:val="26"/>
          <w:szCs w:val="26"/>
        </w:rPr>
        <w:t xml:space="preserve">las universidades en función </w:t>
      </w:r>
      <w:r w:rsidRPr="00F83E7D">
        <w:rPr>
          <w:spacing w:val="6"/>
          <w:sz w:val="26"/>
          <w:szCs w:val="26"/>
        </w:rPr>
        <w:t>de</w:t>
      </w:r>
      <w:r>
        <w:rPr>
          <w:spacing w:val="6"/>
          <w:sz w:val="26"/>
          <w:szCs w:val="26"/>
        </w:rPr>
        <w:t>l precio público fijado para el</w:t>
      </w:r>
      <w:r w:rsidRPr="00F83E7D">
        <w:rPr>
          <w:spacing w:val="6"/>
          <w:sz w:val="26"/>
          <w:szCs w:val="26"/>
        </w:rPr>
        <w:t xml:space="preserve"> curso 2011/2012, actualizad</w:t>
      </w:r>
      <w:r>
        <w:rPr>
          <w:spacing w:val="6"/>
          <w:sz w:val="26"/>
          <w:szCs w:val="26"/>
        </w:rPr>
        <w:t>o</w:t>
      </w:r>
      <w:r w:rsidRPr="00F83E7D">
        <w:rPr>
          <w:spacing w:val="6"/>
          <w:sz w:val="26"/>
          <w:szCs w:val="26"/>
        </w:rPr>
        <w:t xml:space="preserve"> en un </w:t>
      </w:r>
      <w:r>
        <w:rPr>
          <w:spacing w:val="6"/>
          <w:sz w:val="26"/>
          <w:szCs w:val="26"/>
        </w:rPr>
        <w:t>uno</w:t>
      </w:r>
      <w:r w:rsidRPr="00F83E7D">
        <w:rPr>
          <w:spacing w:val="6"/>
          <w:sz w:val="26"/>
          <w:szCs w:val="26"/>
        </w:rPr>
        <w:t> </w:t>
      </w:r>
      <w:r>
        <w:rPr>
          <w:spacing w:val="6"/>
          <w:sz w:val="26"/>
          <w:szCs w:val="26"/>
        </w:rPr>
        <w:t>por ciento</w:t>
      </w:r>
      <w:r w:rsidRPr="00F83E7D">
        <w:rPr>
          <w:spacing w:val="6"/>
          <w:sz w:val="26"/>
          <w:szCs w:val="26"/>
        </w:rPr>
        <w:t xml:space="preserve">, de manera que, </w:t>
      </w:r>
      <w:r>
        <w:rPr>
          <w:spacing w:val="6"/>
          <w:sz w:val="26"/>
          <w:szCs w:val="26"/>
        </w:rPr>
        <w:t>si l</w:t>
      </w:r>
      <w:r w:rsidRPr="00F83E7D">
        <w:rPr>
          <w:spacing w:val="6"/>
          <w:sz w:val="26"/>
          <w:szCs w:val="26"/>
        </w:rPr>
        <w:t xml:space="preserve">a cantidad aportada a la </w:t>
      </w:r>
      <w:r>
        <w:rPr>
          <w:spacing w:val="6"/>
          <w:sz w:val="26"/>
          <w:szCs w:val="26"/>
        </w:rPr>
        <w:t>u</w:t>
      </w:r>
      <w:r w:rsidRPr="00F83E7D">
        <w:rPr>
          <w:spacing w:val="6"/>
          <w:sz w:val="26"/>
          <w:szCs w:val="26"/>
        </w:rPr>
        <w:t xml:space="preserve">niversidad </w:t>
      </w:r>
      <w:r>
        <w:rPr>
          <w:spacing w:val="6"/>
          <w:sz w:val="26"/>
          <w:szCs w:val="26"/>
        </w:rPr>
        <w:t>es</w:t>
      </w:r>
      <w:r w:rsidRPr="00F83E7D">
        <w:rPr>
          <w:spacing w:val="6"/>
          <w:sz w:val="26"/>
          <w:szCs w:val="26"/>
        </w:rPr>
        <w:t xml:space="preserve"> inferior al coste de las becas de matrícula</w:t>
      </w:r>
      <w:r>
        <w:rPr>
          <w:spacing w:val="6"/>
          <w:sz w:val="26"/>
          <w:szCs w:val="26"/>
        </w:rPr>
        <w:t xml:space="preserve">, la </w:t>
      </w:r>
      <w:r w:rsidRPr="00F83E7D">
        <w:rPr>
          <w:spacing w:val="6"/>
          <w:sz w:val="26"/>
          <w:szCs w:val="26"/>
        </w:rPr>
        <w:t>comunidad autónoma compensar</w:t>
      </w:r>
      <w:r>
        <w:rPr>
          <w:spacing w:val="6"/>
          <w:sz w:val="26"/>
          <w:szCs w:val="26"/>
        </w:rPr>
        <w:t>á</w:t>
      </w:r>
      <w:r w:rsidRPr="00F83E7D">
        <w:rPr>
          <w:spacing w:val="6"/>
          <w:sz w:val="26"/>
          <w:szCs w:val="26"/>
        </w:rPr>
        <w:t xml:space="preserve"> a las </w:t>
      </w:r>
      <w:r>
        <w:rPr>
          <w:spacing w:val="6"/>
          <w:sz w:val="26"/>
          <w:szCs w:val="26"/>
        </w:rPr>
        <w:t>u</w:t>
      </w:r>
      <w:r w:rsidRPr="00F83E7D">
        <w:rPr>
          <w:spacing w:val="6"/>
          <w:sz w:val="26"/>
          <w:szCs w:val="26"/>
        </w:rPr>
        <w:t xml:space="preserve">niversidades por la diferencia, de modo que el beneficiario de la beca quede exento de cualquier obligación económica. Por tanto, el efecto de la subida de los precios públicos se traslada a los presupuestos de las CCAA por la parte de </w:t>
      </w:r>
      <w:r>
        <w:rPr>
          <w:spacing w:val="6"/>
          <w:sz w:val="26"/>
          <w:szCs w:val="26"/>
        </w:rPr>
        <w:t xml:space="preserve">la </w:t>
      </w:r>
      <w:r w:rsidRPr="00F83E7D">
        <w:rPr>
          <w:spacing w:val="6"/>
          <w:sz w:val="26"/>
          <w:szCs w:val="26"/>
        </w:rPr>
        <w:t>beca de matrícula no cubierta por el Estado.</w:t>
      </w:r>
    </w:p>
    <w:p w:rsidR="009D154E" w:rsidRDefault="009D154E" w:rsidP="002E449C">
      <w:pPr>
        <w:tabs>
          <w:tab w:val="left" w:pos="8647"/>
        </w:tabs>
        <w:suppressAutoHyphens/>
        <w:autoSpaceDN w:val="0"/>
        <w:spacing w:before="120" w:after="240"/>
        <w:ind w:firstLine="284"/>
        <w:rPr>
          <w:rFonts w:eastAsia="Calibri"/>
          <w:spacing w:val="6"/>
          <w:sz w:val="26"/>
          <w:szCs w:val="26"/>
          <w:lang w:eastAsia="es-ES"/>
        </w:rPr>
      </w:pPr>
      <w:r>
        <w:rPr>
          <w:rFonts w:eastAsia="Calibri"/>
          <w:spacing w:val="6"/>
          <w:sz w:val="26"/>
          <w:szCs w:val="26"/>
          <w:lang w:eastAsia="es-ES"/>
        </w:rPr>
        <w:t>La evolución de la beca por matrícula por estudiante en el periodo 2012-2018 es la siguiente:</w:t>
      </w:r>
    </w:p>
    <w:tbl>
      <w:tblPr>
        <w:tblW w:w="9021"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834"/>
        <w:gridCol w:w="1217"/>
        <w:gridCol w:w="1245"/>
        <w:gridCol w:w="1213"/>
        <w:gridCol w:w="991"/>
        <w:gridCol w:w="954"/>
        <w:gridCol w:w="763"/>
        <w:gridCol w:w="536"/>
        <w:gridCol w:w="698"/>
        <w:gridCol w:w="570"/>
      </w:tblGrid>
      <w:tr w:rsidR="00414999" w:rsidRPr="003F68F6" w:rsidTr="000F43E0">
        <w:trPr>
          <w:trHeight w:val="255"/>
        </w:trPr>
        <w:tc>
          <w:tcPr>
            <w:tcW w:w="851" w:type="dxa"/>
            <w:vMerge w:val="restart"/>
            <w:shd w:val="clear" w:color="auto" w:fill="B8CCE4" w:themeFill="accent1" w:themeFillTint="66"/>
            <w:vAlign w:val="center"/>
            <w:hideMark/>
          </w:tcPr>
          <w:p w:rsidR="00414999" w:rsidRPr="003F68F6" w:rsidRDefault="00681820" w:rsidP="00F44C41">
            <w:pPr>
              <w:pStyle w:val="cuadroCabe"/>
              <w:tabs>
                <w:tab w:val="left" w:pos="8647"/>
              </w:tabs>
              <w:rPr>
                <w:sz w:val="15"/>
                <w:szCs w:val="15"/>
                <w:lang w:val="es-ES" w:eastAsia="es-ES"/>
              </w:rPr>
            </w:pPr>
            <w:r w:rsidRPr="003F68F6">
              <w:rPr>
                <w:sz w:val="15"/>
                <w:szCs w:val="15"/>
                <w:lang w:val="es-ES" w:eastAsia="es-ES"/>
              </w:rPr>
              <w:t>Curso</w:t>
            </w:r>
          </w:p>
        </w:tc>
        <w:tc>
          <w:tcPr>
            <w:tcW w:w="1221" w:type="dxa"/>
            <w:vMerge w:val="restart"/>
            <w:shd w:val="clear" w:color="auto" w:fill="B8CCE4" w:themeFill="accent1" w:themeFillTint="66"/>
            <w:vAlign w:val="center"/>
            <w:hideMark/>
          </w:tcPr>
          <w:p w:rsidR="00414999" w:rsidRPr="003F68F6" w:rsidRDefault="00681820" w:rsidP="00D41A47">
            <w:pPr>
              <w:pStyle w:val="cuadroCabe"/>
              <w:tabs>
                <w:tab w:val="left" w:pos="8647"/>
              </w:tabs>
              <w:jc w:val="right"/>
              <w:rPr>
                <w:sz w:val="15"/>
                <w:szCs w:val="15"/>
                <w:lang w:val="es-ES" w:eastAsia="es-ES"/>
              </w:rPr>
            </w:pPr>
            <w:r w:rsidRPr="003F68F6">
              <w:rPr>
                <w:sz w:val="15"/>
                <w:szCs w:val="15"/>
                <w:lang w:val="es-ES" w:eastAsia="es-ES"/>
              </w:rPr>
              <w:t xml:space="preserve">Compensación  Estado </w:t>
            </w:r>
            <w:r w:rsidR="00D41A47">
              <w:rPr>
                <w:sz w:val="15"/>
                <w:szCs w:val="15"/>
                <w:lang w:val="es-ES" w:eastAsia="es-ES"/>
              </w:rPr>
              <w:t>b</w:t>
            </w:r>
            <w:r w:rsidRPr="003F68F6">
              <w:rPr>
                <w:sz w:val="15"/>
                <w:szCs w:val="15"/>
                <w:lang w:val="es-ES" w:eastAsia="es-ES"/>
              </w:rPr>
              <w:t xml:space="preserve">ecas </w:t>
            </w:r>
            <w:r w:rsidR="00D41A47">
              <w:rPr>
                <w:sz w:val="15"/>
                <w:szCs w:val="15"/>
                <w:lang w:val="es-ES" w:eastAsia="es-ES"/>
              </w:rPr>
              <w:t>m</w:t>
            </w:r>
            <w:r w:rsidRPr="003F68F6">
              <w:rPr>
                <w:sz w:val="15"/>
                <w:szCs w:val="15"/>
                <w:lang w:val="es-ES" w:eastAsia="es-ES"/>
              </w:rPr>
              <w:t>atrícula</w:t>
            </w:r>
          </w:p>
        </w:tc>
        <w:tc>
          <w:tcPr>
            <w:tcW w:w="1276" w:type="dxa"/>
            <w:vMerge w:val="restart"/>
            <w:shd w:val="clear" w:color="auto" w:fill="B8CCE4" w:themeFill="accent1" w:themeFillTint="66"/>
            <w:vAlign w:val="center"/>
          </w:tcPr>
          <w:p w:rsidR="00414999" w:rsidRPr="003F68F6" w:rsidRDefault="00681820" w:rsidP="00D41A47">
            <w:pPr>
              <w:pStyle w:val="cuadroCabe"/>
              <w:tabs>
                <w:tab w:val="left" w:pos="8647"/>
              </w:tabs>
              <w:jc w:val="right"/>
              <w:rPr>
                <w:sz w:val="15"/>
                <w:szCs w:val="15"/>
                <w:lang w:val="es-ES" w:eastAsia="es-ES"/>
              </w:rPr>
            </w:pPr>
            <w:r w:rsidRPr="003F68F6">
              <w:rPr>
                <w:sz w:val="15"/>
                <w:szCs w:val="15"/>
                <w:lang w:val="es-ES" w:eastAsia="es-ES"/>
              </w:rPr>
              <w:t xml:space="preserve">Compensación Estado </w:t>
            </w:r>
            <w:r w:rsidR="00D41A47">
              <w:rPr>
                <w:sz w:val="15"/>
                <w:szCs w:val="15"/>
                <w:lang w:val="es-ES" w:eastAsia="es-ES"/>
              </w:rPr>
              <w:t>f</w:t>
            </w:r>
            <w:r w:rsidRPr="003F68F6">
              <w:rPr>
                <w:sz w:val="15"/>
                <w:szCs w:val="15"/>
                <w:lang w:val="es-ES" w:eastAsia="es-ES"/>
              </w:rPr>
              <w:t xml:space="preserve">amilia </w:t>
            </w:r>
            <w:r w:rsidR="00D41A47">
              <w:rPr>
                <w:sz w:val="15"/>
                <w:szCs w:val="15"/>
                <w:lang w:val="es-ES" w:eastAsia="es-ES"/>
              </w:rPr>
              <w:t>n</w:t>
            </w:r>
            <w:r w:rsidRPr="003F68F6">
              <w:rPr>
                <w:sz w:val="15"/>
                <w:szCs w:val="15"/>
                <w:lang w:val="es-ES" w:eastAsia="es-ES"/>
              </w:rPr>
              <w:t>umerosa</w:t>
            </w:r>
          </w:p>
        </w:tc>
        <w:tc>
          <w:tcPr>
            <w:tcW w:w="993" w:type="dxa"/>
            <w:vMerge w:val="restart"/>
            <w:shd w:val="clear" w:color="auto" w:fill="B8CCE4" w:themeFill="accent1" w:themeFillTint="66"/>
            <w:vAlign w:val="center"/>
            <w:hideMark/>
          </w:tcPr>
          <w:p w:rsidR="00414999" w:rsidRPr="003F68F6" w:rsidRDefault="00681820" w:rsidP="00130BE2">
            <w:pPr>
              <w:pStyle w:val="cuadroCabe"/>
              <w:tabs>
                <w:tab w:val="left" w:pos="8647"/>
              </w:tabs>
              <w:jc w:val="right"/>
              <w:rPr>
                <w:sz w:val="15"/>
                <w:szCs w:val="15"/>
                <w:lang w:val="es-ES" w:eastAsia="es-ES"/>
              </w:rPr>
            </w:pPr>
            <w:r w:rsidRPr="003F68F6">
              <w:rPr>
                <w:sz w:val="15"/>
                <w:szCs w:val="15"/>
                <w:lang w:val="es-ES" w:eastAsia="es-ES"/>
              </w:rPr>
              <w:t>Compensación C</w:t>
            </w:r>
            <w:r w:rsidR="00130BE2">
              <w:rPr>
                <w:sz w:val="15"/>
                <w:szCs w:val="15"/>
                <w:lang w:val="es-ES" w:eastAsia="es-ES"/>
              </w:rPr>
              <w:t>F</w:t>
            </w:r>
            <w:r w:rsidR="00741724">
              <w:rPr>
                <w:sz w:val="15"/>
                <w:szCs w:val="15"/>
                <w:lang w:val="es-ES" w:eastAsia="es-ES"/>
              </w:rPr>
              <w:t>N</w:t>
            </w:r>
            <w:r w:rsidRPr="003F68F6">
              <w:rPr>
                <w:sz w:val="15"/>
                <w:szCs w:val="15"/>
                <w:lang w:val="es-ES" w:eastAsia="es-ES"/>
              </w:rPr>
              <w:t xml:space="preserve"> </w:t>
            </w:r>
          </w:p>
        </w:tc>
        <w:tc>
          <w:tcPr>
            <w:tcW w:w="992" w:type="dxa"/>
            <w:vMerge w:val="restart"/>
            <w:shd w:val="clear" w:color="auto" w:fill="B8CCE4" w:themeFill="accent1" w:themeFillTint="66"/>
            <w:vAlign w:val="center"/>
            <w:hideMark/>
          </w:tcPr>
          <w:p w:rsidR="00414999" w:rsidRPr="003F68F6" w:rsidRDefault="00681820" w:rsidP="00D41A47">
            <w:pPr>
              <w:pStyle w:val="cuadroCabe"/>
              <w:tabs>
                <w:tab w:val="left" w:pos="8647"/>
              </w:tabs>
              <w:jc w:val="right"/>
              <w:rPr>
                <w:sz w:val="15"/>
                <w:szCs w:val="15"/>
                <w:lang w:val="es-ES" w:eastAsia="es-ES"/>
              </w:rPr>
            </w:pPr>
            <w:r w:rsidRPr="003F68F6">
              <w:rPr>
                <w:sz w:val="15"/>
                <w:szCs w:val="15"/>
                <w:lang w:val="es-ES" w:eastAsia="es-ES"/>
              </w:rPr>
              <w:t xml:space="preserve">Estudiantes </w:t>
            </w:r>
            <w:r w:rsidR="00130BE2">
              <w:rPr>
                <w:sz w:val="15"/>
                <w:szCs w:val="15"/>
                <w:lang w:val="es-ES" w:eastAsia="es-ES"/>
              </w:rPr>
              <w:t>c</w:t>
            </w:r>
            <w:r w:rsidRPr="003F68F6">
              <w:rPr>
                <w:sz w:val="15"/>
                <w:szCs w:val="15"/>
                <w:lang w:val="es-ES" w:eastAsia="es-ES"/>
              </w:rPr>
              <w:t xml:space="preserve">on </w:t>
            </w:r>
            <w:r w:rsidR="00D41A47">
              <w:rPr>
                <w:sz w:val="15"/>
                <w:szCs w:val="15"/>
                <w:lang w:val="es-ES" w:eastAsia="es-ES"/>
              </w:rPr>
              <w:t>b</w:t>
            </w:r>
            <w:r w:rsidRPr="003F68F6">
              <w:rPr>
                <w:sz w:val="15"/>
                <w:szCs w:val="15"/>
                <w:lang w:val="es-ES" w:eastAsia="es-ES"/>
              </w:rPr>
              <w:t xml:space="preserve">eca </w:t>
            </w:r>
          </w:p>
        </w:tc>
        <w:tc>
          <w:tcPr>
            <w:tcW w:w="1012" w:type="dxa"/>
            <w:vMerge w:val="restart"/>
            <w:tcBorders>
              <w:right w:val="single" w:sz="4" w:space="0" w:color="auto"/>
            </w:tcBorders>
            <w:shd w:val="clear" w:color="auto" w:fill="B8CCE4" w:themeFill="accent1" w:themeFillTint="66"/>
            <w:vAlign w:val="center"/>
            <w:hideMark/>
          </w:tcPr>
          <w:p w:rsidR="00414999" w:rsidRPr="003F68F6" w:rsidRDefault="00681820" w:rsidP="00D41A47">
            <w:pPr>
              <w:pStyle w:val="cuadroCabe"/>
              <w:tabs>
                <w:tab w:val="left" w:pos="8647"/>
              </w:tabs>
              <w:jc w:val="right"/>
              <w:rPr>
                <w:sz w:val="15"/>
                <w:szCs w:val="15"/>
                <w:lang w:val="es-ES" w:eastAsia="es-ES"/>
              </w:rPr>
            </w:pPr>
            <w:r w:rsidRPr="003F68F6">
              <w:rPr>
                <w:sz w:val="15"/>
                <w:szCs w:val="15"/>
                <w:lang w:val="es-ES" w:eastAsia="es-ES"/>
              </w:rPr>
              <w:t xml:space="preserve">Beca </w:t>
            </w:r>
            <w:r w:rsidR="00130BE2">
              <w:rPr>
                <w:sz w:val="15"/>
                <w:szCs w:val="15"/>
                <w:lang w:val="es-ES" w:eastAsia="es-ES"/>
              </w:rPr>
              <w:t>p</w:t>
            </w:r>
            <w:r w:rsidRPr="003F68F6">
              <w:rPr>
                <w:sz w:val="15"/>
                <w:szCs w:val="15"/>
                <w:lang w:val="es-ES" w:eastAsia="es-ES"/>
              </w:rPr>
              <w:t xml:space="preserve">or </w:t>
            </w:r>
            <w:r w:rsidR="00D41A47">
              <w:rPr>
                <w:sz w:val="15"/>
                <w:szCs w:val="15"/>
                <w:lang w:val="es-ES" w:eastAsia="es-ES"/>
              </w:rPr>
              <w:t>e</w:t>
            </w:r>
            <w:r w:rsidRPr="003F68F6">
              <w:rPr>
                <w:sz w:val="15"/>
                <w:szCs w:val="15"/>
                <w:lang w:val="es-ES" w:eastAsia="es-ES"/>
              </w:rPr>
              <w:t xml:space="preserve">studiante </w:t>
            </w:r>
          </w:p>
        </w:tc>
        <w:tc>
          <w:tcPr>
            <w:tcW w:w="1401" w:type="dxa"/>
            <w:gridSpan w:val="2"/>
            <w:tcBorders>
              <w:left w:val="single" w:sz="4" w:space="0" w:color="auto"/>
              <w:right w:val="single" w:sz="4" w:space="0" w:color="auto"/>
            </w:tcBorders>
            <w:shd w:val="clear" w:color="auto" w:fill="B8CCE4" w:themeFill="accent1" w:themeFillTint="66"/>
            <w:vAlign w:val="center"/>
            <w:hideMark/>
          </w:tcPr>
          <w:p w:rsidR="00414999" w:rsidRPr="003F68F6" w:rsidRDefault="00681820" w:rsidP="00D41A47">
            <w:pPr>
              <w:pStyle w:val="cuadroCabe"/>
              <w:tabs>
                <w:tab w:val="left" w:pos="8647"/>
              </w:tabs>
              <w:jc w:val="right"/>
              <w:rPr>
                <w:sz w:val="15"/>
                <w:szCs w:val="15"/>
                <w:lang w:val="es-ES" w:eastAsia="es-ES"/>
              </w:rPr>
            </w:pPr>
            <w:r w:rsidRPr="003F68F6">
              <w:rPr>
                <w:sz w:val="15"/>
                <w:szCs w:val="15"/>
                <w:lang w:val="es-ES" w:eastAsia="es-ES"/>
              </w:rPr>
              <w:t xml:space="preserve">Beca Estado </w:t>
            </w:r>
            <w:r w:rsidR="00130BE2">
              <w:rPr>
                <w:sz w:val="15"/>
                <w:szCs w:val="15"/>
                <w:lang w:val="es-ES" w:eastAsia="es-ES"/>
              </w:rPr>
              <w:t>p</w:t>
            </w:r>
            <w:r w:rsidRPr="003F68F6">
              <w:rPr>
                <w:sz w:val="15"/>
                <w:szCs w:val="15"/>
                <w:lang w:val="es-ES" w:eastAsia="es-ES"/>
              </w:rPr>
              <w:t xml:space="preserve">or </w:t>
            </w:r>
            <w:r w:rsidR="00D41A47">
              <w:rPr>
                <w:sz w:val="15"/>
                <w:szCs w:val="15"/>
                <w:lang w:val="es-ES" w:eastAsia="es-ES"/>
              </w:rPr>
              <w:t>e</w:t>
            </w:r>
            <w:r w:rsidRPr="003F68F6">
              <w:rPr>
                <w:sz w:val="15"/>
                <w:szCs w:val="15"/>
                <w:lang w:val="es-ES" w:eastAsia="es-ES"/>
              </w:rPr>
              <w:t xml:space="preserve">studiante </w:t>
            </w:r>
          </w:p>
        </w:tc>
        <w:tc>
          <w:tcPr>
            <w:tcW w:w="1275" w:type="dxa"/>
            <w:gridSpan w:val="2"/>
            <w:tcBorders>
              <w:left w:val="single" w:sz="4" w:space="0" w:color="auto"/>
              <w:right w:val="single" w:sz="4" w:space="0" w:color="auto"/>
            </w:tcBorders>
            <w:shd w:val="clear" w:color="auto" w:fill="B8CCE4" w:themeFill="accent1" w:themeFillTint="66"/>
            <w:vAlign w:val="center"/>
            <w:hideMark/>
          </w:tcPr>
          <w:p w:rsidR="00414999" w:rsidRPr="003F68F6" w:rsidRDefault="00681820" w:rsidP="00D41A47">
            <w:pPr>
              <w:pStyle w:val="cuadroCabe"/>
              <w:tabs>
                <w:tab w:val="left" w:pos="8647"/>
              </w:tabs>
              <w:jc w:val="right"/>
              <w:rPr>
                <w:sz w:val="15"/>
                <w:szCs w:val="15"/>
                <w:lang w:val="es-ES" w:eastAsia="es-ES"/>
              </w:rPr>
            </w:pPr>
            <w:r w:rsidRPr="003F68F6">
              <w:rPr>
                <w:sz w:val="15"/>
                <w:szCs w:val="15"/>
                <w:lang w:val="es-ES" w:eastAsia="es-ES"/>
              </w:rPr>
              <w:t>Beca C</w:t>
            </w:r>
            <w:r w:rsidR="00130BE2">
              <w:rPr>
                <w:sz w:val="15"/>
                <w:szCs w:val="15"/>
                <w:lang w:val="es-ES" w:eastAsia="es-ES"/>
              </w:rPr>
              <w:t>FN</w:t>
            </w:r>
            <w:r w:rsidRPr="003F68F6">
              <w:rPr>
                <w:sz w:val="15"/>
                <w:szCs w:val="15"/>
                <w:lang w:val="es-ES" w:eastAsia="es-ES"/>
              </w:rPr>
              <w:t xml:space="preserve"> </w:t>
            </w:r>
            <w:r w:rsidR="00130BE2">
              <w:rPr>
                <w:sz w:val="15"/>
                <w:szCs w:val="15"/>
                <w:lang w:val="es-ES" w:eastAsia="es-ES"/>
              </w:rPr>
              <w:t>p</w:t>
            </w:r>
            <w:r w:rsidRPr="003F68F6">
              <w:rPr>
                <w:sz w:val="15"/>
                <w:szCs w:val="15"/>
                <w:lang w:val="es-ES" w:eastAsia="es-ES"/>
              </w:rPr>
              <w:t xml:space="preserve">or </w:t>
            </w:r>
            <w:r w:rsidR="00D41A47">
              <w:rPr>
                <w:sz w:val="15"/>
                <w:szCs w:val="15"/>
                <w:lang w:val="es-ES" w:eastAsia="es-ES"/>
              </w:rPr>
              <w:t>e</w:t>
            </w:r>
            <w:r w:rsidRPr="003F68F6">
              <w:rPr>
                <w:sz w:val="15"/>
                <w:szCs w:val="15"/>
                <w:lang w:val="es-ES" w:eastAsia="es-ES"/>
              </w:rPr>
              <w:t xml:space="preserve">studiante </w:t>
            </w:r>
          </w:p>
        </w:tc>
      </w:tr>
      <w:tr w:rsidR="00414999" w:rsidRPr="00681820" w:rsidTr="000F43E0">
        <w:trPr>
          <w:trHeight w:val="255"/>
        </w:trPr>
        <w:tc>
          <w:tcPr>
            <w:tcW w:w="851" w:type="dxa"/>
            <w:vMerge/>
            <w:shd w:val="clear" w:color="auto" w:fill="auto"/>
            <w:vAlign w:val="center"/>
            <w:hideMark/>
          </w:tcPr>
          <w:p w:rsidR="00414999" w:rsidRPr="00681820" w:rsidRDefault="00414999" w:rsidP="00F44C41">
            <w:pPr>
              <w:pStyle w:val="cuadroCabe"/>
              <w:tabs>
                <w:tab w:val="left" w:pos="8647"/>
              </w:tabs>
              <w:rPr>
                <w:sz w:val="14"/>
                <w:szCs w:val="14"/>
                <w:lang w:val="es-ES" w:eastAsia="es-ES"/>
              </w:rPr>
            </w:pPr>
          </w:p>
        </w:tc>
        <w:tc>
          <w:tcPr>
            <w:tcW w:w="1221" w:type="dxa"/>
            <w:vMerge/>
            <w:shd w:val="clear" w:color="auto" w:fill="auto"/>
            <w:vAlign w:val="center"/>
            <w:hideMark/>
          </w:tcPr>
          <w:p w:rsidR="00414999" w:rsidRPr="00681820" w:rsidRDefault="00414999" w:rsidP="00F44C41">
            <w:pPr>
              <w:pStyle w:val="cuadroCabe"/>
              <w:tabs>
                <w:tab w:val="left" w:pos="8647"/>
              </w:tabs>
              <w:jc w:val="right"/>
              <w:rPr>
                <w:sz w:val="14"/>
                <w:szCs w:val="14"/>
                <w:lang w:val="es-ES" w:eastAsia="es-ES"/>
              </w:rPr>
            </w:pPr>
          </w:p>
        </w:tc>
        <w:tc>
          <w:tcPr>
            <w:tcW w:w="1276" w:type="dxa"/>
            <w:vMerge/>
            <w:vAlign w:val="center"/>
          </w:tcPr>
          <w:p w:rsidR="00414999" w:rsidRPr="00681820" w:rsidRDefault="00414999" w:rsidP="00F44C41">
            <w:pPr>
              <w:pStyle w:val="cuadroCabe"/>
              <w:tabs>
                <w:tab w:val="left" w:pos="8647"/>
              </w:tabs>
              <w:jc w:val="right"/>
              <w:rPr>
                <w:sz w:val="14"/>
                <w:szCs w:val="14"/>
                <w:lang w:val="es-ES" w:eastAsia="es-ES"/>
              </w:rPr>
            </w:pPr>
          </w:p>
        </w:tc>
        <w:tc>
          <w:tcPr>
            <w:tcW w:w="993" w:type="dxa"/>
            <w:vMerge/>
            <w:shd w:val="clear" w:color="auto" w:fill="auto"/>
            <w:vAlign w:val="center"/>
            <w:hideMark/>
          </w:tcPr>
          <w:p w:rsidR="00414999" w:rsidRPr="00681820" w:rsidRDefault="00414999" w:rsidP="00F44C41">
            <w:pPr>
              <w:pStyle w:val="cuadroCabe"/>
              <w:tabs>
                <w:tab w:val="left" w:pos="8647"/>
              </w:tabs>
              <w:jc w:val="right"/>
              <w:rPr>
                <w:sz w:val="14"/>
                <w:szCs w:val="14"/>
                <w:lang w:val="es-ES" w:eastAsia="es-ES"/>
              </w:rPr>
            </w:pPr>
          </w:p>
        </w:tc>
        <w:tc>
          <w:tcPr>
            <w:tcW w:w="992" w:type="dxa"/>
            <w:vMerge/>
            <w:shd w:val="clear" w:color="auto" w:fill="auto"/>
            <w:vAlign w:val="center"/>
            <w:hideMark/>
          </w:tcPr>
          <w:p w:rsidR="00414999" w:rsidRPr="00681820" w:rsidRDefault="00414999" w:rsidP="00F44C41">
            <w:pPr>
              <w:pStyle w:val="cuadroCabe"/>
              <w:tabs>
                <w:tab w:val="left" w:pos="8647"/>
              </w:tabs>
              <w:jc w:val="right"/>
              <w:rPr>
                <w:sz w:val="14"/>
                <w:szCs w:val="14"/>
                <w:lang w:val="es-ES" w:eastAsia="es-ES"/>
              </w:rPr>
            </w:pPr>
          </w:p>
        </w:tc>
        <w:tc>
          <w:tcPr>
            <w:tcW w:w="1012" w:type="dxa"/>
            <w:vMerge/>
            <w:tcBorders>
              <w:right w:val="single" w:sz="4" w:space="0" w:color="auto"/>
            </w:tcBorders>
            <w:shd w:val="clear" w:color="auto" w:fill="auto"/>
            <w:vAlign w:val="center"/>
            <w:hideMark/>
          </w:tcPr>
          <w:p w:rsidR="00414999" w:rsidRPr="00681820" w:rsidRDefault="00414999" w:rsidP="00F44C41">
            <w:pPr>
              <w:pStyle w:val="cuadroCabe"/>
              <w:tabs>
                <w:tab w:val="left" w:pos="8647"/>
              </w:tabs>
              <w:jc w:val="right"/>
              <w:rPr>
                <w:sz w:val="14"/>
                <w:szCs w:val="14"/>
                <w:lang w:val="es-ES" w:eastAsia="es-ES"/>
              </w:rPr>
            </w:pPr>
          </w:p>
        </w:tc>
        <w:tc>
          <w:tcPr>
            <w:tcW w:w="831" w:type="dxa"/>
            <w:tcBorders>
              <w:left w:val="single" w:sz="4" w:space="0" w:color="auto"/>
            </w:tcBorders>
            <w:shd w:val="clear" w:color="auto" w:fill="B8CCE4" w:themeFill="accent1" w:themeFillTint="66"/>
            <w:vAlign w:val="center"/>
            <w:hideMark/>
          </w:tcPr>
          <w:p w:rsidR="00414999" w:rsidRPr="003F68F6" w:rsidRDefault="00414999" w:rsidP="00F44C41">
            <w:pPr>
              <w:pStyle w:val="cuadroCabe"/>
              <w:tabs>
                <w:tab w:val="left" w:pos="8647"/>
              </w:tabs>
              <w:jc w:val="right"/>
              <w:rPr>
                <w:sz w:val="15"/>
                <w:szCs w:val="15"/>
                <w:lang w:val="es-ES" w:eastAsia="es-ES"/>
              </w:rPr>
            </w:pPr>
            <w:r w:rsidRPr="003F68F6">
              <w:rPr>
                <w:sz w:val="15"/>
                <w:szCs w:val="15"/>
                <w:lang w:val="es-ES" w:eastAsia="es-ES"/>
              </w:rPr>
              <w:t>Importe</w:t>
            </w:r>
          </w:p>
        </w:tc>
        <w:tc>
          <w:tcPr>
            <w:tcW w:w="570" w:type="dxa"/>
            <w:tcBorders>
              <w:right w:val="single" w:sz="4" w:space="0" w:color="auto"/>
            </w:tcBorders>
            <w:shd w:val="clear" w:color="auto" w:fill="B8CCE4" w:themeFill="accent1" w:themeFillTint="66"/>
            <w:vAlign w:val="center"/>
            <w:hideMark/>
          </w:tcPr>
          <w:p w:rsidR="00414999" w:rsidRPr="003F68F6" w:rsidRDefault="00414999" w:rsidP="00F44C41">
            <w:pPr>
              <w:pStyle w:val="cuadroCabe"/>
              <w:tabs>
                <w:tab w:val="left" w:pos="8647"/>
              </w:tabs>
              <w:jc w:val="right"/>
              <w:rPr>
                <w:sz w:val="15"/>
                <w:szCs w:val="15"/>
                <w:lang w:val="es-ES" w:eastAsia="es-ES"/>
              </w:rPr>
            </w:pPr>
            <w:r w:rsidRPr="003F68F6">
              <w:rPr>
                <w:sz w:val="15"/>
                <w:szCs w:val="15"/>
                <w:lang w:val="es-ES" w:eastAsia="es-ES"/>
              </w:rPr>
              <w:t>%</w:t>
            </w:r>
          </w:p>
        </w:tc>
        <w:tc>
          <w:tcPr>
            <w:tcW w:w="705" w:type="dxa"/>
            <w:tcBorders>
              <w:left w:val="single" w:sz="4" w:space="0" w:color="auto"/>
            </w:tcBorders>
            <w:shd w:val="clear" w:color="auto" w:fill="B8CCE4" w:themeFill="accent1" w:themeFillTint="66"/>
            <w:vAlign w:val="center"/>
            <w:hideMark/>
          </w:tcPr>
          <w:p w:rsidR="00414999" w:rsidRPr="003F68F6" w:rsidRDefault="00414999" w:rsidP="00F44C41">
            <w:pPr>
              <w:pStyle w:val="cuadroCabe"/>
              <w:tabs>
                <w:tab w:val="left" w:pos="8647"/>
              </w:tabs>
              <w:jc w:val="right"/>
              <w:rPr>
                <w:sz w:val="15"/>
                <w:szCs w:val="15"/>
                <w:lang w:val="es-ES" w:eastAsia="es-ES"/>
              </w:rPr>
            </w:pPr>
            <w:r w:rsidRPr="003F68F6">
              <w:rPr>
                <w:sz w:val="15"/>
                <w:szCs w:val="15"/>
                <w:lang w:val="es-ES" w:eastAsia="es-ES"/>
              </w:rPr>
              <w:t>Importe</w:t>
            </w:r>
          </w:p>
        </w:tc>
        <w:tc>
          <w:tcPr>
            <w:tcW w:w="570" w:type="dxa"/>
            <w:tcBorders>
              <w:right w:val="single" w:sz="4" w:space="0" w:color="auto"/>
            </w:tcBorders>
            <w:shd w:val="clear" w:color="auto" w:fill="B8CCE4" w:themeFill="accent1" w:themeFillTint="66"/>
            <w:vAlign w:val="center"/>
            <w:hideMark/>
          </w:tcPr>
          <w:p w:rsidR="00414999" w:rsidRPr="003F68F6" w:rsidRDefault="00414999" w:rsidP="00F44C41">
            <w:pPr>
              <w:pStyle w:val="cuadroCabe"/>
              <w:tabs>
                <w:tab w:val="left" w:pos="8647"/>
              </w:tabs>
              <w:jc w:val="right"/>
              <w:rPr>
                <w:sz w:val="15"/>
                <w:szCs w:val="15"/>
                <w:lang w:val="es-ES" w:eastAsia="es-ES"/>
              </w:rPr>
            </w:pPr>
            <w:r w:rsidRPr="003F68F6">
              <w:rPr>
                <w:sz w:val="15"/>
                <w:szCs w:val="15"/>
                <w:lang w:val="es-ES" w:eastAsia="es-ES"/>
              </w:rPr>
              <w:t>%</w:t>
            </w:r>
          </w:p>
        </w:tc>
      </w:tr>
      <w:tr w:rsidR="00414999" w:rsidRPr="003F68F6" w:rsidTr="000F43E0">
        <w:trPr>
          <w:trHeight w:val="255"/>
        </w:trPr>
        <w:tc>
          <w:tcPr>
            <w:tcW w:w="851" w:type="dxa"/>
            <w:tcBorders>
              <w:bottom w:val="single" w:sz="2" w:space="0" w:color="auto"/>
            </w:tcBorders>
            <w:shd w:val="clear" w:color="auto" w:fill="auto"/>
            <w:vAlign w:val="center"/>
            <w:hideMark/>
          </w:tcPr>
          <w:p w:rsidR="00414999" w:rsidRPr="003F68F6" w:rsidRDefault="00414999" w:rsidP="00F44C41">
            <w:pPr>
              <w:pStyle w:val="cuatexto"/>
              <w:tabs>
                <w:tab w:val="left" w:pos="8647"/>
              </w:tabs>
              <w:rPr>
                <w:sz w:val="16"/>
                <w:szCs w:val="16"/>
                <w:lang w:val="es-ES" w:eastAsia="es-ES"/>
              </w:rPr>
            </w:pPr>
            <w:r w:rsidRPr="003F68F6">
              <w:rPr>
                <w:sz w:val="16"/>
                <w:szCs w:val="16"/>
                <w:lang w:val="es-ES" w:eastAsia="es-ES"/>
              </w:rPr>
              <w:t>2012/2013</w:t>
            </w:r>
          </w:p>
        </w:tc>
        <w:tc>
          <w:tcPr>
            <w:tcW w:w="1221" w:type="dxa"/>
            <w:tcBorders>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1.154.636</w:t>
            </w:r>
          </w:p>
        </w:tc>
        <w:tc>
          <w:tcPr>
            <w:tcW w:w="1276" w:type="dxa"/>
            <w:tcBorders>
              <w:bottom w:val="single" w:sz="2" w:space="0" w:color="auto"/>
            </w:tcBorders>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457.048</w:t>
            </w:r>
          </w:p>
        </w:tc>
        <w:tc>
          <w:tcPr>
            <w:tcW w:w="993" w:type="dxa"/>
            <w:tcBorders>
              <w:bottom w:val="single" w:sz="2"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111.126</w:t>
            </w:r>
          </w:p>
        </w:tc>
        <w:tc>
          <w:tcPr>
            <w:tcW w:w="992" w:type="dxa"/>
            <w:tcBorders>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1.295</w:t>
            </w:r>
          </w:p>
        </w:tc>
        <w:tc>
          <w:tcPr>
            <w:tcW w:w="1012" w:type="dxa"/>
            <w:tcBorders>
              <w:bottom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977</w:t>
            </w:r>
          </w:p>
        </w:tc>
        <w:tc>
          <w:tcPr>
            <w:tcW w:w="831" w:type="dxa"/>
            <w:tcBorders>
              <w:left w:val="single" w:sz="4"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892</w:t>
            </w:r>
          </w:p>
        </w:tc>
        <w:tc>
          <w:tcPr>
            <w:tcW w:w="570" w:type="dxa"/>
            <w:tcBorders>
              <w:bottom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91,22</w:t>
            </w:r>
          </w:p>
        </w:tc>
        <w:tc>
          <w:tcPr>
            <w:tcW w:w="705" w:type="dxa"/>
            <w:tcBorders>
              <w:left w:val="single" w:sz="4" w:space="0" w:color="auto"/>
              <w:bottom w:val="single" w:sz="2"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86</w:t>
            </w:r>
          </w:p>
        </w:tc>
        <w:tc>
          <w:tcPr>
            <w:tcW w:w="570" w:type="dxa"/>
            <w:tcBorders>
              <w:bottom w:val="single" w:sz="2" w:space="0" w:color="auto"/>
              <w:right w:val="single" w:sz="4" w:space="0" w:color="auto"/>
            </w:tcBorders>
            <w:shd w:val="clear" w:color="auto" w:fill="auto"/>
            <w:noWrap/>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8,78</w:t>
            </w:r>
          </w:p>
        </w:tc>
      </w:tr>
      <w:tr w:rsidR="00414999" w:rsidRPr="003F68F6" w:rsidTr="000F43E0">
        <w:trPr>
          <w:trHeight w:val="255"/>
        </w:trPr>
        <w:tc>
          <w:tcPr>
            <w:tcW w:w="851"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rPr>
                <w:sz w:val="16"/>
                <w:szCs w:val="16"/>
                <w:lang w:val="es-ES" w:eastAsia="es-ES"/>
              </w:rPr>
            </w:pPr>
            <w:r w:rsidRPr="003F68F6">
              <w:rPr>
                <w:sz w:val="16"/>
                <w:szCs w:val="16"/>
                <w:lang w:val="es-ES" w:eastAsia="es-ES"/>
              </w:rPr>
              <w:t>2013/2014</w:t>
            </w:r>
          </w:p>
        </w:tc>
        <w:tc>
          <w:tcPr>
            <w:tcW w:w="1221"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1.400.354</w:t>
            </w:r>
          </w:p>
        </w:tc>
        <w:tc>
          <w:tcPr>
            <w:tcW w:w="1276" w:type="dxa"/>
            <w:tcBorders>
              <w:top w:val="single" w:sz="2" w:space="0" w:color="auto"/>
              <w:bottom w:val="single" w:sz="2" w:space="0" w:color="auto"/>
            </w:tcBorders>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498.759</w:t>
            </w:r>
          </w:p>
        </w:tc>
        <w:tc>
          <w:tcPr>
            <w:tcW w:w="993" w:type="dxa"/>
            <w:tcBorders>
              <w:top w:val="single" w:sz="2" w:space="0" w:color="auto"/>
              <w:bottom w:val="single" w:sz="2"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101.195</w:t>
            </w:r>
          </w:p>
        </w:tc>
        <w:tc>
          <w:tcPr>
            <w:tcW w:w="992"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1.542</w:t>
            </w:r>
          </w:p>
        </w:tc>
        <w:tc>
          <w:tcPr>
            <w:tcW w:w="1012" w:type="dxa"/>
            <w:tcBorders>
              <w:top w:val="single" w:sz="2" w:space="0" w:color="auto"/>
              <w:bottom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974</w:t>
            </w:r>
          </w:p>
        </w:tc>
        <w:tc>
          <w:tcPr>
            <w:tcW w:w="831" w:type="dxa"/>
            <w:tcBorders>
              <w:top w:val="single" w:sz="2" w:space="0" w:color="auto"/>
              <w:left w:val="single" w:sz="4"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908</w:t>
            </w:r>
          </w:p>
        </w:tc>
        <w:tc>
          <w:tcPr>
            <w:tcW w:w="570" w:type="dxa"/>
            <w:tcBorders>
              <w:top w:val="single" w:sz="2" w:space="0" w:color="auto"/>
              <w:bottom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93,26</w:t>
            </w:r>
          </w:p>
        </w:tc>
        <w:tc>
          <w:tcPr>
            <w:tcW w:w="705" w:type="dxa"/>
            <w:tcBorders>
              <w:top w:val="single" w:sz="2" w:space="0" w:color="auto"/>
              <w:left w:val="single" w:sz="4" w:space="0" w:color="auto"/>
              <w:bottom w:val="single" w:sz="2"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66</w:t>
            </w:r>
          </w:p>
        </w:tc>
        <w:tc>
          <w:tcPr>
            <w:tcW w:w="570" w:type="dxa"/>
            <w:tcBorders>
              <w:top w:val="single" w:sz="2" w:space="0" w:color="auto"/>
              <w:bottom w:val="single" w:sz="2" w:space="0" w:color="auto"/>
              <w:right w:val="single" w:sz="4" w:space="0" w:color="auto"/>
            </w:tcBorders>
            <w:shd w:val="clear" w:color="auto" w:fill="auto"/>
            <w:noWrap/>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6,74</w:t>
            </w:r>
          </w:p>
        </w:tc>
      </w:tr>
      <w:tr w:rsidR="00414999" w:rsidRPr="003F68F6" w:rsidTr="000F43E0">
        <w:trPr>
          <w:trHeight w:val="255"/>
        </w:trPr>
        <w:tc>
          <w:tcPr>
            <w:tcW w:w="851"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rPr>
                <w:sz w:val="16"/>
                <w:szCs w:val="16"/>
                <w:lang w:val="es-ES" w:eastAsia="es-ES"/>
              </w:rPr>
            </w:pPr>
            <w:r w:rsidRPr="003F68F6">
              <w:rPr>
                <w:sz w:val="16"/>
                <w:szCs w:val="16"/>
                <w:lang w:val="es-ES" w:eastAsia="es-ES"/>
              </w:rPr>
              <w:t>2014/2015</w:t>
            </w:r>
          </w:p>
        </w:tc>
        <w:tc>
          <w:tcPr>
            <w:tcW w:w="1221"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1.430.615</w:t>
            </w:r>
          </w:p>
        </w:tc>
        <w:tc>
          <w:tcPr>
            <w:tcW w:w="1276" w:type="dxa"/>
            <w:tcBorders>
              <w:top w:val="single" w:sz="2" w:space="0" w:color="auto"/>
              <w:bottom w:val="single" w:sz="2" w:space="0" w:color="auto"/>
            </w:tcBorders>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517.341</w:t>
            </w:r>
          </w:p>
        </w:tc>
        <w:tc>
          <w:tcPr>
            <w:tcW w:w="993" w:type="dxa"/>
            <w:tcBorders>
              <w:top w:val="single" w:sz="2" w:space="0" w:color="auto"/>
              <w:bottom w:val="single" w:sz="2"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94.674</w:t>
            </w:r>
          </w:p>
        </w:tc>
        <w:tc>
          <w:tcPr>
            <w:tcW w:w="992"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1.585</w:t>
            </w:r>
          </w:p>
        </w:tc>
        <w:tc>
          <w:tcPr>
            <w:tcW w:w="1012" w:type="dxa"/>
            <w:tcBorders>
              <w:top w:val="single" w:sz="2" w:space="0" w:color="auto"/>
              <w:bottom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962</w:t>
            </w:r>
          </w:p>
        </w:tc>
        <w:tc>
          <w:tcPr>
            <w:tcW w:w="831" w:type="dxa"/>
            <w:tcBorders>
              <w:top w:val="single" w:sz="2" w:space="0" w:color="auto"/>
              <w:left w:val="single" w:sz="4"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903</w:t>
            </w:r>
          </w:p>
        </w:tc>
        <w:tc>
          <w:tcPr>
            <w:tcW w:w="570" w:type="dxa"/>
            <w:tcBorders>
              <w:top w:val="single" w:sz="2" w:space="0" w:color="auto"/>
              <w:bottom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94,79</w:t>
            </w:r>
          </w:p>
        </w:tc>
        <w:tc>
          <w:tcPr>
            <w:tcW w:w="705" w:type="dxa"/>
            <w:tcBorders>
              <w:top w:val="single" w:sz="2" w:space="0" w:color="auto"/>
              <w:left w:val="single" w:sz="4" w:space="0" w:color="auto"/>
              <w:bottom w:val="single" w:sz="2"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60</w:t>
            </w:r>
          </w:p>
        </w:tc>
        <w:tc>
          <w:tcPr>
            <w:tcW w:w="570" w:type="dxa"/>
            <w:tcBorders>
              <w:top w:val="single" w:sz="2" w:space="0" w:color="auto"/>
              <w:bottom w:val="single" w:sz="2" w:space="0" w:color="auto"/>
              <w:right w:val="single" w:sz="4" w:space="0" w:color="auto"/>
            </w:tcBorders>
            <w:shd w:val="clear" w:color="auto" w:fill="auto"/>
            <w:noWrap/>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6,21</w:t>
            </w:r>
          </w:p>
        </w:tc>
      </w:tr>
      <w:tr w:rsidR="00414999" w:rsidRPr="003F68F6" w:rsidTr="000F43E0">
        <w:trPr>
          <w:trHeight w:val="255"/>
        </w:trPr>
        <w:tc>
          <w:tcPr>
            <w:tcW w:w="851"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rPr>
                <w:sz w:val="16"/>
                <w:szCs w:val="16"/>
                <w:lang w:val="es-ES" w:eastAsia="es-ES"/>
              </w:rPr>
            </w:pPr>
            <w:r w:rsidRPr="003F68F6">
              <w:rPr>
                <w:sz w:val="16"/>
                <w:szCs w:val="16"/>
                <w:lang w:val="es-ES" w:eastAsia="es-ES"/>
              </w:rPr>
              <w:t>2015/2016</w:t>
            </w:r>
          </w:p>
        </w:tc>
        <w:tc>
          <w:tcPr>
            <w:tcW w:w="1221"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1.446.216</w:t>
            </w:r>
          </w:p>
        </w:tc>
        <w:tc>
          <w:tcPr>
            <w:tcW w:w="1276" w:type="dxa"/>
            <w:tcBorders>
              <w:top w:val="single" w:sz="2" w:space="0" w:color="auto"/>
              <w:bottom w:val="single" w:sz="2" w:space="0" w:color="auto"/>
            </w:tcBorders>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556.708</w:t>
            </w:r>
          </w:p>
        </w:tc>
        <w:tc>
          <w:tcPr>
            <w:tcW w:w="993" w:type="dxa"/>
            <w:tcBorders>
              <w:top w:val="single" w:sz="2" w:space="0" w:color="auto"/>
              <w:bottom w:val="single" w:sz="2"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89.411</w:t>
            </w:r>
          </w:p>
        </w:tc>
        <w:tc>
          <w:tcPr>
            <w:tcW w:w="992"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1.578</w:t>
            </w:r>
          </w:p>
        </w:tc>
        <w:tc>
          <w:tcPr>
            <w:tcW w:w="1012" w:type="dxa"/>
            <w:tcBorders>
              <w:top w:val="single" w:sz="2" w:space="0" w:color="auto"/>
              <w:bottom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973</w:t>
            </w:r>
          </w:p>
        </w:tc>
        <w:tc>
          <w:tcPr>
            <w:tcW w:w="831" w:type="dxa"/>
            <w:tcBorders>
              <w:top w:val="single" w:sz="2" w:space="0" w:color="auto"/>
              <w:left w:val="single" w:sz="4"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916</w:t>
            </w:r>
          </w:p>
        </w:tc>
        <w:tc>
          <w:tcPr>
            <w:tcW w:w="570" w:type="dxa"/>
            <w:tcBorders>
              <w:top w:val="single" w:sz="2" w:space="0" w:color="auto"/>
              <w:bottom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94,18</w:t>
            </w:r>
          </w:p>
        </w:tc>
        <w:tc>
          <w:tcPr>
            <w:tcW w:w="705" w:type="dxa"/>
            <w:tcBorders>
              <w:top w:val="single" w:sz="2" w:space="0" w:color="auto"/>
              <w:left w:val="single" w:sz="4" w:space="0" w:color="auto"/>
              <w:bottom w:val="single" w:sz="2"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57</w:t>
            </w:r>
          </w:p>
        </w:tc>
        <w:tc>
          <w:tcPr>
            <w:tcW w:w="570" w:type="dxa"/>
            <w:tcBorders>
              <w:top w:val="single" w:sz="2" w:space="0" w:color="auto"/>
              <w:bottom w:val="single" w:sz="2" w:space="0" w:color="auto"/>
              <w:right w:val="single" w:sz="4" w:space="0" w:color="auto"/>
            </w:tcBorders>
            <w:shd w:val="clear" w:color="auto" w:fill="auto"/>
            <w:noWrap/>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5,82</w:t>
            </w:r>
          </w:p>
        </w:tc>
      </w:tr>
      <w:tr w:rsidR="00414999" w:rsidRPr="003F68F6" w:rsidTr="000F43E0">
        <w:trPr>
          <w:trHeight w:val="255"/>
        </w:trPr>
        <w:tc>
          <w:tcPr>
            <w:tcW w:w="851"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rPr>
                <w:sz w:val="16"/>
                <w:szCs w:val="16"/>
                <w:lang w:val="es-ES" w:eastAsia="es-ES"/>
              </w:rPr>
            </w:pPr>
            <w:r w:rsidRPr="003F68F6">
              <w:rPr>
                <w:sz w:val="16"/>
                <w:szCs w:val="16"/>
                <w:lang w:val="es-ES" w:eastAsia="es-ES"/>
              </w:rPr>
              <w:t>2016/2017</w:t>
            </w:r>
          </w:p>
        </w:tc>
        <w:tc>
          <w:tcPr>
            <w:tcW w:w="1221"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1.286.737</w:t>
            </w:r>
          </w:p>
        </w:tc>
        <w:tc>
          <w:tcPr>
            <w:tcW w:w="1276" w:type="dxa"/>
            <w:tcBorders>
              <w:top w:val="single" w:sz="2" w:space="0" w:color="auto"/>
              <w:bottom w:val="single" w:sz="2" w:space="0" w:color="auto"/>
            </w:tcBorders>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583.828</w:t>
            </w:r>
          </w:p>
        </w:tc>
        <w:tc>
          <w:tcPr>
            <w:tcW w:w="993" w:type="dxa"/>
            <w:tcBorders>
              <w:top w:val="single" w:sz="2" w:space="0" w:color="auto"/>
              <w:bottom w:val="single" w:sz="2"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83.277</w:t>
            </w:r>
          </w:p>
        </w:tc>
        <w:tc>
          <w:tcPr>
            <w:tcW w:w="992"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1.411</w:t>
            </w:r>
          </w:p>
        </w:tc>
        <w:tc>
          <w:tcPr>
            <w:tcW w:w="1012" w:type="dxa"/>
            <w:tcBorders>
              <w:top w:val="single" w:sz="2" w:space="0" w:color="auto"/>
              <w:bottom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971</w:t>
            </w:r>
          </w:p>
        </w:tc>
        <w:tc>
          <w:tcPr>
            <w:tcW w:w="831" w:type="dxa"/>
            <w:tcBorders>
              <w:top w:val="single" w:sz="2" w:space="0" w:color="auto"/>
              <w:left w:val="single" w:sz="4"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912</w:t>
            </w:r>
          </w:p>
        </w:tc>
        <w:tc>
          <w:tcPr>
            <w:tcW w:w="570" w:type="dxa"/>
            <w:tcBorders>
              <w:top w:val="single" w:sz="2" w:space="0" w:color="auto"/>
              <w:bottom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94,92</w:t>
            </w:r>
          </w:p>
        </w:tc>
        <w:tc>
          <w:tcPr>
            <w:tcW w:w="705" w:type="dxa"/>
            <w:tcBorders>
              <w:top w:val="single" w:sz="2" w:space="0" w:color="auto"/>
              <w:left w:val="single" w:sz="4" w:space="0" w:color="auto"/>
              <w:bottom w:val="single" w:sz="2"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59</w:t>
            </w:r>
          </w:p>
        </w:tc>
        <w:tc>
          <w:tcPr>
            <w:tcW w:w="570" w:type="dxa"/>
            <w:tcBorders>
              <w:top w:val="single" w:sz="2" w:space="0" w:color="auto"/>
              <w:bottom w:val="single" w:sz="2" w:space="0" w:color="auto"/>
              <w:right w:val="single" w:sz="4" w:space="0" w:color="auto"/>
            </w:tcBorders>
            <w:shd w:val="clear" w:color="auto" w:fill="auto"/>
            <w:noWrap/>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6,08</w:t>
            </w:r>
          </w:p>
        </w:tc>
      </w:tr>
      <w:tr w:rsidR="00414999" w:rsidRPr="003F68F6" w:rsidTr="000F43E0">
        <w:trPr>
          <w:trHeight w:val="255"/>
        </w:trPr>
        <w:tc>
          <w:tcPr>
            <w:tcW w:w="851"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rPr>
                <w:sz w:val="16"/>
                <w:szCs w:val="16"/>
                <w:lang w:val="es-ES" w:eastAsia="es-ES"/>
              </w:rPr>
            </w:pPr>
            <w:r w:rsidRPr="003F68F6">
              <w:rPr>
                <w:sz w:val="16"/>
                <w:szCs w:val="16"/>
                <w:lang w:val="es-ES" w:eastAsia="es-ES"/>
              </w:rPr>
              <w:t>2017/2018</w:t>
            </w:r>
          </w:p>
        </w:tc>
        <w:tc>
          <w:tcPr>
            <w:tcW w:w="1221"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1.366.380</w:t>
            </w:r>
          </w:p>
        </w:tc>
        <w:tc>
          <w:tcPr>
            <w:tcW w:w="1276" w:type="dxa"/>
            <w:tcBorders>
              <w:top w:val="single" w:sz="2" w:space="0" w:color="auto"/>
              <w:bottom w:val="single" w:sz="2" w:space="0" w:color="auto"/>
            </w:tcBorders>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496.085</w:t>
            </w:r>
          </w:p>
        </w:tc>
        <w:tc>
          <w:tcPr>
            <w:tcW w:w="993" w:type="dxa"/>
            <w:tcBorders>
              <w:top w:val="single" w:sz="2" w:space="0" w:color="auto"/>
              <w:bottom w:val="single" w:sz="2"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87.290</w:t>
            </w:r>
          </w:p>
        </w:tc>
        <w:tc>
          <w:tcPr>
            <w:tcW w:w="992" w:type="dxa"/>
            <w:tcBorders>
              <w:top w:val="single" w:sz="2"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1.538</w:t>
            </w:r>
          </w:p>
        </w:tc>
        <w:tc>
          <w:tcPr>
            <w:tcW w:w="1012" w:type="dxa"/>
            <w:tcBorders>
              <w:top w:val="single" w:sz="2" w:space="0" w:color="auto"/>
              <w:bottom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945</w:t>
            </w:r>
          </w:p>
        </w:tc>
        <w:tc>
          <w:tcPr>
            <w:tcW w:w="831" w:type="dxa"/>
            <w:tcBorders>
              <w:top w:val="single" w:sz="2" w:space="0" w:color="auto"/>
              <w:left w:val="single" w:sz="4" w:space="0" w:color="auto"/>
              <w:bottom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888</w:t>
            </w:r>
          </w:p>
        </w:tc>
        <w:tc>
          <w:tcPr>
            <w:tcW w:w="570" w:type="dxa"/>
            <w:tcBorders>
              <w:top w:val="single" w:sz="2" w:space="0" w:color="auto"/>
              <w:bottom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94,00</w:t>
            </w:r>
          </w:p>
        </w:tc>
        <w:tc>
          <w:tcPr>
            <w:tcW w:w="705" w:type="dxa"/>
            <w:tcBorders>
              <w:top w:val="single" w:sz="2" w:space="0" w:color="auto"/>
              <w:left w:val="single" w:sz="4" w:space="0" w:color="auto"/>
              <w:bottom w:val="single" w:sz="2"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57</w:t>
            </w:r>
          </w:p>
        </w:tc>
        <w:tc>
          <w:tcPr>
            <w:tcW w:w="570" w:type="dxa"/>
            <w:tcBorders>
              <w:top w:val="single" w:sz="2" w:space="0" w:color="auto"/>
              <w:bottom w:val="single" w:sz="2" w:space="0" w:color="auto"/>
              <w:right w:val="single" w:sz="4" w:space="0" w:color="auto"/>
            </w:tcBorders>
            <w:shd w:val="clear" w:color="auto" w:fill="auto"/>
            <w:noWrap/>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6,00</w:t>
            </w:r>
          </w:p>
        </w:tc>
      </w:tr>
      <w:tr w:rsidR="00414999" w:rsidRPr="003F68F6" w:rsidTr="000F43E0">
        <w:trPr>
          <w:trHeight w:val="255"/>
        </w:trPr>
        <w:tc>
          <w:tcPr>
            <w:tcW w:w="851" w:type="dxa"/>
            <w:tcBorders>
              <w:top w:val="single" w:sz="2" w:space="0" w:color="auto"/>
            </w:tcBorders>
            <w:shd w:val="clear" w:color="auto" w:fill="auto"/>
            <w:vAlign w:val="center"/>
            <w:hideMark/>
          </w:tcPr>
          <w:p w:rsidR="00414999" w:rsidRPr="003F68F6" w:rsidRDefault="00414999" w:rsidP="00F44C41">
            <w:pPr>
              <w:pStyle w:val="cuatexto"/>
              <w:tabs>
                <w:tab w:val="left" w:pos="8647"/>
              </w:tabs>
              <w:rPr>
                <w:sz w:val="16"/>
                <w:szCs w:val="16"/>
                <w:lang w:val="es-ES" w:eastAsia="es-ES"/>
              </w:rPr>
            </w:pPr>
            <w:r w:rsidRPr="003F68F6">
              <w:rPr>
                <w:sz w:val="16"/>
                <w:szCs w:val="16"/>
                <w:lang w:val="es-ES" w:eastAsia="es-ES"/>
              </w:rPr>
              <w:t>2018/2019</w:t>
            </w:r>
          </w:p>
        </w:tc>
        <w:tc>
          <w:tcPr>
            <w:tcW w:w="1221" w:type="dxa"/>
            <w:tcBorders>
              <w:top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1.253.453</w:t>
            </w:r>
          </w:p>
        </w:tc>
        <w:tc>
          <w:tcPr>
            <w:tcW w:w="1276" w:type="dxa"/>
            <w:tcBorders>
              <w:top w:val="single" w:sz="2" w:space="0" w:color="auto"/>
            </w:tcBorders>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753.221</w:t>
            </w:r>
          </w:p>
        </w:tc>
        <w:tc>
          <w:tcPr>
            <w:tcW w:w="993" w:type="dxa"/>
            <w:tcBorders>
              <w:top w:val="single" w:sz="2"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78.474</w:t>
            </w:r>
          </w:p>
        </w:tc>
        <w:tc>
          <w:tcPr>
            <w:tcW w:w="992" w:type="dxa"/>
            <w:tcBorders>
              <w:top w:val="single" w:sz="2" w:space="0" w:color="auto"/>
            </w:tcBorders>
            <w:shd w:val="clear" w:color="auto" w:fill="auto"/>
            <w:vAlign w:val="center"/>
            <w:hideMark/>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1.412</w:t>
            </w:r>
          </w:p>
        </w:tc>
        <w:tc>
          <w:tcPr>
            <w:tcW w:w="1012" w:type="dxa"/>
            <w:tcBorders>
              <w:top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943</w:t>
            </w:r>
          </w:p>
        </w:tc>
        <w:tc>
          <w:tcPr>
            <w:tcW w:w="831" w:type="dxa"/>
            <w:tcBorders>
              <w:top w:val="single" w:sz="2" w:space="0" w:color="auto"/>
              <w:left w:val="single" w:sz="4" w:space="0" w:color="auto"/>
            </w:tcBorders>
            <w:shd w:val="clear" w:color="auto" w:fill="auto"/>
            <w:vAlign w:val="center"/>
            <w:hideMark/>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888</w:t>
            </w:r>
          </w:p>
        </w:tc>
        <w:tc>
          <w:tcPr>
            <w:tcW w:w="570" w:type="dxa"/>
            <w:tcBorders>
              <w:top w:val="single" w:sz="2" w:space="0" w:color="auto"/>
              <w:righ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94,11</w:t>
            </w:r>
          </w:p>
        </w:tc>
        <w:tc>
          <w:tcPr>
            <w:tcW w:w="705" w:type="dxa"/>
            <w:tcBorders>
              <w:top w:val="single" w:sz="2" w:space="0" w:color="auto"/>
              <w:left w:val="single" w:sz="4" w:space="0" w:color="auto"/>
            </w:tcBorders>
            <w:shd w:val="clear" w:color="auto" w:fill="auto"/>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56</w:t>
            </w:r>
          </w:p>
        </w:tc>
        <w:tc>
          <w:tcPr>
            <w:tcW w:w="570" w:type="dxa"/>
            <w:tcBorders>
              <w:top w:val="single" w:sz="2" w:space="0" w:color="auto"/>
              <w:right w:val="single" w:sz="4" w:space="0" w:color="auto"/>
            </w:tcBorders>
            <w:shd w:val="clear" w:color="auto" w:fill="auto"/>
            <w:noWrap/>
            <w:vAlign w:val="center"/>
          </w:tcPr>
          <w:p w:rsidR="00414999" w:rsidRPr="003F68F6" w:rsidRDefault="00414999" w:rsidP="00F44C41">
            <w:pPr>
              <w:pStyle w:val="cuatexto"/>
              <w:tabs>
                <w:tab w:val="left" w:pos="8647"/>
              </w:tabs>
              <w:jc w:val="right"/>
              <w:rPr>
                <w:sz w:val="16"/>
                <w:szCs w:val="16"/>
                <w:lang w:val="es-ES" w:eastAsia="es-ES"/>
              </w:rPr>
            </w:pPr>
            <w:r w:rsidRPr="003F68F6">
              <w:rPr>
                <w:sz w:val="16"/>
                <w:szCs w:val="16"/>
                <w:lang w:val="es-ES" w:eastAsia="es-ES"/>
              </w:rPr>
              <w:t>5,89</w:t>
            </w:r>
          </w:p>
        </w:tc>
      </w:tr>
    </w:tbl>
    <w:p w:rsidR="00414999" w:rsidRPr="009D154E" w:rsidRDefault="00414999" w:rsidP="00206B8D">
      <w:pPr>
        <w:tabs>
          <w:tab w:val="left" w:pos="8647"/>
        </w:tabs>
        <w:spacing w:after="0"/>
        <w:ind w:right="284" w:firstLine="0"/>
        <w:rPr>
          <w:rFonts w:ascii="Arial" w:hAnsi="Arial" w:cs="Arial"/>
          <w:spacing w:val="6"/>
          <w:sz w:val="16"/>
          <w:szCs w:val="16"/>
        </w:rPr>
      </w:pPr>
      <w:r w:rsidRPr="009D154E">
        <w:rPr>
          <w:rFonts w:ascii="Arial" w:hAnsi="Arial" w:cs="Arial"/>
          <w:spacing w:val="6"/>
          <w:sz w:val="16"/>
          <w:szCs w:val="16"/>
        </w:rPr>
        <w:t>Fuente:</w:t>
      </w:r>
      <w:r w:rsidR="009D154E" w:rsidRPr="009D154E">
        <w:rPr>
          <w:rFonts w:ascii="Arial" w:hAnsi="Arial" w:cs="Arial"/>
          <w:spacing w:val="6"/>
          <w:sz w:val="16"/>
          <w:szCs w:val="16"/>
        </w:rPr>
        <w:t xml:space="preserve"> </w:t>
      </w:r>
      <w:r w:rsidR="00F449FC" w:rsidRPr="009D154E">
        <w:rPr>
          <w:rFonts w:ascii="Arial" w:hAnsi="Arial" w:cs="Arial"/>
          <w:spacing w:val="6"/>
          <w:sz w:val="16"/>
          <w:szCs w:val="16"/>
        </w:rPr>
        <w:t>UPNA</w:t>
      </w:r>
    </w:p>
    <w:p w:rsidR="00C64AE5" w:rsidRPr="009B08F9" w:rsidRDefault="00C64AE5" w:rsidP="00981AF4">
      <w:pPr>
        <w:tabs>
          <w:tab w:val="left" w:pos="8647"/>
        </w:tabs>
        <w:suppressAutoHyphens/>
        <w:autoSpaceDN w:val="0"/>
        <w:spacing w:before="240"/>
        <w:ind w:firstLine="284"/>
        <w:rPr>
          <w:spacing w:val="6"/>
          <w:sz w:val="26"/>
          <w:szCs w:val="26"/>
        </w:rPr>
      </w:pPr>
      <w:r w:rsidRPr="004B327F">
        <w:rPr>
          <w:spacing w:val="6"/>
          <w:sz w:val="26"/>
          <w:szCs w:val="26"/>
        </w:rPr>
        <w:t xml:space="preserve">Del cuadro anterior observamos una disminución de la beca total </w:t>
      </w:r>
      <w:r w:rsidR="00A16087">
        <w:rPr>
          <w:spacing w:val="6"/>
          <w:sz w:val="26"/>
          <w:szCs w:val="26"/>
        </w:rPr>
        <w:t xml:space="preserve">por matrícula </w:t>
      </w:r>
      <w:r w:rsidRPr="009B08F9">
        <w:rPr>
          <w:spacing w:val="6"/>
          <w:sz w:val="26"/>
          <w:szCs w:val="26"/>
        </w:rPr>
        <w:t xml:space="preserve">en los dos últimos cursos, mientras que en los anteriores se había mantenido casi constante. En cuanto al origen de la financiación, la aportación del </w:t>
      </w:r>
      <w:r>
        <w:rPr>
          <w:spacing w:val="6"/>
          <w:sz w:val="26"/>
          <w:szCs w:val="26"/>
        </w:rPr>
        <w:t>E</w:t>
      </w:r>
      <w:r w:rsidRPr="009B08F9">
        <w:rPr>
          <w:spacing w:val="6"/>
          <w:sz w:val="26"/>
          <w:szCs w:val="26"/>
        </w:rPr>
        <w:t xml:space="preserve">stado </w:t>
      </w:r>
      <w:r>
        <w:rPr>
          <w:spacing w:val="6"/>
          <w:sz w:val="26"/>
          <w:szCs w:val="26"/>
        </w:rPr>
        <w:t xml:space="preserve">y la de la CFN </w:t>
      </w:r>
      <w:r w:rsidRPr="009B08F9">
        <w:rPr>
          <w:spacing w:val="6"/>
          <w:sz w:val="26"/>
          <w:szCs w:val="26"/>
        </w:rPr>
        <w:t>se mantiene</w:t>
      </w:r>
      <w:r>
        <w:rPr>
          <w:spacing w:val="6"/>
          <w:sz w:val="26"/>
          <w:szCs w:val="26"/>
        </w:rPr>
        <w:t>n</w:t>
      </w:r>
      <w:r w:rsidRPr="009B08F9">
        <w:rPr>
          <w:spacing w:val="6"/>
          <w:sz w:val="26"/>
          <w:szCs w:val="26"/>
        </w:rPr>
        <w:t xml:space="preserve"> </w:t>
      </w:r>
      <w:r>
        <w:rPr>
          <w:spacing w:val="6"/>
          <w:sz w:val="26"/>
          <w:szCs w:val="26"/>
        </w:rPr>
        <w:t xml:space="preserve">prácticamente </w:t>
      </w:r>
      <w:r w:rsidRPr="009B08F9">
        <w:rPr>
          <w:spacing w:val="6"/>
          <w:sz w:val="26"/>
          <w:szCs w:val="26"/>
        </w:rPr>
        <w:t>constante</w:t>
      </w:r>
      <w:r>
        <w:rPr>
          <w:spacing w:val="6"/>
          <w:sz w:val="26"/>
          <w:szCs w:val="26"/>
        </w:rPr>
        <w:t>s</w:t>
      </w:r>
      <w:r w:rsidRPr="009B08F9">
        <w:rPr>
          <w:spacing w:val="6"/>
          <w:sz w:val="26"/>
          <w:szCs w:val="26"/>
        </w:rPr>
        <w:t xml:space="preserve"> en un 94</w:t>
      </w:r>
      <w:r>
        <w:rPr>
          <w:spacing w:val="6"/>
          <w:sz w:val="26"/>
          <w:szCs w:val="26"/>
        </w:rPr>
        <w:t xml:space="preserve"> y un seis por ciento, respectivamente,</w:t>
      </w:r>
      <w:r w:rsidRPr="009B08F9">
        <w:rPr>
          <w:spacing w:val="6"/>
          <w:sz w:val="26"/>
          <w:szCs w:val="26"/>
        </w:rPr>
        <w:t xml:space="preserve"> desde el curso 2014/2015</w:t>
      </w:r>
      <w:r>
        <w:rPr>
          <w:spacing w:val="6"/>
          <w:sz w:val="26"/>
          <w:szCs w:val="26"/>
        </w:rPr>
        <w:t>.</w:t>
      </w:r>
    </w:p>
    <w:p w:rsidR="00414999" w:rsidRDefault="00D41A47" w:rsidP="00981AF4">
      <w:pPr>
        <w:suppressAutoHyphens/>
        <w:autoSpaceDN w:val="0"/>
        <w:ind w:firstLine="284"/>
        <w:rPr>
          <w:spacing w:val="6"/>
          <w:sz w:val="26"/>
          <w:szCs w:val="26"/>
        </w:rPr>
      </w:pPr>
      <w:r w:rsidRPr="00D41A47">
        <w:rPr>
          <w:b/>
          <w:spacing w:val="6"/>
          <w:sz w:val="26"/>
          <w:szCs w:val="26"/>
        </w:rPr>
        <w:t>En conclusión</w:t>
      </w:r>
      <w:r>
        <w:rPr>
          <w:spacing w:val="6"/>
          <w:sz w:val="26"/>
          <w:szCs w:val="26"/>
        </w:rPr>
        <w:t>, l</w:t>
      </w:r>
      <w:r w:rsidR="00414999">
        <w:rPr>
          <w:spacing w:val="6"/>
          <w:sz w:val="26"/>
          <w:szCs w:val="26"/>
        </w:rPr>
        <w:t>as variaciones de precios públicos señaladas en el apartado IV.1.2</w:t>
      </w:r>
      <w:r>
        <w:rPr>
          <w:spacing w:val="6"/>
          <w:sz w:val="26"/>
          <w:szCs w:val="26"/>
        </w:rPr>
        <w:t>,</w:t>
      </w:r>
      <w:r w:rsidR="00414999">
        <w:rPr>
          <w:spacing w:val="6"/>
          <w:sz w:val="26"/>
          <w:szCs w:val="26"/>
        </w:rPr>
        <w:t xml:space="preserve"> no han incidido significativamente en una mayor financiación de la CFN, manteniéndose neutral el sistema transitorio </w:t>
      </w:r>
      <w:r w:rsidR="002E449C">
        <w:rPr>
          <w:spacing w:val="6"/>
          <w:sz w:val="26"/>
          <w:szCs w:val="26"/>
        </w:rPr>
        <w:t xml:space="preserve">de financiación de ayudas al estudio universitario </w:t>
      </w:r>
      <w:r w:rsidR="00414999">
        <w:rPr>
          <w:spacing w:val="6"/>
          <w:sz w:val="26"/>
          <w:szCs w:val="26"/>
        </w:rPr>
        <w:t xml:space="preserve">respecto de las obligaciones financieras de la CFN. </w:t>
      </w:r>
    </w:p>
    <w:p w:rsidR="006819AB" w:rsidRDefault="006819AB">
      <w:pPr>
        <w:spacing w:after="0"/>
        <w:ind w:firstLine="0"/>
        <w:jc w:val="left"/>
        <w:rPr>
          <w:spacing w:val="6"/>
          <w:sz w:val="26"/>
          <w:szCs w:val="26"/>
          <w:lang w:eastAsia="es-ES"/>
        </w:rPr>
      </w:pPr>
      <w:r>
        <w:rPr>
          <w:spacing w:val="6"/>
          <w:sz w:val="26"/>
          <w:szCs w:val="26"/>
          <w:lang w:eastAsia="es-ES"/>
        </w:rPr>
        <w:br w:type="page"/>
      </w:r>
    </w:p>
    <w:p w:rsidR="00414999" w:rsidRPr="004B013B" w:rsidRDefault="00D41A47" w:rsidP="00981AF4">
      <w:pPr>
        <w:pStyle w:val="Prrafodelista"/>
        <w:numPr>
          <w:ilvl w:val="0"/>
          <w:numId w:val="17"/>
        </w:numPr>
        <w:tabs>
          <w:tab w:val="left" w:pos="426"/>
          <w:tab w:val="left" w:pos="567"/>
        </w:tabs>
        <w:spacing w:after="240"/>
        <w:ind w:left="0" w:firstLine="284"/>
        <w:contextualSpacing w:val="0"/>
        <w:rPr>
          <w:spacing w:val="6"/>
          <w:sz w:val="26"/>
          <w:szCs w:val="26"/>
          <w:lang w:eastAsia="es-ES"/>
        </w:rPr>
      </w:pPr>
      <w:r w:rsidRPr="004B013B">
        <w:rPr>
          <w:spacing w:val="6"/>
          <w:sz w:val="26"/>
          <w:szCs w:val="26"/>
          <w:lang w:eastAsia="es-ES"/>
        </w:rPr>
        <w:lastRenderedPageBreak/>
        <w:t>Por último, e</w:t>
      </w:r>
      <w:r w:rsidR="00414999" w:rsidRPr="004B013B">
        <w:rPr>
          <w:spacing w:val="6"/>
          <w:sz w:val="26"/>
          <w:szCs w:val="26"/>
          <w:lang w:eastAsia="es-ES"/>
        </w:rPr>
        <w:t xml:space="preserve">n el cuadro siguiente </w:t>
      </w:r>
      <w:r w:rsidRPr="004B013B">
        <w:rPr>
          <w:spacing w:val="6"/>
          <w:sz w:val="26"/>
          <w:szCs w:val="26"/>
          <w:lang w:eastAsia="es-ES"/>
        </w:rPr>
        <w:t xml:space="preserve">mostramos </w:t>
      </w:r>
      <w:r w:rsidR="00414999" w:rsidRPr="004B013B">
        <w:rPr>
          <w:spacing w:val="6"/>
          <w:sz w:val="26"/>
          <w:szCs w:val="26"/>
          <w:lang w:eastAsia="es-ES"/>
        </w:rPr>
        <w:t>la evolución de las ayudas de la CFN concedidas durante el periodo establecido</w:t>
      </w:r>
      <w:r w:rsidR="00C47C1E" w:rsidRPr="004B013B">
        <w:rPr>
          <w:spacing w:val="6"/>
          <w:sz w:val="26"/>
          <w:szCs w:val="26"/>
          <w:lang w:eastAsia="es-ES"/>
        </w:rPr>
        <w:t>,</w:t>
      </w:r>
      <w:r w:rsidR="00414999" w:rsidRPr="004B013B">
        <w:rPr>
          <w:spacing w:val="6"/>
          <w:sz w:val="26"/>
          <w:szCs w:val="26"/>
          <w:lang w:eastAsia="es-ES"/>
        </w:rPr>
        <w:t xml:space="preserve"> que complementan las ay</w:t>
      </w:r>
      <w:r w:rsidR="00414999" w:rsidRPr="004B013B">
        <w:rPr>
          <w:spacing w:val="6"/>
          <w:sz w:val="26"/>
          <w:szCs w:val="26"/>
          <w:lang w:eastAsia="es-ES"/>
        </w:rPr>
        <w:t>u</w:t>
      </w:r>
      <w:r w:rsidR="00414999" w:rsidRPr="004B013B">
        <w:rPr>
          <w:spacing w:val="6"/>
          <w:sz w:val="26"/>
          <w:szCs w:val="26"/>
          <w:lang w:eastAsia="es-ES"/>
        </w:rPr>
        <w:t>das estatales al estudio universitario</w:t>
      </w:r>
      <w:r w:rsidR="00C47C1E" w:rsidRPr="004B013B">
        <w:rPr>
          <w:spacing w:val="6"/>
          <w:sz w:val="26"/>
          <w:szCs w:val="26"/>
          <w:lang w:eastAsia="es-ES"/>
        </w:rPr>
        <w:t>,</w:t>
      </w:r>
      <w:r w:rsidR="00414999" w:rsidRPr="004B013B">
        <w:rPr>
          <w:spacing w:val="6"/>
          <w:sz w:val="26"/>
          <w:szCs w:val="26"/>
          <w:lang w:eastAsia="es-ES"/>
        </w:rPr>
        <w:t xml:space="preserve"> y las ayudas concedidas por la UPNA p</w:t>
      </w:r>
      <w:r w:rsidR="00414999" w:rsidRPr="004B013B">
        <w:rPr>
          <w:spacing w:val="6"/>
          <w:sz w:val="26"/>
          <w:szCs w:val="26"/>
          <w:lang w:eastAsia="es-ES"/>
        </w:rPr>
        <w:t>a</w:t>
      </w:r>
      <w:r w:rsidR="00414999" w:rsidRPr="004B013B">
        <w:rPr>
          <w:spacing w:val="6"/>
          <w:sz w:val="26"/>
          <w:szCs w:val="26"/>
          <w:lang w:eastAsia="es-ES"/>
        </w:rPr>
        <w:t>ra el pago de matrícula a los estudian</w:t>
      </w:r>
      <w:r w:rsidR="00BF5579" w:rsidRPr="004B013B">
        <w:rPr>
          <w:spacing w:val="6"/>
          <w:sz w:val="26"/>
          <w:szCs w:val="26"/>
          <w:lang w:eastAsia="es-ES"/>
        </w:rPr>
        <w:t>tes con dificultades económicas:</w:t>
      </w:r>
    </w:p>
    <w:tbl>
      <w:tblPr>
        <w:tblW w:w="8789" w:type="dxa"/>
        <w:tblCellMar>
          <w:left w:w="70" w:type="dxa"/>
          <w:right w:w="70" w:type="dxa"/>
        </w:tblCellMar>
        <w:tblLook w:val="04A0" w:firstRow="1" w:lastRow="0" w:firstColumn="1" w:lastColumn="0" w:noHBand="0" w:noVBand="1"/>
      </w:tblPr>
      <w:tblGrid>
        <w:gridCol w:w="1701"/>
        <w:gridCol w:w="1985"/>
        <w:gridCol w:w="2410"/>
        <w:gridCol w:w="2693"/>
      </w:tblGrid>
      <w:tr w:rsidR="00414999" w:rsidRPr="00F83E7D" w:rsidTr="00414999">
        <w:trPr>
          <w:trHeight w:val="255"/>
        </w:trPr>
        <w:tc>
          <w:tcPr>
            <w:tcW w:w="1701" w:type="dxa"/>
            <w:vMerge w:val="restart"/>
            <w:tcBorders>
              <w:top w:val="single" w:sz="4" w:space="0" w:color="auto"/>
              <w:left w:val="nil"/>
              <w:bottom w:val="single" w:sz="4" w:space="0" w:color="auto"/>
              <w:right w:val="nil"/>
            </w:tcBorders>
            <w:shd w:val="clear" w:color="000000" w:fill="B8CCE4"/>
            <w:vAlign w:val="center"/>
            <w:hideMark/>
          </w:tcPr>
          <w:p w:rsidR="00414999" w:rsidRPr="0084324C" w:rsidRDefault="00414999" w:rsidP="00F44C41">
            <w:pPr>
              <w:tabs>
                <w:tab w:val="left" w:pos="8647"/>
              </w:tabs>
              <w:spacing w:after="0"/>
              <w:ind w:right="283" w:firstLine="0"/>
              <w:jc w:val="left"/>
              <w:rPr>
                <w:rFonts w:ascii="Arial" w:hAnsi="Arial" w:cs="Arial"/>
                <w:sz w:val="18"/>
                <w:szCs w:val="18"/>
                <w:lang w:val="es-ES" w:eastAsia="es-ES"/>
              </w:rPr>
            </w:pPr>
            <w:r w:rsidRPr="0084324C">
              <w:rPr>
                <w:rFonts w:ascii="Arial" w:hAnsi="Arial" w:cs="Arial"/>
                <w:sz w:val="18"/>
                <w:szCs w:val="18"/>
                <w:lang w:val="es-ES" w:eastAsia="es-ES"/>
              </w:rPr>
              <w:t>CURSO</w:t>
            </w:r>
          </w:p>
        </w:tc>
        <w:tc>
          <w:tcPr>
            <w:tcW w:w="7088" w:type="dxa"/>
            <w:gridSpan w:val="3"/>
            <w:tcBorders>
              <w:top w:val="single" w:sz="4" w:space="0" w:color="auto"/>
              <w:left w:val="nil"/>
              <w:bottom w:val="single" w:sz="4" w:space="0" w:color="auto"/>
              <w:right w:val="nil"/>
            </w:tcBorders>
            <w:shd w:val="clear" w:color="000000" w:fill="B8CCE4"/>
            <w:noWrap/>
            <w:vAlign w:val="center"/>
            <w:hideMark/>
          </w:tcPr>
          <w:p w:rsidR="00414999" w:rsidRPr="0084324C" w:rsidRDefault="00414999" w:rsidP="00F44C41">
            <w:pPr>
              <w:tabs>
                <w:tab w:val="left" w:pos="8647"/>
              </w:tabs>
              <w:spacing w:after="0"/>
              <w:ind w:right="283" w:firstLine="0"/>
              <w:jc w:val="center"/>
              <w:rPr>
                <w:rFonts w:ascii="Arial" w:hAnsi="Arial" w:cs="Arial"/>
                <w:sz w:val="18"/>
                <w:szCs w:val="18"/>
                <w:lang w:val="es-ES" w:eastAsia="es-ES"/>
              </w:rPr>
            </w:pPr>
            <w:r w:rsidRPr="0084324C">
              <w:rPr>
                <w:rFonts w:ascii="Arial" w:hAnsi="Arial" w:cs="Arial"/>
                <w:sz w:val="18"/>
                <w:szCs w:val="18"/>
                <w:lang w:val="es-ES" w:eastAsia="es-ES"/>
              </w:rPr>
              <w:t>Importes concedidos (según convocatorias)</w:t>
            </w:r>
          </w:p>
        </w:tc>
      </w:tr>
      <w:tr w:rsidR="00414999" w:rsidRPr="00F83E7D" w:rsidTr="00414999">
        <w:trPr>
          <w:trHeight w:val="255"/>
        </w:trPr>
        <w:tc>
          <w:tcPr>
            <w:tcW w:w="1701" w:type="dxa"/>
            <w:vMerge/>
            <w:tcBorders>
              <w:top w:val="single" w:sz="4" w:space="0" w:color="auto"/>
              <w:left w:val="nil"/>
              <w:bottom w:val="single" w:sz="4" w:space="0" w:color="auto"/>
              <w:right w:val="nil"/>
            </w:tcBorders>
            <w:vAlign w:val="center"/>
            <w:hideMark/>
          </w:tcPr>
          <w:p w:rsidR="00414999" w:rsidRPr="00F83E7D" w:rsidRDefault="00414999" w:rsidP="00F44C41">
            <w:pPr>
              <w:tabs>
                <w:tab w:val="left" w:pos="8647"/>
              </w:tabs>
              <w:spacing w:after="0"/>
              <w:ind w:right="283" w:firstLine="0"/>
              <w:jc w:val="left"/>
              <w:rPr>
                <w:rFonts w:ascii="Arial Narrow" w:hAnsi="Arial Narrow" w:cs="Calibri"/>
                <w:lang w:val="es-ES" w:eastAsia="es-ES"/>
              </w:rPr>
            </w:pPr>
          </w:p>
        </w:tc>
        <w:tc>
          <w:tcPr>
            <w:tcW w:w="1985" w:type="dxa"/>
            <w:tcBorders>
              <w:top w:val="single" w:sz="4" w:space="0" w:color="auto"/>
              <w:left w:val="nil"/>
              <w:bottom w:val="single" w:sz="4" w:space="0" w:color="auto"/>
              <w:right w:val="nil"/>
            </w:tcBorders>
            <w:shd w:val="clear" w:color="000000" w:fill="B8CCE4"/>
            <w:noWrap/>
            <w:vAlign w:val="center"/>
            <w:hideMark/>
          </w:tcPr>
          <w:p w:rsidR="00414999" w:rsidRPr="0084324C" w:rsidRDefault="00414999" w:rsidP="00F44C41">
            <w:pPr>
              <w:tabs>
                <w:tab w:val="left" w:pos="8647"/>
              </w:tabs>
              <w:spacing w:after="0"/>
              <w:ind w:right="283" w:firstLine="0"/>
              <w:jc w:val="right"/>
              <w:rPr>
                <w:rFonts w:ascii="Arial" w:hAnsi="Arial" w:cs="Arial"/>
                <w:sz w:val="18"/>
                <w:szCs w:val="18"/>
                <w:lang w:val="es-ES" w:eastAsia="es-ES"/>
              </w:rPr>
            </w:pPr>
            <w:r w:rsidRPr="0084324C">
              <w:rPr>
                <w:rFonts w:ascii="Arial" w:hAnsi="Arial" w:cs="Arial"/>
                <w:sz w:val="18"/>
                <w:szCs w:val="18"/>
                <w:lang w:val="es-ES" w:eastAsia="es-ES"/>
              </w:rPr>
              <w:t>CFN</w:t>
            </w:r>
          </w:p>
        </w:tc>
        <w:tc>
          <w:tcPr>
            <w:tcW w:w="2410" w:type="dxa"/>
            <w:tcBorders>
              <w:top w:val="single" w:sz="4" w:space="0" w:color="auto"/>
              <w:left w:val="nil"/>
              <w:bottom w:val="single" w:sz="4" w:space="0" w:color="auto"/>
              <w:right w:val="nil"/>
            </w:tcBorders>
            <w:shd w:val="clear" w:color="000000" w:fill="B8CCE4"/>
            <w:noWrap/>
            <w:vAlign w:val="center"/>
            <w:hideMark/>
          </w:tcPr>
          <w:p w:rsidR="00414999" w:rsidRPr="0084324C" w:rsidRDefault="00414999" w:rsidP="00F44C41">
            <w:pPr>
              <w:tabs>
                <w:tab w:val="left" w:pos="8647"/>
              </w:tabs>
              <w:spacing w:after="0"/>
              <w:ind w:right="283" w:firstLine="0"/>
              <w:jc w:val="right"/>
              <w:rPr>
                <w:rFonts w:ascii="Arial" w:hAnsi="Arial" w:cs="Arial"/>
                <w:sz w:val="18"/>
                <w:szCs w:val="18"/>
                <w:lang w:val="es-ES" w:eastAsia="es-ES"/>
              </w:rPr>
            </w:pPr>
            <w:r w:rsidRPr="0084324C">
              <w:rPr>
                <w:rFonts w:ascii="Arial" w:hAnsi="Arial" w:cs="Arial"/>
                <w:sz w:val="18"/>
                <w:szCs w:val="18"/>
                <w:lang w:val="es-ES" w:eastAsia="es-ES"/>
              </w:rPr>
              <w:t>UPNA</w:t>
            </w:r>
          </w:p>
        </w:tc>
        <w:tc>
          <w:tcPr>
            <w:tcW w:w="2693" w:type="dxa"/>
            <w:tcBorders>
              <w:top w:val="single" w:sz="4" w:space="0" w:color="auto"/>
              <w:left w:val="nil"/>
              <w:bottom w:val="single" w:sz="4" w:space="0" w:color="auto"/>
              <w:right w:val="nil"/>
            </w:tcBorders>
            <w:shd w:val="clear" w:color="000000" w:fill="B8CCE4"/>
            <w:noWrap/>
            <w:vAlign w:val="center"/>
            <w:hideMark/>
          </w:tcPr>
          <w:p w:rsidR="00414999" w:rsidRPr="0084324C" w:rsidRDefault="00414999" w:rsidP="00F44C41">
            <w:pPr>
              <w:tabs>
                <w:tab w:val="left" w:pos="8647"/>
              </w:tabs>
              <w:spacing w:after="0"/>
              <w:ind w:right="283" w:firstLine="0"/>
              <w:jc w:val="right"/>
              <w:rPr>
                <w:rFonts w:ascii="Arial" w:hAnsi="Arial" w:cs="Arial"/>
                <w:sz w:val="18"/>
                <w:szCs w:val="18"/>
                <w:lang w:val="es-ES" w:eastAsia="es-ES"/>
              </w:rPr>
            </w:pPr>
            <w:r w:rsidRPr="0084324C">
              <w:rPr>
                <w:rFonts w:ascii="Arial" w:hAnsi="Arial" w:cs="Arial"/>
                <w:sz w:val="18"/>
                <w:szCs w:val="18"/>
                <w:lang w:val="es-ES" w:eastAsia="es-ES"/>
              </w:rPr>
              <w:t>TOTAL</w:t>
            </w:r>
          </w:p>
        </w:tc>
      </w:tr>
      <w:tr w:rsidR="00414999" w:rsidRPr="00F83E7D" w:rsidTr="003F1E6D">
        <w:trPr>
          <w:trHeight w:val="255"/>
        </w:trPr>
        <w:tc>
          <w:tcPr>
            <w:tcW w:w="1701" w:type="dxa"/>
            <w:tcBorders>
              <w:top w:val="single" w:sz="4" w:space="0" w:color="auto"/>
              <w:left w:val="nil"/>
              <w:bottom w:val="single" w:sz="2"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left"/>
              <w:rPr>
                <w:rFonts w:ascii="Arial Narrow" w:hAnsi="Arial Narrow" w:cs="Arial"/>
                <w:lang w:val="es-ES" w:eastAsia="es-ES"/>
              </w:rPr>
            </w:pPr>
            <w:r w:rsidRPr="00F83E7D">
              <w:rPr>
                <w:rFonts w:ascii="Arial Narrow" w:hAnsi="Arial Narrow" w:cs="Arial"/>
                <w:lang w:val="es-ES" w:eastAsia="es-ES"/>
              </w:rPr>
              <w:t>2012/2013</w:t>
            </w:r>
          </w:p>
        </w:tc>
        <w:tc>
          <w:tcPr>
            <w:tcW w:w="1985" w:type="dxa"/>
            <w:tcBorders>
              <w:top w:val="single" w:sz="4" w:space="0" w:color="auto"/>
              <w:left w:val="nil"/>
              <w:bottom w:val="single" w:sz="2"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lang w:val="es-ES" w:eastAsia="es-ES"/>
              </w:rPr>
            </w:pPr>
            <w:r>
              <w:rPr>
                <w:rFonts w:ascii="Arial Narrow" w:hAnsi="Arial Narrow" w:cs="Calibri"/>
                <w:lang w:val="es-ES" w:eastAsia="es-ES"/>
              </w:rPr>
              <w:t>143.031</w:t>
            </w:r>
          </w:p>
        </w:tc>
        <w:tc>
          <w:tcPr>
            <w:tcW w:w="2410" w:type="dxa"/>
            <w:tcBorders>
              <w:top w:val="single" w:sz="4" w:space="0" w:color="auto"/>
              <w:left w:val="nil"/>
              <w:bottom w:val="single" w:sz="2"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right"/>
              <w:rPr>
                <w:rFonts w:ascii="Arial Narrow" w:hAnsi="Arial Narrow" w:cs="Calibri"/>
                <w:lang w:val="es-ES" w:eastAsia="es-ES"/>
              </w:rPr>
            </w:pPr>
            <w:r w:rsidRPr="00F83E7D">
              <w:rPr>
                <w:rFonts w:ascii="Arial Narrow" w:hAnsi="Arial Narrow" w:cs="Calibri"/>
                <w:lang w:val="es-ES" w:eastAsia="es-ES"/>
              </w:rPr>
              <w:t xml:space="preserve">      5.000 </w:t>
            </w:r>
          </w:p>
        </w:tc>
        <w:tc>
          <w:tcPr>
            <w:tcW w:w="2693" w:type="dxa"/>
            <w:tcBorders>
              <w:top w:val="single" w:sz="4" w:space="0" w:color="auto"/>
              <w:left w:val="nil"/>
              <w:bottom w:val="single" w:sz="2"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lang w:val="es-ES" w:eastAsia="es-ES"/>
              </w:rPr>
            </w:pPr>
            <w:r>
              <w:rPr>
                <w:rFonts w:ascii="Arial Narrow" w:hAnsi="Arial Narrow" w:cs="Calibri"/>
                <w:lang w:val="es-ES" w:eastAsia="es-ES"/>
              </w:rPr>
              <w:t>148.031</w:t>
            </w:r>
          </w:p>
        </w:tc>
      </w:tr>
      <w:tr w:rsidR="00414999" w:rsidRPr="00F83E7D" w:rsidTr="003F1E6D">
        <w:trPr>
          <w:trHeight w:val="255"/>
        </w:trPr>
        <w:tc>
          <w:tcPr>
            <w:tcW w:w="1701" w:type="dxa"/>
            <w:tcBorders>
              <w:top w:val="single" w:sz="2" w:space="0" w:color="auto"/>
              <w:left w:val="nil"/>
              <w:bottom w:val="single" w:sz="2"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left"/>
              <w:rPr>
                <w:rFonts w:ascii="Arial Narrow" w:hAnsi="Arial Narrow" w:cs="Arial"/>
                <w:lang w:val="es-ES" w:eastAsia="es-ES"/>
              </w:rPr>
            </w:pPr>
            <w:r w:rsidRPr="00F83E7D">
              <w:rPr>
                <w:rFonts w:ascii="Arial Narrow" w:hAnsi="Arial Narrow" w:cs="Arial"/>
                <w:lang w:val="es-ES" w:eastAsia="es-ES"/>
              </w:rPr>
              <w:t>2013/2014</w:t>
            </w:r>
          </w:p>
        </w:tc>
        <w:tc>
          <w:tcPr>
            <w:tcW w:w="1985" w:type="dxa"/>
            <w:tcBorders>
              <w:top w:val="single" w:sz="2" w:space="0" w:color="auto"/>
              <w:left w:val="nil"/>
              <w:bottom w:val="single" w:sz="2"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lang w:val="es-ES" w:eastAsia="es-ES"/>
              </w:rPr>
            </w:pPr>
            <w:r>
              <w:rPr>
                <w:rFonts w:ascii="Arial Narrow" w:hAnsi="Arial Narrow" w:cs="Calibri"/>
                <w:lang w:val="es-ES" w:eastAsia="es-ES"/>
              </w:rPr>
              <w:t>136.034</w:t>
            </w:r>
          </w:p>
        </w:tc>
        <w:tc>
          <w:tcPr>
            <w:tcW w:w="2410" w:type="dxa"/>
            <w:tcBorders>
              <w:top w:val="single" w:sz="2" w:space="0" w:color="auto"/>
              <w:left w:val="nil"/>
              <w:bottom w:val="single" w:sz="2"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right"/>
              <w:rPr>
                <w:rFonts w:ascii="Arial Narrow" w:hAnsi="Arial Narrow" w:cs="Calibri"/>
                <w:lang w:val="es-ES" w:eastAsia="es-ES"/>
              </w:rPr>
            </w:pPr>
            <w:r w:rsidRPr="00F83E7D">
              <w:rPr>
                <w:rFonts w:ascii="Arial Narrow" w:hAnsi="Arial Narrow" w:cs="Calibri"/>
                <w:lang w:val="es-ES" w:eastAsia="es-ES"/>
              </w:rPr>
              <w:t xml:space="preserve">    35.606 </w:t>
            </w:r>
          </w:p>
        </w:tc>
        <w:tc>
          <w:tcPr>
            <w:tcW w:w="2693" w:type="dxa"/>
            <w:tcBorders>
              <w:top w:val="single" w:sz="2" w:space="0" w:color="auto"/>
              <w:left w:val="nil"/>
              <w:bottom w:val="single" w:sz="2"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lang w:val="es-ES" w:eastAsia="es-ES"/>
              </w:rPr>
            </w:pPr>
            <w:r>
              <w:rPr>
                <w:rFonts w:ascii="Arial Narrow" w:hAnsi="Arial Narrow" w:cs="Calibri"/>
                <w:lang w:val="es-ES" w:eastAsia="es-ES"/>
              </w:rPr>
              <w:t>171.640</w:t>
            </w:r>
          </w:p>
        </w:tc>
      </w:tr>
      <w:tr w:rsidR="00414999" w:rsidRPr="00F83E7D" w:rsidTr="003F1E6D">
        <w:trPr>
          <w:trHeight w:val="255"/>
        </w:trPr>
        <w:tc>
          <w:tcPr>
            <w:tcW w:w="1701" w:type="dxa"/>
            <w:tcBorders>
              <w:top w:val="single" w:sz="2" w:space="0" w:color="auto"/>
              <w:left w:val="nil"/>
              <w:bottom w:val="single" w:sz="2"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left"/>
              <w:rPr>
                <w:rFonts w:ascii="Arial Narrow" w:hAnsi="Arial Narrow" w:cs="Arial"/>
                <w:lang w:val="es-ES" w:eastAsia="es-ES"/>
              </w:rPr>
            </w:pPr>
            <w:r w:rsidRPr="00F83E7D">
              <w:rPr>
                <w:rFonts w:ascii="Arial Narrow" w:hAnsi="Arial Narrow" w:cs="Arial"/>
                <w:lang w:val="es-ES" w:eastAsia="es-ES"/>
              </w:rPr>
              <w:t>2014</w:t>
            </w:r>
            <w:r>
              <w:rPr>
                <w:rFonts w:ascii="Arial Narrow" w:hAnsi="Arial Narrow" w:cs="Arial"/>
                <w:lang w:val="es-ES" w:eastAsia="es-ES"/>
              </w:rPr>
              <w:t>/</w:t>
            </w:r>
            <w:r w:rsidRPr="00F83E7D">
              <w:rPr>
                <w:rFonts w:ascii="Arial Narrow" w:hAnsi="Arial Narrow" w:cs="Arial"/>
                <w:lang w:val="es-ES" w:eastAsia="es-ES"/>
              </w:rPr>
              <w:t>2015</w:t>
            </w:r>
          </w:p>
        </w:tc>
        <w:tc>
          <w:tcPr>
            <w:tcW w:w="1985" w:type="dxa"/>
            <w:tcBorders>
              <w:top w:val="single" w:sz="2" w:space="0" w:color="auto"/>
              <w:left w:val="nil"/>
              <w:bottom w:val="single" w:sz="2"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lang w:val="es-ES" w:eastAsia="es-ES"/>
              </w:rPr>
            </w:pPr>
            <w:r>
              <w:rPr>
                <w:rFonts w:ascii="Arial Narrow" w:hAnsi="Arial Narrow" w:cs="Calibri"/>
                <w:lang w:val="es-ES" w:eastAsia="es-ES"/>
              </w:rPr>
              <w:t>143.643</w:t>
            </w:r>
          </w:p>
        </w:tc>
        <w:tc>
          <w:tcPr>
            <w:tcW w:w="2410" w:type="dxa"/>
            <w:tcBorders>
              <w:top w:val="single" w:sz="2" w:space="0" w:color="auto"/>
              <w:left w:val="nil"/>
              <w:bottom w:val="single" w:sz="2"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right"/>
              <w:rPr>
                <w:rFonts w:ascii="Arial Narrow" w:hAnsi="Arial Narrow" w:cs="Calibri"/>
                <w:lang w:val="es-ES" w:eastAsia="es-ES"/>
              </w:rPr>
            </w:pPr>
            <w:r w:rsidRPr="00F83E7D">
              <w:rPr>
                <w:rFonts w:ascii="Arial Narrow" w:hAnsi="Arial Narrow" w:cs="Calibri"/>
                <w:lang w:val="es-ES" w:eastAsia="es-ES"/>
              </w:rPr>
              <w:t xml:space="preserve">    34.291 </w:t>
            </w:r>
          </w:p>
        </w:tc>
        <w:tc>
          <w:tcPr>
            <w:tcW w:w="2693" w:type="dxa"/>
            <w:tcBorders>
              <w:top w:val="single" w:sz="2" w:space="0" w:color="auto"/>
              <w:left w:val="nil"/>
              <w:bottom w:val="single" w:sz="2"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lang w:val="es-ES" w:eastAsia="es-ES"/>
              </w:rPr>
            </w:pPr>
            <w:r>
              <w:rPr>
                <w:rFonts w:ascii="Arial Narrow" w:hAnsi="Arial Narrow" w:cs="Calibri"/>
                <w:lang w:val="es-ES" w:eastAsia="es-ES"/>
              </w:rPr>
              <w:t>177.934</w:t>
            </w:r>
          </w:p>
        </w:tc>
      </w:tr>
      <w:tr w:rsidR="00414999" w:rsidRPr="00F83E7D" w:rsidTr="003F1E6D">
        <w:trPr>
          <w:trHeight w:val="255"/>
        </w:trPr>
        <w:tc>
          <w:tcPr>
            <w:tcW w:w="1701" w:type="dxa"/>
            <w:tcBorders>
              <w:top w:val="single" w:sz="2" w:space="0" w:color="auto"/>
              <w:left w:val="nil"/>
              <w:bottom w:val="single" w:sz="2"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left"/>
              <w:rPr>
                <w:rFonts w:ascii="Arial Narrow" w:hAnsi="Arial Narrow" w:cs="Arial"/>
                <w:lang w:val="es-ES" w:eastAsia="es-ES"/>
              </w:rPr>
            </w:pPr>
            <w:r w:rsidRPr="00F83E7D">
              <w:rPr>
                <w:rFonts w:ascii="Arial Narrow" w:hAnsi="Arial Narrow" w:cs="Arial"/>
                <w:lang w:val="es-ES" w:eastAsia="es-ES"/>
              </w:rPr>
              <w:t>2015/2016</w:t>
            </w:r>
          </w:p>
        </w:tc>
        <w:tc>
          <w:tcPr>
            <w:tcW w:w="1985" w:type="dxa"/>
            <w:tcBorders>
              <w:top w:val="single" w:sz="2" w:space="0" w:color="auto"/>
              <w:left w:val="nil"/>
              <w:bottom w:val="single" w:sz="2"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lang w:val="es-ES" w:eastAsia="es-ES"/>
              </w:rPr>
            </w:pPr>
            <w:r>
              <w:rPr>
                <w:rFonts w:ascii="Arial Narrow" w:hAnsi="Arial Narrow" w:cs="Calibri"/>
                <w:lang w:val="es-ES" w:eastAsia="es-ES"/>
              </w:rPr>
              <w:t>146.813</w:t>
            </w:r>
          </w:p>
        </w:tc>
        <w:tc>
          <w:tcPr>
            <w:tcW w:w="2410" w:type="dxa"/>
            <w:tcBorders>
              <w:top w:val="single" w:sz="2" w:space="0" w:color="auto"/>
              <w:left w:val="nil"/>
              <w:bottom w:val="single" w:sz="2"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right"/>
              <w:rPr>
                <w:rFonts w:ascii="Arial Narrow" w:hAnsi="Arial Narrow" w:cs="Calibri"/>
                <w:lang w:val="es-ES" w:eastAsia="es-ES"/>
              </w:rPr>
            </w:pPr>
            <w:r w:rsidRPr="00F83E7D">
              <w:rPr>
                <w:rFonts w:ascii="Arial Narrow" w:hAnsi="Arial Narrow" w:cs="Calibri"/>
                <w:lang w:val="es-ES" w:eastAsia="es-ES"/>
              </w:rPr>
              <w:t xml:space="preserve">   36.731 </w:t>
            </w:r>
          </w:p>
        </w:tc>
        <w:tc>
          <w:tcPr>
            <w:tcW w:w="2693" w:type="dxa"/>
            <w:tcBorders>
              <w:top w:val="single" w:sz="2" w:space="0" w:color="auto"/>
              <w:left w:val="nil"/>
              <w:bottom w:val="single" w:sz="2"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lang w:val="es-ES" w:eastAsia="es-ES"/>
              </w:rPr>
            </w:pPr>
            <w:r>
              <w:rPr>
                <w:rFonts w:ascii="Arial Narrow" w:hAnsi="Arial Narrow" w:cs="Calibri"/>
                <w:lang w:val="es-ES" w:eastAsia="es-ES"/>
              </w:rPr>
              <w:t>183.544</w:t>
            </w:r>
          </w:p>
        </w:tc>
      </w:tr>
      <w:tr w:rsidR="00414999" w:rsidRPr="00F83E7D" w:rsidTr="003F1E6D">
        <w:trPr>
          <w:trHeight w:val="255"/>
        </w:trPr>
        <w:tc>
          <w:tcPr>
            <w:tcW w:w="1701" w:type="dxa"/>
            <w:tcBorders>
              <w:top w:val="single" w:sz="2" w:space="0" w:color="auto"/>
              <w:left w:val="nil"/>
              <w:bottom w:val="single" w:sz="2"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left"/>
              <w:rPr>
                <w:rFonts w:ascii="Arial Narrow" w:hAnsi="Arial Narrow" w:cs="Arial"/>
                <w:lang w:val="es-ES" w:eastAsia="es-ES"/>
              </w:rPr>
            </w:pPr>
            <w:r w:rsidRPr="00F83E7D">
              <w:rPr>
                <w:rFonts w:ascii="Arial Narrow" w:hAnsi="Arial Narrow" w:cs="Arial"/>
                <w:lang w:val="es-ES" w:eastAsia="es-ES"/>
              </w:rPr>
              <w:t>2016/2017</w:t>
            </w:r>
          </w:p>
        </w:tc>
        <w:tc>
          <w:tcPr>
            <w:tcW w:w="1985" w:type="dxa"/>
            <w:tcBorders>
              <w:top w:val="single" w:sz="2" w:space="0" w:color="auto"/>
              <w:left w:val="nil"/>
              <w:bottom w:val="single" w:sz="2"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lang w:val="es-ES" w:eastAsia="es-ES"/>
              </w:rPr>
            </w:pPr>
            <w:r>
              <w:rPr>
                <w:rFonts w:ascii="Arial Narrow" w:hAnsi="Arial Narrow" w:cs="Calibri"/>
                <w:lang w:val="es-ES" w:eastAsia="es-ES"/>
              </w:rPr>
              <w:t>445.780</w:t>
            </w:r>
          </w:p>
        </w:tc>
        <w:tc>
          <w:tcPr>
            <w:tcW w:w="2410" w:type="dxa"/>
            <w:tcBorders>
              <w:top w:val="single" w:sz="2" w:space="0" w:color="auto"/>
              <w:left w:val="nil"/>
              <w:bottom w:val="single" w:sz="2"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right"/>
              <w:rPr>
                <w:rFonts w:ascii="Arial Narrow" w:hAnsi="Arial Narrow" w:cs="Calibri"/>
                <w:lang w:val="es-ES" w:eastAsia="es-ES"/>
              </w:rPr>
            </w:pPr>
            <w:r w:rsidRPr="00F83E7D">
              <w:rPr>
                <w:rFonts w:ascii="Arial Narrow" w:hAnsi="Arial Narrow" w:cs="Calibri"/>
                <w:lang w:val="es-ES" w:eastAsia="es-ES"/>
              </w:rPr>
              <w:t xml:space="preserve">    57.554 </w:t>
            </w:r>
          </w:p>
        </w:tc>
        <w:tc>
          <w:tcPr>
            <w:tcW w:w="2693" w:type="dxa"/>
            <w:tcBorders>
              <w:top w:val="single" w:sz="2" w:space="0" w:color="auto"/>
              <w:left w:val="nil"/>
              <w:bottom w:val="single" w:sz="2"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lang w:val="es-ES" w:eastAsia="es-ES"/>
              </w:rPr>
            </w:pPr>
            <w:r>
              <w:rPr>
                <w:rFonts w:ascii="Arial Narrow" w:hAnsi="Arial Narrow" w:cs="Calibri"/>
                <w:lang w:val="es-ES" w:eastAsia="es-ES"/>
              </w:rPr>
              <w:t>503.334</w:t>
            </w:r>
          </w:p>
        </w:tc>
      </w:tr>
      <w:tr w:rsidR="00414999" w:rsidRPr="00F83E7D" w:rsidTr="003F1E6D">
        <w:trPr>
          <w:trHeight w:val="255"/>
        </w:trPr>
        <w:tc>
          <w:tcPr>
            <w:tcW w:w="1701" w:type="dxa"/>
            <w:tcBorders>
              <w:top w:val="single" w:sz="2" w:space="0" w:color="auto"/>
              <w:left w:val="nil"/>
              <w:bottom w:val="single" w:sz="2"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left"/>
              <w:rPr>
                <w:rFonts w:ascii="Arial Narrow" w:hAnsi="Arial Narrow" w:cs="Arial"/>
                <w:lang w:val="es-ES" w:eastAsia="es-ES"/>
              </w:rPr>
            </w:pPr>
            <w:r w:rsidRPr="00F83E7D">
              <w:rPr>
                <w:rFonts w:ascii="Arial Narrow" w:hAnsi="Arial Narrow" w:cs="Arial"/>
                <w:lang w:val="es-ES" w:eastAsia="es-ES"/>
              </w:rPr>
              <w:t>2017/2018</w:t>
            </w:r>
          </w:p>
        </w:tc>
        <w:tc>
          <w:tcPr>
            <w:tcW w:w="1985" w:type="dxa"/>
            <w:tcBorders>
              <w:top w:val="single" w:sz="2" w:space="0" w:color="auto"/>
              <w:left w:val="nil"/>
              <w:bottom w:val="single" w:sz="2"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lang w:val="es-ES" w:eastAsia="es-ES"/>
              </w:rPr>
            </w:pPr>
            <w:r>
              <w:rPr>
                <w:rFonts w:ascii="Arial Narrow" w:hAnsi="Arial Narrow" w:cs="Calibri"/>
                <w:lang w:val="es-ES" w:eastAsia="es-ES"/>
              </w:rPr>
              <w:t>268.590</w:t>
            </w:r>
          </w:p>
        </w:tc>
        <w:tc>
          <w:tcPr>
            <w:tcW w:w="2410" w:type="dxa"/>
            <w:tcBorders>
              <w:top w:val="single" w:sz="2" w:space="0" w:color="auto"/>
              <w:left w:val="nil"/>
              <w:bottom w:val="single" w:sz="2"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right"/>
              <w:rPr>
                <w:rFonts w:ascii="Arial Narrow" w:hAnsi="Arial Narrow" w:cs="Calibri"/>
                <w:lang w:val="es-ES" w:eastAsia="es-ES"/>
              </w:rPr>
            </w:pPr>
            <w:r w:rsidRPr="00F83E7D">
              <w:rPr>
                <w:rFonts w:ascii="Arial Narrow" w:hAnsi="Arial Narrow" w:cs="Calibri"/>
                <w:lang w:val="es-ES" w:eastAsia="es-ES"/>
              </w:rPr>
              <w:t xml:space="preserve">   46.218 </w:t>
            </w:r>
          </w:p>
        </w:tc>
        <w:tc>
          <w:tcPr>
            <w:tcW w:w="2693" w:type="dxa"/>
            <w:tcBorders>
              <w:top w:val="single" w:sz="2" w:space="0" w:color="auto"/>
              <w:left w:val="nil"/>
              <w:bottom w:val="single" w:sz="2"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lang w:val="es-ES" w:eastAsia="es-ES"/>
              </w:rPr>
            </w:pPr>
            <w:r>
              <w:rPr>
                <w:rFonts w:ascii="Arial Narrow" w:hAnsi="Arial Narrow" w:cs="Calibri"/>
                <w:lang w:val="es-ES" w:eastAsia="es-ES"/>
              </w:rPr>
              <w:t>314.808</w:t>
            </w:r>
          </w:p>
        </w:tc>
      </w:tr>
      <w:tr w:rsidR="00414999" w:rsidRPr="00F83E7D" w:rsidTr="003F1E6D">
        <w:trPr>
          <w:trHeight w:val="255"/>
        </w:trPr>
        <w:tc>
          <w:tcPr>
            <w:tcW w:w="1701" w:type="dxa"/>
            <w:tcBorders>
              <w:top w:val="single" w:sz="2" w:space="0" w:color="auto"/>
              <w:left w:val="nil"/>
              <w:bottom w:val="single" w:sz="4"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left"/>
              <w:rPr>
                <w:rFonts w:ascii="Arial Narrow" w:hAnsi="Arial Narrow" w:cs="Arial"/>
                <w:lang w:val="es-ES" w:eastAsia="es-ES"/>
              </w:rPr>
            </w:pPr>
            <w:r w:rsidRPr="00F83E7D">
              <w:rPr>
                <w:rFonts w:ascii="Arial Narrow" w:hAnsi="Arial Narrow" w:cs="Arial"/>
                <w:lang w:val="es-ES" w:eastAsia="es-ES"/>
              </w:rPr>
              <w:t>2018/2019</w:t>
            </w:r>
          </w:p>
        </w:tc>
        <w:tc>
          <w:tcPr>
            <w:tcW w:w="1985" w:type="dxa"/>
            <w:tcBorders>
              <w:top w:val="single" w:sz="2" w:space="0" w:color="auto"/>
              <w:left w:val="nil"/>
              <w:bottom w:val="single" w:sz="4"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lang w:val="es-ES" w:eastAsia="es-ES"/>
              </w:rPr>
            </w:pPr>
            <w:r>
              <w:rPr>
                <w:rFonts w:ascii="Arial Narrow" w:hAnsi="Arial Narrow" w:cs="Calibri"/>
                <w:lang w:val="es-ES" w:eastAsia="es-ES"/>
              </w:rPr>
              <w:t>295.605</w:t>
            </w:r>
          </w:p>
        </w:tc>
        <w:tc>
          <w:tcPr>
            <w:tcW w:w="2410" w:type="dxa"/>
            <w:tcBorders>
              <w:top w:val="single" w:sz="2" w:space="0" w:color="auto"/>
              <w:left w:val="nil"/>
              <w:bottom w:val="single" w:sz="4" w:space="0" w:color="auto"/>
              <w:right w:val="nil"/>
            </w:tcBorders>
            <w:shd w:val="clear" w:color="auto" w:fill="auto"/>
            <w:noWrap/>
            <w:vAlign w:val="center"/>
            <w:hideMark/>
          </w:tcPr>
          <w:p w:rsidR="00414999" w:rsidRPr="00F83E7D" w:rsidRDefault="00414999" w:rsidP="00F44C41">
            <w:pPr>
              <w:tabs>
                <w:tab w:val="left" w:pos="8647"/>
              </w:tabs>
              <w:spacing w:after="0"/>
              <w:ind w:right="283" w:firstLine="0"/>
              <w:jc w:val="right"/>
              <w:rPr>
                <w:rFonts w:ascii="Arial Narrow" w:hAnsi="Arial Narrow" w:cs="Calibri"/>
                <w:lang w:val="es-ES" w:eastAsia="es-ES"/>
              </w:rPr>
            </w:pPr>
            <w:r w:rsidRPr="00F83E7D">
              <w:rPr>
                <w:rFonts w:ascii="Arial Narrow" w:hAnsi="Arial Narrow" w:cs="Calibri"/>
                <w:lang w:val="es-ES" w:eastAsia="es-ES"/>
              </w:rPr>
              <w:t xml:space="preserve">     24.768 </w:t>
            </w:r>
          </w:p>
        </w:tc>
        <w:tc>
          <w:tcPr>
            <w:tcW w:w="2693" w:type="dxa"/>
            <w:tcBorders>
              <w:top w:val="single" w:sz="2" w:space="0" w:color="auto"/>
              <w:left w:val="nil"/>
              <w:bottom w:val="single" w:sz="4" w:space="0" w:color="auto"/>
              <w:right w:val="nil"/>
            </w:tcBorders>
            <w:shd w:val="clear" w:color="auto" w:fill="auto"/>
            <w:noWrap/>
            <w:vAlign w:val="center"/>
          </w:tcPr>
          <w:p w:rsidR="00414999" w:rsidRPr="00F83E7D" w:rsidRDefault="003852AD" w:rsidP="00F44C41">
            <w:pPr>
              <w:tabs>
                <w:tab w:val="left" w:pos="8647"/>
              </w:tabs>
              <w:spacing w:after="0"/>
              <w:ind w:right="283" w:firstLine="0"/>
              <w:jc w:val="right"/>
              <w:rPr>
                <w:rFonts w:ascii="Arial Narrow" w:hAnsi="Arial Narrow" w:cs="Calibri"/>
                <w:lang w:val="es-ES" w:eastAsia="es-ES"/>
              </w:rPr>
            </w:pPr>
            <w:r>
              <w:rPr>
                <w:rFonts w:ascii="Arial Narrow" w:hAnsi="Arial Narrow" w:cs="Calibri"/>
                <w:lang w:val="es-ES" w:eastAsia="es-ES"/>
              </w:rPr>
              <w:t>320.373</w:t>
            </w:r>
          </w:p>
        </w:tc>
      </w:tr>
    </w:tbl>
    <w:p w:rsidR="00B7332B" w:rsidRPr="001521BC" w:rsidRDefault="001521BC" w:rsidP="008E0BD0">
      <w:pPr>
        <w:tabs>
          <w:tab w:val="left" w:pos="8647"/>
        </w:tabs>
        <w:suppressAutoHyphens/>
        <w:autoSpaceDN w:val="0"/>
        <w:spacing w:before="240"/>
        <w:ind w:firstLine="284"/>
        <w:rPr>
          <w:spacing w:val="6"/>
          <w:sz w:val="26"/>
          <w:szCs w:val="26"/>
        </w:rPr>
      </w:pPr>
      <w:r w:rsidRPr="001521BC">
        <w:rPr>
          <w:spacing w:val="6"/>
          <w:sz w:val="26"/>
          <w:szCs w:val="26"/>
        </w:rPr>
        <w:t>Teniendo en cuenta las conclusiones alcanzadas, exponemos a continuación las recomendaciones que consideramos pueden contribuir a mejorar la gestión analizada:</w:t>
      </w:r>
      <w:r w:rsidR="004B43B1" w:rsidRPr="001521BC">
        <w:rPr>
          <w:spacing w:val="6"/>
          <w:sz w:val="26"/>
          <w:szCs w:val="26"/>
        </w:rPr>
        <w:t xml:space="preserve"> </w:t>
      </w:r>
    </w:p>
    <w:p w:rsidR="00B7332B" w:rsidRPr="00B7332B" w:rsidRDefault="00B7332B" w:rsidP="00B7332B">
      <w:pPr>
        <w:pStyle w:val="Prrafodelista"/>
        <w:numPr>
          <w:ilvl w:val="0"/>
          <w:numId w:val="24"/>
        </w:numPr>
        <w:tabs>
          <w:tab w:val="left" w:pos="426"/>
        </w:tabs>
        <w:autoSpaceDE w:val="0"/>
        <w:autoSpaceDN w:val="0"/>
        <w:adjustRightInd w:val="0"/>
        <w:ind w:left="0" w:firstLine="142"/>
        <w:contextualSpacing w:val="0"/>
        <w:rPr>
          <w:rFonts w:eastAsia="Calibri"/>
          <w:i/>
          <w:spacing w:val="6"/>
          <w:sz w:val="26"/>
          <w:szCs w:val="26"/>
          <w:lang w:eastAsia="es-ES"/>
        </w:rPr>
      </w:pPr>
      <w:r>
        <w:rPr>
          <w:rFonts w:eastAsia="Calibri"/>
          <w:i/>
          <w:spacing w:val="6"/>
          <w:sz w:val="26"/>
          <w:szCs w:val="26"/>
          <w:lang w:eastAsia="es-ES"/>
        </w:rPr>
        <w:t>C</w:t>
      </w:r>
      <w:r w:rsidR="004B43B1" w:rsidRPr="00B7332B">
        <w:rPr>
          <w:rFonts w:eastAsia="Calibri"/>
          <w:i/>
          <w:spacing w:val="6"/>
          <w:sz w:val="26"/>
          <w:szCs w:val="26"/>
          <w:lang w:eastAsia="es-ES"/>
        </w:rPr>
        <w:t xml:space="preserve">ontinuar con </w:t>
      </w:r>
      <w:r>
        <w:rPr>
          <w:rFonts w:eastAsia="Calibri"/>
          <w:i/>
          <w:spacing w:val="6"/>
          <w:sz w:val="26"/>
          <w:szCs w:val="26"/>
          <w:lang w:eastAsia="es-ES"/>
        </w:rPr>
        <w:t>la im</w:t>
      </w:r>
      <w:r w:rsidR="004B43B1" w:rsidRPr="00B7332B">
        <w:rPr>
          <w:rFonts w:eastAsia="Calibri"/>
          <w:i/>
          <w:spacing w:val="6"/>
          <w:sz w:val="26"/>
          <w:szCs w:val="26"/>
          <w:lang w:eastAsia="es-ES"/>
        </w:rPr>
        <w:t>plantación de una contabilidad analítica con la col</w:t>
      </w:r>
      <w:r w:rsidR="004B43B1" w:rsidRPr="00B7332B">
        <w:rPr>
          <w:rFonts w:eastAsia="Calibri"/>
          <w:i/>
          <w:spacing w:val="6"/>
          <w:sz w:val="26"/>
          <w:szCs w:val="26"/>
          <w:lang w:eastAsia="es-ES"/>
        </w:rPr>
        <w:t>a</w:t>
      </w:r>
      <w:r w:rsidR="004B43B1" w:rsidRPr="00B7332B">
        <w:rPr>
          <w:rFonts w:eastAsia="Calibri"/>
          <w:i/>
          <w:spacing w:val="6"/>
          <w:sz w:val="26"/>
          <w:szCs w:val="26"/>
          <w:lang w:eastAsia="es-ES"/>
        </w:rPr>
        <w:t>boración de las administraciones estatal y autonómica</w:t>
      </w:r>
      <w:r>
        <w:rPr>
          <w:rFonts w:eastAsia="Calibri"/>
          <w:i/>
          <w:spacing w:val="6"/>
          <w:sz w:val="26"/>
          <w:szCs w:val="26"/>
          <w:lang w:eastAsia="es-ES"/>
        </w:rPr>
        <w:t xml:space="preserve">, </w:t>
      </w:r>
      <w:r w:rsidRPr="00B7332B">
        <w:rPr>
          <w:rFonts w:eastAsia="Calibri"/>
          <w:i/>
          <w:spacing w:val="6"/>
          <w:sz w:val="26"/>
          <w:szCs w:val="26"/>
          <w:lang w:eastAsia="es-ES"/>
        </w:rPr>
        <w:t>que permita conocer los costes asociados a la actividad docente e investigadora</w:t>
      </w:r>
      <w:r>
        <w:rPr>
          <w:rFonts w:eastAsia="Calibri"/>
          <w:i/>
          <w:spacing w:val="6"/>
          <w:sz w:val="26"/>
          <w:szCs w:val="26"/>
          <w:lang w:eastAsia="es-ES"/>
        </w:rPr>
        <w:t xml:space="preserve"> y el </w:t>
      </w:r>
      <w:r w:rsidRPr="00B7332B">
        <w:rPr>
          <w:rFonts w:eastAsia="Calibri"/>
          <w:i/>
          <w:spacing w:val="6"/>
          <w:sz w:val="26"/>
          <w:szCs w:val="26"/>
          <w:lang w:eastAsia="es-ES"/>
        </w:rPr>
        <w:t>establecimiento de los precios públicos y derechos conducentes a la obtención de títulos ofici</w:t>
      </w:r>
      <w:r w:rsidRPr="00B7332B">
        <w:rPr>
          <w:rFonts w:eastAsia="Calibri"/>
          <w:i/>
          <w:spacing w:val="6"/>
          <w:sz w:val="26"/>
          <w:szCs w:val="26"/>
          <w:lang w:eastAsia="es-ES"/>
        </w:rPr>
        <w:t>a</w:t>
      </w:r>
      <w:r w:rsidRPr="00B7332B">
        <w:rPr>
          <w:rFonts w:eastAsia="Calibri"/>
          <w:i/>
          <w:spacing w:val="6"/>
          <w:sz w:val="26"/>
          <w:szCs w:val="26"/>
          <w:lang w:eastAsia="es-ES"/>
        </w:rPr>
        <w:t>les en relación con los costes de prestación del servicio, como señala el artíc</w:t>
      </w:r>
      <w:r w:rsidRPr="00B7332B">
        <w:rPr>
          <w:rFonts w:eastAsia="Calibri"/>
          <w:i/>
          <w:spacing w:val="6"/>
          <w:sz w:val="26"/>
          <w:szCs w:val="26"/>
          <w:lang w:eastAsia="es-ES"/>
        </w:rPr>
        <w:t>u</w:t>
      </w:r>
      <w:r w:rsidRPr="00B7332B">
        <w:rPr>
          <w:rFonts w:eastAsia="Calibri"/>
          <w:i/>
          <w:spacing w:val="6"/>
          <w:sz w:val="26"/>
          <w:szCs w:val="26"/>
          <w:lang w:eastAsia="es-ES"/>
        </w:rPr>
        <w:t>lo 81.3 b) de la LOU.</w:t>
      </w:r>
    </w:p>
    <w:p w:rsidR="004B43B1" w:rsidRPr="00B7332B" w:rsidRDefault="007C553B" w:rsidP="00981AF4">
      <w:pPr>
        <w:pStyle w:val="Prrafodelista"/>
        <w:numPr>
          <w:ilvl w:val="0"/>
          <w:numId w:val="24"/>
        </w:numPr>
        <w:tabs>
          <w:tab w:val="left" w:pos="426"/>
        </w:tabs>
        <w:autoSpaceDE w:val="0"/>
        <w:autoSpaceDN w:val="0"/>
        <w:adjustRightInd w:val="0"/>
        <w:spacing w:after="360"/>
        <w:ind w:left="0" w:firstLine="142"/>
        <w:contextualSpacing w:val="0"/>
        <w:rPr>
          <w:rFonts w:eastAsia="Calibri"/>
          <w:i/>
          <w:spacing w:val="6"/>
          <w:sz w:val="26"/>
          <w:szCs w:val="26"/>
          <w:lang w:eastAsia="es-ES"/>
        </w:rPr>
      </w:pPr>
      <w:r>
        <w:rPr>
          <w:rFonts w:eastAsia="Calibri"/>
          <w:i/>
          <w:spacing w:val="6"/>
          <w:sz w:val="26"/>
          <w:szCs w:val="26"/>
          <w:lang w:eastAsia="es-ES"/>
        </w:rPr>
        <w:t>Fomentar</w:t>
      </w:r>
      <w:r w:rsidR="00625FDC">
        <w:rPr>
          <w:rFonts w:eastAsia="Calibri"/>
          <w:i/>
          <w:spacing w:val="6"/>
          <w:sz w:val="26"/>
          <w:szCs w:val="26"/>
          <w:lang w:eastAsia="es-ES"/>
        </w:rPr>
        <w:t xml:space="preserve"> </w:t>
      </w:r>
      <w:r w:rsidR="004B43B1" w:rsidRPr="00B7332B">
        <w:rPr>
          <w:rFonts w:eastAsia="Calibri"/>
          <w:i/>
          <w:spacing w:val="6"/>
          <w:sz w:val="26"/>
          <w:szCs w:val="26"/>
          <w:lang w:eastAsia="es-ES"/>
        </w:rPr>
        <w:t>la participación de la U</w:t>
      </w:r>
      <w:r w:rsidR="00F21939">
        <w:rPr>
          <w:rFonts w:eastAsia="Calibri"/>
          <w:i/>
          <w:spacing w:val="6"/>
          <w:sz w:val="26"/>
          <w:szCs w:val="26"/>
          <w:lang w:eastAsia="es-ES"/>
        </w:rPr>
        <w:t xml:space="preserve">niversidad </w:t>
      </w:r>
      <w:r w:rsidR="004B43B1" w:rsidRPr="00B7332B">
        <w:rPr>
          <w:rFonts w:eastAsia="Calibri"/>
          <w:i/>
          <w:spacing w:val="6"/>
          <w:sz w:val="26"/>
          <w:szCs w:val="26"/>
          <w:lang w:eastAsia="es-ES"/>
        </w:rPr>
        <w:t>P</w:t>
      </w:r>
      <w:r w:rsidR="00F21939">
        <w:rPr>
          <w:rFonts w:eastAsia="Calibri"/>
          <w:i/>
          <w:spacing w:val="6"/>
          <w:sz w:val="26"/>
          <w:szCs w:val="26"/>
          <w:lang w:eastAsia="es-ES"/>
        </w:rPr>
        <w:t xml:space="preserve">ública de </w:t>
      </w:r>
      <w:r w:rsidR="004B43B1" w:rsidRPr="00B7332B">
        <w:rPr>
          <w:rFonts w:eastAsia="Calibri"/>
          <w:i/>
          <w:spacing w:val="6"/>
          <w:sz w:val="26"/>
          <w:szCs w:val="26"/>
          <w:lang w:eastAsia="es-ES"/>
        </w:rPr>
        <w:t>N</w:t>
      </w:r>
      <w:r w:rsidR="00F21939">
        <w:rPr>
          <w:rFonts w:eastAsia="Calibri"/>
          <w:i/>
          <w:spacing w:val="6"/>
          <w:sz w:val="26"/>
          <w:szCs w:val="26"/>
          <w:lang w:eastAsia="es-ES"/>
        </w:rPr>
        <w:t>avarra</w:t>
      </w:r>
      <w:r w:rsidR="004B43B1" w:rsidRPr="00B7332B">
        <w:rPr>
          <w:rFonts w:eastAsia="Calibri"/>
          <w:i/>
          <w:spacing w:val="6"/>
          <w:sz w:val="26"/>
          <w:szCs w:val="26"/>
          <w:lang w:eastAsia="es-ES"/>
        </w:rPr>
        <w:t xml:space="preserve"> en el pr</w:t>
      </w:r>
      <w:r w:rsidR="004B43B1" w:rsidRPr="00B7332B">
        <w:rPr>
          <w:rFonts w:eastAsia="Calibri"/>
          <w:i/>
          <w:spacing w:val="6"/>
          <w:sz w:val="26"/>
          <w:szCs w:val="26"/>
          <w:lang w:eastAsia="es-ES"/>
        </w:rPr>
        <w:t>o</w:t>
      </w:r>
      <w:r w:rsidR="004B43B1" w:rsidRPr="00B7332B">
        <w:rPr>
          <w:rFonts w:eastAsia="Calibri"/>
          <w:i/>
          <w:spacing w:val="6"/>
          <w:sz w:val="26"/>
          <w:szCs w:val="26"/>
          <w:lang w:eastAsia="es-ES"/>
        </w:rPr>
        <w:t>ceso de fijación de precios públicos por la prestación de servicios académicos</w:t>
      </w:r>
      <w:r w:rsidR="00625FDC">
        <w:rPr>
          <w:rFonts w:eastAsia="Calibri"/>
          <w:i/>
          <w:spacing w:val="6"/>
          <w:sz w:val="26"/>
          <w:szCs w:val="26"/>
          <w:lang w:eastAsia="es-ES"/>
        </w:rPr>
        <w:t xml:space="preserve">, </w:t>
      </w:r>
      <w:r w:rsidR="00771152">
        <w:rPr>
          <w:rFonts w:eastAsia="Calibri"/>
          <w:i/>
          <w:spacing w:val="6"/>
          <w:sz w:val="26"/>
          <w:szCs w:val="26"/>
          <w:lang w:eastAsia="es-ES"/>
        </w:rPr>
        <w:t>especialment</w:t>
      </w:r>
      <w:r w:rsidR="00625FDC">
        <w:rPr>
          <w:rFonts w:eastAsia="Calibri"/>
          <w:i/>
          <w:spacing w:val="6"/>
          <w:sz w:val="26"/>
          <w:szCs w:val="26"/>
          <w:lang w:eastAsia="es-ES"/>
        </w:rPr>
        <w:t>e</w:t>
      </w:r>
      <w:r w:rsidR="004B43B1" w:rsidRPr="00B7332B">
        <w:rPr>
          <w:rFonts w:eastAsia="Calibri"/>
          <w:i/>
          <w:spacing w:val="6"/>
          <w:sz w:val="26"/>
          <w:szCs w:val="26"/>
          <w:lang w:eastAsia="es-ES"/>
        </w:rPr>
        <w:t xml:space="preserve"> en el momento en que </w:t>
      </w:r>
      <w:r w:rsidR="00771152">
        <w:rPr>
          <w:rFonts w:eastAsia="Calibri"/>
          <w:i/>
          <w:spacing w:val="6"/>
          <w:sz w:val="26"/>
          <w:szCs w:val="26"/>
          <w:lang w:eastAsia="es-ES"/>
        </w:rPr>
        <w:t xml:space="preserve">dichos </w:t>
      </w:r>
      <w:r w:rsidR="004B43B1" w:rsidRPr="00B7332B">
        <w:rPr>
          <w:rFonts w:eastAsia="Calibri"/>
          <w:i/>
          <w:spacing w:val="6"/>
          <w:sz w:val="26"/>
          <w:szCs w:val="26"/>
          <w:lang w:eastAsia="es-ES"/>
        </w:rPr>
        <w:t>precios se fijen en función de su coste, como exige la LOU.</w:t>
      </w:r>
    </w:p>
    <w:p w:rsidR="00414999" w:rsidRPr="00631CEA" w:rsidRDefault="00414999" w:rsidP="00F44C41">
      <w:pPr>
        <w:pStyle w:val="atitulo2"/>
        <w:tabs>
          <w:tab w:val="left" w:pos="8647"/>
        </w:tabs>
        <w:ind w:right="283"/>
        <w:rPr>
          <w:spacing w:val="6"/>
        </w:rPr>
      </w:pPr>
      <w:bookmarkStart w:id="21" w:name="_Toc56752468"/>
      <w:bookmarkStart w:id="22" w:name="_Toc57285459"/>
      <w:r w:rsidRPr="00631CEA">
        <w:rPr>
          <w:spacing w:val="6"/>
        </w:rPr>
        <w:t>IV.2. Seguimiento de las recomendaciones del informe</w:t>
      </w:r>
      <w:r>
        <w:rPr>
          <w:spacing w:val="6"/>
        </w:rPr>
        <w:t>, UPNA 2017</w:t>
      </w:r>
      <w:bookmarkEnd w:id="21"/>
      <w:bookmarkEnd w:id="22"/>
    </w:p>
    <w:p w:rsidR="00414999" w:rsidRPr="003137A0" w:rsidRDefault="00414999" w:rsidP="00981AF4">
      <w:pPr>
        <w:ind w:firstLine="284"/>
        <w:rPr>
          <w:spacing w:val="6"/>
          <w:sz w:val="26"/>
          <w:szCs w:val="26"/>
        </w:rPr>
      </w:pPr>
      <w:r>
        <w:rPr>
          <w:spacing w:val="6"/>
          <w:sz w:val="26"/>
          <w:szCs w:val="26"/>
        </w:rPr>
        <w:t>En el informe de fiscalización, Universidad Pública de Navarra, ejercicio 2017, se contemplaban 13 recomendaciones. La</w:t>
      </w:r>
      <w:r w:rsidR="0044328F">
        <w:rPr>
          <w:spacing w:val="6"/>
          <w:sz w:val="26"/>
          <w:szCs w:val="26"/>
        </w:rPr>
        <w:t xml:space="preserve"> </w:t>
      </w:r>
      <w:r w:rsidR="0044328F" w:rsidRPr="005E55D3">
        <w:rPr>
          <w:spacing w:val="6"/>
          <w:sz w:val="26"/>
          <w:szCs w:val="26"/>
        </w:rPr>
        <w:t xml:space="preserve">situación actual </w:t>
      </w:r>
      <w:r w:rsidR="001A013B">
        <w:rPr>
          <w:spacing w:val="6"/>
          <w:sz w:val="26"/>
          <w:szCs w:val="26"/>
        </w:rPr>
        <w:t>de las mismas:</w:t>
      </w:r>
      <w:r>
        <w:rPr>
          <w:spacing w:val="6"/>
          <w:sz w:val="26"/>
          <w:szCs w:val="26"/>
        </w:rPr>
        <w:t xml:space="preserve"> total o sustancialmente aplicada, aplicada parcialmente, no aplicada, </w:t>
      </w:r>
      <w:r w:rsidRPr="003137A0">
        <w:rPr>
          <w:spacing w:val="6"/>
          <w:sz w:val="26"/>
          <w:szCs w:val="26"/>
        </w:rPr>
        <w:t>sin validez en el marco actual y no verificada</w:t>
      </w:r>
      <w:r>
        <w:rPr>
          <w:spacing w:val="6"/>
          <w:sz w:val="26"/>
          <w:szCs w:val="26"/>
        </w:rPr>
        <w:t>, es la siguiente:</w:t>
      </w:r>
    </w:p>
    <w:p w:rsidR="00414999" w:rsidRPr="00A36484" w:rsidRDefault="00414999" w:rsidP="00981AF4">
      <w:pPr>
        <w:autoSpaceDE w:val="0"/>
        <w:autoSpaceDN w:val="0"/>
        <w:adjustRightInd w:val="0"/>
        <w:ind w:firstLine="284"/>
        <w:rPr>
          <w:b/>
          <w:iCs/>
          <w:sz w:val="24"/>
          <w:szCs w:val="24"/>
        </w:rPr>
      </w:pPr>
      <w:r w:rsidRPr="00A36484">
        <w:rPr>
          <w:i/>
          <w:iCs/>
          <w:sz w:val="24"/>
          <w:szCs w:val="24"/>
        </w:rPr>
        <w:t>1.ª Implantar el Plan General de Contabilidad Pública (PGCP) de 2010 para el regi</w:t>
      </w:r>
      <w:r w:rsidRPr="00A36484">
        <w:rPr>
          <w:i/>
          <w:iCs/>
          <w:sz w:val="24"/>
          <w:szCs w:val="24"/>
        </w:rPr>
        <w:t>s</w:t>
      </w:r>
      <w:r w:rsidRPr="00A36484">
        <w:rPr>
          <w:i/>
          <w:iCs/>
          <w:sz w:val="24"/>
          <w:szCs w:val="24"/>
        </w:rPr>
        <w:t xml:space="preserve">tro y seguimiento de su actividad presupuestaria y financiera y adaptar la estructura y contenido de su memoria anual a las prescripciones del mismo. </w:t>
      </w:r>
      <w:r w:rsidRPr="00A36484">
        <w:rPr>
          <w:b/>
          <w:iCs/>
          <w:sz w:val="24"/>
          <w:szCs w:val="24"/>
        </w:rPr>
        <w:t>“No aplicada”.</w:t>
      </w:r>
    </w:p>
    <w:p w:rsidR="00414999" w:rsidRDefault="00414999" w:rsidP="00981AF4">
      <w:pPr>
        <w:pStyle w:val="texto"/>
        <w:rPr>
          <w:szCs w:val="26"/>
        </w:rPr>
      </w:pPr>
      <w:r>
        <w:rPr>
          <w:szCs w:val="26"/>
        </w:rPr>
        <w:t>Las Cuentas Anuales de la un</w:t>
      </w:r>
      <w:r w:rsidRPr="00D042F0">
        <w:rPr>
          <w:szCs w:val="26"/>
        </w:rPr>
        <w:t xml:space="preserve">iversidad </w:t>
      </w:r>
      <w:r>
        <w:rPr>
          <w:szCs w:val="26"/>
        </w:rPr>
        <w:t xml:space="preserve">se presentan conforme al PGCP 1994. </w:t>
      </w:r>
    </w:p>
    <w:p w:rsidR="00414999" w:rsidRDefault="00414999" w:rsidP="00A36484">
      <w:pPr>
        <w:pStyle w:val="texto"/>
        <w:rPr>
          <w:szCs w:val="26"/>
        </w:rPr>
      </w:pPr>
      <w:r>
        <w:rPr>
          <w:szCs w:val="26"/>
        </w:rPr>
        <w:t>Según la UPNA se mantiene el mismo criterio que en años anteriores a la e</w:t>
      </w:r>
      <w:r>
        <w:rPr>
          <w:szCs w:val="26"/>
        </w:rPr>
        <w:t>s</w:t>
      </w:r>
      <w:r>
        <w:rPr>
          <w:szCs w:val="26"/>
        </w:rPr>
        <w:t xml:space="preserve">pera de la aprobación e implantación del PGCP para la Comunidad Foral. </w:t>
      </w:r>
      <w:r w:rsidRPr="005B78D5">
        <w:rPr>
          <w:szCs w:val="26"/>
        </w:rPr>
        <w:t xml:space="preserve">Sin </w:t>
      </w:r>
      <w:r w:rsidRPr="005B78D5">
        <w:rPr>
          <w:szCs w:val="26"/>
        </w:rPr>
        <w:lastRenderedPageBreak/>
        <w:t>embargo, la Ley Foral 13/2007, de 4 de abril, de la Hacienda Pública de Nav</w:t>
      </w:r>
      <w:r w:rsidRPr="005B78D5">
        <w:rPr>
          <w:szCs w:val="26"/>
        </w:rPr>
        <w:t>a</w:t>
      </w:r>
      <w:r w:rsidRPr="005B78D5">
        <w:rPr>
          <w:szCs w:val="26"/>
        </w:rPr>
        <w:t xml:space="preserve">rra establece en su artículo 123 que corresponde al Departamento de Economía y Hacienda aprobar el </w:t>
      </w:r>
      <w:r>
        <w:rPr>
          <w:szCs w:val="26"/>
        </w:rPr>
        <w:t>PGCP</w:t>
      </w:r>
      <w:r w:rsidRPr="005B78D5">
        <w:rPr>
          <w:szCs w:val="26"/>
        </w:rPr>
        <w:t xml:space="preserve"> de la Comunidad Foral</w:t>
      </w:r>
      <w:r>
        <w:rPr>
          <w:szCs w:val="26"/>
        </w:rPr>
        <w:t xml:space="preserve"> y,</w:t>
      </w:r>
      <w:r w:rsidRPr="005B78D5">
        <w:rPr>
          <w:szCs w:val="26"/>
        </w:rPr>
        <w:t xml:space="preserve"> en defecto de su apr</w:t>
      </w:r>
      <w:r w:rsidRPr="005B78D5">
        <w:rPr>
          <w:szCs w:val="26"/>
        </w:rPr>
        <w:t>o</w:t>
      </w:r>
      <w:r w:rsidRPr="005B78D5">
        <w:rPr>
          <w:szCs w:val="26"/>
        </w:rPr>
        <w:t>bación expresa, será de aplicación el PGCP aprobado para el sector estatal.</w:t>
      </w:r>
    </w:p>
    <w:p w:rsidR="00414999" w:rsidRDefault="00414999" w:rsidP="00A36484">
      <w:pPr>
        <w:pStyle w:val="texto"/>
        <w:rPr>
          <w:szCs w:val="26"/>
        </w:rPr>
      </w:pPr>
      <w:r>
        <w:rPr>
          <w:szCs w:val="26"/>
        </w:rPr>
        <w:t>Por ello esta Cámara opina que la UPNA debe aplicar el PGCP 2010 y, en consecuencia, continúa vigente la recomendación realizada.</w:t>
      </w:r>
    </w:p>
    <w:p w:rsidR="00414999" w:rsidRPr="00A36484" w:rsidRDefault="00414999" w:rsidP="00A36484">
      <w:pPr>
        <w:autoSpaceDE w:val="0"/>
        <w:autoSpaceDN w:val="0"/>
        <w:adjustRightInd w:val="0"/>
        <w:ind w:firstLine="284"/>
        <w:rPr>
          <w:b/>
          <w:iCs/>
          <w:sz w:val="24"/>
          <w:szCs w:val="24"/>
        </w:rPr>
      </w:pPr>
      <w:r w:rsidRPr="00A36484">
        <w:rPr>
          <w:i/>
          <w:iCs/>
          <w:sz w:val="24"/>
          <w:szCs w:val="24"/>
        </w:rPr>
        <w:t>2.ª Cumplir con los porcentajes de personal docente e investigador (PDI) contratado en equivalencia a tiempo completo, inferior al 49 por ciento; de PDI contratado laboral te</w:t>
      </w:r>
      <w:r w:rsidRPr="00A36484">
        <w:rPr>
          <w:i/>
          <w:iCs/>
          <w:sz w:val="24"/>
          <w:szCs w:val="24"/>
        </w:rPr>
        <w:t>m</w:t>
      </w:r>
      <w:r w:rsidRPr="00A36484">
        <w:rPr>
          <w:i/>
          <w:iCs/>
          <w:sz w:val="24"/>
          <w:szCs w:val="24"/>
        </w:rPr>
        <w:t>poral, inferior al 40 por ciento; PDI doctor, superior al 70 por ciento, sobre el total de PDI, de acuerdo a la normativa de la LOU y las directrices de la plantilla PDI.</w:t>
      </w:r>
      <w:r w:rsidR="002A6AA8" w:rsidRPr="00A36484">
        <w:rPr>
          <w:i/>
          <w:iCs/>
          <w:sz w:val="24"/>
          <w:szCs w:val="24"/>
        </w:rPr>
        <w:t xml:space="preserve"> </w:t>
      </w:r>
      <w:r w:rsidR="002A6AA8" w:rsidRPr="00A36484">
        <w:rPr>
          <w:b/>
          <w:iCs/>
          <w:sz w:val="24"/>
          <w:szCs w:val="24"/>
        </w:rPr>
        <w:t>“Aplicada parcialmente”.</w:t>
      </w:r>
    </w:p>
    <w:p w:rsidR="002A6AA8" w:rsidRPr="002A6AA8" w:rsidRDefault="002A6AA8" w:rsidP="00A36484">
      <w:pPr>
        <w:autoSpaceDE w:val="0"/>
        <w:autoSpaceDN w:val="0"/>
        <w:adjustRightInd w:val="0"/>
        <w:ind w:firstLine="284"/>
        <w:rPr>
          <w:i/>
          <w:iCs/>
          <w:sz w:val="26"/>
          <w:szCs w:val="26"/>
        </w:rPr>
      </w:pPr>
      <w:r w:rsidRPr="002A6AA8">
        <w:rPr>
          <w:iCs/>
          <w:sz w:val="26"/>
          <w:szCs w:val="26"/>
        </w:rPr>
        <w:t>Analizamos esta recomendación en los tres apartado</w:t>
      </w:r>
      <w:r>
        <w:rPr>
          <w:iCs/>
          <w:sz w:val="26"/>
          <w:szCs w:val="26"/>
        </w:rPr>
        <w:t>s</w:t>
      </w:r>
      <w:r w:rsidRPr="002A6AA8">
        <w:rPr>
          <w:iCs/>
          <w:sz w:val="26"/>
          <w:szCs w:val="26"/>
        </w:rPr>
        <w:t xml:space="preserve"> siguientes:</w:t>
      </w:r>
    </w:p>
    <w:p w:rsidR="00414999" w:rsidRPr="00981AF4" w:rsidRDefault="00414999" w:rsidP="00A36484">
      <w:pPr>
        <w:pStyle w:val="Prrafodelista"/>
        <w:numPr>
          <w:ilvl w:val="0"/>
          <w:numId w:val="17"/>
        </w:numPr>
        <w:tabs>
          <w:tab w:val="left" w:pos="426"/>
          <w:tab w:val="left" w:pos="567"/>
        </w:tabs>
        <w:ind w:left="0" w:firstLine="284"/>
        <w:contextualSpacing w:val="0"/>
        <w:rPr>
          <w:spacing w:val="6"/>
          <w:sz w:val="26"/>
          <w:szCs w:val="26"/>
          <w:lang w:eastAsia="es-ES"/>
        </w:rPr>
      </w:pPr>
      <w:r w:rsidRPr="00981AF4">
        <w:rPr>
          <w:spacing w:val="6"/>
          <w:sz w:val="26"/>
          <w:szCs w:val="26"/>
          <w:lang w:eastAsia="es-ES"/>
        </w:rPr>
        <w:t xml:space="preserve">La LOU y los estatutos de la UPNA establecen que “el personal docente e investigador contratado en equivalencia </w:t>
      </w:r>
      <w:r w:rsidR="00942218" w:rsidRPr="00981AF4">
        <w:rPr>
          <w:spacing w:val="6"/>
          <w:sz w:val="26"/>
          <w:szCs w:val="26"/>
          <w:lang w:eastAsia="es-ES"/>
        </w:rPr>
        <w:t xml:space="preserve">a </w:t>
      </w:r>
      <w:r w:rsidRPr="00981AF4">
        <w:rPr>
          <w:spacing w:val="6"/>
          <w:sz w:val="26"/>
          <w:szCs w:val="26"/>
          <w:lang w:eastAsia="es-ES"/>
        </w:rPr>
        <w:t>tiempo completo, no podrá superar el 49 por ciento del total del personal docente e investigador”.</w:t>
      </w:r>
    </w:p>
    <w:p w:rsidR="00414999" w:rsidRPr="00301DEA" w:rsidRDefault="00414999" w:rsidP="00981AF4">
      <w:pPr>
        <w:tabs>
          <w:tab w:val="left" w:pos="8647"/>
        </w:tabs>
        <w:autoSpaceDE w:val="0"/>
        <w:autoSpaceDN w:val="0"/>
        <w:adjustRightInd w:val="0"/>
        <w:spacing w:before="120" w:after="180"/>
        <w:ind w:right="284" w:firstLine="284"/>
        <w:rPr>
          <w:iCs/>
          <w:sz w:val="26"/>
          <w:szCs w:val="26"/>
        </w:rPr>
      </w:pPr>
      <w:r w:rsidRPr="00301DEA">
        <w:rPr>
          <w:iCs/>
          <w:sz w:val="26"/>
          <w:szCs w:val="26"/>
        </w:rPr>
        <w:t xml:space="preserve">La evolución de este personal 2014-2019 es la siguiente: </w:t>
      </w:r>
    </w:p>
    <w:tbl>
      <w:tblPr>
        <w:tblW w:w="8647" w:type="dxa"/>
        <w:tblBorders>
          <w:insideH w:val="single" w:sz="4" w:space="0" w:color="auto"/>
        </w:tblBorders>
        <w:tblLayout w:type="fixed"/>
        <w:tblCellMar>
          <w:left w:w="70" w:type="dxa"/>
          <w:right w:w="70" w:type="dxa"/>
        </w:tblCellMar>
        <w:tblLook w:val="04A0" w:firstRow="1" w:lastRow="0" w:firstColumn="1" w:lastColumn="0" w:noHBand="0" w:noVBand="1"/>
      </w:tblPr>
      <w:tblGrid>
        <w:gridCol w:w="2127"/>
        <w:gridCol w:w="446"/>
        <w:gridCol w:w="546"/>
        <w:gridCol w:w="1255"/>
        <w:gridCol w:w="1013"/>
        <w:gridCol w:w="1033"/>
        <w:gridCol w:w="1053"/>
        <w:gridCol w:w="1174"/>
      </w:tblGrid>
      <w:tr w:rsidR="00414999" w:rsidRPr="00960B6B" w:rsidTr="00A36484">
        <w:trPr>
          <w:trHeight w:val="255"/>
        </w:trPr>
        <w:tc>
          <w:tcPr>
            <w:tcW w:w="2573" w:type="dxa"/>
            <w:gridSpan w:val="2"/>
            <w:tcBorders>
              <w:top w:val="single" w:sz="4" w:space="0" w:color="auto"/>
              <w:bottom w:val="single" w:sz="4" w:space="0" w:color="auto"/>
            </w:tcBorders>
            <w:shd w:val="clear" w:color="auto" w:fill="B8CCE4" w:themeFill="accent1" w:themeFillTint="66"/>
            <w:vAlign w:val="center"/>
          </w:tcPr>
          <w:p w:rsidR="00414999" w:rsidRPr="00960B6B" w:rsidRDefault="00414999" w:rsidP="00F44C41">
            <w:pPr>
              <w:pStyle w:val="cuadroCabe"/>
              <w:tabs>
                <w:tab w:val="left" w:pos="8647"/>
              </w:tabs>
              <w:jc w:val="right"/>
              <w:rPr>
                <w:lang w:val="es-ES" w:eastAsia="es-ES"/>
              </w:rPr>
            </w:pPr>
          </w:p>
        </w:tc>
        <w:tc>
          <w:tcPr>
            <w:tcW w:w="6074" w:type="dxa"/>
            <w:gridSpan w:val="6"/>
            <w:tcBorders>
              <w:top w:val="single" w:sz="4" w:space="0" w:color="auto"/>
              <w:bottom w:val="single" w:sz="4" w:space="0" w:color="auto"/>
            </w:tcBorders>
            <w:shd w:val="clear" w:color="auto" w:fill="B8CCE4" w:themeFill="accent1" w:themeFillTint="66"/>
            <w:vAlign w:val="center"/>
          </w:tcPr>
          <w:p w:rsidR="00414999" w:rsidRPr="00960B6B" w:rsidRDefault="00414999" w:rsidP="00F44C41">
            <w:pPr>
              <w:pStyle w:val="cuadroCabe"/>
              <w:tabs>
                <w:tab w:val="left" w:pos="8647"/>
              </w:tabs>
              <w:jc w:val="center"/>
              <w:rPr>
                <w:rFonts w:cs="Calibri"/>
                <w:lang w:val="es-ES" w:eastAsia="es-ES"/>
              </w:rPr>
            </w:pPr>
            <w:r w:rsidRPr="00960B6B">
              <w:rPr>
                <w:rFonts w:cs="Calibri"/>
                <w:lang w:val="es-ES" w:eastAsia="es-ES"/>
              </w:rPr>
              <w:t>Número de PDI equivalente</w:t>
            </w:r>
            <w:r>
              <w:rPr>
                <w:rFonts w:cs="Calibri"/>
                <w:lang w:val="es-ES" w:eastAsia="es-ES"/>
              </w:rPr>
              <w:t xml:space="preserve"> tiempo completo</w:t>
            </w:r>
          </w:p>
        </w:tc>
      </w:tr>
      <w:tr w:rsidR="00414999" w:rsidRPr="00960B6B" w:rsidTr="00A36484">
        <w:trPr>
          <w:trHeight w:val="255"/>
        </w:trPr>
        <w:tc>
          <w:tcPr>
            <w:tcW w:w="2127" w:type="dxa"/>
            <w:tcBorders>
              <w:top w:val="single" w:sz="4" w:space="0" w:color="auto"/>
              <w:bottom w:val="single" w:sz="4" w:space="0" w:color="auto"/>
            </w:tcBorders>
            <w:shd w:val="clear" w:color="auto" w:fill="B8CCE4" w:themeFill="accent1" w:themeFillTint="66"/>
            <w:vAlign w:val="center"/>
          </w:tcPr>
          <w:p w:rsidR="00414999" w:rsidRPr="00960B6B" w:rsidRDefault="00414999" w:rsidP="00F44C41">
            <w:pPr>
              <w:pStyle w:val="cuadroCabe"/>
              <w:tabs>
                <w:tab w:val="left" w:pos="8647"/>
              </w:tabs>
              <w:jc w:val="left"/>
              <w:rPr>
                <w:lang w:val="es-ES" w:eastAsia="es-ES"/>
              </w:rPr>
            </w:pPr>
            <w:r w:rsidRPr="00960B6B">
              <w:rPr>
                <w:lang w:val="es-ES" w:eastAsia="es-ES"/>
              </w:rPr>
              <w:t>Régimen jurídico</w:t>
            </w:r>
          </w:p>
        </w:tc>
        <w:tc>
          <w:tcPr>
            <w:tcW w:w="992" w:type="dxa"/>
            <w:gridSpan w:val="2"/>
            <w:tcBorders>
              <w:top w:val="single" w:sz="4" w:space="0" w:color="auto"/>
              <w:bottom w:val="single" w:sz="4" w:space="0" w:color="auto"/>
            </w:tcBorders>
            <w:shd w:val="clear" w:color="auto" w:fill="B8CCE4" w:themeFill="accent1" w:themeFillTint="66"/>
            <w:vAlign w:val="center"/>
          </w:tcPr>
          <w:p w:rsidR="00414999" w:rsidRPr="00960B6B" w:rsidRDefault="00414999" w:rsidP="00F44C41">
            <w:pPr>
              <w:pStyle w:val="cuadroCabe"/>
              <w:tabs>
                <w:tab w:val="left" w:pos="8647"/>
              </w:tabs>
              <w:jc w:val="right"/>
              <w:rPr>
                <w:rFonts w:cs="Calibri"/>
                <w:lang w:val="es-ES" w:eastAsia="es-ES"/>
              </w:rPr>
            </w:pPr>
            <w:r w:rsidRPr="00960B6B">
              <w:rPr>
                <w:rFonts w:cs="Calibri"/>
                <w:lang w:val="es-ES" w:eastAsia="es-ES"/>
              </w:rPr>
              <w:t>2014</w:t>
            </w:r>
          </w:p>
        </w:tc>
        <w:tc>
          <w:tcPr>
            <w:tcW w:w="1255" w:type="dxa"/>
            <w:tcBorders>
              <w:top w:val="single" w:sz="4" w:space="0" w:color="auto"/>
              <w:bottom w:val="single" w:sz="4" w:space="0" w:color="auto"/>
            </w:tcBorders>
            <w:shd w:val="clear" w:color="auto" w:fill="B8CCE4" w:themeFill="accent1" w:themeFillTint="66"/>
            <w:vAlign w:val="center"/>
          </w:tcPr>
          <w:p w:rsidR="00414999" w:rsidRPr="00960B6B" w:rsidRDefault="00414999" w:rsidP="00F44C41">
            <w:pPr>
              <w:pStyle w:val="cuadroCabe"/>
              <w:tabs>
                <w:tab w:val="left" w:pos="8647"/>
              </w:tabs>
              <w:jc w:val="right"/>
              <w:rPr>
                <w:rFonts w:cs="Calibri"/>
                <w:lang w:val="es-ES" w:eastAsia="es-ES"/>
              </w:rPr>
            </w:pPr>
            <w:r w:rsidRPr="00960B6B">
              <w:rPr>
                <w:rFonts w:cs="Calibri"/>
                <w:lang w:val="es-ES" w:eastAsia="es-ES"/>
              </w:rPr>
              <w:t>2015</w:t>
            </w:r>
          </w:p>
        </w:tc>
        <w:tc>
          <w:tcPr>
            <w:tcW w:w="1013" w:type="dxa"/>
            <w:tcBorders>
              <w:top w:val="single" w:sz="4" w:space="0" w:color="auto"/>
              <w:bottom w:val="single" w:sz="4" w:space="0" w:color="auto"/>
            </w:tcBorders>
            <w:shd w:val="clear" w:color="auto" w:fill="B8CCE4" w:themeFill="accent1" w:themeFillTint="66"/>
            <w:vAlign w:val="center"/>
          </w:tcPr>
          <w:p w:rsidR="00414999" w:rsidRPr="00960B6B" w:rsidRDefault="00414999" w:rsidP="00F44C41">
            <w:pPr>
              <w:pStyle w:val="cuadroCabe"/>
              <w:tabs>
                <w:tab w:val="left" w:pos="8647"/>
              </w:tabs>
              <w:jc w:val="right"/>
              <w:rPr>
                <w:rFonts w:cs="Calibri"/>
                <w:lang w:val="es-ES" w:eastAsia="es-ES"/>
              </w:rPr>
            </w:pPr>
            <w:r w:rsidRPr="00960B6B">
              <w:rPr>
                <w:rFonts w:cs="Calibri"/>
                <w:lang w:val="es-ES" w:eastAsia="es-ES"/>
              </w:rPr>
              <w:t>2016</w:t>
            </w:r>
          </w:p>
        </w:tc>
        <w:tc>
          <w:tcPr>
            <w:tcW w:w="1033" w:type="dxa"/>
            <w:tcBorders>
              <w:top w:val="single" w:sz="4" w:space="0" w:color="auto"/>
              <w:bottom w:val="single" w:sz="4" w:space="0" w:color="auto"/>
            </w:tcBorders>
            <w:shd w:val="clear" w:color="auto" w:fill="B8CCE4" w:themeFill="accent1" w:themeFillTint="66"/>
            <w:vAlign w:val="center"/>
          </w:tcPr>
          <w:p w:rsidR="00414999" w:rsidRPr="00960B6B" w:rsidRDefault="00414999" w:rsidP="00F44C41">
            <w:pPr>
              <w:pStyle w:val="cuadroCabe"/>
              <w:tabs>
                <w:tab w:val="left" w:pos="8647"/>
              </w:tabs>
              <w:jc w:val="right"/>
              <w:rPr>
                <w:rFonts w:cs="Calibri"/>
                <w:lang w:val="es-ES" w:eastAsia="es-ES"/>
              </w:rPr>
            </w:pPr>
            <w:r w:rsidRPr="00960B6B">
              <w:rPr>
                <w:rFonts w:cs="Calibri"/>
                <w:lang w:val="es-ES" w:eastAsia="es-ES"/>
              </w:rPr>
              <w:t>2017</w:t>
            </w:r>
          </w:p>
        </w:tc>
        <w:tc>
          <w:tcPr>
            <w:tcW w:w="1053" w:type="dxa"/>
            <w:tcBorders>
              <w:top w:val="single" w:sz="4" w:space="0" w:color="auto"/>
              <w:bottom w:val="single" w:sz="4" w:space="0" w:color="auto"/>
            </w:tcBorders>
            <w:shd w:val="clear" w:color="auto" w:fill="B8CCE4" w:themeFill="accent1" w:themeFillTint="66"/>
            <w:vAlign w:val="center"/>
          </w:tcPr>
          <w:p w:rsidR="00414999" w:rsidRPr="00960B6B" w:rsidRDefault="00414999" w:rsidP="00F44C41">
            <w:pPr>
              <w:pStyle w:val="cuadroCabe"/>
              <w:tabs>
                <w:tab w:val="left" w:pos="8647"/>
              </w:tabs>
              <w:jc w:val="right"/>
              <w:rPr>
                <w:rFonts w:cs="Calibri"/>
                <w:lang w:val="es-ES" w:eastAsia="es-ES"/>
              </w:rPr>
            </w:pPr>
            <w:r w:rsidRPr="00960B6B">
              <w:rPr>
                <w:rFonts w:cs="Calibri"/>
                <w:lang w:val="es-ES" w:eastAsia="es-ES"/>
              </w:rPr>
              <w:t>2018</w:t>
            </w:r>
          </w:p>
        </w:tc>
        <w:tc>
          <w:tcPr>
            <w:tcW w:w="1174" w:type="dxa"/>
            <w:tcBorders>
              <w:top w:val="single" w:sz="4" w:space="0" w:color="auto"/>
              <w:bottom w:val="single" w:sz="4" w:space="0" w:color="auto"/>
            </w:tcBorders>
            <w:shd w:val="clear" w:color="auto" w:fill="B8CCE4" w:themeFill="accent1" w:themeFillTint="66"/>
            <w:vAlign w:val="center"/>
          </w:tcPr>
          <w:p w:rsidR="00414999" w:rsidRPr="00960B6B" w:rsidRDefault="00414999" w:rsidP="00F44C41">
            <w:pPr>
              <w:pStyle w:val="cuadroCabe"/>
              <w:tabs>
                <w:tab w:val="left" w:pos="8647"/>
              </w:tabs>
              <w:jc w:val="right"/>
              <w:rPr>
                <w:rFonts w:cs="Calibri"/>
                <w:lang w:val="es-ES" w:eastAsia="es-ES"/>
              </w:rPr>
            </w:pPr>
            <w:r w:rsidRPr="00960B6B">
              <w:rPr>
                <w:rFonts w:cs="Calibri"/>
                <w:lang w:val="es-ES" w:eastAsia="es-ES"/>
              </w:rPr>
              <w:t>2019</w:t>
            </w:r>
          </w:p>
        </w:tc>
      </w:tr>
      <w:tr w:rsidR="00414999" w:rsidRPr="00960B6B" w:rsidTr="00A36484">
        <w:trPr>
          <w:trHeight w:val="255"/>
        </w:trPr>
        <w:tc>
          <w:tcPr>
            <w:tcW w:w="2127" w:type="dxa"/>
            <w:tcBorders>
              <w:top w:val="single" w:sz="4" w:space="0" w:color="auto"/>
            </w:tcBorders>
            <w:shd w:val="clear" w:color="auto" w:fill="auto"/>
            <w:vAlign w:val="center"/>
          </w:tcPr>
          <w:p w:rsidR="00414999" w:rsidRPr="00960B6B" w:rsidRDefault="00414999" w:rsidP="00F44C41">
            <w:pPr>
              <w:pStyle w:val="cuatexto"/>
              <w:tabs>
                <w:tab w:val="left" w:pos="8647"/>
              </w:tabs>
              <w:rPr>
                <w:lang w:val="es-ES" w:eastAsia="es-ES"/>
              </w:rPr>
            </w:pPr>
            <w:r>
              <w:rPr>
                <w:lang w:val="es-ES" w:eastAsia="es-ES"/>
              </w:rPr>
              <w:t>Contratado</w:t>
            </w:r>
          </w:p>
        </w:tc>
        <w:tc>
          <w:tcPr>
            <w:tcW w:w="992" w:type="dxa"/>
            <w:gridSpan w:val="2"/>
            <w:tcBorders>
              <w:top w:val="single" w:sz="4" w:space="0" w:color="auto"/>
            </w:tcBorders>
            <w:shd w:val="clear" w:color="auto" w:fill="auto"/>
            <w:noWrap/>
            <w:vAlign w:val="center"/>
          </w:tcPr>
          <w:p w:rsidR="00414999" w:rsidRPr="00960B6B" w:rsidRDefault="00414999" w:rsidP="00F44C41">
            <w:pPr>
              <w:pStyle w:val="cuatexto"/>
              <w:tabs>
                <w:tab w:val="left" w:pos="8647"/>
              </w:tabs>
              <w:jc w:val="right"/>
              <w:rPr>
                <w:lang w:val="es-ES" w:eastAsia="es-ES"/>
              </w:rPr>
            </w:pPr>
            <w:r>
              <w:rPr>
                <w:lang w:val="es-ES" w:eastAsia="es-ES"/>
              </w:rPr>
              <w:t>263.60</w:t>
            </w:r>
          </w:p>
        </w:tc>
        <w:tc>
          <w:tcPr>
            <w:tcW w:w="1255" w:type="dxa"/>
            <w:tcBorders>
              <w:top w:val="single" w:sz="4" w:space="0" w:color="auto"/>
            </w:tcBorders>
            <w:shd w:val="clear" w:color="auto" w:fill="auto"/>
            <w:noWrap/>
            <w:vAlign w:val="center"/>
          </w:tcPr>
          <w:p w:rsidR="00414999" w:rsidRPr="00960B6B" w:rsidRDefault="00414999" w:rsidP="00F44C41">
            <w:pPr>
              <w:pStyle w:val="cuatexto"/>
              <w:tabs>
                <w:tab w:val="left" w:pos="8647"/>
              </w:tabs>
              <w:jc w:val="right"/>
              <w:rPr>
                <w:lang w:val="es-ES" w:eastAsia="es-ES"/>
              </w:rPr>
            </w:pPr>
            <w:r>
              <w:rPr>
                <w:lang w:val="es-ES" w:eastAsia="es-ES"/>
              </w:rPr>
              <w:t>264.63</w:t>
            </w:r>
          </w:p>
        </w:tc>
        <w:tc>
          <w:tcPr>
            <w:tcW w:w="1013" w:type="dxa"/>
            <w:tcBorders>
              <w:top w:val="single" w:sz="4" w:space="0" w:color="auto"/>
            </w:tcBorders>
            <w:shd w:val="clear" w:color="auto" w:fill="auto"/>
            <w:noWrap/>
            <w:vAlign w:val="center"/>
          </w:tcPr>
          <w:p w:rsidR="00414999" w:rsidRPr="00960B6B" w:rsidRDefault="00414999" w:rsidP="00F44C41">
            <w:pPr>
              <w:pStyle w:val="cuatexto"/>
              <w:tabs>
                <w:tab w:val="left" w:pos="8647"/>
              </w:tabs>
              <w:jc w:val="right"/>
              <w:rPr>
                <w:lang w:val="es-ES" w:eastAsia="es-ES"/>
              </w:rPr>
            </w:pPr>
            <w:r>
              <w:rPr>
                <w:lang w:val="es-ES" w:eastAsia="es-ES"/>
              </w:rPr>
              <w:t>276.47</w:t>
            </w:r>
          </w:p>
        </w:tc>
        <w:tc>
          <w:tcPr>
            <w:tcW w:w="1033" w:type="dxa"/>
            <w:tcBorders>
              <w:top w:val="single" w:sz="4" w:space="0" w:color="auto"/>
            </w:tcBorders>
            <w:shd w:val="clear" w:color="auto" w:fill="auto"/>
            <w:noWrap/>
            <w:vAlign w:val="center"/>
          </w:tcPr>
          <w:p w:rsidR="00414999" w:rsidRPr="00960B6B" w:rsidRDefault="00414999" w:rsidP="00F44C41">
            <w:pPr>
              <w:pStyle w:val="cuatexto"/>
              <w:tabs>
                <w:tab w:val="left" w:pos="8647"/>
              </w:tabs>
              <w:jc w:val="right"/>
              <w:rPr>
                <w:lang w:val="es-ES" w:eastAsia="es-ES"/>
              </w:rPr>
            </w:pPr>
            <w:r>
              <w:rPr>
                <w:lang w:val="es-ES" w:eastAsia="es-ES"/>
              </w:rPr>
              <w:t>291,82</w:t>
            </w:r>
          </w:p>
        </w:tc>
        <w:tc>
          <w:tcPr>
            <w:tcW w:w="1053" w:type="dxa"/>
            <w:tcBorders>
              <w:top w:val="single" w:sz="4" w:space="0" w:color="auto"/>
            </w:tcBorders>
            <w:shd w:val="clear" w:color="auto" w:fill="auto"/>
            <w:noWrap/>
            <w:vAlign w:val="center"/>
          </w:tcPr>
          <w:p w:rsidR="00414999" w:rsidRPr="00960B6B" w:rsidRDefault="00414999" w:rsidP="00F44C41">
            <w:pPr>
              <w:pStyle w:val="cuatexto"/>
              <w:tabs>
                <w:tab w:val="left" w:pos="8647"/>
              </w:tabs>
              <w:jc w:val="right"/>
              <w:rPr>
                <w:lang w:val="es-ES" w:eastAsia="es-ES"/>
              </w:rPr>
            </w:pPr>
            <w:r>
              <w:rPr>
                <w:lang w:val="es-ES" w:eastAsia="es-ES"/>
              </w:rPr>
              <w:t>313,21</w:t>
            </w:r>
          </w:p>
        </w:tc>
        <w:tc>
          <w:tcPr>
            <w:tcW w:w="1174" w:type="dxa"/>
            <w:tcBorders>
              <w:top w:val="single" w:sz="4" w:space="0" w:color="auto"/>
            </w:tcBorders>
            <w:shd w:val="clear" w:color="auto" w:fill="auto"/>
            <w:noWrap/>
            <w:vAlign w:val="center"/>
          </w:tcPr>
          <w:p w:rsidR="00414999" w:rsidRPr="00960B6B" w:rsidRDefault="00414999" w:rsidP="00F44C41">
            <w:pPr>
              <w:pStyle w:val="cuatexto"/>
              <w:tabs>
                <w:tab w:val="left" w:pos="8647"/>
              </w:tabs>
              <w:jc w:val="right"/>
              <w:rPr>
                <w:lang w:val="es-ES" w:eastAsia="es-ES"/>
              </w:rPr>
            </w:pPr>
            <w:r>
              <w:rPr>
                <w:lang w:val="es-ES" w:eastAsia="es-ES"/>
              </w:rPr>
              <w:t>332.93</w:t>
            </w:r>
          </w:p>
        </w:tc>
      </w:tr>
      <w:tr w:rsidR="00414999" w:rsidRPr="00960B6B" w:rsidTr="00A36484">
        <w:trPr>
          <w:trHeight w:val="255"/>
        </w:trPr>
        <w:tc>
          <w:tcPr>
            <w:tcW w:w="2127" w:type="dxa"/>
            <w:shd w:val="clear" w:color="auto" w:fill="auto"/>
            <w:vAlign w:val="center"/>
          </w:tcPr>
          <w:p w:rsidR="00414999" w:rsidRPr="00960B6B" w:rsidRDefault="00414999" w:rsidP="00F44C41">
            <w:pPr>
              <w:pStyle w:val="cuatexto"/>
              <w:tabs>
                <w:tab w:val="left" w:pos="8647"/>
              </w:tabs>
              <w:rPr>
                <w:lang w:val="es-ES" w:eastAsia="es-ES"/>
              </w:rPr>
            </w:pPr>
            <w:r>
              <w:rPr>
                <w:lang w:val="es-ES" w:eastAsia="es-ES"/>
              </w:rPr>
              <w:t>Funcionario</w:t>
            </w:r>
          </w:p>
        </w:tc>
        <w:tc>
          <w:tcPr>
            <w:tcW w:w="992" w:type="dxa"/>
            <w:gridSpan w:val="2"/>
            <w:shd w:val="clear" w:color="auto" w:fill="auto"/>
            <w:noWrap/>
            <w:vAlign w:val="center"/>
          </w:tcPr>
          <w:p w:rsidR="00414999" w:rsidRPr="00960B6B" w:rsidRDefault="00414999" w:rsidP="00F44C41">
            <w:pPr>
              <w:pStyle w:val="cuatexto"/>
              <w:tabs>
                <w:tab w:val="left" w:pos="8647"/>
              </w:tabs>
              <w:jc w:val="right"/>
              <w:rPr>
                <w:lang w:val="es-ES" w:eastAsia="es-ES"/>
              </w:rPr>
            </w:pPr>
            <w:r>
              <w:rPr>
                <w:lang w:val="es-ES" w:eastAsia="es-ES"/>
              </w:rPr>
              <w:t>335,59</w:t>
            </w:r>
          </w:p>
        </w:tc>
        <w:tc>
          <w:tcPr>
            <w:tcW w:w="1255" w:type="dxa"/>
            <w:shd w:val="clear" w:color="auto" w:fill="auto"/>
            <w:noWrap/>
            <w:vAlign w:val="center"/>
          </w:tcPr>
          <w:p w:rsidR="00414999" w:rsidRPr="00960B6B" w:rsidRDefault="00414999" w:rsidP="00F44C41">
            <w:pPr>
              <w:pStyle w:val="cuatexto"/>
              <w:tabs>
                <w:tab w:val="left" w:pos="8647"/>
              </w:tabs>
              <w:jc w:val="right"/>
              <w:rPr>
                <w:lang w:val="es-ES" w:eastAsia="es-ES"/>
              </w:rPr>
            </w:pPr>
            <w:r>
              <w:rPr>
                <w:lang w:val="es-ES" w:eastAsia="es-ES"/>
              </w:rPr>
              <w:t>332.08</w:t>
            </w:r>
          </w:p>
        </w:tc>
        <w:tc>
          <w:tcPr>
            <w:tcW w:w="1013" w:type="dxa"/>
            <w:shd w:val="clear" w:color="auto" w:fill="auto"/>
            <w:noWrap/>
            <w:vAlign w:val="center"/>
          </w:tcPr>
          <w:p w:rsidR="00414999" w:rsidRPr="00960B6B" w:rsidRDefault="00414999" w:rsidP="00F44C41">
            <w:pPr>
              <w:pStyle w:val="cuatexto"/>
              <w:tabs>
                <w:tab w:val="left" w:pos="8647"/>
              </w:tabs>
              <w:jc w:val="right"/>
              <w:rPr>
                <w:lang w:val="es-ES" w:eastAsia="es-ES"/>
              </w:rPr>
            </w:pPr>
            <w:r>
              <w:rPr>
                <w:lang w:val="es-ES" w:eastAsia="es-ES"/>
              </w:rPr>
              <w:t>324.08</w:t>
            </w:r>
          </w:p>
        </w:tc>
        <w:tc>
          <w:tcPr>
            <w:tcW w:w="1033" w:type="dxa"/>
            <w:shd w:val="clear" w:color="auto" w:fill="auto"/>
            <w:noWrap/>
            <w:vAlign w:val="center"/>
          </w:tcPr>
          <w:p w:rsidR="00414999" w:rsidRPr="00960B6B" w:rsidRDefault="00414999" w:rsidP="00F44C41">
            <w:pPr>
              <w:pStyle w:val="cuatexto"/>
              <w:tabs>
                <w:tab w:val="left" w:pos="8647"/>
              </w:tabs>
              <w:jc w:val="right"/>
              <w:rPr>
                <w:lang w:val="es-ES" w:eastAsia="es-ES"/>
              </w:rPr>
            </w:pPr>
            <w:r>
              <w:rPr>
                <w:lang w:val="es-ES" w:eastAsia="es-ES"/>
              </w:rPr>
              <w:t>326,05</w:t>
            </w:r>
          </w:p>
        </w:tc>
        <w:tc>
          <w:tcPr>
            <w:tcW w:w="1053" w:type="dxa"/>
            <w:shd w:val="clear" w:color="auto" w:fill="auto"/>
            <w:noWrap/>
            <w:vAlign w:val="center"/>
          </w:tcPr>
          <w:p w:rsidR="00414999" w:rsidRPr="00960B6B" w:rsidRDefault="00414999" w:rsidP="00F44C41">
            <w:pPr>
              <w:pStyle w:val="cuatexto"/>
              <w:tabs>
                <w:tab w:val="left" w:pos="8647"/>
              </w:tabs>
              <w:jc w:val="right"/>
              <w:rPr>
                <w:lang w:val="es-ES" w:eastAsia="es-ES"/>
              </w:rPr>
            </w:pPr>
            <w:r>
              <w:rPr>
                <w:lang w:val="es-ES" w:eastAsia="es-ES"/>
              </w:rPr>
              <w:t>324,48</w:t>
            </w:r>
          </w:p>
        </w:tc>
        <w:tc>
          <w:tcPr>
            <w:tcW w:w="1174" w:type="dxa"/>
            <w:shd w:val="clear" w:color="auto" w:fill="auto"/>
            <w:noWrap/>
            <w:vAlign w:val="center"/>
          </w:tcPr>
          <w:p w:rsidR="00414999" w:rsidRPr="00960B6B" w:rsidRDefault="00414999" w:rsidP="00F44C41">
            <w:pPr>
              <w:pStyle w:val="cuatexto"/>
              <w:tabs>
                <w:tab w:val="left" w:pos="8647"/>
              </w:tabs>
              <w:jc w:val="right"/>
              <w:rPr>
                <w:lang w:val="es-ES" w:eastAsia="es-ES"/>
              </w:rPr>
            </w:pPr>
            <w:r>
              <w:rPr>
                <w:lang w:val="es-ES" w:eastAsia="es-ES"/>
              </w:rPr>
              <w:t>326.48</w:t>
            </w:r>
          </w:p>
        </w:tc>
      </w:tr>
      <w:tr w:rsidR="00414999" w:rsidRPr="00960B6B" w:rsidTr="00A36484">
        <w:trPr>
          <w:trHeight w:val="255"/>
        </w:trPr>
        <w:tc>
          <w:tcPr>
            <w:tcW w:w="2127" w:type="dxa"/>
            <w:tcBorders>
              <w:bottom w:val="single" w:sz="4" w:space="0" w:color="auto"/>
            </w:tcBorders>
            <w:shd w:val="clear" w:color="auto" w:fill="B8CCE4" w:themeFill="accent1" w:themeFillTint="66"/>
            <w:vAlign w:val="center"/>
          </w:tcPr>
          <w:p w:rsidR="00414999" w:rsidRDefault="00414999" w:rsidP="00F44C41">
            <w:pPr>
              <w:pStyle w:val="cuadroCabe"/>
              <w:tabs>
                <w:tab w:val="left" w:pos="8647"/>
              </w:tabs>
              <w:rPr>
                <w:lang w:val="es-ES" w:eastAsia="es-ES"/>
              </w:rPr>
            </w:pPr>
            <w:r>
              <w:rPr>
                <w:lang w:val="es-ES" w:eastAsia="es-ES"/>
              </w:rPr>
              <w:t>Total PDI (ETC)</w:t>
            </w:r>
          </w:p>
        </w:tc>
        <w:tc>
          <w:tcPr>
            <w:tcW w:w="992" w:type="dxa"/>
            <w:gridSpan w:val="2"/>
            <w:tcBorders>
              <w:bottom w:val="single" w:sz="4" w:space="0" w:color="auto"/>
            </w:tcBorders>
            <w:shd w:val="clear" w:color="auto" w:fill="B8CCE4" w:themeFill="accent1" w:themeFillTint="66"/>
            <w:noWrap/>
            <w:vAlign w:val="center"/>
          </w:tcPr>
          <w:p w:rsidR="00414999" w:rsidRDefault="00414999" w:rsidP="00F44C41">
            <w:pPr>
              <w:pStyle w:val="cuadroCabe"/>
              <w:tabs>
                <w:tab w:val="left" w:pos="8647"/>
              </w:tabs>
              <w:jc w:val="right"/>
              <w:rPr>
                <w:lang w:val="es-ES" w:eastAsia="es-ES"/>
              </w:rPr>
            </w:pPr>
            <w:r>
              <w:rPr>
                <w:lang w:val="es-ES" w:eastAsia="es-ES"/>
              </w:rPr>
              <w:t>599,19</w:t>
            </w:r>
          </w:p>
        </w:tc>
        <w:tc>
          <w:tcPr>
            <w:tcW w:w="1255" w:type="dxa"/>
            <w:tcBorders>
              <w:bottom w:val="single" w:sz="4" w:space="0" w:color="auto"/>
            </w:tcBorders>
            <w:shd w:val="clear" w:color="auto" w:fill="B8CCE4" w:themeFill="accent1" w:themeFillTint="66"/>
            <w:noWrap/>
            <w:vAlign w:val="center"/>
          </w:tcPr>
          <w:p w:rsidR="00414999" w:rsidRDefault="00414999" w:rsidP="00F44C41">
            <w:pPr>
              <w:pStyle w:val="cuadroCabe"/>
              <w:tabs>
                <w:tab w:val="left" w:pos="8647"/>
              </w:tabs>
              <w:jc w:val="right"/>
              <w:rPr>
                <w:lang w:val="es-ES" w:eastAsia="es-ES"/>
              </w:rPr>
            </w:pPr>
            <w:r>
              <w:rPr>
                <w:lang w:val="es-ES" w:eastAsia="es-ES"/>
              </w:rPr>
              <w:t>596,70</w:t>
            </w:r>
          </w:p>
        </w:tc>
        <w:tc>
          <w:tcPr>
            <w:tcW w:w="1013" w:type="dxa"/>
            <w:tcBorders>
              <w:bottom w:val="single" w:sz="4" w:space="0" w:color="auto"/>
            </w:tcBorders>
            <w:shd w:val="clear" w:color="auto" w:fill="B8CCE4" w:themeFill="accent1" w:themeFillTint="66"/>
            <w:noWrap/>
            <w:vAlign w:val="center"/>
          </w:tcPr>
          <w:p w:rsidR="00414999" w:rsidRDefault="00414999" w:rsidP="00F44C41">
            <w:pPr>
              <w:pStyle w:val="cuadroCabe"/>
              <w:tabs>
                <w:tab w:val="left" w:pos="8647"/>
              </w:tabs>
              <w:jc w:val="right"/>
              <w:rPr>
                <w:lang w:val="es-ES" w:eastAsia="es-ES"/>
              </w:rPr>
            </w:pPr>
            <w:r>
              <w:rPr>
                <w:lang w:val="es-ES" w:eastAsia="es-ES"/>
              </w:rPr>
              <w:t>600,55</w:t>
            </w:r>
          </w:p>
        </w:tc>
        <w:tc>
          <w:tcPr>
            <w:tcW w:w="1033" w:type="dxa"/>
            <w:tcBorders>
              <w:bottom w:val="single" w:sz="4" w:space="0" w:color="auto"/>
            </w:tcBorders>
            <w:shd w:val="clear" w:color="auto" w:fill="B8CCE4" w:themeFill="accent1" w:themeFillTint="66"/>
            <w:noWrap/>
            <w:vAlign w:val="center"/>
          </w:tcPr>
          <w:p w:rsidR="00414999" w:rsidRDefault="00414999" w:rsidP="00F44C41">
            <w:pPr>
              <w:pStyle w:val="cuadroCabe"/>
              <w:tabs>
                <w:tab w:val="left" w:pos="8647"/>
              </w:tabs>
              <w:jc w:val="right"/>
              <w:rPr>
                <w:lang w:val="es-ES" w:eastAsia="es-ES"/>
              </w:rPr>
            </w:pPr>
            <w:r>
              <w:rPr>
                <w:lang w:val="es-ES" w:eastAsia="es-ES"/>
              </w:rPr>
              <w:t>617,87</w:t>
            </w:r>
          </w:p>
        </w:tc>
        <w:tc>
          <w:tcPr>
            <w:tcW w:w="1053" w:type="dxa"/>
            <w:tcBorders>
              <w:bottom w:val="single" w:sz="4" w:space="0" w:color="auto"/>
            </w:tcBorders>
            <w:shd w:val="clear" w:color="auto" w:fill="B8CCE4" w:themeFill="accent1" w:themeFillTint="66"/>
            <w:noWrap/>
            <w:vAlign w:val="center"/>
          </w:tcPr>
          <w:p w:rsidR="00414999" w:rsidRDefault="00414999" w:rsidP="00F44C41">
            <w:pPr>
              <w:pStyle w:val="cuadroCabe"/>
              <w:tabs>
                <w:tab w:val="left" w:pos="8647"/>
              </w:tabs>
              <w:jc w:val="right"/>
              <w:rPr>
                <w:lang w:val="es-ES" w:eastAsia="es-ES"/>
              </w:rPr>
            </w:pPr>
            <w:r>
              <w:rPr>
                <w:lang w:val="es-ES" w:eastAsia="es-ES"/>
              </w:rPr>
              <w:t>637,69</w:t>
            </w:r>
          </w:p>
        </w:tc>
        <w:tc>
          <w:tcPr>
            <w:tcW w:w="1174" w:type="dxa"/>
            <w:tcBorders>
              <w:bottom w:val="single" w:sz="4" w:space="0" w:color="auto"/>
            </w:tcBorders>
            <w:shd w:val="clear" w:color="auto" w:fill="B8CCE4" w:themeFill="accent1" w:themeFillTint="66"/>
            <w:noWrap/>
            <w:vAlign w:val="center"/>
          </w:tcPr>
          <w:p w:rsidR="00414999" w:rsidRDefault="00414999" w:rsidP="00F44C41">
            <w:pPr>
              <w:pStyle w:val="cuadroCabe"/>
              <w:tabs>
                <w:tab w:val="left" w:pos="8647"/>
              </w:tabs>
              <w:jc w:val="right"/>
              <w:rPr>
                <w:lang w:val="es-ES" w:eastAsia="es-ES"/>
              </w:rPr>
            </w:pPr>
            <w:r>
              <w:rPr>
                <w:lang w:val="es-ES" w:eastAsia="es-ES"/>
              </w:rPr>
              <w:t>659,41</w:t>
            </w:r>
          </w:p>
        </w:tc>
      </w:tr>
      <w:tr w:rsidR="00414999" w:rsidRPr="00960B6B" w:rsidTr="00A36484">
        <w:trPr>
          <w:trHeight w:val="255"/>
        </w:trPr>
        <w:tc>
          <w:tcPr>
            <w:tcW w:w="2127" w:type="dxa"/>
            <w:tcBorders>
              <w:top w:val="single" w:sz="4" w:space="0" w:color="auto"/>
              <w:bottom w:val="single" w:sz="4" w:space="0" w:color="auto"/>
            </w:tcBorders>
            <w:shd w:val="clear" w:color="auto" w:fill="auto"/>
            <w:vAlign w:val="center"/>
          </w:tcPr>
          <w:p w:rsidR="00414999" w:rsidRDefault="00414999" w:rsidP="00F44C41">
            <w:pPr>
              <w:pStyle w:val="cuatexto"/>
              <w:tabs>
                <w:tab w:val="left" w:pos="8647"/>
              </w:tabs>
              <w:rPr>
                <w:lang w:val="es-ES" w:eastAsia="es-ES"/>
              </w:rPr>
            </w:pPr>
            <w:r>
              <w:rPr>
                <w:lang w:val="es-ES" w:eastAsia="es-ES"/>
              </w:rPr>
              <w:t>% PDI contratado ETC</w:t>
            </w:r>
          </w:p>
        </w:tc>
        <w:tc>
          <w:tcPr>
            <w:tcW w:w="992" w:type="dxa"/>
            <w:gridSpan w:val="2"/>
            <w:tcBorders>
              <w:top w:val="single" w:sz="4" w:space="0" w:color="auto"/>
              <w:bottom w:val="single" w:sz="4" w:space="0" w:color="auto"/>
            </w:tcBorders>
            <w:shd w:val="clear" w:color="auto" w:fill="auto"/>
            <w:noWrap/>
            <w:vAlign w:val="center"/>
          </w:tcPr>
          <w:p w:rsidR="00414999" w:rsidRDefault="00414999" w:rsidP="00F44C41">
            <w:pPr>
              <w:pStyle w:val="cuatexto"/>
              <w:tabs>
                <w:tab w:val="left" w:pos="8647"/>
              </w:tabs>
              <w:jc w:val="right"/>
              <w:rPr>
                <w:lang w:val="es-ES" w:eastAsia="es-ES"/>
              </w:rPr>
            </w:pPr>
            <w:r>
              <w:rPr>
                <w:lang w:val="es-ES" w:eastAsia="es-ES"/>
              </w:rPr>
              <w:t>43,99</w:t>
            </w:r>
          </w:p>
        </w:tc>
        <w:tc>
          <w:tcPr>
            <w:tcW w:w="1255" w:type="dxa"/>
            <w:tcBorders>
              <w:top w:val="single" w:sz="4" w:space="0" w:color="auto"/>
              <w:bottom w:val="single" w:sz="4" w:space="0" w:color="auto"/>
            </w:tcBorders>
            <w:shd w:val="clear" w:color="auto" w:fill="auto"/>
            <w:noWrap/>
            <w:vAlign w:val="center"/>
          </w:tcPr>
          <w:p w:rsidR="00414999" w:rsidRDefault="00414999" w:rsidP="00F44C41">
            <w:pPr>
              <w:pStyle w:val="cuatexto"/>
              <w:tabs>
                <w:tab w:val="left" w:pos="8647"/>
              </w:tabs>
              <w:jc w:val="right"/>
              <w:rPr>
                <w:lang w:val="es-ES" w:eastAsia="es-ES"/>
              </w:rPr>
            </w:pPr>
            <w:r>
              <w:rPr>
                <w:lang w:val="es-ES" w:eastAsia="es-ES"/>
              </w:rPr>
              <w:t>44,35</w:t>
            </w:r>
          </w:p>
        </w:tc>
        <w:tc>
          <w:tcPr>
            <w:tcW w:w="1013" w:type="dxa"/>
            <w:tcBorders>
              <w:top w:val="single" w:sz="4" w:space="0" w:color="auto"/>
              <w:bottom w:val="single" w:sz="4" w:space="0" w:color="auto"/>
            </w:tcBorders>
            <w:shd w:val="clear" w:color="auto" w:fill="auto"/>
            <w:noWrap/>
            <w:vAlign w:val="center"/>
          </w:tcPr>
          <w:p w:rsidR="00414999" w:rsidRDefault="00414999" w:rsidP="00F44C41">
            <w:pPr>
              <w:pStyle w:val="cuatexto"/>
              <w:tabs>
                <w:tab w:val="left" w:pos="8647"/>
              </w:tabs>
              <w:jc w:val="right"/>
              <w:rPr>
                <w:lang w:val="es-ES" w:eastAsia="es-ES"/>
              </w:rPr>
            </w:pPr>
            <w:r>
              <w:rPr>
                <w:lang w:val="es-ES" w:eastAsia="es-ES"/>
              </w:rPr>
              <w:t>46,04</w:t>
            </w:r>
          </w:p>
        </w:tc>
        <w:tc>
          <w:tcPr>
            <w:tcW w:w="1033" w:type="dxa"/>
            <w:tcBorders>
              <w:top w:val="single" w:sz="4" w:space="0" w:color="auto"/>
              <w:bottom w:val="single" w:sz="4" w:space="0" w:color="auto"/>
            </w:tcBorders>
            <w:shd w:val="clear" w:color="auto" w:fill="auto"/>
            <w:noWrap/>
            <w:vAlign w:val="center"/>
          </w:tcPr>
          <w:p w:rsidR="00414999" w:rsidRDefault="00414999" w:rsidP="00F44C41">
            <w:pPr>
              <w:pStyle w:val="cuatexto"/>
              <w:tabs>
                <w:tab w:val="left" w:pos="8647"/>
              </w:tabs>
              <w:jc w:val="right"/>
              <w:rPr>
                <w:lang w:val="es-ES" w:eastAsia="es-ES"/>
              </w:rPr>
            </w:pPr>
            <w:r>
              <w:rPr>
                <w:lang w:val="es-ES" w:eastAsia="es-ES"/>
              </w:rPr>
              <w:t>47,23</w:t>
            </w:r>
          </w:p>
        </w:tc>
        <w:tc>
          <w:tcPr>
            <w:tcW w:w="1053" w:type="dxa"/>
            <w:tcBorders>
              <w:top w:val="single" w:sz="4" w:space="0" w:color="auto"/>
              <w:bottom w:val="single" w:sz="4" w:space="0" w:color="auto"/>
            </w:tcBorders>
            <w:shd w:val="clear" w:color="auto" w:fill="auto"/>
            <w:noWrap/>
            <w:vAlign w:val="center"/>
          </w:tcPr>
          <w:p w:rsidR="00414999" w:rsidRDefault="00414999" w:rsidP="00F44C41">
            <w:pPr>
              <w:pStyle w:val="cuatexto"/>
              <w:tabs>
                <w:tab w:val="left" w:pos="8647"/>
              </w:tabs>
              <w:jc w:val="right"/>
              <w:rPr>
                <w:lang w:val="es-ES" w:eastAsia="es-ES"/>
              </w:rPr>
            </w:pPr>
            <w:r>
              <w:rPr>
                <w:lang w:val="es-ES" w:eastAsia="es-ES"/>
              </w:rPr>
              <w:t>49,12</w:t>
            </w:r>
          </w:p>
        </w:tc>
        <w:tc>
          <w:tcPr>
            <w:tcW w:w="1174" w:type="dxa"/>
            <w:tcBorders>
              <w:top w:val="single" w:sz="4" w:space="0" w:color="auto"/>
              <w:bottom w:val="single" w:sz="4" w:space="0" w:color="auto"/>
            </w:tcBorders>
            <w:shd w:val="clear" w:color="auto" w:fill="auto"/>
            <w:noWrap/>
            <w:vAlign w:val="center"/>
          </w:tcPr>
          <w:p w:rsidR="00414999" w:rsidRDefault="00414999" w:rsidP="00F44C41">
            <w:pPr>
              <w:pStyle w:val="cuatexto"/>
              <w:tabs>
                <w:tab w:val="left" w:pos="8647"/>
              </w:tabs>
              <w:jc w:val="right"/>
              <w:rPr>
                <w:lang w:val="es-ES" w:eastAsia="es-ES"/>
              </w:rPr>
            </w:pPr>
            <w:r>
              <w:rPr>
                <w:lang w:val="es-ES" w:eastAsia="es-ES"/>
              </w:rPr>
              <w:t>50,49</w:t>
            </w:r>
          </w:p>
        </w:tc>
      </w:tr>
    </w:tbl>
    <w:p w:rsidR="00414999" w:rsidRDefault="00414999" w:rsidP="00981AF4">
      <w:pPr>
        <w:tabs>
          <w:tab w:val="left" w:pos="8647"/>
        </w:tabs>
        <w:autoSpaceDE w:val="0"/>
        <w:autoSpaceDN w:val="0"/>
        <w:adjustRightInd w:val="0"/>
        <w:spacing w:before="180"/>
        <w:ind w:firstLine="284"/>
        <w:rPr>
          <w:iCs/>
          <w:sz w:val="26"/>
          <w:szCs w:val="26"/>
        </w:rPr>
      </w:pPr>
      <w:r>
        <w:rPr>
          <w:iCs/>
          <w:sz w:val="26"/>
          <w:szCs w:val="26"/>
        </w:rPr>
        <w:t xml:space="preserve">El porcentaje de PDI en equivalencia a tiempo completo aumenta desde 2014, superando </w:t>
      </w:r>
      <w:r w:rsidR="00807060">
        <w:rPr>
          <w:iCs/>
          <w:sz w:val="26"/>
          <w:szCs w:val="26"/>
        </w:rPr>
        <w:t xml:space="preserve">ligeramente </w:t>
      </w:r>
      <w:r>
        <w:rPr>
          <w:iCs/>
          <w:sz w:val="26"/>
          <w:szCs w:val="26"/>
        </w:rPr>
        <w:t>en 2018 y 2019 el límite establecido en la LOU y los estat</w:t>
      </w:r>
      <w:r>
        <w:rPr>
          <w:iCs/>
          <w:sz w:val="26"/>
          <w:szCs w:val="26"/>
        </w:rPr>
        <w:t>u</w:t>
      </w:r>
      <w:r>
        <w:rPr>
          <w:iCs/>
          <w:sz w:val="26"/>
          <w:szCs w:val="26"/>
        </w:rPr>
        <w:t>tos de la universidad.</w:t>
      </w:r>
    </w:p>
    <w:p w:rsidR="00414999" w:rsidRPr="00981AF4" w:rsidRDefault="00414999" w:rsidP="00981AF4">
      <w:pPr>
        <w:pStyle w:val="Prrafodelista"/>
        <w:numPr>
          <w:ilvl w:val="0"/>
          <w:numId w:val="17"/>
        </w:numPr>
        <w:tabs>
          <w:tab w:val="left" w:pos="426"/>
          <w:tab w:val="left" w:pos="567"/>
        </w:tabs>
        <w:spacing w:after="240"/>
        <w:ind w:left="0" w:firstLine="284"/>
        <w:contextualSpacing w:val="0"/>
        <w:rPr>
          <w:spacing w:val="6"/>
          <w:sz w:val="26"/>
          <w:szCs w:val="26"/>
          <w:lang w:eastAsia="es-ES"/>
        </w:rPr>
      </w:pPr>
      <w:r w:rsidRPr="00981AF4">
        <w:rPr>
          <w:spacing w:val="6"/>
          <w:sz w:val="26"/>
          <w:szCs w:val="26"/>
          <w:lang w:eastAsia="es-ES"/>
        </w:rPr>
        <w:t>La LOU establece que “el personal docente e investigador con contrato l</w:t>
      </w:r>
      <w:r w:rsidRPr="00981AF4">
        <w:rPr>
          <w:spacing w:val="6"/>
          <w:sz w:val="26"/>
          <w:szCs w:val="26"/>
          <w:lang w:eastAsia="es-ES"/>
        </w:rPr>
        <w:t>a</w:t>
      </w:r>
      <w:r w:rsidRPr="00981AF4">
        <w:rPr>
          <w:spacing w:val="6"/>
          <w:sz w:val="26"/>
          <w:szCs w:val="26"/>
          <w:lang w:eastAsia="es-ES"/>
        </w:rPr>
        <w:t>boral temporal no podrá superar el 40 por ciento de la plantilla docente”. En la norma no se especifica si se refiere a personal computado en equivalencia a tiempo completo; por ello, en el cuadro siguiente recogemos los datos tanto en relación al número de PDI, como al PDI en equivalencia a tiempo completo:</w:t>
      </w:r>
    </w:p>
    <w:tbl>
      <w:tblPr>
        <w:tblW w:w="0" w:type="dxa"/>
        <w:tblBorders>
          <w:insideH w:val="single" w:sz="4" w:space="0" w:color="auto"/>
        </w:tblBorders>
        <w:tblLayout w:type="fixed"/>
        <w:tblCellMar>
          <w:left w:w="70" w:type="dxa"/>
          <w:right w:w="70" w:type="dxa"/>
        </w:tblCellMar>
        <w:tblLook w:val="04A0" w:firstRow="1" w:lastRow="0" w:firstColumn="1" w:lastColumn="0" w:noHBand="0" w:noVBand="1"/>
      </w:tblPr>
      <w:tblGrid>
        <w:gridCol w:w="2552"/>
        <w:gridCol w:w="1039"/>
        <w:gridCol w:w="1040"/>
        <w:gridCol w:w="1039"/>
        <w:gridCol w:w="1040"/>
        <w:gridCol w:w="1039"/>
        <w:gridCol w:w="1040"/>
      </w:tblGrid>
      <w:tr w:rsidR="00414999" w:rsidRPr="003F68F6" w:rsidTr="00C55651">
        <w:trPr>
          <w:trHeight w:val="255"/>
        </w:trPr>
        <w:tc>
          <w:tcPr>
            <w:tcW w:w="2552" w:type="dxa"/>
            <w:tcBorders>
              <w:top w:val="single" w:sz="4" w:space="0" w:color="auto"/>
            </w:tcBorders>
            <w:shd w:val="clear" w:color="auto" w:fill="B8CCE4" w:themeFill="accent1" w:themeFillTint="66"/>
            <w:vAlign w:val="center"/>
          </w:tcPr>
          <w:p w:rsidR="00414999" w:rsidRPr="003F68F6" w:rsidRDefault="00414999" w:rsidP="00F44C41">
            <w:pPr>
              <w:pStyle w:val="cuadroCabe"/>
              <w:tabs>
                <w:tab w:val="left" w:pos="8647"/>
              </w:tabs>
              <w:rPr>
                <w:lang w:val="es-ES" w:eastAsia="es-ES"/>
              </w:rPr>
            </w:pPr>
            <w:r w:rsidRPr="003F68F6">
              <w:rPr>
                <w:lang w:val="es-ES" w:eastAsia="es-ES"/>
              </w:rPr>
              <w:t>Régimen jurídico</w:t>
            </w:r>
          </w:p>
        </w:tc>
        <w:tc>
          <w:tcPr>
            <w:tcW w:w="1039" w:type="dxa"/>
            <w:tcBorders>
              <w:top w:val="single" w:sz="4" w:space="0" w:color="auto"/>
            </w:tcBorders>
            <w:shd w:val="clear" w:color="auto" w:fill="B8CCE4" w:themeFill="accent1" w:themeFillTint="66"/>
            <w:vAlign w:val="center"/>
          </w:tcPr>
          <w:p w:rsidR="00414999" w:rsidRPr="003F68F6" w:rsidRDefault="00414999" w:rsidP="00F44C41">
            <w:pPr>
              <w:pStyle w:val="cuadroCabe"/>
              <w:tabs>
                <w:tab w:val="left" w:pos="8647"/>
              </w:tabs>
              <w:jc w:val="right"/>
              <w:rPr>
                <w:rFonts w:cs="Calibri"/>
                <w:lang w:val="es-ES" w:eastAsia="es-ES"/>
              </w:rPr>
            </w:pPr>
            <w:r w:rsidRPr="003F68F6">
              <w:rPr>
                <w:rFonts w:cs="Calibri"/>
                <w:lang w:val="es-ES" w:eastAsia="es-ES"/>
              </w:rPr>
              <w:t>2014</w:t>
            </w:r>
          </w:p>
        </w:tc>
        <w:tc>
          <w:tcPr>
            <w:tcW w:w="1040" w:type="dxa"/>
            <w:tcBorders>
              <w:top w:val="single" w:sz="4" w:space="0" w:color="auto"/>
            </w:tcBorders>
            <w:shd w:val="clear" w:color="auto" w:fill="B8CCE4" w:themeFill="accent1" w:themeFillTint="66"/>
            <w:vAlign w:val="center"/>
          </w:tcPr>
          <w:p w:rsidR="00414999" w:rsidRPr="003F68F6" w:rsidRDefault="00414999" w:rsidP="00F44C41">
            <w:pPr>
              <w:pStyle w:val="cuadroCabe"/>
              <w:tabs>
                <w:tab w:val="left" w:pos="8647"/>
              </w:tabs>
              <w:jc w:val="right"/>
              <w:rPr>
                <w:rFonts w:cs="Calibri"/>
                <w:lang w:val="es-ES" w:eastAsia="es-ES"/>
              </w:rPr>
            </w:pPr>
            <w:r w:rsidRPr="003F68F6">
              <w:rPr>
                <w:rFonts w:cs="Calibri"/>
                <w:lang w:val="es-ES" w:eastAsia="es-ES"/>
              </w:rPr>
              <w:t>2015</w:t>
            </w:r>
          </w:p>
        </w:tc>
        <w:tc>
          <w:tcPr>
            <w:tcW w:w="1039" w:type="dxa"/>
            <w:tcBorders>
              <w:top w:val="single" w:sz="4" w:space="0" w:color="auto"/>
            </w:tcBorders>
            <w:shd w:val="clear" w:color="auto" w:fill="B8CCE4" w:themeFill="accent1" w:themeFillTint="66"/>
            <w:vAlign w:val="center"/>
          </w:tcPr>
          <w:p w:rsidR="00414999" w:rsidRPr="003F68F6" w:rsidRDefault="00414999" w:rsidP="00F44C41">
            <w:pPr>
              <w:pStyle w:val="cuadroCabe"/>
              <w:tabs>
                <w:tab w:val="left" w:pos="8647"/>
              </w:tabs>
              <w:jc w:val="right"/>
              <w:rPr>
                <w:rFonts w:cs="Calibri"/>
                <w:lang w:val="es-ES" w:eastAsia="es-ES"/>
              </w:rPr>
            </w:pPr>
            <w:r w:rsidRPr="003F68F6">
              <w:rPr>
                <w:rFonts w:cs="Calibri"/>
                <w:lang w:val="es-ES" w:eastAsia="es-ES"/>
              </w:rPr>
              <w:t>2016</w:t>
            </w:r>
          </w:p>
        </w:tc>
        <w:tc>
          <w:tcPr>
            <w:tcW w:w="1040" w:type="dxa"/>
            <w:tcBorders>
              <w:top w:val="single" w:sz="4" w:space="0" w:color="auto"/>
            </w:tcBorders>
            <w:shd w:val="clear" w:color="auto" w:fill="B8CCE4" w:themeFill="accent1" w:themeFillTint="66"/>
            <w:vAlign w:val="center"/>
          </w:tcPr>
          <w:p w:rsidR="00414999" w:rsidRPr="003F68F6" w:rsidRDefault="00414999" w:rsidP="00F44C41">
            <w:pPr>
              <w:pStyle w:val="cuadroCabe"/>
              <w:tabs>
                <w:tab w:val="left" w:pos="8647"/>
              </w:tabs>
              <w:jc w:val="right"/>
              <w:rPr>
                <w:rFonts w:cs="Calibri"/>
                <w:lang w:val="es-ES" w:eastAsia="es-ES"/>
              </w:rPr>
            </w:pPr>
            <w:r w:rsidRPr="003F68F6">
              <w:rPr>
                <w:rFonts w:cs="Calibri"/>
                <w:lang w:val="es-ES" w:eastAsia="es-ES"/>
              </w:rPr>
              <w:t>2017</w:t>
            </w:r>
          </w:p>
        </w:tc>
        <w:tc>
          <w:tcPr>
            <w:tcW w:w="1039" w:type="dxa"/>
            <w:tcBorders>
              <w:top w:val="single" w:sz="4" w:space="0" w:color="auto"/>
            </w:tcBorders>
            <w:shd w:val="clear" w:color="auto" w:fill="B8CCE4" w:themeFill="accent1" w:themeFillTint="66"/>
            <w:vAlign w:val="center"/>
          </w:tcPr>
          <w:p w:rsidR="00414999" w:rsidRPr="003F68F6" w:rsidRDefault="00414999" w:rsidP="00F44C41">
            <w:pPr>
              <w:pStyle w:val="cuadroCabe"/>
              <w:tabs>
                <w:tab w:val="left" w:pos="8647"/>
              </w:tabs>
              <w:jc w:val="right"/>
              <w:rPr>
                <w:rFonts w:cs="Calibri"/>
                <w:lang w:val="es-ES" w:eastAsia="es-ES"/>
              </w:rPr>
            </w:pPr>
            <w:r w:rsidRPr="003F68F6">
              <w:rPr>
                <w:rFonts w:cs="Calibri"/>
                <w:lang w:val="es-ES" w:eastAsia="es-ES"/>
              </w:rPr>
              <w:t>2018</w:t>
            </w:r>
          </w:p>
        </w:tc>
        <w:tc>
          <w:tcPr>
            <w:tcW w:w="1040" w:type="dxa"/>
            <w:tcBorders>
              <w:top w:val="single" w:sz="4" w:space="0" w:color="auto"/>
            </w:tcBorders>
            <w:shd w:val="clear" w:color="auto" w:fill="B8CCE4" w:themeFill="accent1" w:themeFillTint="66"/>
            <w:vAlign w:val="center"/>
          </w:tcPr>
          <w:p w:rsidR="00414999" w:rsidRPr="003F68F6" w:rsidRDefault="00414999" w:rsidP="00F44C41">
            <w:pPr>
              <w:pStyle w:val="cuadroCabe"/>
              <w:tabs>
                <w:tab w:val="left" w:pos="8647"/>
              </w:tabs>
              <w:jc w:val="right"/>
              <w:rPr>
                <w:rFonts w:cs="Calibri"/>
                <w:lang w:val="es-ES" w:eastAsia="es-ES"/>
              </w:rPr>
            </w:pPr>
            <w:r w:rsidRPr="003F68F6">
              <w:rPr>
                <w:rFonts w:cs="Calibri"/>
                <w:lang w:val="es-ES" w:eastAsia="es-ES"/>
              </w:rPr>
              <w:t>2019</w:t>
            </w:r>
          </w:p>
        </w:tc>
      </w:tr>
      <w:tr w:rsidR="00414999" w:rsidRPr="0024788E" w:rsidTr="00C55651">
        <w:trPr>
          <w:trHeight w:val="255"/>
        </w:trPr>
        <w:tc>
          <w:tcPr>
            <w:tcW w:w="2552" w:type="dxa"/>
            <w:shd w:val="clear" w:color="auto" w:fill="auto"/>
            <w:vAlign w:val="center"/>
          </w:tcPr>
          <w:p w:rsidR="00414999" w:rsidRPr="0024788E" w:rsidRDefault="00414999" w:rsidP="00F44C41">
            <w:pPr>
              <w:pStyle w:val="cuatexto"/>
              <w:tabs>
                <w:tab w:val="left" w:pos="8647"/>
              </w:tabs>
              <w:rPr>
                <w:lang w:val="es-ES" w:eastAsia="es-ES"/>
              </w:rPr>
            </w:pPr>
            <w:r w:rsidRPr="0024788E">
              <w:rPr>
                <w:lang w:val="es-ES" w:eastAsia="es-ES"/>
              </w:rPr>
              <w:t>Total contratados</w:t>
            </w:r>
          </w:p>
        </w:tc>
        <w:tc>
          <w:tcPr>
            <w:tcW w:w="1039" w:type="dxa"/>
            <w:shd w:val="clear" w:color="auto" w:fill="auto"/>
            <w:noWrap/>
            <w:vAlign w:val="center"/>
          </w:tcPr>
          <w:p w:rsidR="00414999" w:rsidRPr="0024788E" w:rsidRDefault="00414999" w:rsidP="00F44C41">
            <w:pPr>
              <w:pStyle w:val="cuatexto"/>
              <w:tabs>
                <w:tab w:val="left" w:pos="8647"/>
              </w:tabs>
              <w:jc w:val="right"/>
              <w:rPr>
                <w:lang w:val="es-ES" w:eastAsia="es-ES"/>
              </w:rPr>
            </w:pPr>
            <w:r w:rsidRPr="0024788E">
              <w:rPr>
                <w:lang w:val="es-ES" w:eastAsia="es-ES"/>
              </w:rPr>
              <w:t>520</w:t>
            </w:r>
          </w:p>
        </w:tc>
        <w:tc>
          <w:tcPr>
            <w:tcW w:w="1040" w:type="dxa"/>
            <w:shd w:val="clear" w:color="auto" w:fill="auto"/>
            <w:noWrap/>
            <w:vAlign w:val="center"/>
          </w:tcPr>
          <w:p w:rsidR="00414999" w:rsidRPr="0024788E" w:rsidRDefault="00414999" w:rsidP="00F44C41">
            <w:pPr>
              <w:pStyle w:val="cuatexto"/>
              <w:tabs>
                <w:tab w:val="left" w:pos="8647"/>
              </w:tabs>
              <w:jc w:val="right"/>
              <w:rPr>
                <w:lang w:val="es-ES" w:eastAsia="es-ES"/>
              </w:rPr>
            </w:pPr>
            <w:r w:rsidRPr="0024788E">
              <w:rPr>
                <w:lang w:val="es-ES" w:eastAsia="es-ES"/>
              </w:rPr>
              <w:t>530</w:t>
            </w:r>
          </w:p>
        </w:tc>
        <w:tc>
          <w:tcPr>
            <w:tcW w:w="1039" w:type="dxa"/>
            <w:shd w:val="clear" w:color="auto" w:fill="auto"/>
            <w:noWrap/>
            <w:vAlign w:val="center"/>
          </w:tcPr>
          <w:p w:rsidR="00414999" w:rsidRPr="0024788E" w:rsidRDefault="00414999" w:rsidP="00F44C41">
            <w:pPr>
              <w:pStyle w:val="cuatexto"/>
              <w:tabs>
                <w:tab w:val="left" w:pos="8647"/>
              </w:tabs>
              <w:jc w:val="right"/>
              <w:rPr>
                <w:lang w:val="es-ES" w:eastAsia="es-ES"/>
              </w:rPr>
            </w:pPr>
            <w:r w:rsidRPr="0024788E">
              <w:rPr>
                <w:lang w:val="es-ES" w:eastAsia="es-ES"/>
              </w:rPr>
              <w:t>561</w:t>
            </w:r>
          </w:p>
        </w:tc>
        <w:tc>
          <w:tcPr>
            <w:tcW w:w="1040" w:type="dxa"/>
            <w:shd w:val="clear" w:color="auto" w:fill="auto"/>
            <w:noWrap/>
            <w:vAlign w:val="center"/>
          </w:tcPr>
          <w:p w:rsidR="00414999" w:rsidRPr="0024788E" w:rsidRDefault="00414999" w:rsidP="00F44C41">
            <w:pPr>
              <w:pStyle w:val="cuatexto"/>
              <w:tabs>
                <w:tab w:val="left" w:pos="8647"/>
              </w:tabs>
              <w:jc w:val="right"/>
              <w:rPr>
                <w:lang w:val="es-ES" w:eastAsia="es-ES"/>
              </w:rPr>
            </w:pPr>
            <w:r w:rsidRPr="0024788E">
              <w:rPr>
                <w:lang w:val="es-ES" w:eastAsia="es-ES"/>
              </w:rPr>
              <w:t>572</w:t>
            </w:r>
          </w:p>
        </w:tc>
        <w:tc>
          <w:tcPr>
            <w:tcW w:w="1039" w:type="dxa"/>
            <w:shd w:val="clear" w:color="auto" w:fill="auto"/>
            <w:noWrap/>
            <w:vAlign w:val="center"/>
          </w:tcPr>
          <w:p w:rsidR="00414999" w:rsidRPr="0024788E" w:rsidRDefault="00414999" w:rsidP="00F44C41">
            <w:pPr>
              <w:pStyle w:val="cuatexto"/>
              <w:tabs>
                <w:tab w:val="left" w:pos="8647"/>
              </w:tabs>
              <w:jc w:val="right"/>
              <w:rPr>
                <w:lang w:val="es-ES" w:eastAsia="es-ES"/>
              </w:rPr>
            </w:pPr>
            <w:r w:rsidRPr="0024788E">
              <w:rPr>
                <w:lang w:val="es-ES" w:eastAsia="es-ES"/>
              </w:rPr>
              <w:t>606</w:t>
            </w:r>
          </w:p>
        </w:tc>
        <w:tc>
          <w:tcPr>
            <w:tcW w:w="1040" w:type="dxa"/>
            <w:shd w:val="clear" w:color="auto" w:fill="auto"/>
            <w:noWrap/>
            <w:vAlign w:val="center"/>
          </w:tcPr>
          <w:p w:rsidR="00414999" w:rsidRPr="0024788E" w:rsidRDefault="00414999" w:rsidP="00F44C41">
            <w:pPr>
              <w:pStyle w:val="cuatexto"/>
              <w:tabs>
                <w:tab w:val="left" w:pos="8647"/>
              </w:tabs>
              <w:jc w:val="right"/>
              <w:rPr>
                <w:lang w:val="es-ES" w:eastAsia="es-ES"/>
              </w:rPr>
            </w:pPr>
            <w:r w:rsidRPr="0024788E">
              <w:rPr>
                <w:lang w:val="es-ES" w:eastAsia="es-ES"/>
              </w:rPr>
              <w:t>634</w:t>
            </w:r>
          </w:p>
        </w:tc>
      </w:tr>
      <w:tr w:rsidR="00414999" w:rsidRPr="0024788E" w:rsidTr="00C55651">
        <w:trPr>
          <w:trHeight w:val="255"/>
        </w:trPr>
        <w:tc>
          <w:tcPr>
            <w:tcW w:w="2552" w:type="dxa"/>
            <w:shd w:val="clear" w:color="auto" w:fill="auto"/>
            <w:vAlign w:val="center"/>
          </w:tcPr>
          <w:p w:rsidR="00414999" w:rsidRPr="0024788E" w:rsidRDefault="00414999" w:rsidP="00F44C41">
            <w:pPr>
              <w:pStyle w:val="cuatexto"/>
              <w:tabs>
                <w:tab w:val="left" w:pos="8647"/>
              </w:tabs>
              <w:rPr>
                <w:lang w:val="es-ES" w:eastAsia="es-ES"/>
              </w:rPr>
            </w:pPr>
            <w:r w:rsidRPr="0024788E">
              <w:rPr>
                <w:lang w:val="es-ES" w:eastAsia="es-ES"/>
              </w:rPr>
              <w:t>Total PDI</w:t>
            </w:r>
          </w:p>
        </w:tc>
        <w:tc>
          <w:tcPr>
            <w:tcW w:w="1039" w:type="dxa"/>
            <w:shd w:val="clear" w:color="auto" w:fill="auto"/>
            <w:noWrap/>
            <w:vAlign w:val="center"/>
          </w:tcPr>
          <w:p w:rsidR="00414999" w:rsidRPr="0024788E" w:rsidRDefault="00414999" w:rsidP="00F44C41">
            <w:pPr>
              <w:pStyle w:val="cuatexto"/>
              <w:tabs>
                <w:tab w:val="left" w:pos="8647"/>
              </w:tabs>
              <w:jc w:val="right"/>
              <w:rPr>
                <w:lang w:val="es-ES" w:eastAsia="es-ES"/>
              </w:rPr>
            </w:pPr>
            <w:r w:rsidRPr="0024788E">
              <w:rPr>
                <w:lang w:val="es-ES" w:eastAsia="es-ES"/>
              </w:rPr>
              <w:t>856</w:t>
            </w:r>
          </w:p>
        </w:tc>
        <w:tc>
          <w:tcPr>
            <w:tcW w:w="1040" w:type="dxa"/>
            <w:shd w:val="clear" w:color="auto" w:fill="auto"/>
            <w:noWrap/>
            <w:vAlign w:val="center"/>
          </w:tcPr>
          <w:p w:rsidR="00414999" w:rsidRPr="0024788E" w:rsidRDefault="00414999" w:rsidP="00F44C41">
            <w:pPr>
              <w:pStyle w:val="cuatexto"/>
              <w:tabs>
                <w:tab w:val="left" w:pos="8647"/>
              </w:tabs>
              <w:jc w:val="right"/>
              <w:rPr>
                <w:lang w:val="es-ES" w:eastAsia="es-ES"/>
              </w:rPr>
            </w:pPr>
            <w:r w:rsidRPr="0024788E">
              <w:rPr>
                <w:lang w:val="es-ES" w:eastAsia="es-ES"/>
              </w:rPr>
              <w:t>863</w:t>
            </w:r>
          </w:p>
        </w:tc>
        <w:tc>
          <w:tcPr>
            <w:tcW w:w="1039" w:type="dxa"/>
            <w:shd w:val="clear" w:color="auto" w:fill="auto"/>
            <w:noWrap/>
            <w:vAlign w:val="center"/>
          </w:tcPr>
          <w:p w:rsidR="00414999" w:rsidRPr="0024788E" w:rsidRDefault="00414999" w:rsidP="00F44C41">
            <w:pPr>
              <w:pStyle w:val="cuatexto"/>
              <w:tabs>
                <w:tab w:val="left" w:pos="8647"/>
              </w:tabs>
              <w:jc w:val="right"/>
              <w:rPr>
                <w:lang w:val="es-ES" w:eastAsia="es-ES"/>
              </w:rPr>
            </w:pPr>
            <w:r w:rsidRPr="0024788E">
              <w:rPr>
                <w:lang w:val="es-ES" w:eastAsia="es-ES"/>
              </w:rPr>
              <w:t>885</w:t>
            </w:r>
          </w:p>
        </w:tc>
        <w:tc>
          <w:tcPr>
            <w:tcW w:w="1040" w:type="dxa"/>
            <w:shd w:val="clear" w:color="auto" w:fill="auto"/>
            <w:noWrap/>
            <w:vAlign w:val="center"/>
          </w:tcPr>
          <w:p w:rsidR="00414999" w:rsidRPr="0024788E" w:rsidRDefault="00414999" w:rsidP="00F44C41">
            <w:pPr>
              <w:pStyle w:val="cuatexto"/>
              <w:tabs>
                <w:tab w:val="left" w:pos="8647"/>
              </w:tabs>
              <w:jc w:val="right"/>
              <w:rPr>
                <w:lang w:val="es-ES" w:eastAsia="es-ES"/>
              </w:rPr>
            </w:pPr>
            <w:r w:rsidRPr="0024788E">
              <w:rPr>
                <w:lang w:val="es-ES" w:eastAsia="es-ES"/>
              </w:rPr>
              <w:t>901</w:t>
            </w:r>
          </w:p>
        </w:tc>
        <w:tc>
          <w:tcPr>
            <w:tcW w:w="1039" w:type="dxa"/>
            <w:shd w:val="clear" w:color="auto" w:fill="auto"/>
            <w:noWrap/>
            <w:vAlign w:val="center"/>
          </w:tcPr>
          <w:p w:rsidR="00414999" w:rsidRPr="0024788E" w:rsidRDefault="00414999" w:rsidP="00F44C41">
            <w:pPr>
              <w:pStyle w:val="cuatexto"/>
              <w:tabs>
                <w:tab w:val="left" w:pos="8647"/>
              </w:tabs>
              <w:jc w:val="right"/>
              <w:rPr>
                <w:lang w:val="es-ES" w:eastAsia="es-ES"/>
              </w:rPr>
            </w:pPr>
            <w:r w:rsidRPr="0024788E">
              <w:rPr>
                <w:lang w:val="es-ES" w:eastAsia="es-ES"/>
              </w:rPr>
              <w:t>934</w:t>
            </w:r>
          </w:p>
        </w:tc>
        <w:tc>
          <w:tcPr>
            <w:tcW w:w="1040" w:type="dxa"/>
            <w:shd w:val="clear" w:color="auto" w:fill="auto"/>
            <w:noWrap/>
            <w:vAlign w:val="center"/>
          </w:tcPr>
          <w:p w:rsidR="00414999" w:rsidRPr="0024788E" w:rsidRDefault="00414999" w:rsidP="00F44C41">
            <w:pPr>
              <w:pStyle w:val="cuatexto"/>
              <w:tabs>
                <w:tab w:val="left" w:pos="8647"/>
              </w:tabs>
              <w:jc w:val="right"/>
              <w:rPr>
                <w:lang w:val="es-ES" w:eastAsia="es-ES"/>
              </w:rPr>
            </w:pPr>
            <w:r w:rsidRPr="0024788E">
              <w:rPr>
                <w:lang w:val="es-ES" w:eastAsia="es-ES"/>
              </w:rPr>
              <w:t>966</w:t>
            </w:r>
          </w:p>
        </w:tc>
      </w:tr>
      <w:tr w:rsidR="00414999" w:rsidRPr="00A36484" w:rsidTr="00C55651">
        <w:trPr>
          <w:trHeight w:val="255"/>
        </w:trPr>
        <w:tc>
          <w:tcPr>
            <w:tcW w:w="2552" w:type="dxa"/>
            <w:tcBorders>
              <w:top w:val="single" w:sz="4" w:space="0" w:color="auto"/>
              <w:bottom w:val="single" w:sz="4" w:space="0" w:color="auto"/>
            </w:tcBorders>
            <w:shd w:val="clear" w:color="auto" w:fill="B8CCE4" w:themeFill="accent1" w:themeFillTint="66"/>
            <w:vAlign w:val="center"/>
          </w:tcPr>
          <w:p w:rsidR="00414999" w:rsidRPr="00A36484" w:rsidRDefault="00414999" w:rsidP="00F44C41">
            <w:pPr>
              <w:pStyle w:val="cuadroCabe"/>
              <w:tabs>
                <w:tab w:val="left" w:pos="8647"/>
              </w:tabs>
              <w:rPr>
                <w:rFonts w:ascii="Arial Narrow" w:hAnsi="Arial Narrow"/>
                <w:lang w:val="es-ES" w:eastAsia="es-ES"/>
              </w:rPr>
            </w:pPr>
            <w:r w:rsidRPr="00A36484">
              <w:rPr>
                <w:rFonts w:ascii="Arial Narrow" w:hAnsi="Arial Narrow"/>
                <w:lang w:val="es-ES" w:eastAsia="es-ES"/>
              </w:rPr>
              <w:t xml:space="preserve"> % PDI contratado laboral </w:t>
            </w:r>
          </w:p>
          <w:p w:rsidR="00414999" w:rsidRPr="00A36484" w:rsidRDefault="00414999" w:rsidP="00F44C41">
            <w:pPr>
              <w:pStyle w:val="cuadroCabe"/>
              <w:tabs>
                <w:tab w:val="left" w:pos="8647"/>
              </w:tabs>
              <w:rPr>
                <w:rFonts w:ascii="Arial Narrow" w:hAnsi="Arial Narrow"/>
                <w:lang w:val="es-ES" w:eastAsia="es-ES"/>
              </w:rPr>
            </w:pPr>
            <w:r w:rsidRPr="00A36484">
              <w:rPr>
                <w:rFonts w:ascii="Arial Narrow" w:hAnsi="Arial Narrow"/>
                <w:lang w:val="es-ES" w:eastAsia="es-ES"/>
              </w:rPr>
              <w:t>temporal s/total PDI</w:t>
            </w:r>
          </w:p>
        </w:tc>
        <w:tc>
          <w:tcPr>
            <w:tcW w:w="1039" w:type="dxa"/>
            <w:tcBorders>
              <w:top w:val="single" w:sz="4" w:space="0" w:color="auto"/>
              <w:bottom w:val="single" w:sz="4" w:space="0" w:color="auto"/>
            </w:tcBorders>
            <w:shd w:val="clear" w:color="auto" w:fill="B8CCE4" w:themeFill="accent1" w:themeFillTint="66"/>
            <w:noWrap/>
            <w:vAlign w:val="center"/>
          </w:tcPr>
          <w:p w:rsidR="00414999" w:rsidRPr="00A36484" w:rsidRDefault="00414999" w:rsidP="00F44C41">
            <w:pPr>
              <w:pStyle w:val="cuadroCabe"/>
              <w:tabs>
                <w:tab w:val="left" w:pos="8647"/>
              </w:tabs>
              <w:jc w:val="right"/>
              <w:rPr>
                <w:rFonts w:ascii="Arial Narrow" w:hAnsi="Arial Narrow"/>
                <w:lang w:val="es-ES" w:eastAsia="es-ES"/>
              </w:rPr>
            </w:pPr>
            <w:r w:rsidRPr="00A36484">
              <w:rPr>
                <w:rFonts w:ascii="Arial Narrow" w:hAnsi="Arial Narrow"/>
                <w:lang w:val="es-ES" w:eastAsia="es-ES"/>
              </w:rPr>
              <w:t>51,99</w:t>
            </w:r>
          </w:p>
        </w:tc>
        <w:tc>
          <w:tcPr>
            <w:tcW w:w="1040" w:type="dxa"/>
            <w:tcBorders>
              <w:top w:val="single" w:sz="4" w:space="0" w:color="auto"/>
              <w:bottom w:val="single" w:sz="4" w:space="0" w:color="auto"/>
            </w:tcBorders>
            <w:shd w:val="clear" w:color="auto" w:fill="B8CCE4" w:themeFill="accent1" w:themeFillTint="66"/>
            <w:noWrap/>
            <w:vAlign w:val="center"/>
          </w:tcPr>
          <w:p w:rsidR="00414999" w:rsidRPr="00A36484" w:rsidRDefault="00414999" w:rsidP="00F44C41">
            <w:pPr>
              <w:pStyle w:val="cuadroCabe"/>
              <w:tabs>
                <w:tab w:val="left" w:pos="8647"/>
              </w:tabs>
              <w:jc w:val="right"/>
              <w:rPr>
                <w:rFonts w:ascii="Arial Narrow" w:hAnsi="Arial Narrow"/>
                <w:lang w:val="es-ES" w:eastAsia="es-ES"/>
              </w:rPr>
            </w:pPr>
            <w:r w:rsidRPr="00A36484">
              <w:rPr>
                <w:rFonts w:ascii="Arial Narrow" w:hAnsi="Arial Narrow"/>
                <w:lang w:val="es-ES" w:eastAsia="es-ES"/>
              </w:rPr>
              <w:t>52,72</w:t>
            </w:r>
          </w:p>
        </w:tc>
        <w:tc>
          <w:tcPr>
            <w:tcW w:w="1039" w:type="dxa"/>
            <w:tcBorders>
              <w:top w:val="single" w:sz="4" w:space="0" w:color="auto"/>
              <w:bottom w:val="single" w:sz="4" w:space="0" w:color="auto"/>
            </w:tcBorders>
            <w:shd w:val="clear" w:color="auto" w:fill="B8CCE4" w:themeFill="accent1" w:themeFillTint="66"/>
            <w:noWrap/>
            <w:vAlign w:val="center"/>
          </w:tcPr>
          <w:p w:rsidR="00414999" w:rsidRPr="00A36484" w:rsidRDefault="00414999" w:rsidP="00F44C41">
            <w:pPr>
              <w:pStyle w:val="cuadroCabe"/>
              <w:tabs>
                <w:tab w:val="left" w:pos="8647"/>
              </w:tabs>
              <w:jc w:val="right"/>
              <w:rPr>
                <w:rFonts w:ascii="Arial Narrow" w:hAnsi="Arial Narrow"/>
                <w:lang w:val="es-ES" w:eastAsia="es-ES"/>
              </w:rPr>
            </w:pPr>
            <w:r w:rsidRPr="00A36484">
              <w:rPr>
                <w:rFonts w:ascii="Arial Narrow" w:hAnsi="Arial Narrow"/>
                <w:lang w:val="es-ES" w:eastAsia="es-ES"/>
              </w:rPr>
              <w:t>54,92</w:t>
            </w:r>
          </w:p>
        </w:tc>
        <w:tc>
          <w:tcPr>
            <w:tcW w:w="1040" w:type="dxa"/>
            <w:tcBorders>
              <w:top w:val="single" w:sz="4" w:space="0" w:color="auto"/>
              <w:bottom w:val="single" w:sz="4" w:space="0" w:color="auto"/>
            </w:tcBorders>
            <w:shd w:val="clear" w:color="auto" w:fill="B8CCE4" w:themeFill="accent1" w:themeFillTint="66"/>
            <w:noWrap/>
            <w:vAlign w:val="center"/>
          </w:tcPr>
          <w:p w:rsidR="00414999" w:rsidRPr="00A36484" w:rsidRDefault="00414999" w:rsidP="00F44C41">
            <w:pPr>
              <w:pStyle w:val="cuadroCabe"/>
              <w:tabs>
                <w:tab w:val="left" w:pos="8647"/>
              </w:tabs>
              <w:jc w:val="right"/>
              <w:rPr>
                <w:rFonts w:ascii="Arial Narrow" w:hAnsi="Arial Narrow"/>
                <w:lang w:val="es-ES" w:eastAsia="es-ES"/>
              </w:rPr>
            </w:pPr>
            <w:r w:rsidRPr="00A36484">
              <w:rPr>
                <w:rFonts w:ascii="Arial Narrow" w:hAnsi="Arial Narrow"/>
                <w:lang w:val="es-ES" w:eastAsia="es-ES"/>
              </w:rPr>
              <w:t>55,60</w:t>
            </w:r>
          </w:p>
        </w:tc>
        <w:tc>
          <w:tcPr>
            <w:tcW w:w="1039" w:type="dxa"/>
            <w:tcBorders>
              <w:top w:val="single" w:sz="4" w:space="0" w:color="auto"/>
              <w:bottom w:val="single" w:sz="4" w:space="0" w:color="auto"/>
            </w:tcBorders>
            <w:shd w:val="clear" w:color="auto" w:fill="B8CCE4" w:themeFill="accent1" w:themeFillTint="66"/>
            <w:noWrap/>
            <w:vAlign w:val="center"/>
          </w:tcPr>
          <w:p w:rsidR="00414999" w:rsidRPr="00A36484" w:rsidRDefault="00414999" w:rsidP="00F44C41">
            <w:pPr>
              <w:pStyle w:val="cuadroCabe"/>
              <w:tabs>
                <w:tab w:val="left" w:pos="8647"/>
              </w:tabs>
              <w:jc w:val="right"/>
              <w:rPr>
                <w:rFonts w:ascii="Arial Narrow" w:hAnsi="Arial Narrow"/>
                <w:lang w:val="es-ES" w:eastAsia="es-ES"/>
              </w:rPr>
            </w:pPr>
            <w:r w:rsidRPr="00A36484">
              <w:rPr>
                <w:rFonts w:ascii="Arial Narrow" w:hAnsi="Arial Narrow"/>
                <w:lang w:val="es-ES" w:eastAsia="es-ES"/>
              </w:rPr>
              <w:t>57,71</w:t>
            </w:r>
          </w:p>
        </w:tc>
        <w:tc>
          <w:tcPr>
            <w:tcW w:w="1040" w:type="dxa"/>
            <w:tcBorders>
              <w:top w:val="single" w:sz="4" w:space="0" w:color="auto"/>
              <w:bottom w:val="single" w:sz="4" w:space="0" w:color="auto"/>
            </w:tcBorders>
            <w:shd w:val="clear" w:color="auto" w:fill="B8CCE4" w:themeFill="accent1" w:themeFillTint="66"/>
            <w:noWrap/>
            <w:vAlign w:val="center"/>
          </w:tcPr>
          <w:p w:rsidR="00414999" w:rsidRPr="00A36484" w:rsidRDefault="00414999" w:rsidP="00F44C41">
            <w:pPr>
              <w:pStyle w:val="cuadroCabe"/>
              <w:tabs>
                <w:tab w:val="left" w:pos="8647"/>
              </w:tabs>
              <w:jc w:val="right"/>
              <w:rPr>
                <w:rFonts w:ascii="Arial Narrow" w:hAnsi="Arial Narrow"/>
                <w:lang w:val="es-ES" w:eastAsia="es-ES"/>
              </w:rPr>
            </w:pPr>
            <w:r w:rsidRPr="00A36484">
              <w:rPr>
                <w:rFonts w:ascii="Arial Narrow" w:hAnsi="Arial Narrow"/>
                <w:lang w:val="es-ES" w:eastAsia="es-ES"/>
              </w:rPr>
              <w:t>57,76</w:t>
            </w:r>
          </w:p>
        </w:tc>
      </w:tr>
      <w:tr w:rsidR="00414999" w:rsidRPr="0024788E" w:rsidTr="00C55651">
        <w:trPr>
          <w:trHeight w:val="255"/>
        </w:trPr>
        <w:tc>
          <w:tcPr>
            <w:tcW w:w="2552" w:type="dxa"/>
            <w:shd w:val="clear" w:color="auto" w:fill="auto"/>
            <w:vAlign w:val="center"/>
          </w:tcPr>
          <w:p w:rsidR="00414999" w:rsidRPr="0024788E" w:rsidRDefault="00414999" w:rsidP="00F44C41">
            <w:pPr>
              <w:pStyle w:val="cuatexto"/>
              <w:tabs>
                <w:tab w:val="left" w:pos="8647"/>
              </w:tabs>
              <w:rPr>
                <w:lang w:val="es-ES" w:eastAsia="es-ES"/>
              </w:rPr>
            </w:pPr>
            <w:r w:rsidRPr="0024788E">
              <w:rPr>
                <w:lang w:val="es-ES" w:eastAsia="es-ES"/>
              </w:rPr>
              <w:t>Total contratados (ETC)</w:t>
            </w:r>
          </w:p>
        </w:tc>
        <w:tc>
          <w:tcPr>
            <w:tcW w:w="1039" w:type="dxa"/>
            <w:shd w:val="clear" w:color="auto" w:fill="auto"/>
            <w:noWrap/>
            <w:vAlign w:val="center"/>
          </w:tcPr>
          <w:p w:rsidR="00414999" w:rsidRPr="0024788E" w:rsidRDefault="00414999" w:rsidP="00F44C41">
            <w:pPr>
              <w:pStyle w:val="cuatexto"/>
              <w:tabs>
                <w:tab w:val="left" w:pos="8647"/>
              </w:tabs>
              <w:jc w:val="right"/>
              <w:rPr>
                <w:lang w:val="es-ES" w:eastAsia="es-ES"/>
              </w:rPr>
            </w:pPr>
            <w:r w:rsidRPr="0024788E">
              <w:rPr>
                <w:lang w:val="es-ES" w:eastAsia="es-ES"/>
              </w:rPr>
              <w:t>267</w:t>
            </w:r>
          </w:p>
        </w:tc>
        <w:tc>
          <w:tcPr>
            <w:tcW w:w="1040" w:type="dxa"/>
            <w:shd w:val="clear" w:color="auto" w:fill="auto"/>
            <w:noWrap/>
            <w:vAlign w:val="center"/>
          </w:tcPr>
          <w:p w:rsidR="00414999" w:rsidRPr="0024788E" w:rsidRDefault="00414999" w:rsidP="00F44C41">
            <w:pPr>
              <w:pStyle w:val="cuatexto"/>
              <w:tabs>
                <w:tab w:val="left" w:pos="8647"/>
              </w:tabs>
              <w:jc w:val="right"/>
              <w:rPr>
                <w:lang w:val="es-ES" w:eastAsia="es-ES"/>
              </w:rPr>
            </w:pPr>
            <w:r w:rsidRPr="0024788E">
              <w:rPr>
                <w:lang w:val="es-ES" w:eastAsia="es-ES"/>
              </w:rPr>
              <w:t>269</w:t>
            </w:r>
          </w:p>
        </w:tc>
        <w:tc>
          <w:tcPr>
            <w:tcW w:w="1039" w:type="dxa"/>
            <w:shd w:val="clear" w:color="auto" w:fill="auto"/>
            <w:noWrap/>
            <w:vAlign w:val="center"/>
          </w:tcPr>
          <w:p w:rsidR="00414999" w:rsidRPr="0024788E" w:rsidRDefault="00414999" w:rsidP="00F44C41">
            <w:pPr>
              <w:pStyle w:val="cuatexto"/>
              <w:tabs>
                <w:tab w:val="left" w:pos="8647"/>
              </w:tabs>
              <w:jc w:val="right"/>
              <w:rPr>
                <w:lang w:val="es-ES" w:eastAsia="es-ES"/>
              </w:rPr>
            </w:pPr>
            <w:r w:rsidRPr="0024788E">
              <w:rPr>
                <w:lang w:val="es-ES" w:eastAsia="es-ES"/>
              </w:rPr>
              <w:t>281</w:t>
            </w:r>
          </w:p>
        </w:tc>
        <w:tc>
          <w:tcPr>
            <w:tcW w:w="1040" w:type="dxa"/>
            <w:shd w:val="clear" w:color="auto" w:fill="auto"/>
            <w:noWrap/>
            <w:vAlign w:val="center"/>
          </w:tcPr>
          <w:p w:rsidR="00414999" w:rsidRPr="0024788E" w:rsidRDefault="00414999" w:rsidP="00F44C41">
            <w:pPr>
              <w:pStyle w:val="cuatexto"/>
              <w:tabs>
                <w:tab w:val="left" w:pos="8647"/>
              </w:tabs>
              <w:jc w:val="right"/>
              <w:rPr>
                <w:lang w:val="es-ES" w:eastAsia="es-ES"/>
              </w:rPr>
            </w:pPr>
            <w:r w:rsidRPr="0024788E">
              <w:rPr>
                <w:lang w:val="es-ES" w:eastAsia="es-ES"/>
              </w:rPr>
              <w:t>294</w:t>
            </w:r>
          </w:p>
        </w:tc>
        <w:tc>
          <w:tcPr>
            <w:tcW w:w="1039" w:type="dxa"/>
            <w:shd w:val="clear" w:color="auto" w:fill="auto"/>
            <w:noWrap/>
            <w:vAlign w:val="center"/>
          </w:tcPr>
          <w:p w:rsidR="00414999" w:rsidRPr="0024788E" w:rsidRDefault="00414999" w:rsidP="00F44C41">
            <w:pPr>
              <w:pStyle w:val="cuatexto"/>
              <w:tabs>
                <w:tab w:val="left" w:pos="8647"/>
              </w:tabs>
              <w:jc w:val="right"/>
              <w:rPr>
                <w:lang w:val="es-ES" w:eastAsia="es-ES"/>
              </w:rPr>
            </w:pPr>
            <w:r w:rsidRPr="0024788E">
              <w:rPr>
                <w:lang w:val="es-ES" w:eastAsia="es-ES"/>
              </w:rPr>
              <w:t>315</w:t>
            </w:r>
          </w:p>
        </w:tc>
        <w:tc>
          <w:tcPr>
            <w:tcW w:w="1040" w:type="dxa"/>
            <w:shd w:val="clear" w:color="auto" w:fill="auto"/>
            <w:noWrap/>
            <w:vAlign w:val="center"/>
          </w:tcPr>
          <w:p w:rsidR="00414999" w:rsidRPr="0024788E" w:rsidRDefault="00414999" w:rsidP="00F44C41">
            <w:pPr>
              <w:pStyle w:val="cuatexto"/>
              <w:tabs>
                <w:tab w:val="left" w:pos="8647"/>
              </w:tabs>
              <w:jc w:val="right"/>
              <w:rPr>
                <w:lang w:val="es-ES" w:eastAsia="es-ES"/>
              </w:rPr>
            </w:pPr>
            <w:r w:rsidRPr="0024788E">
              <w:rPr>
                <w:lang w:val="es-ES" w:eastAsia="es-ES"/>
              </w:rPr>
              <w:t>333</w:t>
            </w:r>
          </w:p>
        </w:tc>
      </w:tr>
      <w:tr w:rsidR="00414999" w:rsidRPr="0024788E" w:rsidTr="00C55651">
        <w:trPr>
          <w:trHeight w:val="255"/>
        </w:trPr>
        <w:tc>
          <w:tcPr>
            <w:tcW w:w="2552" w:type="dxa"/>
            <w:shd w:val="clear" w:color="auto" w:fill="auto"/>
            <w:vAlign w:val="center"/>
          </w:tcPr>
          <w:p w:rsidR="00414999" w:rsidRPr="0024788E" w:rsidRDefault="00414999" w:rsidP="00F44C41">
            <w:pPr>
              <w:pStyle w:val="cuatexto"/>
              <w:tabs>
                <w:tab w:val="left" w:pos="8647"/>
              </w:tabs>
              <w:rPr>
                <w:lang w:val="es-ES" w:eastAsia="es-ES"/>
              </w:rPr>
            </w:pPr>
            <w:r w:rsidRPr="0024788E">
              <w:rPr>
                <w:lang w:val="es-ES" w:eastAsia="es-ES"/>
              </w:rPr>
              <w:t>Total PDI (ETC)</w:t>
            </w:r>
          </w:p>
        </w:tc>
        <w:tc>
          <w:tcPr>
            <w:tcW w:w="1039" w:type="dxa"/>
            <w:shd w:val="clear" w:color="auto" w:fill="auto"/>
            <w:noWrap/>
            <w:vAlign w:val="center"/>
          </w:tcPr>
          <w:p w:rsidR="00414999" w:rsidRPr="0024788E" w:rsidRDefault="00414999" w:rsidP="00F44C41">
            <w:pPr>
              <w:pStyle w:val="cuatexto"/>
              <w:tabs>
                <w:tab w:val="left" w:pos="8647"/>
              </w:tabs>
              <w:jc w:val="right"/>
              <w:rPr>
                <w:lang w:val="es-ES" w:eastAsia="es-ES"/>
              </w:rPr>
            </w:pPr>
            <w:r w:rsidRPr="0024788E">
              <w:rPr>
                <w:lang w:val="es-ES" w:eastAsia="es-ES"/>
              </w:rPr>
              <w:t>599</w:t>
            </w:r>
          </w:p>
        </w:tc>
        <w:tc>
          <w:tcPr>
            <w:tcW w:w="1040" w:type="dxa"/>
            <w:shd w:val="clear" w:color="auto" w:fill="auto"/>
            <w:noWrap/>
            <w:vAlign w:val="center"/>
          </w:tcPr>
          <w:p w:rsidR="00414999" w:rsidRPr="0024788E" w:rsidRDefault="00414999" w:rsidP="00F44C41">
            <w:pPr>
              <w:pStyle w:val="cuatexto"/>
              <w:tabs>
                <w:tab w:val="left" w:pos="8647"/>
              </w:tabs>
              <w:jc w:val="right"/>
              <w:rPr>
                <w:lang w:val="es-ES" w:eastAsia="es-ES"/>
              </w:rPr>
            </w:pPr>
            <w:r w:rsidRPr="0024788E">
              <w:rPr>
                <w:lang w:val="es-ES" w:eastAsia="es-ES"/>
              </w:rPr>
              <w:t>597</w:t>
            </w:r>
          </w:p>
        </w:tc>
        <w:tc>
          <w:tcPr>
            <w:tcW w:w="1039" w:type="dxa"/>
            <w:shd w:val="clear" w:color="auto" w:fill="auto"/>
            <w:noWrap/>
            <w:vAlign w:val="center"/>
          </w:tcPr>
          <w:p w:rsidR="00414999" w:rsidRPr="0024788E" w:rsidRDefault="00414999" w:rsidP="00F44C41">
            <w:pPr>
              <w:pStyle w:val="cuatexto"/>
              <w:tabs>
                <w:tab w:val="left" w:pos="8647"/>
              </w:tabs>
              <w:jc w:val="right"/>
              <w:rPr>
                <w:lang w:val="es-ES" w:eastAsia="es-ES"/>
              </w:rPr>
            </w:pPr>
            <w:r w:rsidRPr="0024788E">
              <w:rPr>
                <w:lang w:val="es-ES" w:eastAsia="es-ES"/>
              </w:rPr>
              <w:t>601</w:t>
            </w:r>
          </w:p>
        </w:tc>
        <w:tc>
          <w:tcPr>
            <w:tcW w:w="1040" w:type="dxa"/>
            <w:shd w:val="clear" w:color="auto" w:fill="auto"/>
            <w:noWrap/>
            <w:vAlign w:val="center"/>
          </w:tcPr>
          <w:p w:rsidR="00414999" w:rsidRPr="0024788E" w:rsidRDefault="00414999" w:rsidP="00F44C41">
            <w:pPr>
              <w:pStyle w:val="cuatexto"/>
              <w:tabs>
                <w:tab w:val="left" w:pos="8647"/>
              </w:tabs>
              <w:jc w:val="right"/>
              <w:rPr>
                <w:lang w:val="es-ES" w:eastAsia="es-ES"/>
              </w:rPr>
            </w:pPr>
            <w:r w:rsidRPr="0024788E">
              <w:rPr>
                <w:lang w:val="es-ES" w:eastAsia="es-ES"/>
              </w:rPr>
              <w:t>618</w:t>
            </w:r>
          </w:p>
        </w:tc>
        <w:tc>
          <w:tcPr>
            <w:tcW w:w="1039" w:type="dxa"/>
            <w:shd w:val="clear" w:color="auto" w:fill="auto"/>
            <w:noWrap/>
            <w:vAlign w:val="center"/>
          </w:tcPr>
          <w:p w:rsidR="00414999" w:rsidRPr="0024788E" w:rsidRDefault="00414999" w:rsidP="00F44C41">
            <w:pPr>
              <w:pStyle w:val="cuatexto"/>
              <w:tabs>
                <w:tab w:val="left" w:pos="8647"/>
              </w:tabs>
              <w:jc w:val="right"/>
              <w:rPr>
                <w:lang w:val="es-ES" w:eastAsia="es-ES"/>
              </w:rPr>
            </w:pPr>
            <w:r w:rsidRPr="0024788E">
              <w:rPr>
                <w:lang w:val="es-ES" w:eastAsia="es-ES"/>
              </w:rPr>
              <w:t>638</w:t>
            </w:r>
          </w:p>
        </w:tc>
        <w:tc>
          <w:tcPr>
            <w:tcW w:w="1040" w:type="dxa"/>
            <w:shd w:val="clear" w:color="auto" w:fill="auto"/>
            <w:noWrap/>
            <w:vAlign w:val="center"/>
          </w:tcPr>
          <w:p w:rsidR="00414999" w:rsidRPr="0024788E" w:rsidRDefault="00414999" w:rsidP="00F44C41">
            <w:pPr>
              <w:pStyle w:val="cuatexto"/>
              <w:tabs>
                <w:tab w:val="left" w:pos="8647"/>
              </w:tabs>
              <w:jc w:val="right"/>
              <w:rPr>
                <w:lang w:val="es-ES" w:eastAsia="es-ES"/>
              </w:rPr>
            </w:pPr>
            <w:r w:rsidRPr="0024788E">
              <w:rPr>
                <w:lang w:val="es-ES" w:eastAsia="es-ES"/>
              </w:rPr>
              <w:t>659</w:t>
            </w:r>
          </w:p>
        </w:tc>
      </w:tr>
      <w:tr w:rsidR="00414999" w:rsidRPr="00A36484" w:rsidTr="00C55651">
        <w:trPr>
          <w:trHeight w:val="255"/>
        </w:trPr>
        <w:tc>
          <w:tcPr>
            <w:tcW w:w="2552" w:type="dxa"/>
            <w:tcBorders>
              <w:top w:val="single" w:sz="4" w:space="0" w:color="auto"/>
              <w:bottom w:val="single" w:sz="4" w:space="0" w:color="auto"/>
            </w:tcBorders>
            <w:shd w:val="clear" w:color="auto" w:fill="B8CCE4" w:themeFill="accent1" w:themeFillTint="66"/>
            <w:vAlign w:val="center"/>
          </w:tcPr>
          <w:p w:rsidR="00414999" w:rsidRPr="00A36484" w:rsidRDefault="00414999" w:rsidP="00F44C41">
            <w:pPr>
              <w:pStyle w:val="cuadroCabe"/>
              <w:tabs>
                <w:tab w:val="left" w:pos="8647"/>
              </w:tabs>
              <w:rPr>
                <w:rFonts w:ascii="Arial Narrow" w:hAnsi="Arial Narrow"/>
                <w:lang w:val="es-ES" w:eastAsia="es-ES"/>
              </w:rPr>
            </w:pPr>
            <w:r w:rsidRPr="00A36484">
              <w:rPr>
                <w:rFonts w:ascii="Arial Narrow" w:hAnsi="Arial Narrow"/>
                <w:lang w:val="es-ES" w:eastAsia="es-ES"/>
              </w:rPr>
              <w:t xml:space="preserve"> % PDI contratado laboral </w:t>
            </w:r>
          </w:p>
          <w:p w:rsidR="00414999" w:rsidRPr="00A36484" w:rsidRDefault="00414999" w:rsidP="00F44C41">
            <w:pPr>
              <w:pStyle w:val="cuadroCabe"/>
              <w:tabs>
                <w:tab w:val="left" w:pos="8647"/>
              </w:tabs>
              <w:rPr>
                <w:rFonts w:ascii="Arial Narrow" w:hAnsi="Arial Narrow"/>
                <w:lang w:val="es-ES" w:eastAsia="es-ES"/>
              </w:rPr>
            </w:pPr>
            <w:r w:rsidRPr="00A36484">
              <w:rPr>
                <w:rFonts w:ascii="Arial Narrow" w:hAnsi="Arial Narrow"/>
                <w:lang w:val="es-ES" w:eastAsia="es-ES"/>
              </w:rPr>
              <w:t>temporal s/total PDI (ETC)</w:t>
            </w:r>
          </w:p>
        </w:tc>
        <w:tc>
          <w:tcPr>
            <w:tcW w:w="1039" w:type="dxa"/>
            <w:tcBorders>
              <w:top w:val="single" w:sz="4" w:space="0" w:color="auto"/>
              <w:bottom w:val="single" w:sz="4" w:space="0" w:color="auto"/>
            </w:tcBorders>
            <w:shd w:val="clear" w:color="auto" w:fill="B8CCE4" w:themeFill="accent1" w:themeFillTint="66"/>
            <w:noWrap/>
            <w:vAlign w:val="center"/>
          </w:tcPr>
          <w:p w:rsidR="00414999" w:rsidRPr="00A36484" w:rsidRDefault="00414999" w:rsidP="00F44C41">
            <w:pPr>
              <w:pStyle w:val="cuadroCabe"/>
              <w:tabs>
                <w:tab w:val="left" w:pos="8647"/>
              </w:tabs>
              <w:jc w:val="right"/>
              <w:rPr>
                <w:rFonts w:ascii="Arial Narrow" w:hAnsi="Arial Narrow"/>
                <w:lang w:val="es-ES" w:eastAsia="es-ES"/>
              </w:rPr>
            </w:pPr>
            <w:r w:rsidRPr="00A36484">
              <w:rPr>
                <w:rFonts w:ascii="Arial Narrow" w:hAnsi="Arial Narrow"/>
                <w:lang w:val="es-ES" w:eastAsia="es-ES"/>
              </w:rPr>
              <w:t>31,98</w:t>
            </w:r>
          </w:p>
        </w:tc>
        <w:tc>
          <w:tcPr>
            <w:tcW w:w="1040" w:type="dxa"/>
            <w:tcBorders>
              <w:top w:val="single" w:sz="4" w:space="0" w:color="auto"/>
              <w:bottom w:val="single" w:sz="4" w:space="0" w:color="auto"/>
            </w:tcBorders>
            <w:shd w:val="clear" w:color="auto" w:fill="B8CCE4" w:themeFill="accent1" w:themeFillTint="66"/>
            <w:noWrap/>
            <w:vAlign w:val="center"/>
          </w:tcPr>
          <w:p w:rsidR="00414999" w:rsidRPr="00A36484" w:rsidRDefault="00414999" w:rsidP="00F44C41">
            <w:pPr>
              <w:pStyle w:val="cuadroCabe"/>
              <w:tabs>
                <w:tab w:val="left" w:pos="8647"/>
              </w:tabs>
              <w:jc w:val="right"/>
              <w:rPr>
                <w:rFonts w:ascii="Arial Narrow" w:hAnsi="Arial Narrow"/>
                <w:lang w:val="es-ES" w:eastAsia="es-ES"/>
              </w:rPr>
            </w:pPr>
            <w:r w:rsidRPr="00A36484">
              <w:rPr>
                <w:rFonts w:ascii="Arial Narrow" w:hAnsi="Arial Narrow"/>
                <w:lang w:val="es-ES" w:eastAsia="es-ES"/>
              </w:rPr>
              <w:t>32,45</w:t>
            </w:r>
          </w:p>
        </w:tc>
        <w:tc>
          <w:tcPr>
            <w:tcW w:w="1039" w:type="dxa"/>
            <w:tcBorders>
              <w:top w:val="single" w:sz="4" w:space="0" w:color="auto"/>
              <w:bottom w:val="single" w:sz="4" w:space="0" w:color="auto"/>
            </w:tcBorders>
            <w:shd w:val="clear" w:color="auto" w:fill="B8CCE4" w:themeFill="accent1" w:themeFillTint="66"/>
            <w:noWrap/>
            <w:vAlign w:val="center"/>
          </w:tcPr>
          <w:p w:rsidR="00414999" w:rsidRPr="00A36484" w:rsidRDefault="00414999" w:rsidP="00F44C41">
            <w:pPr>
              <w:pStyle w:val="cuadroCabe"/>
              <w:tabs>
                <w:tab w:val="left" w:pos="8647"/>
              </w:tabs>
              <w:jc w:val="right"/>
              <w:rPr>
                <w:rFonts w:ascii="Arial Narrow" w:hAnsi="Arial Narrow"/>
                <w:lang w:val="es-ES" w:eastAsia="es-ES"/>
              </w:rPr>
            </w:pPr>
            <w:r w:rsidRPr="00A36484">
              <w:rPr>
                <w:rFonts w:ascii="Arial Narrow" w:hAnsi="Arial Narrow"/>
                <w:lang w:val="es-ES" w:eastAsia="es-ES"/>
              </w:rPr>
              <w:t>34,38</w:t>
            </w:r>
          </w:p>
        </w:tc>
        <w:tc>
          <w:tcPr>
            <w:tcW w:w="1040" w:type="dxa"/>
            <w:tcBorders>
              <w:top w:val="single" w:sz="4" w:space="0" w:color="auto"/>
              <w:bottom w:val="single" w:sz="4" w:space="0" w:color="auto"/>
            </w:tcBorders>
            <w:shd w:val="clear" w:color="auto" w:fill="B8CCE4" w:themeFill="accent1" w:themeFillTint="66"/>
            <w:noWrap/>
            <w:vAlign w:val="center"/>
          </w:tcPr>
          <w:p w:rsidR="00414999" w:rsidRPr="00A36484" w:rsidRDefault="00414999" w:rsidP="00F44C41">
            <w:pPr>
              <w:pStyle w:val="cuadroCabe"/>
              <w:tabs>
                <w:tab w:val="left" w:pos="8647"/>
              </w:tabs>
              <w:jc w:val="right"/>
              <w:rPr>
                <w:rFonts w:ascii="Arial Narrow" w:hAnsi="Arial Narrow"/>
                <w:lang w:val="es-ES" w:eastAsia="es-ES"/>
              </w:rPr>
            </w:pPr>
            <w:r w:rsidRPr="00A36484">
              <w:rPr>
                <w:rFonts w:ascii="Arial Narrow" w:hAnsi="Arial Narrow"/>
                <w:lang w:val="es-ES" w:eastAsia="es-ES"/>
              </w:rPr>
              <w:t>36,06</w:t>
            </w:r>
          </w:p>
        </w:tc>
        <w:tc>
          <w:tcPr>
            <w:tcW w:w="1039" w:type="dxa"/>
            <w:tcBorders>
              <w:top w:val="single" w:sz="4" w:space="0" w:color="auto"/>
              <w:bottom w:val="single" w:sz="4" w:space="0" w:color="auto"/>
            </w:tcBorders>
            <w:shd w:val="clear" w:color="auto" w:fill="B8CCE4" w:themeFill="accent1" w:themeFillTint="66"/>
            <w:noWrap/>
            <w:vAlign w:val="center"/>
          </w:tcPr>
          <w:p w:rsidR="00414999" w:rsidRPr="00A36484" w:rsidRDefault="00414999" w:rsidP="00F44C41">
            <w:pPr>
              <w:pStyle w:val="cuadroCabe"/>
              <w:tabs>
                <w:tab w:val="left" w:pos="8647"/>
              </w:tabs>
              <w:jc w:val="right"/>
              <w:rPr>
                <w:rFonts w:ascii="Arial Narrow" w:hAnsi="Arial Narrow"/>
                <w:lang w:val="es-ES" w:eastAsia="es-ES"/>
              </w:rPr>
            </w:pPr>
            <w:r w:rsidRPr="00A36484">
              <w:rPr>
                <w:rFonts w:ascii="Arial Narrow" w:hAnsi="Arial Narrow"/>
                <w:lang w:val="es-ES" w:eastAsia="es-ES"/>
              </w:rPr>
              <w:t>38,92</w:t>
            </w:r>
          </w:p>
        </w:tc>
        <w:tc>
          <w:tcPr>
            <w:tcW w:w="1040" w:type="dxa"/>
            <w:tcBorders>
              <w:top w:val="single" w:sz="4" w:space="0" w:color="auto"/>
              <w:bottom w:val="single" w:sz="4" w:space="0" w:color="auto"/>
            </w:tcBorders>
            <w:shd w:val="clear" w:color="auto" w:fill="B8CCE4" w:themeFill="accent1" w:themeFillTint="66"/>
            <w:noWrap/>
            <w:vAlign w:val="center"/>
          </w:tcPr>
          <w:p w:rsidR="00414999" w:rsidRPr="00A36484" w:rsidRDefault="00414999" w:rsidP="00F44C41">
            <w:pPr>
              <w:pStyle w:val="cuadroCabe"/>
              <w:tabs>
                <w:tab w:val="left" w:pos="8647"/>
              </w:tabs>
              <w:jc w:val="right"/>
              <w:rPr>
                <w:rFonts w:ascii="Arial Narrow" w:hAnsi="Arial Narrow"/>
                <w:lang w:val="es-ES" w:eastAsia="es-ES"/>
              </w:rPr>
            </w:pPr>
            <w:r w:rsidRPr="00A36484">
              <w:rPr>
                <w:rFonts w:ascii="Arial Narrow" w:hAnsi="Arial Narrow"/>
                <w:lang w:val="es-ES" w:eastAsia="es-ES"/>
              </w:rPr>
              <w:t>38,96</w:t>
            </w:r>
          </w:p>
        </w:tc>
      </w:tr>
    </w:tbl>
    <w:p w:rsidR="00414999" w:rsidRDefault="00414999" w:rsidP="00981AF4">
      <w:pPr>
        <w:autoSpaceDE w:val="0"/>
        <w:autoSpaceDN w:val="0"/>
        <w:adjustRightInd w:val="0"/>
        <w:spacing w:before="240"/>
        <w:ind w:firstLine="284"/>
        <w:rPr>
          <w:iCs/>
          <w:sz w:val="26"/>
          <w:szCs w:val="26"/>
        </w:rPr>
      </w:pPr>
      <w:r>
        <w:rPr>
          <w:iCs/>
          <w:sz w:val="26"/>
          <w:szCs w:val="26"/>
        </w:rPr>
        <w:lastRenderedPageBreak/>
        <w:t xml:space="preserve">El porcentaje de PDI contratado laboral temporal sobre el total del personal PDI aumenta en el periodo 2014-2019; con casi un </w:t>
      </w:r>
      <w:r w:rsidR="00807060">
        <w:rPr>
          <w:iCs/>
          <w:sz w:val="26"/>
          <w:szCs w:val="26"/>
        </w:rPr>
        <w:t>58</w:t>
      </w:r>
      <w:r>
        <w:rPr>
          <w:iCs/>
          <w:sz w:val="26"/>
          <w:szCs w:val="26"/>
        </w:rPr>
        <w:t xml:space="preserve"> por ciento en 2019, supera el po</w:t>
      </w:r>
      <w:r>
        <w:rPr>
          <w:iCs/>
          <w:sz w:val="26"/>
          <w:szCs w:val="26"/>
        </w:rPr>
        <w:t>r</w:t>
      </w:r>
      <w:r>
        <w:rPr>
          <w:iCs/>
          <w:sz w:val="26"/>
          <w:szCs w:val="26"/>
        </w:rPr>
        <w:t>centaje del 40 por ciento establecido en la LOU. Sin embargo, el porcentaje de PDI contratado laboral temporal en equivalencia a tiempo completo sobre el total de pe</w:t>
      </w:r>
      <w:r>
        <w:rPr>
          <w:iCs/>
          <w:sz w:val="26"/>
          <w:szCs w:val="26"/>
        </w:rPr>
        <w:t>r</w:t>
      </w:r>
      <w:r>
        <w:rPr>
          <w:iCs/>
          <w:sz w:val="26"/>
          <w:szCs w:val="26"/>
        </w:rPr>
        <w:t xml:space="preserve">sonal PDI en equivalencia a tiempo completo se mantiene ligeramente por debajo del porcentaje límite establecido en la normativa. </w:t>
      </w:r>
    </w:p>
    <w:p w:rsidR="00414999" w:rsidRDefault="00414999" w:rsidP="00981AF4">
      <w:pPr>
        <w:autoSpaceDE w:val="0"/>
        <w:autoSpaceDN w:val="0"/>
        <w:adjustRightInd w:val="0"/>
        <w:spacing w:before="120"/>
        <w:ind w:firstLine="284"/>
        <w:rPr>
          <w:iCs/>
          <w:sz w:val="26"/>
          <w:szCs w:val="26"/>
        </w:rPr>
      </w:pPr>
      <w:r>
        <w:rPr>
          <w:iCs/>
          <w:sz w:val="26"/>
          <w:szCs w:val="26"/>
        </w:rPr>
        <w:t>En consecuencia, sigue vigente para años posteriores la recomendación señalada de cumplir con el porcentaje del PDI contratado sobre total PDI, inferior al 40 por ciento, teniendo en cuenta el aumento del personal laboral contratado desde el 2014.</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981AF4">
        <w:rPr>
          <w:spacing w:val="6"/>
          <w:sz w:val="26"/>
          <w:szCs w:val="26"/>
          <w:lang w:eastAsia="es-ES"/>
        </w:rPr>
        <w:t xml:space="preserve">En los años 2018 y 2019, el porcentaje de PDI doctor sobre el total de PDI supera el 70 por ciento. Las </w:t>
      </w:r>
      <w:r w:rsidR="00741221">
        <w:rPr>
          <w:spacing w:val="6"/>
          <w:sz w:val="26"/>
          <w:szCs w:val="26"/>
          <w:lang w:eastAsia="es-ES"/>
        </w:rPr>
        <w:t>d</w:t>
      </w:r>
      <w:r w:rsidRPr="00981AF4">
        <w:rPr>
          <w:spacing w:val="6"/>
          <w:sz w:val="26"/>
          <w:szCs w:val="26"/>
          <w:lang w:eastAsia="es-ES"/>
        </w:rPr>
        <w:t>irectrices reguladoras del PDI aprobadas el 15 de junio de 2016, en las que se especificaba que el PDI debía situarse entre el 60-70% de la estructura de plantilla de referencia, han sido modificadas por dif</w:t>
      </w:r>
      <w:r w:rsidRPr="00981AF4">
        <w:rPr>
          <w:spacing w:val="6"/>
          <w:sz w:val="26"/>
          <w:szCs w:val="26"/>
          <w:lang w:eastAsia="es-ES"/>
        </w:rPr>
        <w:t>e</w:t>
      </w:r>
      <w:r w:rsidRPr="00981AF4">
        <w:rPr>
          <w:spacing w:val="6"/>
          <w:sz w:val="26"/>
          <w:szCs w:val="26"/>
          <w:lang w:eastAsia="es-ES"/>
        </w:rPr>
        <w:t>rentes Acuerdos del Consejo de Gobierno dejando sin contenido el apartado r</w:t>
      </w:r>
      <w:r w:rsidRPr="00981AF4">
        <w:rPr>
          <w:spacing w:val="6"/>
          <w:sz w:val="26"/>
          <w:szCs w:val="26"/>
          <w:lang w:eastAsia="es-ES"/>
        </w:rPr>
        <w:t>e</w:t>
      </w:r>
      <w:r w:rsidRPr="00981AF4">
        <w:rPr>
          <w:spacing w:val="6"/>
          <w:sz w:val="26"/>
          <w:szCs w:val="26"/>
          <w:lang w:eastAsia="es-ES"/>
        </w:rPr>
        <w:t>ferido al porcentaje de PDI doctor recogido en las directrices.</w:t>
      </w:r>
      <w:r w:rsidR="008E0BD0">
        <w:rPr>
          <w:spacing w:val="6"/>
          <w:sz w:val="26"/>
          <w:szCs w:val="26"/>
          <w:lang w:eastAsia="es-ES"/>
        </w:rPr>
        <w:t xml:space="preserve"> </w:t>
      </w:r>
    </w:p>
    <w:p w:rsidR="00414999" w:rsidRPr="00C12FC0" w:rsidRDefault="00414999" w:rsidP="00981AF4">
      <w:pPr>
        <w:autoSpaceDE w:val="0"/>
        <w:autoSpaceDN w:val="0"/>
        <w:adjustRightInd w:val="0"/>
        <w:spacing w:before="120"/>
        <w:ind w:firstLine="284"/>
        <w:rPr>
          <w:iCs/>
          <w:sz w:val="26"/>
          <w:szCs w:val="26"/>
        </w:rPr>
      </w:pPr>
      <w:r>
        <w:rPr>
          <w:iCs/>
          <w:sz w:val="26"/>
          <w:szCs w:val="26"/>
        </w:rPr>
        <w:t>Por tanto, la recomendación no tiene validez en el marco actual.</w:t>
      </w:r>
    </w:p>
    <w:p w:rsidR="00414999" w:rsidRPr="00A36484" w:rsidRDefault="00414999" w:rsidP="00981AF4">
      <w:pPr>
        <w:autoSpaceDE w:val="0"/>
        <w:autoSpaceDN w:val="0"/>
        <w:adjustRightInd w:val="0"/>
        <w:spacing w:before="240"/>
        <w:ind w:firstLine="284"/>
        <w:rPr>
          <w:iCs/>
          <w:sz w:val="24"/>
          <w:szCs w:val="24"/>
        </w:rPr>
      </w:pPr>
      <w:r w:rsidRPr="00A36484">
        <w:rPr>
          <w:i/>
          <w:iCs/>
          <w:sz w:val="24"/>
          <w:szCs w:val="24"/>
        </w:rPr>
        <w:t>3.ª Completar los expedientes de personal incluyendo todos los actos administrativos dictados en relación con los trabajadores.</w:t>
      </w:r>
      <w:r w:rsidRPr="00A36484">
        <w:rPr>
          <w:iCs/>
          <w:sz w:val="24"/>
          <w:szCs w:val="24"/>
        </w:rPr>
        <w:t xml:space="preserve"> </w:t>
      </w:r>
      <w:r w:rsidRPr="00A36484">
        <w:rPr>
          <w:b/>
          <w:iCs/>
          <w:sz w:val="24"/>
          <w:szCs w:val="24"/>
        </w:rPr>
        <w:t>“Aplicada parcialmente</w:t>
      </w:r>
      <w:r w:rsidRPr="00A36484">
        <w:rPr>
          <w:iCs/>
          <w:sz w:val="24"/>
          <w:szCs w:val="24"/>
        </w:rPr>
        <w:t>”.</w:t>
      </w:r>
    </w:p>
    <w:p w:rsidR="00414999" w:rsidRDefault="00414999" w:rsidP="00981AF4">
      <w:pPr>
        <w:tabs>
          <w:tab w:val="left" w:pos="8647"/>
        </w:tabs>
        <w:autoSpaceDE w:val="0"/>
        <w:autoSpaceDN w:val="0"/>
        <w:adjustRightInd w:val="0"/>
        <w:spacing w:before="120"/>
        <w:ind w:firstLine="284"/>
        <w:rPr>
          <w:iCs/>
          <w:sz w:val="26"/>
          <w:szCs w:val="26"/>
        </w:rPr>
      </w:pPr>
      <w:r>
        <w:rPr>
          <w:iCs/>
          <w:sz w:val="26"/>
          <w:szCs w:val="26"/>
        </w:rPr>
        <w:t>La resolución del gerente reconociendo los servicios prestados en otras admini</w:t>
      </w:r>
      <w:r>
        <w:rPr>
          <w:iCs/>
          <w:sz w:val="26"/>
          <w:szCs w:val="26"/>
        </w:rPr>
        <w:t>s</w:t>
      </w:r>
      <w:r>
        <w:rPr>
          <w:iCs/>
          <w:sz w:val="26"/>
          <w:szCs w:val="26"/>
        </w:rPr>
        <w:t>traciones públicas se incluye en el expediente de personal.</w:t>
      </w:r>
    </w:p>
    <w:p w:rsidR="00414999" w:rsidRDefault="00414999" w:rsidP="00981AF4">
      <w:pPr>
        <w:tabs>
          <w:tab w:val="left" w:pos="8647"/>
        </w:tabs>
        <w:autoSpaceDE w:val="0"/>
        <w:autoSpaceDN w:val="0"/>
        <w:adjustRightInd w:val="0"/>
        <w:spacing w:before="120"/>
        <w:ind w:firstLine="284"/>
        <w:rPr>
          <w:iCs/>
          <w:sz w:val="26"/>
          <w:szCs w:val="26"/>
        </w:rPr>
      </w:pPr>
      <w:r>
        <w:rPr>
          <w:iCs/>
          <w:sz w:val="26"/>
          <w:szCs w:val="26"/>
        </w:rPr>
        <w:t xml:space="preserve">También debe incluirse en el expediente </w:t>
      </w:r>
      <w:r w:rsidR="00DB7601">
        <w:rPr>
          <w:iCs/>
          <w:sz w:val="26"/>
          <w:szCs w:val="26"/>
        </w:rPr>
        <w:t xml:space="preserve">la determinación </w:t>
      </w:r>
      <w:r>
        <w:rPr>
          <w:iCs/>
          <w:sz w:val="26"/>
          <w:szCs w:val="26"/>
        </w:rPr>
        <w:t>de la antigüedad rec</w:t>
      </w:r>
      <w:r>
        <w:rPr>
          <w:iCs/>
          <w:sz w:val="26"/>
          <w:szCs w:val="26"/>
        </w:rPr>
        <w:t>o</w:t>
      </w:r>
      <w:r>
        <w:rPr>
          <w:iCs/>
          <w:sz w:val="26"/>
          <w:szCs w:val="26"/>
        </w:rPr>
        <w:t>nocida al personal contra</w:t>
      </w:r>
      <w:r w:rsidR="00DB7601">
        <w:rPr>
          <w:iCs/>
          <w:sz w:val="26"/>
          <w:szCs w:val="26"/>
        </w:rPr>
        <w:t xml:space="preserve">tado que haya prestado servicios en la UPNA </w:t>
      </w:r>
      <w:r>
        <w:rPr>
          <w:iCs/>
          <w:sz w:val="26"/>
          <w:szCs w:val="26"/>
        </w:rPr>
        <w:t>con anteri</w:t>
      </w:r>
      <w:r>
        <w:rPr>
          <w:iCs/>
          <w:sz w:val="26"/>
          <w:szCs w:val="26"/>
        </w:rPr>
        <w:t>o</w:t>
      </w:r>
      <w:r>
        <w:rPr>
          <w:iCs/>
          <w:sz w:val="26"/>
          <w:szCs w:val="26"/>
        </w:rPr>
        <w:t>res contratos temporales</w:t>
      </w:r>
      <w:r w:rsidR="00DB7601">
        <w:rPr>
          <w:iCs/>
          <w:sz w:val="26"/>
          <w:szCs w:val="26"/>
        </w:rPr>
        <w:t>.</w:t>
      </w:r>
      <w:r>
        <w:rPr>
          <w:iCs/>
          <w:sz w:val="26"/>
          <w:szCs w:val="26"/>
        </w:rPr>
        <w:t xml:space="preserve"> </w:t>
      </w:r>
    </w:p>
    <w:p w:rsidR="00414999" w:rsidRPr="00A36484" w:rsidRDefault="00414999" w:rsidP="00981AF4">
      <w:pPr>
        <w:tabs>
          <w:tab w:val="left" w:pos="8647"/>
        </w:tabs>
        <w:autoSpaceDE w:val="0"/>
        <w:autoSpaceDN w:val="0"/>
        <w:adjustRightInd w:val="0"/>
        <w:spacing w:before="240"/>
        <w:ind w:firstLine="284"/>
        <w:rPr>
          <w:i/>
          <w:iCs/>
          <w:sz w:val="24"/>
          <w:szCs w:val="24"/>
        </w:rPr>
      </w:pPr>
      <w:r w:rsidRPr="00A36484">
        <w:rPr>
          <w:i/>
          <w:iCs/>
          <w:sz w:val="24"/>
          <w:szCs w:val="24"/>
        </w:rPr>
        <w:t xml:space="preserve">4.ª Justificar suficientemente la inexistencia de alternativa o sustituto razonable en los expedientes de contratación por procedimiento negociado sin publicidad que solo puedan ser proporcionados por un operador económico. </w:t>
      </w:r>
      <w:r w:rsidRPr="00A36484">
        <w:rPr>
          <w:b/>
          <w:i/>
          <w:iCs/>
          <w:sz w:val="24"/>
          <w:szCs w:val="24"/>
        </w:rPr>
        <w:t>“</w:t>
      </w:r>
      <w:r w:rsidRPr="00A36484">
        <w:rPr>
          <w:b/>
          <w:iCs/>
          <w:sz w:val="24"/>
          <w:szCs w:val="24"/>
        </w:rPr>
        <w:t>Aplicada”</w:t>
      </w:r>
      <w:r w:rsidR="00F21939" w:rsidRPr="00A36484">
        <w:rPr>
          <w:b/>
          <w:iCs/>
          <w:sz w:val="24"/>
          <w:szCs w:val="24"/>
        </w:rPr>
        <w:t>.</w:t>
      </w:r>
    </w:p>
    <w:p w:rsidR="00414999" w:rsidRDefault="00414999" w:rsidP="00981AF4">
      <w:pPr>
        <w:tabs>
          <w:tab w:val="left" w:pos="8647"/>
        </w:tabs>
        <w:autoSpaceDE w:val="0"/>
        <w:autoSpaceDN w:val="0"/>
        <w:adjustRightInd w:val="0"/>
        <w:ind w:firstLine="284"/>
        <w:rPr>
          <w:iCs/>
          <w:sz w:val="26"/>
          <w:szCs w:val="26"/>
        </w:rPr>
      </w:pPr>
      <w:r>
        <w:rPr>
          <w:iCs/>
          <w:sz w:val="26"/>
          <w:szCs w:val="26"/>
        </w:rPr>
        <w:t>En 2019 se han adjudicado por procedimiento negociado sin publicidad cinco contratos que solo pueden ser proporcionados por un operador económico; analiz</w:t>
      </w:r>
      <w:r>
        <w:rPr>
          <w:iCs/>
          <w:sz w:val="26"/>
          <w:szCs w:val="26"/>
        </w:rPr>
        <w:t>a</w:t>
      </w:r>
      <w:r>
        <w:rPr>
          <w:iCs/>
          <w:sz w:val="26"/>
          <w:szCs w:val="26"/>
        </w:rPr>
        <w:t xml:space="preserve">da la documentación de dichos contratos, </w:t>
      </w:r>
      <w:r w:rsidRPr="005E55D3">
        <w:rPr>
          <w:iCs/>
          <w:sz w:val="26"/>
          <w:szCs w:val="26"/>
        </w:rPr>
        <w:t>consideramos suficientemente</w:t>
      </w:r>
      <w:r>
        <w:rPr>
          <w:iCs/>
          <w:sz w:val="26"/>
          <w:szCs w:val="26"/>
        </w:rPr>
        <w:t xml:space="preserve"> </w:t>
      </w:r>
      <w:r w:rsidR="00BA0C05">
        <w:rPr>
          <w:iCs/>
          <w:sz w:val="26"/>
          <w:szCs w:val="26"/>
        </w:rPr>
        <w:t xml:space="preserve">justificadas </w:t>
      </w:r>
      <w:r>
        <w:rPr>
          <w:iCs/>
          <w:sz w:val="26"/>
          <w:szCs w:val="26"/>
        </w:rPr>
        <w:t>dichas contrataciones.</w:t>
      </w:r>
    </w:p>
    <w:p w:rsidR="00414999" w:rsidRPr="00A36484" w:rsidRDefault="00414999" w:rsidP="00981AF4">
      <w:pPr>
        <w:tabs>
          <w:tab w:val="left" w:pos="8647"/>
        </w:tabs>
        <w:autoSpaceDE w:val="0"/>
        <w:autoSpaceDN w:val="0"/>
        <w:adjustRightInd w:val="0"/>
        <w:spacing w:before="240"/>
        <w:ind w:firstLine="284"/>
        <w:rPr>
          <w:spacing w:val="6"/>
          <w:sz w:val="24"/>
          <w:szCs w:val="24"/>
        </w:rPr>
      </w:pPr>
      <w:r w:rsidRPr="00A36484">
        <w:rPr>
          <w:i/>
          <w:iCs/>
          <w:sz w:val="24"/>
          <w:szCs w:val="24"/>
        </w:rPr>
        <w:t>5.ª Establecer un procedimiento de gestión que garantice un seguimiento adecuado de los contratos de investigación y una ejecución de los mismos conforme a lo previsto en sus presupuestos</w:t>
      </w:r>
      <w:r w:rsidRPr="00A36484">
        <w:rPr>
          <w:b/>
          <w:i/>
          <w:iCs/>
          <w:sz w:val="24"/>
          <w:szCs w:val="24"/>
        </w:rPr>
        <w:t xml:space="preserve">. </w:t>
      </w:r>
      <w:r w:rsidRPr="00A36484">
        <w:rPr>
          <w:b/>
          <w:iCs/>
          <w:sz w:val="24"/>
          <w:szCs w:val="24"/>
        </w:rPr>
        <w:t>“A</w:t>
      </w:r>
      <w:r w:rsidRPr="00A36484">
        <w:rPr>
          <w:b/>
          <w:spacing w:val="6"/>
          <w:sz w:val="24"/>
          <w:szCs w:val="24"/>
        </w:rPr>
        <w:t>plicada parcialmente”</w:t>
      </w:r>
      <w:r w:rsidR="005E55D3" w:rsidRPr="00A36484">
        <w:rPr>
          <w:b/>
          <w:spacing w:val="6"/>
          <w:sz w:val="24"/>
          <w:szCs w:val="24"/>
        </w:rPr>
        <w:t>.</w:t>
      </w:r>
    </w:p>
    <w:p w:rsidR="00414999" w:rsidRDefault="00414999" w:rsidP="00981AF4">
      <w:pPr>
        <w:tabs>
          <w:tab w:val="left" w:pos="8647"/>
        </w:tabs>
        <w:autoSpaceDE w:val="0"/>
        <w:autoSpaceDN w:val="0"/>
        <w:adjustRightInd w:val="0"/>
        <w:ind w:firstLine="284"/>
        <w:rPr>
          <w:spacing w:val="6"/>
          <w:sz w:val="26"/>
          <w:szCs w:val="26"/>
        </w:rPr>
      </w:pPr>
      <w:r>
        <w:rPr>
          <w:spacing w:val="6"/>
          <w:sz w:val="26"/>
          <w:szCs w:val="26"/>
        </w:rPr>
        <w:lastRenderedPageBreak/>
        <w:t xml:space="preserve">En la ejecución de los contratos </w:t>
      </w:r>
      <w:r w:rsidRPr="005E55D3">
        <w:rPr>
          <w:spacing w:val="6"/>
          <w:sz w:val="26"/>
          <w:szCs w:val="26"/>
        </w:rPr>
        <w:t>OTR</w:t>
      </w:r>
      <w:r>
        <w:rPr>
          <w:spacing w:val="6"/>
          <w:sz w:val="26"/>
          <w:szCs w:val="26"/>
        </w:rPr>
        <w:t>I</w:t>
      </w:r>
      <w:r w:rsidR="00BA0C05">
        <w:rPr>
          <w:rStyle w:val="Refdenotaalpie"/>
          <w:spacing w:val="6"/>
          <w:sz w:val="26"/>
          <w:szCs w:val="26"/>
        </w:rPr>
        <w:footnoteReference w:id="3"/>
      </w:r>
      <w:r>
        <w:rPr>
          <w:spacing w:val="6"/>
          <w:sz w:val="26"/>
          <w:szCs w:val="26"/>
        </w:rPr>
        <w:t>, el presupuesto se considera una ref</w:t>
      </w:r>
      <w:r>
        <w:rPr>
          <w:spacing w:val="6"/>
          <w:sz w:val="26"/>
          <w:szCs w:val="26"/>
        </w:rPr>
        <w:t>e</w:t>
      </w:r>
      <w:r>
        <w:rPr>
          <w:spacing w:val="6"/>
          <w:sz w:val="26"/>
          <w:szCs w:val="26"/>
        </w:rPr>
        <w:t>rencia interna para la previsión de gastos y control de la financiación del pr</w:t>
      </w:r>
      <w:r>
        <w:rPr>
          <w:spacing w:val="6"/>
          <w:sz w:val="26"/>
          <w:szCs w:val="26"/>
        </w:rPr>
        <w:t>o</w:t>
      </w:r>
      <w:r>
        <w:rPr>
          <w:spacing w:val="6"/>
          <w:sz w:val="26"/>
          <w:szCs w:val="26"/>
        </w:rPr>
        <w:t xml:space="preserve">yecto. </w:t>
      </w:r>
    </w:p>
    <w:p w:rsidR="00414999" w:rsidRDefault="00414999" w:rsidP="00981AF4">
      <w:pPr>
        <w:tabs>
          <w:tab w:val="left" w:pos="8647"/>
        </w:tabs>
        <w:autoSpaceDE w:val="0"/>
        <w:autoSpaceDN w:val="0"/>
        <w:adjustRightInd w:val="0"/>
        <w:ind w:firstLine="284"/>
        <w:rPr>
          <w:spacing w:val="6"/>
          <w:sz w:val="26"/>
          <w:szCs w:val="26"/>
        </w:rPr>
      </w:pPr>
      <w:r>
        <w:rPr>
          <w:spacing w:val="6"/>
          <w:sz w:val="26"/>
          <w:szCs w:val="26"/>
        </w:rPr>
        <w:t xml:space="preserve">Para establecer un seguimiento adecuado de la ejecución del mismo se está estudiando la posibilidad de </w:t>
      </w:r>
      <w:r w:rsidR="00807060">
        <w:rPr>
          <w:spacing w:val="6"/>
          <w:sz w:val="26"/>
          <w:szCs w:val="26"/>
        </w:rPr>
        <w:t xml:space="preserve">modificar la normativa de la UPNA con objeto de </w:t>
      </w:r>
      <w:r>
        <w:rPr>
          <w:spacing w:val="6"/>
          <w:sz w:val="26"/>
          <w:szCs w:val="26"/>
        </w:rPr>
        <w:t>que antes del alta del contrato</w:t>
      </w:r>
      <w:r w:rsidR="00741221">
        <w:rPr>
          <w:spacing w:val="6"/>
          <w:sz w:val="26"/>
          <w:szCs w:val="26"/>
        </w:rPr>
        <w:t>,</w:t>
      </w:r>
      <w:r>
        <w:rPr>
          <w:spacing w:val="6"/>
          <w:sz w:val="26"/>
          <w:szCs w:val="26"/>
        </w:rPr>
        <w:t xml:space="preserve"> y con fines exclusivamente internos, se dispo</w:t>
      </w:r>
      <w:r>
        <w:rPr>
          <w:spacing w:val="6"/>
          <w:sz w:val="26"/>
          <w:szCs w:val="26"/>
        </w:rPr>
        <w:t>n</w:t>
      </w:r>
      <w:r>
        <w:rPr>
          <w:spacing w:val="6"/>
          <w:sz w:val="26"/>
          <w:szCs w:val="26"/>
        </w:rPr>
        <w:t>ga de un presupuesto desglosado del contrato y, en caso de desviación del pr</w:t>
      </w:r>
      <w:r>
        <w:rPr>
          <w:spacing w:val="6"/>
          <w:sz w:val="26"/>
          <w:szCs w:val="26"/>
        </w:rPr>
        <w:t>e</w:t>
      </w:r>
      <w:r>
        <w:rPr>
          <w:spacing w:val="6"/>
          <w:sz w:val="26"/>
          <w:szCs w:val="26"/>
        </w:rPr>
        <w:t>supuesto superior a un porcentaje todavía a determinar, requerir a los invest</w:t>
      </w:r>
      <w:r>
        <w:rPr>
          <w:spacing w:val="6"/>
          <w:sz w:val="26"/>
          <w:szCs w:val="26"/>
        </w:rPr>
        <w:t>i</w:t>
      </w:r>
      <w:r>
        <w:rPr>
          <w:spacing w:val="6"/>
          <w:sz w:val="26"/>
          <w:szCs w:val="26"/>
        </w:rPr>
        <w:t>gadores un informe justificativo de dicha desviación.</w:t>
      </w:r>
    </w:p>
    <w:p w:rsidR="00414999" w:rsidRPr="003A03A6" w:rsidRDefault="00414999" w:rsidP="00981AF4">
      <w:pPr>
        <w:tabs>
          <w:tab w:val="left" w:pos="8647"/>
        </w:tabs>
        <w:autoSpaceDE w:val="0"/>
        <w:autoSpaceDN w:val="0"/>
        <w:adjustRightInd w:val="0"/>
        <w:spacing w:before="240"/>
        <w:ind w:firstLine="284"/>
        <w:rPr>
          <w:i/>
          <w:iCs/>
          <w:sz w:val="24"/>
          <w:szCs w:val="24"/>
        </w:rPr>
      </w:pPr>
      <w:r w:rsidRPr="003A03A6">
        <w:rPr>
          <w:i/>
          <w:iCs/>
          <w:sz w:val="24"/>
          <w:szCs w:val="24"/>
        </w:rPr>
        <w:t>6.ª Regular adecuadamente la competencia para las autorizaciones de gastos por hon</w:t>
      </w:r>
      <w:r w:rsidRPr="003A03A6">
        <w:rPr>
          <w:i/>
          <w:iCs/>
          <w:sz w:val="24"/>
          <w:szCs w:val="24"/>
        </w:rPr>
        <w:t>o</w:t>
      </w:r>
      <w:r w:rsidRPr="003A03A6">
        <w:rPr>
          <w:i/>
          <w:iCs/>
          <w:sz w:val="24"/>
          <w:szCs w:val="24"/>
        </w:rPr>
        <w:t xml:space="preserve">rarios cuyas cuantías excedan del importe fijado en las bases de ejecución del presupuesto para una unidad funcional de gasto. </w:t>
      </w:r>
      <w:r w:rsidRPr="003A03A6">
        <w:rPr>
          <w:b/>
          <w:i/>
          <w:iCs/>
          <w:sz w:val="24"/>
          <w:szCs w:val="24"/>
        </w:rPr>
        <w:t>“</w:t>
      </w:r>
      <w:r w:rsidRPr="003A03A6">
        <w:rPr>
          <w:b/>
          <w:iCs/>
          <w:sz w:val="24"/>
          <w:szCs w:val="24"/>
        </w:rPr>
        <w:t>Aplicada”</w:t>
      </w:r>
      <w:r w:rsidR="00F21939" w:rsidRPr="003A03A6">
        <w:rPr>
          <w:b/>
          <w:iCs/>
          <w:sz w:val="24"/>
          <w:szCs w:val="24"/>
        </w:rPr>
        <w:t>.</w:t>
      </w:r>
    </w:p>
    <w:p w:rsidR="00414999" w:rsidRPr="008B741C" w:rsidRDefault="00414999" w:rsidP="00981AF4">
      <w:pPr>
        <w:tabs>
          <w:tab w:val="left" w:pos="8647"/>
        </w:tabs>
        <w:autoSpaceDE w:val="0"/>
        <w:autoSpaceDN w:val="0"/>
        <w:adjustRightInd w:val="0"/>
        <w:ind w:firstLine="284"/>
        <w:rPr>
          <w:i/>
          <w:iCs/>
          <w:sz w:val="26"/>
          <w:szCs w:val="26"/>
        </w:rPr>
      </w:pPr>
      <w:r>
        <w:rPr>
          <w:iCs/>
          <w:sz w:val="26"/>
          <w:szCs w:val="26"/>
        </w:rPr>
        <w:t>En el ejercicio 2020 se ha modificado el procedimiento de tramitación y autor</w:t>
      </w:r>
      <w:r>
        <w:rPr>
          <w:iCs/>
          <w:sz w:val="26"/>
          <w:szCs w:val="26"/>
        </w:rPr>
        <w:t>i</w:t>
      </w:r>
      <w:r>
        <w:rPr>
          <w:iCs/>
          <w:sz w:val="26"/>
          <w:szCs w:val="26"/>
        </w:rPr>
        <w:t xml:space="preserve">zación de la propuesta de los honorarios por contratos OTRI </w:t>
      </w:r>
      <w:r w:rsidR="00741221">
        <w:rPr>
          <w:iCs/>
          <w:sz w:val="26"/>
          <w:szCs w:val="26"/>
        </w:rPr>
        <w:t xml:space="preserve">que deben abonarse en </w:t>
      </w:r>
      <w:r>
        <w:rPr>
          <w:iCs/>
          <w:sz w:val="26"/>
          <w:szCs w:val="26"/>
        </w:rPr>
        <w:t xml:space="preserve"> nómina a los investigadores, con la introducción en las bases de ejecución del pr</w:t>
      </w:r>
      <w:r>
        <w:rPr>
          <w:iCs/>
          <w:sz w:val="26"/>
          <w:szCs w:val="26"/>
        </w:rPr>
        <w:t>e</w:t>
      </w:r>
      <w:r>
        <w:rPr>
          <w:iCs/>
          <w:sz w:val="26"/>
          <w:szCs w:val="26"/>
        </w:rPr>
        <w:t>supuesto 2020, artículo 25, punto 1, de la letra d) con el siguiente texto: “</w:t>
      </w:r>
      <w:r w:rsidRPr="008B741C">
        <w:rPr>
          <w:i/>
          <w:iCs/>
          <w:sz w:val="26"/>
          <w:szCs w:val="26"/>
        </w:rPr>
        <w:t>Las retr</w:t>
      </w:r>
      <w:r w:rsidRPr="008B741C">
        <w:rPr>
          <w:i/>
          <w:iCs/>
          <w:sz w:val="26"/>
          <w:szCs w:val="26"/>
        </w:rPr>
        <w:t>i</w:t>
      </w:r>
      <w:r w:rsidRPr="008B741C">
        <w:rPr>
          <w:i/>
          <w:iCs/>
          <w:sz w:val="26"/>
          <w:szCs w:val="26"/>
        </w:rPr>
        <w:t>buciones no periódicas por honorarios correspondientes a contratos firmados al amparo del artículo 83 de la LO</w:t>
      </w:r>
      <w:r>
        <w:rPr>
          <w:i/>
          <w:iCs/>
          <w:sz w:val="26"/>
          <w:szCs w:val="26"/>
        </w:rPr>
        <w:t>U</w:t>
      </w:r>
      <w:r w:rsidRPr="008B741C">
        <w:rPr>
          <w:i/>
          <w:iCs/>
          <w:sz w:val="26"/>
          <w:szCs w:val="26"/>
        </w:rPr>
        <w:t xml:space="preserve"> contarán con el visto bueno del Vicerrector de Investigación previo a su abono”.</w:t>
      </w:r>
    </w:p>
    <w:p w:rsidR="00414999" w:rsidRPr="003A03A6" w:rsidRDefault="00414999" w:rsidP="00981AF4">
      <w:pPr>
        <w:tabs>
          <w:tab w:val="left" w:pos="426"/>
          <w:tab w:val="left" w:pos="8647"/>
        </w:tabs>
        <w:autoSpaceDE w:val="0"/>
        <w:autoSpaceDN w:val="0"/>
        <w:adjustRightInd w:val="0"/>
        <w:spacing w:before="240"/>
        <w:ind w:firstLine="284"/>
        <w:rPr>
          <w:spacing w:val="6"/>
          <w:sz w:val="24"/>
          <w:szCs w:val="24"/>
        </w:rPr>
      </w:pPr>
      <w:r w:rsidRPr="003A03A6">
        <w:rPr>
          <w:i/>
          <w:iCs/>
          <w:sz w:val="24"/>
          <w:szCs w:val="24"/>
        </w:rPr>
        <w:t>7.ª Incluir en la Memoria de las cuentas anuales información sobre los derechos pe</w:t>
      </w:r>
      <w:r w:rsidRPr="003A03A6">
        <w:rPr>
          <w:i/>
          <w:iCs/>
          <w:sz w:val="24"/>
          <w:szCs w:val="24"/>
        </w:rPr>
        <w:t>n</w:t>
      </w:r>
      <w:r w:rsidRPr="003A03A6">
        <w:rPr>
          <w:i/>
          <w:iCs/>
          <w:sz w:val="24"/>
          <w:szCs w:val="24"/>
        </w:rPr>
        <w:t>dientes de cobro por matrículas al cierre del ejercicio</w:t>
      </w:r>
      <w:r w:rsidRPr="003A03A6">
        <w:rPr>
          <w:iCs/>
          <w:sz w:val="24"/>
          <w:szCs w:val="24"/>
        </w:rPr>
        <w:t>.</w:t>
      </w:r>
      <w:r w:rsidRPr="003A03A6">
        <w:rPr>
          <w:spacing w:val="6"/>
          <w:sz w:val="24"/>
          <w:szCs w:val="24"/>
        </w:rPr>
        <w:t xml:space="preserve"> </w:t>
      </w:r>
      <w:r w:rsidRPr="003A03A6">
        <w:rPr>
          <w:b/>
          <w:spacing w:val="6"/>
          <w:sz w:val="24"/>
          <w:szCs w:val="24"/>
        </w:rPr>
        <w:t>“Aplicada”</w:t>
      </w:r>
    </w:p>
    <w:p w:rsidR="00414999" w:rsidRDefault="00414999" w:rsidP="00981AF4">
      <w:pPr>
        <w:tabs>
          <w:tab w:val="left" w:pos="426"/>
          <w:tab w:val="left" w:pos="8647"/>
        </w:tabs>
        <w:autoSpaceDE w:val="0"/>
        <w:autoSpaceDN w:val="0"/>
        <w:adjustRightInd w:val="0"/>
        <w:ind w:firstLine="284"/>
        <w:rPr>
          <w:spacing w:val="6"/>
          <w:sz w:val="26"/>
          <w:szCs w:val="26"/>
        </w:rPr>
      </w:pPr>
      <w:r>
        <w:rPr>
          <w:spacing w:val="6"/>
          <w:sz w:val="26"/>
          <w:szCs w:val="26"/>
        </w:rPr>
        <w:t xml:space="preserve">En </w:t>
      </w:r>
      <w:r w:rsidRPr="00713C00">
        <w:rPr>
          <w:spacing w:val="6"/>
          <w:sz w:val="26"/>
          <w:szCs w:val="26"/>
        </w:rPr>
        <w:t>las cuentas anuales de 2019</w:t>
      </w:r>
      <w:r>
        <w:rPr>
          <w:spacing w:val="6"/>
          <w:sz w:val="26"/>
          <w:szCs w:val="26"/>
        </w:rPr>
        <w:t>, en el epígrafe sobre la liquidación del pres</w:t>
      </w:r>
      <w:r>
        <w:rPr>
          <w:spacing w:val="6"/>
          <w:sz w:val="26"/>
          <w:szCs w:val="26"/>
        </w:rPr>
        <w:t>u</w:t>
      </w:r>
      <w:r>
        <w:rPr>
          <w:spacing w:val="6"/>
          <w:sz w:val="26"/>
          <w:szCs w:val="26"/>
        </w:rPr>
        <w:t xml:space="preserve">puesto de ingresos, se adjunta un cuadro con la información sobre los importes pendientes de cobro, por curso académico, de matrículas de Grado, Máster y Doctorado. </w:t>
      </w:r>
    </w:p>
    <w:p w:rsidR="00414999" w:rsidRPr="003A03A6" w:rsidRDefault="00414999" w:rsidP="00981AF4">
      <w:pPr>
        <w:tabs>
          <w:tab w:val="left" w:pos="8647"/>
        </w:tabs>
        <w:autoSpaceDE w:val="0"/>
        <w:autoSpaceDN w:val="0"/>
        <w:adjustRightInd w:val="0"/>
        <w:spacing w:before="240"/>
        <w:ind w:firstLine="284"/>
        <w:rPr>
          <w:spacing w:val="6"/>
          <w:sz w:val="24"/>
          <w:szCs w:val="24"/>
        </w:rPr>
      </w:pPr>
      <w:r w:rsidRPr="003A03A6">
        <w:rPr>
          <w:i/>
          <w:iCs/>
          <w:sz w:val="24"/>
          <w:szCs w:val="24"/>
        </w:rPr>
        <w:t xml:space="preserve">8.ª Realizar un seguimiento de las exenciones aplicadas en las matrículas al objeto de conocer su importe total por concepto, tipo de matrícula y número de beneficiarios. </w:t>
      </w:r>
      <w:r w:rsidRPr="003A03A6">
        <w:rPr>
          <w:b/>
          <w:iCs/>
          <w:sz w:val="24"/>
          <w:szCs w:val="24"/>
        </w:rPr>
        <w:t>“Su</w:t>
      </w:r>
      <w:r w:rsidRPr="003A03A6">
        <w:rPr>
          <w:b/>
          <w:iCs/>
          <w:sz w:val="24"/>
          <w:szCs w:val="24"/>
        </w:rPr>
        <w:t>s</w:t>
      </w:r>
      <w:r w:rsidRPr="003A03A6">
        <w:rPr>
          <w:b/>
          <w:iCs/>
          <w:sz w:val="24"/>
          <w:szCs w:val="24"/>
        </w:rPr>
        <w:t>tancialmente</w:t>
      </w:r>
      <w:r w:rsidRPr="003A03A6">
        <w:rPr>
          <w:iCs/>
          <w:sz w:val="24"/>
          <w:szCs w:val="24"/>
        </w:rPr>
        <w:t xml:space="preserve"> a</w:t>
      </w:r>
      <w:r w:rsidRPr="003A03A6">
        <w:rPr>
          <w:b/>
          <w:spacing w:val="6"/>
          <w:sz w:val="24"/>
          <w:szCs w:val="24"/>
        </w:rPr>
        <w:t>plicada</w:t>
      </w:r>
      <w:r w:rsidRPr="003A03A6">
        <w:rPr>
          <w:spacing w:val="6"/>
          <w:sz w:val="24"/>
          <w:szCs w:val="24"/>
        </w:rPr>
        <w:t>”</w:t>
      </w:r>
    </w:p>
    <w:p w:rsidR="00414999" w:rsidRDefault="00414999" w:rsidP="00981AF4">
      <w:pPr>
        <w:tabs>
          <w:tab w:val="left" w:pos="8647"/>
        </w:tabs>
        <w:autoSpaceDE w:val="0"/>
        <w:autoSpaceDN w:val="0"/>
        <w:adjustRightInd w:val="0"/>
        <w:ind w:firstLine="284"/>
        <w:rPr>
          <w:spacing w:val="6"/>
          <w:sz w:val="26"/>
          <w:szCs w:val="26"/>
        </w:rPr>
      </w:pPr>
      <w:r>
        <w:rPr>
          <w:spacing w:val="6"/>
          <w:sz w:val="26"/>
          <w:szCs w:val="26"/>
        </w:rPr>
        <w:t xml:space="preserve">Las exenciones y bonificaciones de precios públicos por la prestación de servicios académicos y demás derechos conducentes a la obtención de títulos oficiales, constituyen una reducción de los mismos </w:t>
      </w:r>
      <w:r w:rsidRPr="005E55D3">
        <w:rPr>
          <w:spacing w:val="6"/>
          <w:sz w:val="26"/>
          <w:szCs w:val="26"/>
        </w:rPr>
        <w:t>y no tienen reflejo en los ingresos, ni en su cálculo ni en su contabilización</w:t>
      </w:r>
      <w:r w:rsidR="00741221">
        <w:rPr>
          <w:spacing w:val="6"/>
          <w:sz w:val="26"/>
          <w:szCs w:val="26"/>
        </w:rPr>
        <w:t>, La</w:t>
      </w:r>
      <w:r>
        <w:rPr>
          <w:spacing w:val="6"/>
          <w:sz w:val="26"/>
          <w:szCs w:val="26"/>
        </w:rPr>
        <w:t xml:space="preserve"> excepción </w:t>
      </w:r>
      <w:r w:rsidR="002C63EC">
        <w:rPr>
          <w:spacing w:val="6"/>
          <w:sz w:val="26"/>
          <w:szCs w:val="26"/>
        </w:rPr>
        <w:t>son</w:t>
      </w:r>
      <w:r>
        <w:rPr>
          <w:spacing w:val="6"/>
          <w:sz w:val="26"/>
          <w:szCs w:val="26"/>
        </w:rPr>
        <w:t xml:space="preserve"> las becas ordinarias y </w:t>
      </w:r>
      <w:r w:rsidR="00807060">
        <w:rPr>
          <w:spacing w:val="6"/>
          <w:sz w:val="26"/>
          <w:szCs w:val="26"/>
        </w:rPr>
        <w:t>exenciones</w:t>
      </w:r>
      <w:r>
        <w:rPr>
          <w:spacing w:val="6"/>
          <w:sz w:val="26"/>
          <w:szCs w:val="26"/>
        </w:rPr>
        <w:t xml:space="preserve"> de familias numerosas de carácter general, de las cu</w:t>
      </w:r>
      <w:r>
        <w:rPr>
          <w:spacing w:val="6"/>
          <w:sz w:val="26"/>
          <w:szCs w:val="26"/>
        </w:rPr>
        <w:t>a</w:t>
      </w:r>
      <w:r>
        <w:rPr>
          <w:spacing w:val="6"/>
          <w:sz w:val="26"/>
          <w:szCs w:val="26"/>
        </w:rPr>
        <w:t xml:space="preserve">les la UPNA recibe compensación del </w:t>
      </w:r>
      <w:r w:rsidRPr="00983DC6">
        <w:rPr>
          <w:spacing w:val="6"/>
          <w:sz w:val="26"/>
          <w:szCs w:val="26"/>
        </w:rPr>
        <w:t xml:space="preserve">Gobierno Central </w:t>
      </w:r>
      <w:r>
        <w:rPr>
          <w:spacing w:val="6"/>
          <w:sz w:val="26"/>
          <w:szCs w:val="26"/>
        </w:rPr>
        <w:t xml:space="preserve">a través del Ministerio </w:t>
      </w:r>
      <w:r>
        <w:rPr>
          <w:spacing w:val="6"/>
          <w:sz w:val="26"/>
          <w:szCs w:val="26"/>
        </w:rPr>
        <w:lastRenderedPageBreak/>
        <w:t xml:space="preserve">de Educación y Formación Profesional y </w:t>
      </w:r>
      <w:r w:rsidRPr="00983DC6">
        <w:rPr>
          <w:spacing w:val="6"/>
          <w:sz w:val="26"/>
          <w:szCs w:val="26"/>
        </w:rPr>
        <w:t>del Gobierno de Navarra</w:t>
      </w:r>
      <w:r>
        <w:rPr>
          <w:spacing w:val="6"/>
          <w:sz w:val="26"/>
          <w:szCs w:val="26"/>
        </w:rPr>
        <w:t>, a través del Departamento de Universidad, Innovación y Transformación Digital.</w:t>
      </w:r>
    </w:p>
    <w:p w:rsidR="00414999" w:rsidRDefault="00414999" w:rsidP="00981AF4">
      <w:pPr>
        <w:tabs>
          <w:tab w:val="left" w:pos="8647"/>
        </w:tabs>
        <w:autoSpaceDE w:val="0"/>
        <w:autoSpaceDN w:val="0"/>
        <w:adjustRightInd w:val="0"/>
        <w:ind w:firstLine="284"/>
        <w:rPr>
          <w:iCs/>
          <w:sz w:val="26"/>
          <w:szCs w:val="26"/>
        </w:rPr>
      </w:pPr>
      <w:r>
        <w:rPr>
          <w:iCs/>
          <w:sz w:val="26"/>
          <w:szCs w:val="26"/>
        </w:rPr>
        <w:t>Con respecto a las exenciones y bonificaciones de las que la UPNA no recibe compensación, se registran y gestionan desde el software de gestión académica; a</w:t>
      </w:r>
      <w:r>
        <w:rPr>
          <w:iCs/>
          <w:sz w:val="26"/>
          <w:szCs w:val="26"/>
        </w:rPr>
        <w:t>c</w:t>
      </w:r>
      <w:r>
        <w:rPr>
          <w:iCs/>
          <w:sz w:val="26"/>
          <w:szCs w:val="26"/>
        </w:rPr>
        <w:t>tualmente se trabaja en un informe que pueda suministrar información detallada y que permita tener un conocimiento estadístico de las mismas.</w:t>
      </w:r>
    </w:p>
    <w:p w:rsidR="00414999" w:rsidRPr="00AD1FB4" w:rsidRDefault="00414999" w:rsidP="00981AF4">
      <w:pPr>
        <w:tabs>
          <w:tab w:val="left" w:pos="8647"/>
        </w:tabs>
        <w:autoSpaceDE w:val="0"/>
        <w:autoSpaceDN w:val="0"/>
        <w:adjustRightInd w:val="0"/>
        <w:spacing w:before="240"/>
        <w:ind w:firstLine="284"/>
        <w:rPr>
          <w:iCs/>
          <w:sz w:val="24"/>
          <w:szCs w:val="24"/>
        </w:rPr>
      </w:pPr>
      <w:r w:rsidRPr="003A03A6">
        <w:rPr>
          <w:i/>
          <w:iCs/>
          <w:sz w:val="24"/>
          <w:szCs w:val="24"/>
        </w:rPr>
        <w:t>9.ª Estudiar la posibilidad de convenir con el Departamento de Hacienda del Gobierno de Navarra la gestión de la recaudación de los impagados por vía ejecutiva</w:t>
      </w:r>
      <w:r w:rsidRPr="00AD1FB4">
        <w:rPr>
          <w:iCs/>
          <w:sz w:val="24"/>
          <w:szCs w:val="24"/>
        </w:rPr>
        <w:t xml:space="preserve">. </w:t>
      </w:r>
      <w:r w:rsidRPr="00AD1FB4">
        <w:rPr>
          <w:b/>
          <w:iCs/>
          <w:sz w:val="24"/>
          <w:szCs w:val="24"/>
        </w:rPr>
        <w:t>“Aplicada”</w:t>
      </w:r>
    </w:p>
    <w:p w:rsidR="00414999" w:rsidRPr="008A19F8" w:rsidRDefault="00414999" w:rsidP="00981AF4">
      <w:pPr>
        <w:tabs>
          <w:tab w:val="left" w:pos="8647"/>
        </w:tabs>
        <w:autoSpaceDE w:val="0"/>
        <w:autoSpaceDN w:val="0"/>
        <w:adjustRightInd w:val="0"/>
        <w:ind w:firstLine="284"/>
        <w:rPr>
          <w:iCs/>
          <w:sz w:val="26"/>
          <w:szCs w:val="26"/>
        </w:rPr>
      </w:pPr>
      <w:r>
        <w:rPr>
          <w:iCs/>
          <w:sz w:val="26"/>
          <w:szCs w:val="26"/>
        </w:rPr>
        <w:t>Analizada la vía ejecutiva, ante la dificultad de la medida y a la vista de los anál</w:t>
      </w:r>
      <w:r>
        <w:rPr>
          <w:iCs/>
          <w:sz w:val="26"/>
          <w:szCs w:val="26"/>
        </w:rPr>
        <w:t>i</w:t>
      </w:r>
      <w:r>
        <w:rPr>
          <w:iCs/>
          <w:sz w:val="26"/>
          <w:szCs w:val="26"/>
        </w:rPr>
        <w:t xml:space="preserve">sis de los deudores realizados, la UPNA considera conveniente dejar en suspenso esta </w:t>
      </w:r>
      <w:r w:rsidRPr="005E55D3">
        <w:rPr>
          <w:iCs/>
          <w:sz w:val="26"/>
          <w:szCs w:val="26"/>
        </w:rPr>
        <w:t>recomendación</w:t>
      </w:r>
      <w:r w:rsidR="005E55D3" w:rsidRPr="005E55D3">
        <w:rPr>
          <w:iCs/>
          <w:sz w:val="26"/>
          <w:szCs w:val="26"/>
        </w:rPr>
        <w:t>.</w:t>
      </w:r>
    </w:p>
    <w:p w:rsidR="00414999" w:rsidRPr="003A03A6" w:rsidRDefault="00414999" w:rsidP="00981AF4">
      <w:pPr>
        <w:tabs>
          <w:tab w:val="left" w:pos="8647"/>
        </w:tabs>
        <w:autoSpaceDE w:val="0"/>
        <w:autoSpaceDN w:val="0"/>
        <w:adjustRightInd w:val="0"/>
        <w:spacing w:before="240"/>
        <w:ind w:firstLine="284"/>
        <w:rPr>
          <w:b/>
          <w:iCs/>
          <w:sz w:val="24"/>
          <w:szCs w:val="24"/>
        </w:rPr>
      </w:pPr>
      <w:r w:rsidRPr="003A03A6">
        <w:rPr>
          <w:i/>
          <w:iCs/>
          <w:sz w:val="24"/>
          <w:szCs w:val="24"/>
        </w:rPr>
        <w:t>10.ª Incluir en la Memoria de la Universidad, junto con los estados financieros de la Fundación, el informe de auditoría financiera</w:t>
      </w:r>
      <w:r w:rsidRPr="003A03A6">
        <w:rPr>
          <w:iCs/>
          <w:sz w:val="24"/>
          <w:szCs w:val="24"/>
        </w:rPr>
        <w:t xml:space="preserve">. </w:t>
      </w:r>
      <w:r w:rsidRPr="003A03A6">
        <w:rPr>
          <w:b/>
          <w:iCs/>
          <w:sz w:val="24"/>
          <w:szCs w:val="24"/>
        </w:rPr>
        <w:t>“Aplicada”.</w:t>
      </w:r>
    </w:p>
    <w:p w:rsidR="00414999" w:rsidRPr="008A19F8" w:rsidRDefault="00414999" w:rsidP="00981AF4">
      <w:pPr>
        <w:tabs>
          <w:tab w:val="left" w:pos="8647"/>
        </w:tabs>
        <w:autoSpaceDE w:val="0"/>
        <w:autoSpaceDN w:val="0"/>
        <w:adjustRightInd w:val="0"/>
        <w:ind w:firstLine="284"/>
        <w:rPr>
          <w:iCs/>
          <w:sz w:val="26"/>
          <w:szCs w:val="26"/>
        </w:rPr>
      </w:pPr>
      <w:r>
        <w:rPr>
          <w:iCs/>
          <w:sz w:val="26"/>
          <w:szCs w:val="26"/>
        </w:rPr>
        <w:t>En las cuentas anuales 2018 y 2019, junto con los estados financieros de la Fu</w:t>
      </w:r>
      <w:r>
        <w:rPr>
          <w:iCs/>
          <w:sz w:val="26"/>
          <w:szCs w:val="26"/>
        </w:rPr>
        <w:t>n</w:t>
      </w:r>
      <w:r>
        <w:rPr>
          <w:iCs/>
          <w:sz w:val="26"/>
          <w:szCs w:val="26"/>
        </w:rPr>
        <w:t>dación, se incluye el informe de auditoría financiera.</w:t>
      </w:r>
    </w:p>
    <w:p w:rsidR="00414999" w:rsidRPr="003A03A6" w:rsidRDefault="00414999" w:rsidP="00981AF4">
      <w:pPr>
        <w:tabs>
          <w:tab w:val="left" w:pos="8647"/>
        </w:tabs>
        <w:autoSpaceDE w:val="0"/>
        <w:autoSpaceDN w:val="0"/>
        <w:adjustRightInd w:val="0"/>
        <w:spacing w:before="240"/>
        <w:ind w:firstLine="284"/>
        <w:rPr>
          <w:i/>
          <w:iCs/>
          <w:sz w:val="24"/>
          <w:szCs w:val="24"/>
        </w:rPr>
      </w:pPr>
      <w:r w:rsidRPr="003A03A6">
        <w:rPr>
          <w:i/>
          <w:iCs/>
          <w:sz w:val="24"/>
          <w:szCs w:val="24"/>
        </w:rPr>
        <w:t>11.ª Aprobar las resoluciones de reconocimiento de obligación y pago de las liquid</w:t>
      </w:r>
      <w:r w:rsidRPr="003A03A6">
        <w:rPr>
          <w:i/>
          <w:iCs/>
          <w:sz w:val="24"/>
          <w:szCs w:val="24"/>
        </w:rPr>
        <w:t>a</w:t>
      </w:r>
      <w:r w:rsidRPr="003A03A6">
        <w:rPr>
          <w:i/>
          <w:iCs/>
          <w:sz w:val="24"/>
          <w:szCs w:val="24"/>
        </w:rPr>
        <w:t xml:space="preserve">ciones parciales de la encomienda con la Fundación. </w:t>
      </w:r>
      <w:r w:rsidRPr="003A03A6">
        <w:rPr>
          <w:b/>
          <w:iCs/>
          <w:sz w:val="24"/>
          <w:szCs w:val="24"/>
        </w:rPr>
        <w:t>“No aplicada”.</w:t>
      </w:r>
    </w:p>
    <w:p w:rsidR="00414999" w:rsidRDefault="00BA0C05" w:rsidP="00981AF4">
      <w:pPr>
        <w:tabs>
          <w:tab w:val="left" w:pos="8647"/>
        </w:tabs>
        <w:autoSpaceDE w:val="0"/>
        <w:autoSpaceDN w:val="0"/>
        <w:adjustRightInd w:val="0"/>
        <w:ind w:firstLine="284"/>
        <w:rPr>
          <w:iCs/>
          <w:sz w:val="26"/>
          <w:szCs w:val="26"/>
        </w:rPr>
      </w:pPr>
      <w:r>
        <w:rPr>
          <w:iCs/>
          <w:sz w:val="26"/>
          <w:szCs w:val="26"/>
        </w:rPr>
        <w:t>La</w:t>
      </w:r>
      <w:r w:rsidR="00414999">
        <w:rPr>
          <w:iCs/>
          <w:sz w:val="26"/>
          <w:szCs w:val="26"/>
        </w:rPr>
        <w:t xml:space="preserve"> UPNA considera que no es necesario realizar resoluciones de obligación y pago de </w:t>
      </w:r>
      <w:r w:rsidR="00414999" w:rsidRPr="00F21939">
        <w:rPr>
          <w:iCs/>
          <w:sz w:val="26"/>
          <w:szCs w:val="26"/>
        </w:rPr>
        <w:t xml:space="preserve">las liquidaciones parciales de la encomienda con la </w:t>
      </w:r>
      <w:r w:rsidR="007E7EB9" w:rsidRPr="00F21939">
        <w:rPr>
          <w:iCs/>
          <w:sz w:val="26"/>
          <w:szCs w:val="26"/>
        </w:rPr>
        <w:t>f</w:t>
      </w:r>
      <w:r w:rsidR="00414999" w:rsidRPr="00F21939">
        <w:rPr>
          <w:iCs/>
          <w:sz w:val="26"/>
          <w:szCs w:val="26"/>
        </w:rPr>
        <w:t xml:space="preserve">undación, ya que en la resolución de encargo se recoge </w:t>
      </w:r>
      <w:r w:rsidR="00414999">
        <w:rPr>
          <w:iCs/>
          <w:sz w:val="26"/>
          <w:szCs w:val="26"/>
        </w:rPr>
        <w:t xml:space="preserve">y aprueba el importe, la partida y el concepto de las liquidaciones </w:t>
      </w:r>
      <w:r w:rsidR="005E55D3">
        <w:rPr>
          <w:iCs/>
          <w:sz w:val="26"/>
          <w:szCs w:val="26"/>
        </w:rPr>
        <w:t xml:space="preserve">a </w:t>
      </w:r>
      <w:r w:rsidR="00414999">
        <w:rPr>
          <w:iCs/>
          <w:sz w:val="26"/>
          <w:szCs w:val="26"/>
        </w:rPr>
        <w:t>la Fundación Universidad Sociedad</w:t>
      </w:r>
      <w:r w:rsidR="002C63EC">
        <w:rPr>
          <w:iCs/>
          <w:sz w:val="26"/>
          <w:szCs w:val="26"/>
        </w:rPr>
        <w:t xml:space="preserve">, también </w:t>
      </w:r>
      <w:r w:rsidR="00414999" w:rsidRPr="005E55D3">
        <w:rPr>
          <w:iCs/>
          <w:sz w:val="26"/>
          <w:szCs w:val="26"/>
        </w:rPr>
        <w:t>las liquidaciones</w:t>
      </w:r>
      <w:r w:rsidR="00C06A1C">
        <w:rPr>
          <w:iCs/>
          <w:sz w:val="26"/>
          <w:szCs w:val="26"/>
        </w:rPr>
        <w:t xml:space="preserve"> pa</w:t>
      </w:r>
      <w:r w:rsidR="00C06A1C">
        <w:rPr>
          <w:iCs/>
          <w:sz w:val="26"/>
          <w:szCs w:val="26"/>
        </w:rPr>
        <w:t>r</w:t>
      </w:r>
      <w:r w:rsidR="00C06A1C">
        <w:rPr>
          <w:iCs/>
          <w:sz w:val="26"/>
          <w:szCs w:val="26"/>
        </w:rPr>
        <w:t>ciales</w:t>
      </w:r>
      <w:r w:rsidR="00414999">
        <w:rPr>
          <w:iCs/>
          <w:sz w:val="26"/>
          <w:szCs w:val="26"/>
        </w:rPr>
        <w:t xml:space="preserve"> se presentan para su reconocimiento y pago con la firma de la </w:t>
      </w:r>
      <w:r w:rsidR="002C63EC">
        <w:rPr>
          <w:iCs/>
          <w:sz w:val="26"/>
          <w:szCs w:val="26"/>
        </w:rPr>
        <w:t>v</w:t>
      </w:r>
      <w:r w:rsidR="00414999">
        <w:rPr>
          <w:iCs/>
          <w:sz w:val="26"/>
          <w:szCs w:val="26"/>
        </w:rPr>
        <w:t>icerrectora de Estudiantes, Empleo y Emprendimiento, responsable de la Fundación.</w:t>
      </w:r>
    </w:p>
    <w:p w:rsidR="00414999" w:rsidRPr="003A03A6" w:rsidRDefault="00414999" w:rsidP="00981AF4">
      <w:pPr>
        <w:tabs>
          <w:tab w:val="left" w:pos="8647"/>
        </w:tabs>
        <w:autoSpaceDE w:val="0"/>
        <w:autoSpaceDN w:val="0"/>
        <w:adjustRightInd w:val="0"/>
        <w:spacing w:before="240"/>
        <w:ind w:firstLine="284"/>
        <w:rPr>
          <w:b/>
          <w:iCs/>
          <w:sz w:val="24"/>
          <w:szCs w:val="24"/>
        </w:rPr>
      </w:pPr>
      <w:r w:rsidRPr="003A03A6">
        <w:rPr>
          <w:i/>
          <w:iCs/>
          <w:sz w:val="24"/>
          <w:szCs w:val="24"/>
        </w:rPr>
        <w:t>12.ª Estudiar la conveniencia de cambiar el procedimiento actual de contabilización de los cobros por matrículas de las actividades encomendadas a la Fundación para simplif</w:t>
      </w:r>
      <w:r w:rsidRPr="003A03A6">
        <w:rPr>
          <w:i/>
          <w:iCs/>
          <w:sz w:val="24"/>
          <w:szCs w:val="24"/>
        </w:rPr>
        <w:t>i</w:t>
      </w:r>
      <w:r w:rsidRPr="003A03A6">
        <w:rPr>
          <w:i/>
          <w:iCs/>
          <w:sz w:val="24"/>
          <w:szCs w:val="24"/>
        </w:rPr>
        <w:t>car su gestión.</w:t>
      </w:r>
      <w:r w:rsidRPr="003A03A6">
        <w:rPr>
          <w:b/>
          <w:iCs/>
          <w:sz w:val="24"/>
          <w:szCs w:val="24"/>
        </w:rPr>
        <w:t xml:space="preserve"> “Aplicada”.</w:t>
      </w:r>
    </w:p>
    <w:p w:rsidR="00414999" w:rsidRPr="005D5DE2" w:rsidRDefault="00414999" w:rsidP="00981AF4">
      <w:pPr>
        <w:tabs>
          <w:tab w:val="left" w:pos="8647"/>
        </w:tabs>
        <w:autoSpaceDE w:val="0"/>
        <w:autoSpaceDN w:val="0"/>
        <w:adjustRightInd w:val="0"/>
        <w:ind w:firstLine="284"/>
        <w:rPr>
          <w:iCs/>
          <w:sz w:val="26"/>
          <w:szCs w:val="26"/>
        </w:rPr>
      </w:pPr>
      <w:r w:rsidRPr="005D5DE2">
        <w:rPr>
          <w:iCs/>
          <w:sz w:val="26"/>
          <w:szCs w:val="26"/>
        </w:rPr>
        <w:t>En la memoria de las cuentas anuales 2019 comprobamos que se ha aprobado la Resolución 2077/2019, de 9 de octubre, en cumplimiento de la recomendación ant</w:t>
      </w:r>
      <w:r w:rsidRPr="005D5DE2">
        <w:rPr>
          <w:iCs/>
          <w:sz w:val="26"/>
          <w:szCs w:val="26"/>
        </w:rPr>
        <w:t>e</w:t>
      </w:r>
      <w:r w:rsidRPr="005D5DE2">
        <w:rPr>
          <w:iCs/>
          <w:sz w:val="26"/>
          <w:szCs w:val="26"/>
        </w:rPr>
        <w:t>rior.</w:t>
      </w:r>
    </w:p>
    <w:p w:rsidR="00414999" w:rsidRPr="001A2553" w:rsidRDefault="00414999" w:rsidP="00981AF4">
      <w:pPr>
        <w:tabs>
          <w:tab w:val="left" w:pos="8647"/>
        </w:tabs>
        <w:autoSpaceDE w:val="0"/>
        <w:autoSpaceDN w:val="0"/>
        <w:adjustRightInd w:val="0"/>
        <w:ind w:firstLine="284"/>
        <w:rPr>
          <w:iCs/>
          <w:sz w:val="22"/>
          <w:szCs w:val="22"/>
        </w:rPr>
      </w:pPr>
      <w:r w:rsidRPr="001A2553">
        <w:rPr>
          <w:iCs/>
          <w:sz w:val="22"/>
          <w:szCs w:val="22"/>
        </w:rPr>
        <w:t>A través de la Resolución 2077/2019, de 9 de octubre, del Rector de la Universidad Pública de Navarra, y siguiendo la recomendación de la Cámara de Comptos de estudiar la conveniencia de cambiar el procedimiento de contabilización de los cobros por matrículas de las actividades enca</w:t>
      </w:r>
      <w:r w:rsidRPr="001A2553">
        <w:rPr>
          <w:iCs/>
          <w:sz w:val="22"/>
          <w:szCs w:val="22"/>
        </w:rPr>
        <w:t>r</w:t>
      </w:r>
      <w:r w:rsidRPr="001A2553">
        <w:rPr>
          <w:iCs/>
          <w:sz w:val="22"/>
          <w:szCs w:val="22"/>
        </w:rPr>
        <w:t>gadas a la Fundación para simplificar su gestión, se propuso la modificación de la redacción de los puntos 1.3 a) y b) de la Resolución 2423/2018 quedando de la siguiente manera:</w:t>
      </w:r>
    </w:p>
    <w:p w:rsidR="00414999" w:rsidRPr="00190EEC" w:rsidRDefault="00414999" w:rsidP="00981AF4">
      <w:pPr>
        <w:tabs>
          <w:tab w:val="left" w:pos="8647"/>
        </w:tabs>
        <w:autoSpaceDE w:val="0"/>
        <w:autoSpaceDN w:val="0"/>
        <w:adjustRightInd w:val="0"/>
        <w:ind w:firstLine="284"/>
        <w:rPr>
          <w:iCs/>
          <w:spacing w:val="-4"/>
          <w:sz w:val="22"/>
          <w:szCs w:val="22"/>
        </w:rPr>
      </w:pPr>
      <w:r w:rsidRPr="001A2553">
        <w:rPr>
          <w:iCs/>
          <w:sz w:val="22"/>
          <w:szCs w:val="22"/>
        </w:rPr>
        <w:t xml:space="preserve">“a) </w:t>
      </w:r>
      <w:r w:rsidRPr="00190EEC">
        <w:rPr>
          <w:iCs/>
          <w:spacing w:val="-4"/>
          <w:sz w:val="22"/>
          <w:szCs w:val="22"/>
        </w:rPr>
        <w:t xml:space="preserve">La Fundación asumirá la recaudación material de ingresos de las actividades encargadas. </w:t>
      </w:r>
    </w:p>
    <w:p w:rsidR="00414999" w:rsidRPr="001A2553" w:rsidRDefault="00414999" w:rsidP="00981AF4">
      <w:pPr>
        <w:tabs>
          <w:tab w:val="left" w:pos="8647"/>
        </w:tabs>
        <w:autoSpaceDE w:val="0"/>
        <w:autoSpaceDN w:val="0"/>
        <w:adjustRightInd w:val="0"/>
        <w:ind w:firstLine="284"/>
        <w:rPr>
          <w:iCs/>
          <w:sz w:val="22"/>
          <w:szCs w:val="22"/>
        </w:rPr>
      </w:pPr>
      <w:r w:rsidRPr="001A2553">
        <w:rPr>
          <w:iCs/>
          <w:sz w:val="22"/>
          <w:szCs w:val="22"/>
        </w:rPr>
        <w:t>b) La Fundación presentará facturas y liquidaciones de gasto a Gerencia por:</w:t>
      </w:r>
    </w:p>
    <w:p w:rsidR="00414999" w:rsidRPr="001A2553" w:rsidRDefault="00414999" w:rsidP="00981AF4">
      <w:pPr>
        <w:tabs>
          <w:tab w:val="left" w:pos="8647"/>
        </w:tabs>
        <w:autoSpaceDE w:val="0"/>
        <w:autoSpaceDN w:val="0"/>
        <w:adjustRightInd w:val="0"/>
        <w:ind w:firstLine="284"/>
        <w:rPr>
          <w:iCs/>
          <w:sz w:val="22"/>
          <w:szCs w:val="22"/>
        </w:rPr>
      </w:pPr>
      <w:r w:rsidRPr="001A2553">
        <w:rPr>
          <w:iCs/>
          <w:sz w:val="22"/>
          <w:szCs w:val="22"/>
        </w:rPr>
        <w:t xml:space="preserve"> - El presupuesto según se indica en el punto 3. “Liquidación del Presupuesto 2019”.</w:t>
      </w:r>
    </w:p>
    <w:p w:rsidR="00807060" w:rsidRDefault="00414999" w:rsidP="00981AF4">
      <w:pPr>
        <w:tabs>
          <w:tab w:val="left" w:pos="8647"/>
        </w:tabs>
        <w:autoSpaceDE w:val="0"/>
        <w:autoSpaceDN w:val="0"/>
        <w:adjustRightInd w:val="0"/>
        <w:ind w:firstLine="284"/>
        <w:rPr>
          <w:iCs/>
          <w:sz w:val="22"/>
          <w:szCs w:val="22"/>
        </w:rPr>
      </w:pPr>
      <w:r w:rsidRPr="001A2553">
        <w:rPr>
          <w:iCs/>
          <w:sz w:val="22"/>
          <w:szCs w:val="22"/>
        </w:rPr>
        <w:lastRenderedPageBreak/>
        <w:t xml:space="preserve"> - La devolución de los patrocinios, recibidos por la Universidad, correspondientes a las activ</w:t>
      </w:r>
      <w:r w:rsidRPr="001A2553">
        <w:rPr>
          <w:iCs/>
          <w:sz w:val="22"/>
          <w:szCs w:val="22"/>
        </w:rPr>
        <w:t>i</w:t>
      </w:r>
      <w:r w:rsidRPr="001A2553">
        <w:rPr>
          <w:iCs/>
          <w:sz w:val="22"/>
          <w:szCs w:val="22"/>
        </w:rPr>
        <w:t xml:space="preserve">dades encargadas por la Universidad a la Fundación. </w:t>
      </w:r>
    </w:p>
    <w:p w:rsidR="00414999" w:rsidRPr="001A2553" w:rsidRDefault="00414999" w:rsidP="00981AF4">
      <w:pPr>
        <w:tabs>
          <w:tab w:val="left" w:pos="8647"/>
        </w:tabs>
        <w:autoSpaceDE w:val="0"/>
        <w:autoSpaceDN w:val="0"/>
        <w:adjustRightInd w:val="0"/>
        <w:ind w:firstLine="284"/>
        <w:rPr>
          <w:iCs/>
          <w:sz w:val="22"/>
          <w:szCs w:val="22"/>
        </w:rPr>
      </w:pPr>
      <w:r w:rsidRPr="001A2553">
        <w:rPr>
          <w:iCs/>
          <w:sz w:val="22"/>
          <w:szCs w:val="22"/>
        </w:rPr>
        <w:t>Una vez que en las Cuentas Anuales se presentan unos estados contables consolidados con la Fundación Universidad-Sociedad se entiende que no es necesario que la Fundación haga el ingreso de matrículas a la Universidad de manera que figuren en su Presupuesto teniendo que ser luego d</w:t>
      </w:r>
      <w:r w:rsidRPr="001A2553">
        <w:rPr>
          <w:iCs/>
          <w:sz w:val="22"/>
          <w:szCs w:val="22"/>
        </w:rPr>
        <w:t>e</w:t>
      </w:r>
      <w:r w:rsidRPr="001A2553">
        <w:rPr>
          <w:iCs/>
          <w:sz w:val="22"/>
          <w:szCs w:val="22"/>
        </w:rPr>
        <w:t xml:space="preserve">vueltas a la misma para la gestión de dichas actividades. </w:t>
      </w:r>
    </w:p>
    <w:p w:rsidR="00414999" w:rsidRPr="003A03A6" w:rsidRDefault="00414999" w:rsidP="00F44C41">
      <w:pPr>
        <w:tabs>
          <w:tab w:val="left" w:pos="8647"/>
        </w:tabs>
        <w:autoSpaceDE w:val="0"/>
        <w:autoSpaceDN w:val="0"/>
        <w:adjustRightInd w:val="0"/>
        <w:spacing w:before="240"/>
        <w:ind w:firstLine="425"/>
        <w:rPr>
          <w:i/>
          <w:iCs/>
          <w:sz w:val="24"/>
          <w:szCs w:val="24"/>
        </w:rPr>
      </w:pPr>
      <w:r w:rsidRPr="003A03A6">
        <w:rPr>
          <w:i/>
          <w:iCs/>
          <w:sz w:val="24"/>
          <w:szCs w:val="24"/>
        </w:rPr>
        <w:t>13.ª Publicar los resultados parciales y final de los procesos de selección de personal de la Fundación para una mayor transparencia de los mismos</w:t>
      </w:r>
      <w:r w:rsidRPr="003A03A6">
        <w:rPr>
          <w:b/>
          <w:iCs/>
          <w:sz w:val="24"/>
          <w:szCs w:val="24"/>
        </w:rPr>
        <w:t>. “Aplicada”</w:t>
      </w:r>
      <w:r w:rsidR="004B4657" w:rsidRPr="003A03A6">
        <w:rPr>
          <w:b/>
          <w:iCs/>
          <w:sz w:val="24"/>
          <w:szCs w:val="24"/>
        </w:rPr>
        <w:t>.</w:t>
      </w:r>
    </w:p>
    <w:p w:rsidR="00414999" w:rsidRDefault="00414999" w:rsidP="00F44C41">
      <w:pPr>
        <w:tabs>
          <w:tab w:val="left" w:pos="8647"/>
        </w:tabs>
        <w:rPr>
          <w:iCs/>
          <w:sz w:val="26"/>
          <w:szCs w:val="26"/>
        </w:rPr>
      </w:pPr>
      <w:r w:rsidRPr="00C86C3D">
        <w:rPr>
          <w:iCs/>
          <w:sz w:val="26"/>
          <w:szCs w:val="26"/>
        </w:rPr>
        <w:t xml:space="preserve">Para cumplir con esta recomendación la Fundación </w:t>
      </w:r>
      <w:r>
        <w:rPr>
          <w:iCs/>
          <w:sz w:val="26"/>
          <w:szCs w:val="26"/>
        </w:rPr>
        <w:t>introdujo los siguientes cambios en su</w:t>
      </w:r>
      <w:r w:rsidRPr="00C86C3D">
        <w:rPr>
          <w:iCs/>
          <w:sz w:val="26"/>
          <w:szCs w:val="26"/>
        </w:rPr>
        <w:t xml:space="preserve"> procedimiento </w:t>
      </w:r>
      <w:r>
        <w:rPr>
          <w:iCs/>
          <w:sz w:val="26"/>
          <w:szCs w:val="26"/>
        </w:rPr>
        <w:t>de</w:t>
      </w:r>
      <w:r w:rsidRPr="00C86C3D">
        <w:rPr>
          <w:iCs/>
          <w:sz w:val="26"/>
          <w:szCs w:val="26"/>
        </w:rPr>
        <w:t xml:space="preserve"> selecci</w:t>
      </w:r>
      <w:r>
        <w:rPr>
          <w:iCs/>
          <w:sz w:val="26"/>
          <w:szCs w:val="26"/>
        </w:rPr>
        <w:t xml:space="preserve">ón de personal: </w:t>
      </w:r>
      <w:r w:rsidRPr="00C86C3D">
        <w:rPr>
          <w:iCs/>
          <w:sz w:val="26"/>
          <w:szCs w:val="26"/>
        </w:rPr>
        <w:t xml:space="preserve"> </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981AF4">
        <w:rPr>
          <w:spacing w:val="6"/>
          <w:sz w:val="26"/>
          <w:szCs w:val="26"/>
          <w:lang w:eastAsia="es-ES"/>
        </w:rPr>
        <w:t>Publicación del perfil requerido y del proceso de selección, incluyendo cr</w:t>
      </w:r>
      <w:r w:rsidRPr="00981AF4">
        <w:rPr>
          <w:spacing w:val="6"/>
          <w:sz w:val="26"/>
          <w:szCs w:val="26"/>
          <w:lang w:eastAsia="es-ES"/>
        </w:rPr>
        <w:t>o</w:t>
      </w:r>
      <w:r w:rsidRPr="00981AF4">
        <w:rPr>
          <w:spacing w:val="6"/>
          <w:sz w:val="26"/>
          <w:szCs w:val="26"/>
          <w:lang w:eastAsia="es-ES"/>
        </w:rPr>
        <w:t>nograma del mismo.</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981AF4">
        <w:rPr>
          <w:spacing w:val="6"/>
          <w:sz w:val="26"/>
          <w:szCs w:val="26"/>
          <w:lang w:eastAsia="es-ES"/>
        </w:rPr>
        <w:t>Publicación en la página web de la Fundación del listado de todos los ca</w:t>
      </w:r>
      <w:r w:rsidRPr="00981AF4">
        <w:rPr>
          <w:spacing w:val="6"/>
          <w:sz w:val="26"/>
          <w:szCs w:val="26"/>
          <w:lang w:eastAsia="es-ES"/>
        </w:rPr>
        <w:t>n</w:t>
      </w:r>
      <w:r w:rsidRPr="00981AF4">
        <w:rPr>
          <w:spacing w:val="6"/>
          <w:sz w:val="26"/>
          <w:szCs w:val="26"/>
          <w:lang w:eastAsia="es-ES"/>
        </w:rPr>
        <w:t>didatos/as inscritos en la oferta de trabajo (nombre y dos apellidos) junto con la valoración numérica de su curriculum.</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981AF4">
        <w:rPr>
          <w:spacing w:val="6"/>
          <w:sz w:val="26"/>
          <w:szCs w:val="26"/>
          <w:lang w:eastAsia="es-ES"/>
        </w:rPr>
        <w:t>Publicación, en su caso, de la nota del examen de competencia técnica y del examen corregido.</w:t>
      </w:r>
    </w:p>
    <w:p w:rsidR="00414999" w:rsidRPr="00981AF4" w:rsidRDefault="00414999" w:rsidP="00981AF4">
      <w:pPr>
        <w:pStyle w:val="Prrafodelista"/>
        <w:numPr>
          <w:ilvl w:val="0"/>
          <w:numId w:val="17"/>
        </w:numPr>
        <w:tabs>
          <w:tab w:val="left" w:pos="426"/>
          <w:tab w:val="left" w:pos="567"/>
        </w:tabs>
        <w:spacing w:after="100"/>
        <w:ind w:left="0" w:firstLine="284"/>
        <w:contextualSpacing w:val="0"/>
        <w:rPr>
          <w:spacing w:val="6"/>
          <w:sz w:val="26"/>
          <w:szCs w:val="26"/>
          <w:lang w:eastAsia="es-ES"/>
        </w:rPr>
      </w:pPr>
      <w:r w:rsidRPr="00981AF4">
        <w:rPr>
          <w:spacing w:val="6"/>
          <w:sz w:val="26"/>
          <w:szCs w:val="26"/>
          <w:lang w:eastAsia="es-ES"/>
        </w:rPr>
        <w:t>Publicación en la página web de la Fundación de la baremación de las e</w:t>
      </w:r>
      <w:r w:rsidRPr="00981AF4">
        <w:rPr>
          <w:spacing w:val="6"/>
          <w:sz w:val="26"/>
          <w:szCs w:val="26"/>
          <w:lang w:eastAsia="es-ES"/>
        </w:rPr>
        <w:t>n</w:t>
      </w:r>
      <w:r w:rsidRPr="00981AF4">
        <w:rPr>
          <w:spacing w:val="6"/>
          <w:sz w:val="26"/>
          <w:szCs w:val="26"/>
          <w:lang w:eastAsia="es-ES"/>
        </w:rPr>
        <w:t>trevistas personales realizadas y baremación final de los candidatos/as.</w:t>
      </w:r>
    </w:p>
    <w:p w:rsidR="00F864E9" w:rsidRPr="00F864E9" w:rsidRDefault="00F864E9" w:rsidP="00F864E9">
      <w:pPr>
        <w:tabs>
          <w:tab w:val="left" w:pos="8647"/>
        </w:tabs>
        <w:autoSpaceDE w:val="0"/>
        <w:autoSpaceDN w:val="0"/>
        <w:adjustRightInd w:val="0"/>
        <w:ind w:firstLine="425"/>
        <w:rPr>
          <w:iCs/>
          <w:sz w:val="26"/>
          <w:szCs w:val="26"/>
        </w:rPr>
      </w:pPr>
      <w:r w:rsidRPr="00F864E9">
        <w:rPr>
          <w:iCs/>
          <w:sz w:val="26"/>
          <w:szCs w:val="26"/>
        </w:rPr>
        <w:t>Informe que se emite a propuesta de la auditora Mª Carmen Azcona Diez de U</w:t>
      </w:r>
      <w:r w:rsidRPr="00F864E9">
        <w:rPr>
          <w:iCs/>
          <w:sz w:val="26"/>
          <w:szCs w:val="26"/>
        </w:rPr>
        <w:t>l</w:t>
      </w:r>
      <w:r w:rsidRPr="00F864E9">
        <w:rPr>
          <w:iCs/>
          <w:sz w:val="26"/>
          <w:szCs w:val="26"/>
        </w:rPr>
        <w:t>zurrun, responsable de la realización de este trabajo, una vez cumplimentados los trámites previstos por la normativa vigente.</w:t>
      </w:r>
    </w:p>
    <w:p w:rsidR="00F864E9" w:rsidRPr="00F864E9" w:rsidRDefault="00F864E9" w:rsidP="00F864E9">
      <w:pPr>
        <w:tabs>
          <w:tab w:val="left" w:pos="8647"/>
        </w:tabs>
        <w:autoSpaceDE w:val="0"/>
        <w:autoSpaceDN w:val="0"/>
        <w:adjustRightInd w:val="0"/>
        <w:ind w:firstLine="425"/>
        <w:jc w:val="center"/>
        <w:rPr>
          <w:iCs/>
          <w:sz w:val="26"/>
          <w:szCs w:val="26"/>
        </w:rPr>
      </w:pPr>
      <w:r w:rsidRPr="00F864E9">
        <w:rPr>
          <w:iCs/>
          <w:sz w:val="26"/>
          <w:szCs w:val="26"/>
        </w:rPr>
        <w:t xml:space="preserve">Pamplona, </w:t>
      </w:r>
      <w:r w:rsidR="008E0BD0">
        <w:rPr>
          <w:iCs/>
          <w:sz w:val="26"/>
          <w:szCs w:val="26"/>
        </w:rPr>
        <w:t>14</w:t>
      </w:r>
      <w:r w:rsidRPr="00F864E9">
        <w:rPr>
          <w:iCs/>
          <w:sz w:val="26"/>
          <w:szCs w:val="26"/>
        </w:rPr>
        <w:t xml:space="preserve"> de </w:t>
      </w:r>
      <w:r>
        <w:rPr>
          <w:iCs/>
          <w:sz w:val="26"/>
          <w:szCs w:val="26"/>
        </w:rPr>
        <w:t>diciembre</w:t>
      </w:r>
      <w:r w:rsidRPr="00F864E9">
        <w:rPr>
          <w:iCs/>
          <w:sz w:val="26"/>
          <w:szCs w:val="26"/>
        </w:rPr>
        <w:t xml:space="preserve"> de 2020</w:t>
      </w:r>
    </w:p>
    <w:p w:rsidR="00F864E9" w:rsidRPr="00F864E9" w:rsidRDefault="00F864E9" w:rsidP="00F864E9">
      <w:pPr>
        <w:tabs>
          <w:tab w:val="left" w:pos="8647"/>
        </w:tabs>
        <w:autoSpaceDE w:val="0"/>
        <w:autoSpaceDN w:val="0"/>
        <w:adjustRightInd w:val="0"/>
        <w:ind w:firstLine="425"/>
        <w:jc w:val="center"/>
        <w:rPr>
          <w:iCs/>
          <w:sz w:val="26"/>
          <w:szCs w:val="26"/>
        </w:rPr>
      </w:pPr>
      <w:r w:rsidRPr="00F864E9">
        <w:rPr>
          <w:iCs/>
          <w:sz w:val="26"/>
          <w:szCs w:val="26"/>
        </w:rPr>
        <w:t>La presidenta,</w:t>
      </w:r>
    </w:p>
    <w:p w:rsidR="00F864E9" w:rsidRPr="00F864E9" w:rsidRDefault="00F864E9" w:rsidP="00F864E9">
      <w:pPr>
        <w:tabs>
          <w:tab w:val="left" w:pos="8647"/>
        </w:tabs>
        <w:autoSpaceDE w:val="0"/>
        <w:autoSpaceDN w:val="0"/>
        <w:adjustRightInd w:val="0"/>
        <w:ind w:firstLine="425"/>
        <w:jc w:val="center"/>
        <w:rPr>
          <w:iCs/>
          <w:sz w:val="26"/>
          <w:szCs w:val="26"/>
        </w:rPr>
      </w:pPr>
      <w:r w:rsidRPr="00F864E9">
        <w:rPr>
          <w:iCs/>
          <w:sz w:val="26"/>
          <w:szCs w:val="26"/>
        </w:rPr>
        <w:t>Asunción Olaechea Estanga</w:t>
      </w:r>
    </w:p>
    <w:p w:rsidR="00414999" w:rsidRPr="00F864E9" w:rsidRDefault="00414999" w:rsidP="00F864E9">
      <w:pPr>
        <w:tabs>
          <w:tab w:val="left" w:pos="8647"/>
        </w:tabs>
        <w:autoSpaceDE w:val="0"/>
        <w:autoSpaceDN w:val="0"/>
        <w:adjustRightInd w:val="0"/>
        <w:ind w:firstLine="425"/>
        <w:rPr>
          <w:iCs/>
          <w:sz w:val="26"/>
          <w:szCs w:val="26"/>
        </w:rPr>
      </w:pPr>
      <w:r w:rsidRPr="00F864E9">
        <w:rPr>
          <w:iCs/>
          <w:sz w:val="26"/>
          <w:szCs w:val="26"/>
        </w:rPr>
        <w:br w:type="page"/>
      </w:r>
    </w:p>
    <w:p w:rsidR="00414999" w:rsidRPr="00631CEA" w:rsidRDefault="00414999" w:rsidP="00F44C41">
      <w:pPr>
        <w:pStyle w:val="texto"/>
        <w:tabs>
          <w:tab w:val="left" w:pos="8647"/>
        </w:tabs>
        <w:jc w:val="center"/>
      </w:pPr>
    </w:p>
    <w:p w:rsidR="00414999" w:rsidRPr="00631CEA" w:rsidRDefault="00414999" w:rsidP="00F44C41">
      <w:pPr>
        <w:pStyle w:val="texto"/>
        <w:tabs>
          <w:tab w:val="left" w:pos="8647"/>
        </w:tabs>
        <w:jc w:val="center"/>
      </w:pPr>
    </w:p>
    <w:p w:rsidR="00414999" w:rsidRPr="00631CEA" w:rsidRDefault="00414999" w:rsidP="00F44C41">
      <w:pPr>
        <w:pStyle w:val="texto"/>
        <w:tabs>
          <w:tab w:val="left" w:pos="8647"/>
        </w:tabs>
        <w:jc w:val="center"/>
      </w:pPr>
    </w:p>
    <w:p w:rsidR="00414999" w:rsidRPr="00631CEA" w:rsidRDefault="00414999" w:rsidP="00F44C41">
      <w:pPr>
        <w:pStyle w:val="texto"/>
        <w:tabs>
          <w:tab w:val="left" w:pos="8647"/>
        </w:tabs>
        <w:jc w:val="center"/>
      </w:pPr>
    </w:p>
    <w:p w:rsidR="00414999" w:rsidRPr="00631CEA" w:rsidRDefault="00414999" w:rsidP="00F44C41">
      <w:pPr>
        <w:pStyle w:val="texto"/>
        <w:tabs>
          <w:tab w:val="left" w:pos="8647"/>
        </w:tabs>
        <w:jc w:val="center"/>
      </w:pPr>
    </w:p>
    <w:p w:rsidR="00414999" w:rsidRPr="00631CEA" w:rsidRDefault="00414999" w:rsidP="00F44C41">
      <w:pPr>
        <w:pStyle w:val="texto"/>
        <w:tabs>
          <w:tab w:val="left" w:pos="8647"/>
        </w:tabs>
        <w:jc w:val="center"/>
      </w:pPr>
    </w:p>
    <w:p w:rsidR="00414999" w:rsidRPr="00631CEA" w:rsidRDefault="00414999" w:rsidP="00F44C41">
      <w:pPr>
        <w:pStyle w:val="texto"/>
        <w:tabs>
          <w:tab w:val="left" w:pos="8647"/>
        </w:tabs>
        <w:jc w:val="center"/>
      </w:pPr>
    </w:p>
    <w:p w:rsidR="00414999" w:rsidRDefault="00414999" w:rsidP="00F44C41">
      <w:pPr>
        <w:pStyle w:val="atitulo1"/>
        <w:tabs>
          <w:tab w:val="left" w:pos="8505"/>
          <w:tab w:val="left" w:pos="8647"/>
          <w:tab w:val="left" w:pos="9072"/>
        </w:tabs>
        <w:jc w:val="right"/>
        <w:rPr>
          <w:rFonts w:ascii="Times New Roman" w:eastAsiaTheme="majorEastAsia" w:hAnsi="Times New Roman"/>
          <w:color w:val="auto"/>
          <w:spacing w:val="6"/>
          <w:sz w:val="52"/>
          <w:szCs w:val="52"/>
          <w:lang w:eastAsia="es-ES"/>
        </w:rPr>
      </w:pPr>
      <w:bookmarkStart w:id="23" w:name="_Toc47592748"/>
      <w:bookmarkStart w:id="24" w:name="_Toc47614735"/>
      <w:bookmarkStart w:id="25" w:name="_Toc56752469"/>
      <w:bookmarkStart w:id="26" w:name="_Toc57285460"/>
      <w:r w:rsidRPr="00631CEA">
        <w:rPr>
          <w:rFonts w:ascii="Times New Roman" w:eastAsiaTheme="majorEastAsia" w:hAnsi="Times New Roman"/>
          <w:color w:val="auto"/>
          <w:spacing w:val="6"/>
          <w:sz w:val="52"/>
          <w:szCs w:val="52"/>
          <w:lang w:eastAsia="es-ES"/>
        </w:rPr>
        <w:t>ANEXOS</w:t>
      </w:r>
      <w:bookmarkEnd w:id="23"/>
      <w:bookmarkEnd w:id="24"/>
      <w:bookmarkEnd w:id="25"/>
      <w:bookmarkEnd w:id="26"/>
    </w:p>
    <w:p w:rsidR="003F68F6" w:rsidRPr="00631CEA" w:rsidRDefault="003F68F6" w:rsidP="00F44C41">
      <w:pPr>
        <w:pStyle w:val="atitulo1"/>
        <w:tabs>
          <w:tab w:val="left" w:pos="8505"/>
          <w:tab w:val="left" w:pos="8647"/>
          <w:tab w:val="left" w:pos="9072"/>
        </w:tabs>
        <w:jc w:val="center"/>
        <w:rPr>
          <w:rFonts w:ascii="Times New Roman" w:eastAsiaTheme="majorEastAsia" w:hAnsi="Times New Roman"/>
          <w:color w:val="auto"/>
          <w:spacing w:val="6"/>
          <w:sz w:val="52"/>
          <w:szCs w:val="52"/>
          <w:lang w:eastAsia="es-ES"/>
        </w:rPr>
      </w:pPr>
    </w:p>
    <w:p w:rsidR="003F68F6" w:rsidRDefault="003F68F6" w:rsidP="00F44C41">
      <w:pPr>
        <w:pStyle w:val="texto"/>
        <w:tabs>
          <w:tab w:val="left" w:pos="8647"/>
        </w:tabs>
        <w:jc w:val="left"/>
        <w:sectPr w:rsidR="003F68F6" w:rsidSect="00F44C41">
          <w:headerReference w:type="even" r:id="rId15"/>
          <w:footerReference w:type="default" r:id="rId16"/>
          <w:type w:val="nextColumn"/>
          <w:pgSz w:w="11907" w:h="16840" w:code="9"/>
          <w:pgMar w:top="2109" w:right="1559" w:bottom="1644" w:left="1559" w:header="369" w:footer="136" w:gutter="0"/>
          <w:pgNumType w:start="3"/>
          <w:cols w:space="720"/>
          <w:docGrid w:linePitch="360"/>
        </w:sectPr>
      </w:pPr>
    </w:p>
    <w:p w:rsidR="00587135" w:rsidRPr="00950CCA" w:rsidRDefault="00587135" w:rsidP="00587135">
      <w:pPr>
        <w:pStyle w:val="atitulo1"/>
        <w:tabs>
          <w:tab w:val="left" w:pos="8647"/>
        </w:tabs>
        <w:spacing w:after="120"/>
        <w:ind w:right="284"/>
        <w:rPr>
          <w:b w:val="0"/>
        </w:rPr>
      </w:pPr>
      <w:bookmarkStart w:id="27" w:name="_Toc57285461"/>
      <w:bookmarkStart w:id="28" w:name="_Toc56752470"/>
      <w:r w:rsidRPr="00950CCA">
        <w:rPr>
          <w:b w:val="0"/>
        </w:rPr>
        <w:lastRenderedPageBreak/>
        <w:t xml:space="preserve">Anexo </w:t>
      </w:r>
      <w:r>
        <w:rPr>
          <w:b w:val="0"/>
        </w:rPr>
        <w:t>1</w:t>
      </w:r>
      <w:r w:rsidRPr="00950CCA">
        <w:rPr>
          <w:b w:val="0"/>
        </w:rPr>
        <w:t>.- Evolución de los precios públicos por prestación de servicios académicos 2012-2018</w:t>
      </w:r>
      <w:bookmarkEnd w:id="27"/>
    </w:p>
    <w:p w:rsidR="00587135" w:rsidRDefault="00587135" w:rsidP="00587135">
      <w:pPr>
        <w:pStyle w:val="texto"/>
        <w:spacing w:after="0"/>
      </w:pPr>
    </w:p>
    <w:tbl>
      <w:tblPr>
        <w:tblW w:w="14927" w:type="dxa"/>
        <w:tblInd w:w="-714" w:type="dxa"/>
        <w:tblBorders>
          <w:insideH w:val="single" w:sz="4" w:space="0" w:color="auto"/>
        </w:tblBorders>
        <w:tblCellMar>
          <w:left w:w="70" w:type="dxa"/>
          <w:right w:w="70" w:type="dxa"/>
        </w:tblCellMar>
        <w:tblLook w:val="04A0" w:firstRow="1" w:lastRow="0" w:firstColumn="1" w:lastColumn="0" w:noHBand="0" w:noVBand="1"/>
      </w:tblPr>
      <w:tblGrid>
        <w:gridCol w:w="1140"/>
        <w:gridCol w:w="852"/>
        <w:gridCol w:w="856"/>
        <w:gridCol w:w="847"/>
        <w:gridCol w:w="850"/>
        <w:gridCol w:w="818"/>
        <w:gridCol w:w="883"/>
        <w:gridCol w:w="876"/>
        <w:gridCol w:w="850"/>
        <w:gridCol w:w="882"/>
        <w:gridCol w:w="851"/>
        <w:gridCol w:w="828"/>
        <w:gridCol w:w="957"/>
        <w:gridCol w:w="6"/>
        <w:gridCol w:w="880"/>
        <w:gridCol w:w="817"/>
        <w:gridCol w:w="7"/>
        <w:gridCol w:w="877"/>
        <w:gridCol w:w="850"/>
      </w:tblGrid>
      <w:tr w:rsidR="00587135" w:rsidRPr="00006F11" w:rsidTr="002C31A2">
        <w:trPr>
          <w:trHeight w:val="454"/>
        </w:trPr>
        <w:tc>
          <w:tcPr>
            <w:tcW w:w="1140" w:type="dxa"/>
            <w:tcBorders>
              <w:top w:val="single" w:sz="4" w:space="0" w:color="auto"/>
              <w:bottom w:val="single" w:sz="4" w:space="0" w:color="auto"/>
            </w:tcBorders>
            <w:shd w:val="clear" w:color="000000" w:fill="BDD7EE"/>
            <w:vAlign w:val="center"/>
            <w:hideMark/>
          </w:tcPr>
          <w:p w:rsidR="00587135" w:rsidRPr="00006F11" w:rsidRDefault="00587135" w:rsidP="002C31A2">
            <w:pPr>
              <w:spacing w:after="0"/>
              <w:ind w:firstLine="0"/>
              <w:jc w:val="lef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 </w:t>
            </w:r>
          </w:p>
        </w:tc>
        <w:tc>
          <w:tcPr>
            <w:tcW w:w="1708" w:type="dxa"/>
            <w:gridSpan w:val="2"/>
            <w:tcBorders>
              <w:top w:val="single" w:sz="4" w:space="0" w:color="auto"/>
              <w:bottom w:val="single" w:sz="4" w:space="0" w:color="auto"/>
            </w:tcBorders>
            <w:shd w:val="clear" w:color="000000" w:fill="BDD7EE"/>
            <w:noWrap/>
            <w:vAlign w:val="center"/>
            <w:hideMark/>
          </w:tcPr>
          <w:p w:rsidR="00587135" w:rsidRPr="00006F11" w:rsidRDefault="00587135" w:rsidP="002C31A2">
            <w:pPr>
              <w:spacing w:after="0"/>
              <w:ind w:firstLine="0"/>
              <w:jc w:val="center"/>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curso 2012/2013</w:t>
            </w:r>
          </w:p>
        </w:tc>
        <w:tc>
          <w:tcPr>
            <w:tcW w:w="1697" w:type="dxa"/>
            <w:gridSpan w:val="2"/>
            <w:tcBorders>
              <w:top w:val="single" w:sz="4" w:space="0" w:color="auto"/>
              <w:bottom w:val="single" w:sz="4" w:space="0" w:color="auto"/>
              <w:right w:val="nil"/>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cursos 2013/2014 a 2016/2017</w:t>
            </w:r>
          </w:p>
        </w:tc>
        <w:tc>
          <w:tcPr>
            <w:tcW w:w="1701" w:type="dxa"/>
            <w:gridSpan w:val="2"/>
            <w:tcBorders>
              <w:top w:val="single" w:sz="4" w:space="0" w:color="auto"/>
              <w:left w:val="nil"/>
              <w:bottom w:val="single" w:sz="4" w:space="0" w:color="auto"/>
              <w:righ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 Var. c</w:t>
            </w:r>
            <w:r w:rsidRPr="00006F11">
              <w:rPr>
                <w:rFonts w:ascii="Arial Narrow" w:hAnsi="Arial Narrow" w:cs="Calibri"/>
                <w:color w:val="000000"/>
                <w:sz w:val="18"/>
                <w:szCs w:val="18"/>
                <w:lang w:val="es-ES" w:eastAsia="es-ES"/>
              </w:rPr>
              <w:t>urso 2016/2017-2012/2013</w:t>
            </w:r>
          </w:p>
        </w:tc>
        <w:tc>
          <w:tcPr>
            <w:tcW w:w="1726" w:type="dxa"/>
            <w:gridSpan w:val="2"/>
            <w:tcBorders>
              <w:top w:val="single" w:sz="4" w:space="0" w:color="auto"/>
              <w:left w:val="single" w:sz="4" w:space="0" w:color="auto"/>
              <w:bottom w:val="single" w:sz="4" w:space="0" w:color="auto"/>
            </w:tcBorders>
            <w:shd w:val="clear" w:color="000000" w:fill="BDD7EE"/>
            <w:noWrap/>
            <w:vAlign w:val="center"/>
            <w:hideMark/>
          </w:tcPr>
          <w:p w:rsidR="00587135" w:rsidRPr="00006F11" w:rsidRDefault="00587135" w:rsidP="002C31A2">
            <w:pPr>
              <w:spacing w:after="0"/>
              <w:ind w:firstLine="0"/>
              <w:jc w:val="center"/>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curso 2017/2018</w:t>
            </w:r>
          </w:p>
        </w:tc>
        <w:tc>
          <w:tcPr>
            <w:tcW w:w="1733" w:type="dxa"/>
            <w:gridSpan w:val="2"/>
            <w:tcBorders>
              <w:top w:val="single" w:sz="4" w:space="0" w:color="auto"/>
              <w:bottom w:val="single" w:sz="4" w:space="0" w:color="auto"/>
              <w:righ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 xml:space="preserve">% </w:t>
            </w:r>
            <w:r>
              <w:rPr>
                <w:rFonts w:ascii="Arial Narrow" w:hAnsi="Arial Narrow" w:cs="Calibri"/>
                <w:color w:val="000000"/>
                <w:sz w:val="18"/>
                <w:szCs w:val="18"/>
                <w:lang w:val="es-ES" w:eastAsia="es-ES"/>
              </w:rPr>
              <w:t>V</w:t>
            </w:r>
            <w:r w:rsidRPr="00006F11">
              <w:rPr>
                <w:rFonts w:ascii="Arial Narrow" w:hAnsi="Arial Narrow" w:cs="Calibri"/>
                <w:color w:val="000000"/>
                <w:sz w:val="18"/>
                <w:szCs w:val="18"/>
                <w:lang w:val="es-ES" w:eastAsia="es-ES"/>
              </w:rPr>
              <w:t xml:space="preserve">ar. </w:t>
            </w:r>
            <w:r>
              <w:rPr>
                <w:rFonts w:ascii="Arial Narrow" w:hAnsi="Arial Narrow" w:cs="Calibri"/>
                <w:color w:val="000000"/>
                <w:sz w:val="18"/>
                <w:szCs w:val="18"/>
                <w:lang w:val="es-ES" w:eastAsia="es-ES"/>
              </w:rPr>
              <w:t>c</w:t>
            </w:r>
            <w:r w:rsidRPr="00006F11">
              <w:rPr>
                <w:rFonts w:ascii="Arial Narrow" w:hAnsi="Arial Narrow" w:cs="Calibri"/>
                <w:color w:val="000000"/>
                <w:sz w:val="18"/>
                <w:szCs w:val="18"/>
                <w:lang w:val="es-ES" w:eastAsia="es-ES"/>
              </w:rPr>
              <w:t>urso 2017/2018-2016/2017</w:t>
            </w:r>
          </w:p>
        </w:tc>
        <w:tc>
          <w:tcPr>
            <w:tcW w:w="1791" w:type="dxa"/>
            <w:gridSpan w:val="3"/>
            <w:tcBorders>
              <w:top w:val="single" w:sz="4" w:space="0" w:color="auto"/>
              <w:left w:val="single" w:sz="4" w:space="0" w:color="auto"/>
              <w:bottom w:val="single" w:sz="4" w:space="0" w:color="auto"/>
            </w:tcBorders>
            <w:shd w:val="clear" w:color="000000" w:fill="BDD7EE"/>
            <w:noWrap/>
            <w:vAlign w:val="center"/>
            <w:hideMark/>
          </w:tcPr>
          <w:p w:rsidR="00587135" w:rsidRPr="00006F11" w:rsidRDefault="00587135" w:rsidP="002C31A2">
            <w:pPr>
              <w:spacing w:after="0"/>
              <w:ind w:firstLine="0"/>
              <w:jc w:val="center"/>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curso 2018/2019</w:t>
            </w:r>
          </w:p>
        </w:tc>
        <w:tc>
          <w:tcPr>
            <w:tcW w:w="1704" w:type="dxa"/>
            <w:gridSpan w:val="3"/>
            <w:tcBorders>
              <w:top w:val="single" w:sz="4" w:space="0" w:color="auto"/>
              <w:bottom w:val="single" w:sz="4" w:space="0" w:color="auto"/>
              <w:righ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 xml:space="preserve">% </w:t>
            </w:r>
            <w:r>
              <w:rPr>
                <w:rFonts w:ascii="Arial Narrow" w:hAnsi="Arial Narrow" w:cs="Calibri"/>
                <w:color w:val="000000"/>
                <w:sz w:val="18"/>
                <w:szCs w:val="18"/>
                <w:lang w:val="es-ES" w:eastAsia="es-ES"/>
              </w:rPr>
              <w:t>V</w:t>
            </w:r>
            <w:r w:rsidRPr="00006F11">
              <w:rPr>
                <w:rFonts w:ascii="Arial Narrow" w:hAnsi="Arial Narrow" w:cs="Calibri"/>
                <w:color w:val="000000"/>
                <w:sz w:val="18"/>
                <w:szCs w:val="18"/>
                <w:lang w:val="es-ES" w:eastAsia="es-ES"/>
              </w:rPr>
              <w:t>ar. curso 2018/2019-2017/2018</w:t>
            </w:r>
          </w:p>
        </w:tc>
        <w:tc>
          <w:tcPr>
            <w:tcW w:w="1727" w:type="dxa"/>
            <w:gridSpan w:val="2"/>
            <w:tcBorders>
              <w:top w:val="single" w:sz="4" w:space="0" w:color="auto"/>
              <w:left w:val="single" w:sz="4" w:space="0" w:color="auto"/>
              <w:bottom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 xml:space="preserve">% </w:t>
            </w:r>
            <w:r>
              <w:rPr>
                <w:rFonts w:ascii="Arial Narrow" w:hAnsi="Arial Narrow" w:cs="Calibri"/>
                <w:color w:val="000000"/>
                <w:sz w:val="18"/>
                <w:szCs w:val="18"/>
                <w:lang w:val="es-ES" w:eastAsia="es-ES"/>
              </w:rPr>
              <w:t>V</w:t>
            </w:r>
            <w:r w:rsidRPr="00006F11">
              <w:rPr>
                <w:rFonts w:ascii="Arial Narrow" w:hAnsi="Arial Narrow" w:cs="Calibri"/>
                <w:color w:val="000000"/>
                <w:sz w:val="18"/>
                <w:szCs w:val="18"/>
                <w:lang w:val="es-ES" w:eastAsia="es-ES"/>
              </w:rPr>
              <w:t>ar. curso 2018/2019-2012/2013</w:t>
            </w:r>
          </w:p>
        </w:tc>
      </w:tr>
      <w:tr w:rsidR="00587135" w:rsidRPr="00006F11" w:rsidTr="002C31A2">
        <w:trPr>
          <w:trHeight w:val="454"/>
        </w:trPr>
        <w:tc>
          <w:tcPr>
            <w:tcW w:w="1140" w:type="dxa"/>
            <w:tcBorders>
              <w:top w:val="single" w:sz="4" w:space="0" w:color="auto"/>
            </w:tcBorders>
            <w:shd w:val="clear" w:color="000000" w:fill="BDD7EE"/>
            <w:vAlign w:val="center"/>
            <w:hideMark/>
          </w:tcPr>
          <w:p w:rsidR="00587135" w:rsidRPr="00006F11" w:rsidRDefault="00587135" w:rsidP="002C31A2">
            <w:pPr>
              <w:spacing w:after="0"/>
              <w:ind w:firstLine="0"/>
              <w:jc w:val="left"/>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Estudios de Grado</w:t>
            </w:r>
          </w:p>
        </w:tc>
        <w:tc>
          <w:tcPr>
            <w:tcW w:w="852" w:type="dxa"/>
            <w:tcBorders>
              <w:top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Ciencias Sociales y Jurídicas</w:t>
            </w:r>
          </w:p>
        </w:tc>
        <w:tc>
          <w:tcPr>
            <w:tcW w:w="856" w:type="dxa"/>
            <w:tcBorders>
              <w:top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Ingeniería y Ciencias de la Salud</w:t>
            </w:r>
          </w:p>
        </w:tc>
        <w:tc>
          <w:tcPr>
            <w:tcW w:w="847" w:type="dxa"/>
            <w:tcBorders>
              <w:top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Ciencias Sociales y Jurídicas</w:t>
            </w:r>
          </w:p>
        </w:tc>
        <w:tc>
          <w:tcPr>
            <w:tcW w:w="850" w:type="dxa"/>
            <w:tcBorders>
              <w:top w:val="single" w:sz="4" w:space="0" w:color="auto"/>
              <w:right w:val="nil"/>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Ingeniería y Ciencias de la Salud</w:t>
            </w:r>
          </w:p>
        </w:tc>
        <w:tc>
          <w:tcPr>
            <w:tcW w:w="818" w:type="dxa"/>
            <w:tcBorders>
              <w:top w:val="single" w:sz="4" w:space="0" w:color="auto"/>
              <w:left w:val="nil"/>
              <w:bottom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Ciencias Sociales y Jurídicas</w:t>
            </w:r>
          </w:p>
        </w:tc>
        <w:tc>
          <w:tcPr>
            <w:tcW w:w="883" w:type="dxa"/>
            <w:tcBorders>
              <w:top w:val="single" w:sz="4" w:space="0" w:color="auto"/>
              <w:bottom w:val="single" w:sz="4" w:space="0" w:color="auto"/>
              <w:righ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Ingeniería y Ciencias de la Salud</w:t>
            </w:r>
          </w:p>
        </w:tc>
        <w:tc>
          <w:tcPr>
            <w:tcW w:w="876" w:type="dxa"/>
            <w:tcBorders>
              <w:top w:val="single" w:sz="4" w:space="0" w:color="auto"/>
              <w:lef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Ciencias Sociales y Jurídicas</w:t>
            </w:r>
          </w:p>
        </w:tc>
        <w:tc>
          <w:tcPr>
            <w:tcW w:w="850" w:type="dxa"/>
            <w:tcBorders>
              <w:top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Ingeniería y Ciencias de la Salud</w:t>
            </w:r>
          </w:p>
        </w:tc>
        <w:tc>
          <w:tcPr>
            <w:tcW w:w="882" w:type="dxa"/>
            <w:tcBorders>
              <w:top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Ciencias Sociales y Jurídicas</w:t>
            </w:r>
          </w:p>
        </w:tc>
        <w:tc>
          <w:tcPr>
            <w:tcW w:w="851" w:type="dxa"/>
            <w:tcBorders>
              <w:top w:val="single" w:sz="4" w:space="0" w:color="auto"/>
              <w:bottom w:val="single" w:sz="4" w:space="0" w:color="auto"/>
              <w:righ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Ingeniería y Ciencias de la Salud</w:t>
            </w:r>
          </w:p>
        </w:tc>
        <w:tc>
          <w:tcPr>
            <w:tcW w:w="828" w:type="dxa"/>
            <w:tcBorders>
              <w:top w:val="single" w:sz="4" w:space="0" w:color="auto"/>
              <w:lef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Ciencias Sociales y Jurídicas</w:t>
            </w:r>
          </w:p>
        </w:tc>
        <w:tc>
          <w:tcPr>
            <w:tcW w:w="957" w:type="dxa"/>
            <w:tcBorders>
              <w:top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Ingeniería y Ciencias de la Salud</w:t>
            </w:r>
          </w:p>
        </w:tc>
        <w:tc>
          <w:tcPr>
            <w:tcW w:w="886" w:type="dxa"/>
            <w:gridSpan w:val="2"/>
            <w:tcBorders>
              <w:top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Ciencias Sociales y Jurídicas</w:t>
            </w:r>
          </w:p>
        </w:tc>
        <w:tc>
          <w:tcPr>
            <w:tcW w:w="817" w:type="dxa"/>
            <w:tcBorders>
              <w:top w:val="single" w:sz="4" w:space="0" w:color="auto"/>
              <w:bottom w:val="single" w:sz="4" w:space="0" w:color="auto"/>
              <w:righ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Ingeniería y Ciencias de la Salud</w:t>
            </w:r>
          </w:p>
        </w:tc>
        <w:tc>
          <w:tcPr>
            <w:tcW w:w="884" w:type="dxa"/>
            <w:gridSpan w:val="2"/>
            <w:tcBorders>
              <w:top w:val="single" w:sz="4" w:space="0" w:color="auto"/>
              <w:lef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Ciencias Sociales y Jurídicas</w:t>
            </w:r>
          </w:p>
        </w:tc>
        <w:tc>
          <w:tcPr>
            <w:tcW w:w="850" w:type="dxa"/>
            <w:tcBorders>
              <w:top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Ingeniería y Ciencias de la Salud</w:t>
            </w:r>
          </w:p>
        </w:tc>
      </w:tr>
      <w:tr w:rsidR="00587135" w:rsidRPr="00006F11" w:rsidTr="002C31A2">
        <w:trPr>
          <w:trHeight w:val="454"/>
        </w:trPr>
        <w:tc>
          <w:tcPr>
            <w:tcW w:w="1140" w:type="dxa"/>
            <w:shd w:val="clear" w:color="000000" w:fill="FFFFFF"/>
            <w:vAlign w:val="center"/>
            <w:hideMark/>
          </w:tcPr>
          <w:p w:rsidR="00587135" w:rsidRPr="00006F11" w:rsidRDefault="00587135" w:rsidP="002C31A2">
            <w:pPr>
              <w:spacing w:after="0"/>
              <w:ind w:firstLine="0"/>
              <w:jc w:val="lef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1ª matrícula</w:t>
            </w:r>
          </w:p>
        </w:tc>
        <w:tc>
          <w:tcPr>
            <w:tcW w:w="852"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15,70</w:t>
            </w:r>
          </w:p>
        </w:tc>
        <w:tc>
          <w:tcPr>
            <w:tcW w:w="856"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22,24</w:t>
            </w:r>
          </w:p>
        </w:tc>
        <w:tc>
          <w:tcPr>
            <w:tcW w:w="847"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15,90</w:t>
            </w:r>
          </w:p>
        </w:tc>
        <w:tc>
          <w:tcPr>
            <w:tcW w:w="850" w:type="dxa"/>
            <w:tcBorders>
              <w:right w:val="nil"/>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22,53</w:t>
            </w:r>
          </w:p>
        </w:tc>
        <w:tc>
          <w:tcPr>
            <w:tcW w:w="818" w:type="dxa"/>
            <w:tcBorders>
              <w:top w:val="single" w:sz="4" w:space="0" w:color="auto"/>
              <w:left w:val="nil"/>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1,30</w:t>
            </w:r>
          </w:p>
        </w:tc>
        <w:tc>
          <w:tcPr>
            <w:tcW w:w="883"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1,30</w:t>
            </w:r>
          </w:p>
        </w:tc>
        <w:tc>
          <w:tcPr>
            <w:tcW w:w="876" w:type="dxa"/>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16,27</w:t>
            </w:r>
          </w:p>
        </w:tc>
        <w:tc>
          <w:tcPr>
            <w:tcW w:w="850"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23,05</w:t>
            </w:r>
          </w:p>
        </w:tc>
        <w:tc>
          <w:tcPr>
            <w:tcW w:w="882"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2,30</w:t>
            </w:r>
          </w:p>
        </w:tc>
        <w:tc>
          <w:tcPr>
            <w:tcW w:w="851"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2,30</w:t>
            </w:r>
          </w:p>
        </w:tc>
        <w:tc>
          <w:tcPr>
            <w:tcW w:w="828" w:type="dxa"/>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16,25</w:t>
            </w:r>
          </w:p>
        </w:tc>
        <w:tc>
          <w:tcPr>
            <w:tcW w:w="957"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23,05</w:t>
            </w:r>
          </w:p>
        </w:tc>
        <w:tc>
          <w:tcPr>
            <w:tcW w:w="886" w:type="dxa"/>
            <w:gridSpan w:val="2"/>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-0,10</w:t>
            </w:r>
          </w:p>
        </w:tc>
        <w:tc>
          <w:tcPr>
            <w:tcW w:w="817"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0,00</w:t>
            </w:r>
          </w:p>
        </w:tc>
        <w:tc>
          <w:tcPr>
            <w:tcW w:w="884" w:type="dxa"/>
            <w:gridSpan w:val="2"/>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3,50</w:t>
            </w:r>
          </w:p>
        </w:tc>
        <w:tc>
          <w:tcPr>
            <w:tcW w:w="850"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3,60</w:t>
            </w:r>
          </w:p>
        </w:tc>
      </w:tr>
      <w:tr w:rsidR="00587135" w:rsidRPr="00006F11" w:rsidTr="002C31A2">
        <w:trPr>
          <w:trHeight w:val="454"/>
        </w:trPr>
        <w:tc>
          <w:tcPr>
            <w:tcW w:w="1140" w:type="dxa"/>
            <w:shd w:val="clear" w:color="000000" w:fill="FFFFFF"/>
            <w:vAlign w:val="center"/>
            <w:hideMark/>
          </w:tcPr>
          <w:p w:rsidR="00587135" w:rsidRPr="00006F11" w:rsidRDefault="00587135" w:rsidP="002C31A2">
            <w:pPr>
              <w:spacing w:after="0"/>
              <w:ind w:firstLine="0"/>
              <w:jc w:val="lef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2ª matrícula</w:t>
            </w:r>
          </w:p>
        </w:tc>
        <w:tc>
          <w:tcPr>
            <w:tcW w:w="852"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31,41</w:t>
            </w:r>
          </w:p>
        </w:tc>
        <w:tc>
          <w:tcPr>
            <w:tcW w:w="856"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44,47</w:t>
            </w:r>
          </w:p>
        </w:tc>
        <w:tc>
          <w:tcPr>
            <w:tcW w:w="847"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31,82</w:t>
            </w:r>
          </w:p>
        </w:tc>
        <w:tc>
          <w:tcPr>
            <w:tcW w:w="850" w:type="dxa"/>
            <w:tcBorders>
              <w:right w:val="nil"/>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45,05</w:t>
            </w:r>
          </w:p>
        </w:tc>
        <w:tc>
          <w:tcPr>
            <w:tcW w:w="818" w:type="dxa"/>
            <w:tcBorders>
              <w:top w:val="single" w:sz="4" w:space="0" w:color="auto"/>
              <w:left w:val="nil"/>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1,30</w:t>
            </w:r>
          </w:p>
        </w:tc>
        <w:tc>
          <w:tcPr>
            <w:tcW w:w="883"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1,30</w:t>
            </w:r>
          </w:p>
        </w:tc>
        <w:tc>
          <w:tcPr>
            <w:tcW w:w="876" w:type="dxa"/>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32,55</w:t>
            </w:r>
          </w:p>
        </w:tc>
        <w:tc>
          <w:tcPr>
            <w:tcW w:w="850"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46,09</w:t>
            </w:r>
          </w:p>
        </w:tc>
        <w:tc>
          <w:tcPr>
            <w:tcW w:w="882"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2,30</w:t>
            </w:r>
          </w:p>
        </w:tc>
        <w:tc>
          <w:tcPr>
            <w:tcW w:w="851"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2,30</w:t>
            </w:r>
          </w:p>
        </w:tc>
        <w:tc>
          <w:tcPr>
            <w:tcW w:w="828" w:type="dxa"/>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32,50</w:t>
            </w:r>
          </w:p>
        </w:tc>
        <w:tc>
          <w:tcPr>
            <w:tcW w:w="957"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46,10</w:t>
            </w:r>
          </w:p>
        </w:tc>
        <w:tc>
          <w:tcPr>
            <w:tcW w:w="886" w:type="dxa"/>
            <w:gridSpan w:val="2"/>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-0,20</w:t>
            </w:r>
          </w:p>
        </w:tc>
        <w:tc>
          <w:tcPr>
            <w:tcW w:w="817"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0,00</w:t>
            </w:r>
          </w:p>
        </w:tc>
        <w:tc>
          <w:tcPr>
            <w:tcW w:w="884" w:type="dxa"/>
            <w:gridSpan w:val="2"/>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3,50</w:t>
            </w:r>
          </w:p>
        </w:tc>
        <w:tc>
          <w:tcPr>
            <w:tcW w:w="850"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3,70</w:t>
            </w:r>
          </w:p>
        </w:tc>
      </w:tr>
      <w:tr w:rsidR="00587135" w:rsidRPr="00006F11" w:rsidTr="002C31A2">
        <w:trPr>
          <w:trHeight w:val="454"/>
        </w:trPr>
        <w:tc>
          <w:tcPr>
            <w:tcW w:w="1140" w:type="dxa"/>
            <w:shd w:val="clear" w:color="000000" w:fill="FFFFFF"/>
            <w:vAlign w:val="center"/>
            <w:hideMark/>
          </w:tcPr>
          <w:p w:rsidR="00587135" w:rsidRPr="00006F11" w:rsidRDefault="00587135" w:rsidP="002C31A2">
            <w:pPr>
              <w:spacing w:after="0"/>
              <w:ind w:firstLine="0"/>
              <w:jc w:val="lef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3ª matrícula</w:t>
            </w:r>
          </w:p>
        </w:tc>
        <w:tc>
          <w:tcPr>
            <w:tcW w:w="852"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68,05</w:t>
            </w:r>
          </w:p>
        </w:tc>
        <w:tc>
          <w:tcPr>
            <w:tcW w:w="856"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96,35</w:t>
            </w:r>
          </w:p>
        </w:tc>
        <w:tc>
          <w:tcPr>
            <w:tcW w:w="847"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68,93</w:t>
            </w:r>
          </w:p>
        </w:tc>
        <w:tc>
          <w:tcPr>
            <w:tcW w:w="850" w:type="dxa"/>
            <w:tcBorders>
              <w:right w:val="nil"/>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97,60</w:t>
            </w:r>
          </w:p>
        </w:tc>
        <w:tc>
          <w:tcPr>
            <w:tcW w:w="818" w:type="dxa"/>
            <w:tcBorders>
              <w:top w:val="single" w:sz="4" w:space="0" w:color="auto"/>
              <w:left w:val="nil"/>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1,30</w:t>
            </w:r>
          </w:p>
        </w:tc>
        <w:tc>
          <w:tcPr>
            <w:tcW w:w="883"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1,30</w:t>
            </w:r>
          </w:p>
        </w:tc>
        <w:tc>
          <w:tcPr>
            <w:tcW w:w="876" w:type="dxa"/>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70,52</w:t>
            </w:r>
          </w:p>
        </w:tc>
        <w:tc>
          <w:tcPr>
            <w:tcW w:w="850"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99,84</w:t>
            </w:r>
          </w:p>
        </w:tc>
        <w:tc>
          <w:tcPr>
            <w:tcW w:w="882"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2,30</w:t>
            </w:r>
          </w:p>
        </w:tc>
        <w:tc>
          <w:tcPr>
            <w:tcW w:w="851"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2,30</w:t>
            </w:r>
          </w:p>
        </w:tc>
        <w:tc>
          <w:tcPr>
            <w:tcW w:w="828" w:type="dxa"/>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70,50</w:t>
            </w:r>
          </w:p>
        </w:tc>
        <w:tc>
          <w:tcPr>
            <w:tcW w:w="957"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99,85</w:t>
            </w:r>
          </w:p>
        </w:tc>
        <w:tc>
          <w:tcPr>
            <w:tcW w:w="886" w:type="dxa"/>
            <w:gridSpan w:val="2"/>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 </w:t>
            </w:r>
            <w:r>
              <w:rPr>
                <w:rFonts w:ascii="Arial Narrow" w:hAnsi="Arial Narrow" w:cs="Calibri"/>
                <w:color w:val="000000"/>
                <w:sz w:val="18"/>
                <w:szCs w:val="18"/>
                <w:lang w:val="es-ES" w:eastAsia="es-ES"/>
              </w:rPr>
              <w:t>0,00</w:t>
            </w:r>
          </w:p>
        </w:tc>
        <w:tc>
          <w:tcPr>
            <w:tcW w:w="817"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0,00</w:t>
            </w:r>
          </w:p>
        </w:tc>
        <w:tc>
          <w:tcPr>
            <w:tcW w:w="884" w:type="dxa"/>
            <w:gridSpan w:val="2"/>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3,50</w:t>
            </w:r>
          </w:p>
        </w:tc>
        <w:tc>
          <w:tcPr>
            <w:tcW w:w="850"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3,60</w:t>
            </w:r>
          </w:p>
        </w:tc>
      </w:tr>
      <w:tr w:rsidR="00587135" w:rsidRPr="00006F11" w:rsidTr="002C31A2">
        <w:trPr>
          <w:trHeight w:val="454"/>
        </w:trPr>
        <w:tc>
          <w:tcPr>
            <w:tcW w:w="1140" w:type="dxa"/>
            <w:shd w:val="clear" w:color="000000" w:fill="FFFFFF"/>
            <w:vAlign w:val="center"/>
            <w:hideMark/>
          </w:tcPr>
          <w:p w:rsidR="00587135" w:rsidRPr="00006F11" w:rsidRDefault="00587135" w:rsidP="002C31A2">
            <w:pPr>
              <w:spacing w:after="0"/>
              <w:ind w:firstLine="0"/>
              <w:jc w:val="lef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4ª matrícula y siguientes </w:t>
            </w:r>
          </w:p>
        </w:tc>
        <w:tc>
          <w:tcPr>
            <w:tcW w:w="852"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94,22</w:t>
            </w:r>
          </w:p>
        </w:tc>
        <w:tc>
          <w:tcPr>
            <w:tcW w:w="856"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133,41</w:t>
            </w:r>
          </w:p>
        </w:tc>
        <w:tc>
          <w:tcPr>
            <w:tcW w:w="847"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95,44</w:t>
            </w:r>
          </w:p>
        </w:tc>
        <w:tc>
          <w:tcPr>
            <w:tcW w:w="850" w:type="dxa"/>
            <w:tcBorders>
              <w:right w:val="nil"/>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135,14</w:t>
            </w:r>
          </w:p>
        </w:tc>
        <w:tc>
          <w:tcPr>
            <w:tcW w:w="818" w:type="dxa"/>
            <w:tcBorders>
              <w:top w:val="single" w:sz="4" w:space="0" w:color="auto"/>
              <w:left w:val="nil"/>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1,30</w:t>
            </w:r>
          </w:p>
        </w:tc>
        <w:tc>
          <w:tcPr>
            <w:tcW w:w="883"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1,30</w:t>
            </w:r>
          </w:p>
        </w:tc>
        <w:tc>
          <w:tcPr>
            <w:tcW w:w="876" w:type="dxa"/>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97,64</w:t>
            </w:r>
          </w:p>
        </w:tc>
        <w:tc>
          <w:tcPr>
            <w:tcW w:w="850"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138,25</w:t>
            </w:r>
          </w:p>
        </w:tc>
        <w:tc>
          <w:tcPr>
            <w:tcW w:w="882"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2,30</w:t>
            </w:r>
          </w:p>
        </w:tc>
        <w:tc>
          <w:tcPr>
            <w:tcW w:w="851"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2,30</w:t>
            </w:r>
          </w:p>
        </w:tc>
        <w:tc>
          <w:tcPr>
            <w:tcW w:w="828" w:type="dxa"/>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97,65</w:t>
            </w:r>
          </w:p>
        </w:tc>
        <w:tc>
          <w:tcPr>
            <w:tcW w:w="957"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138,25</w:t>
            </w:r>
          </w:p>
        </w:tc>
        <w:tc>
          <w:tcPr>
            <w:tcW w:w="886" w:type="dxa"/>
            <w:gridSpan w:val="2"/>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0,00</w:t>
            </w:r>
          </w:p>
        </w:tc>
        <w:tc>
          <w:tcPr>
            <w:tcW w:w="817"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0,00</w:t>
            </w:r>
          </w:p>
        </w:tc>
        <w:tc>
          <w:tcPr>
            <w:tcW w:w="884" w:type="dxa"/>
            <w:gridSpan w:val="2"/>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3,60</w:t>
            </w:r>
          </w:p>
        </w:tc>
        <w:tc>
          <w:tcPr>
            <w:tcW w:w="850"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3,60</w:t>
            </w:r>
          </w:p>
        </w:tc>
      </w:tr>
      <w:tr w:rsidR="00587135" w:rsidRPr="00006F11" w:rsidTr="002C31A2">
        <w:trPr>
          <w:trHeight w:val="454"/>
        </w:trPr>
        <w:tc>
          <w:tcPr>
            <w:tcW w:w="1140" w:type="dxa"/>
            <w:shd w:val="clear" w:color="000000" w:fill="BDD7EE"/>
            <w:vAlign w:val="center"/>
            <w:hideMark/>
          </w:tcPr>
          <w:p w:rsidR="00587135" w:rsidRDefault="00587135" w:rsidP="002C31A2">
            <w:pPr>
              <w:spacing w:after="0"/>
              <w:ind w:firstLine="0"/>
              <w:jc w:val="left"/>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 xml:space="preserve">Estudios de </w:t>
            </w:r>
          </w:p>
          <w:p w:rsidR="00587135" w:rsidRPr="00006F11" w:rsidRDefault="00587135" w:rsidP="002C31A2">
            <w:pPr>
              <w:spacing w:after="0"/>
              <w:ind w:firstLine="0"/>
              <w:jc w:val="left"/>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Posgrado</w:t>
            </w:r>
          </w:p>
        </w:tc>
        <w:tc>
          <w:tcPr>
            <w:tcW w:w="852" w:type="dxa"/>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Master</w:t>
            </w:r>
          </w:p>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 xml:space="preserve"> Habilitante</w:t>
            </w:r>
          </w:p>
        </w:tc>
        <w:tc>
          <w:tcPr>
            <w:tcW w:w="856" w:type="dxa"/>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Master no</w:t>
            </w:r>
          </w:p>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Habilitante</w:t>
            </w:r>
          </w:p>
        </w:tc>
        <w:tc>
          <w:tcPr>
            <w:tcW w:w="847" w:type="dxa"/>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 xml:space="preserve">Master </w:t>
            </w:r>
          </w:p>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Habilitante</w:t>
            </w:r>
          </w:p>
        </w:tc>
        <w:tc>
          <w:tcPr>
            <w:tcW w:w="850" w:type="dxa"/>
            <w:tcBorders>
              <w:right w:val="nil"/>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 xml:space="preserve">Master no </w:t>
            </w:r>
          </w:p>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Habilitante</w:t>
            </w:r>
          </w:p>
        </w:tc>
        <w:tc>
          <w:tcPr>
            <w:tcW w:w="818" w:type="dxa"/>
            <w:tcBorders>
              <w:top w:val="single" w:sz="4" w:space="0" w:color="auto"/>
              <w:left w:val="nil"/>
              <w:bottom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Master</w:t>
            </w:r>
          </w:p>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 xml:space="preserve"> Habilitante</w:t>
            </w:r>
          </w:p>
        </w:tc>
        <w:tc>
          <w:tcPr>
            <w:tcW w:w="883" w:type="dxa"/>
            <w:tcBorders>
              <w:top w:val="single" w:sz="4" w:space="0" w:color="auto"/>
              <w:bottom w:val="single" w:sz="4" w:space="0" w:color="auto"/>
              <w:righ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Master no</w:t>
            </w:r>
          </w:p>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 xml:space="preserve"> Habilitante</w:t>
            </w:r>
          </w:p>
        </w:tc>
        <w:tc>
          <w:tcPr>
            <w:tcW w:w="876" w:type="dxa"/>
            <w:tcBorders>
              <w:lef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Master</w:t>
            </w:r>
          </w:p>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 xml:space="preserve"> Habilitante</w:t>
            </w:r>
          </w:p>
        </w:tc>
        <w:tc>
          <w:tcPr>
            <w:tcW w:w="850" w:type="dxa"/>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Master no Habilitante</w:t>
            </w:r>
          </w:p>
        </w:tc>
        <w:tc>
          <w:tcPr>
            <w:tcW w:w="882" w:type="dxa"/>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Master</w:t>
            </w:r>
          </w:p>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 xml:space="preserve"> Habilitante</w:t>
            </w:r>
          </w:p>
        </w:tc>
        <w:tc>
          <w:tcPr>
            <w:tcW w:w="851" w:type="dxa"/>
            <w:tcBorders>
              <w:top w:val="single" w:sz="4" w:space="0" w:color="auto"/>
              <w:bottom w:val="single" w:sz="4" w:space="0" w:color="auto"/>
              <w:righ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 xml:space="preserve">Master no </w:t>
            </w:r>
          </w:p>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Habilitante</w:t>
            </w:r>
          </w:p>
        </w:tc>
        <w:tc>
          <w:tcPr>
            <w:tcW w:w="828" w:type="dxa"/>
            <w:tcBorders>
              <w:lef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Master</w:t>
            </w:r>
          </w:p>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 xml:space="preserve"> Habilitante</w:t>
            </w:r>
          </w:p>
        </w:tc>
        <w:tc>
          <w:tcPr>
            <w:tcW w:w="957" w:type="dxa"/>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Master no Habilitante</w:t>
            </w:r>
          </w:p>
        </w:tc>
        <w:tc>
          <w:tcPr>
            <w:tcW w:w="886" w:type="dxa"/>
            <w:gridSpan w:val="2"/>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 xml:space="preserve">Master </w:t>
            </w:r>
          </w:p>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Habilitante</w:t>
            </w:r>
          </w:p>
        </w:tc>
        <w:tc>
          <w:tcPr>
            <w:tcW w:w="817" w:type="dxa"/>
            <w:tcBorders>
              <w:top w:val="single" w:sz="4" w:space="0" w:color="auto"/>
              <w:bottom w:val="single" w:sz="4" w:space="0" w:color="auto"/>
              <w:righ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Master no Habilitante</w:t>
            </w:r>
          </w:p>
        </w:tc>
        <w:tc>
          <w:tcPr>
            <w:tcW w:w="884" w:type="dxa"/>
            <w:gridSpan w:val="2"/>
            <w:tcBorders>
              <w:left w:val="single" w:sz="4" w:space="0" w:color="auto"/>
            </w:tcBorders>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Master Habilitante</w:t>
            </w:r>
          </w:p>
        </w:tc>
        <w:tc>
          <w:tcPr>
            <w:tcW w:w="850" w:type="dxa"/>
            <w:shd w:val="clear" w:color="000000" w:fill="BDD7EE"/>
            <w:vAlign w:val="center"/>
            <w:hideMark/>
          </w:tcPr>
          <w:p w:rsidR="00587135" w:rsidRPr="00006F11" w:rsidRDefault="00587135" w:rsidP="002C31A2">
            <w:pPr>
              <w:spacing w:after="0"/>
              <w:ind w:firstLine="0"/>
              <w:jc w:val="center"/>
              <w:rPr>
                <w:rFonts w:ascii="Arial Narrow" w:hAnsi="Arial Narrow" w:cs="Calibri"/>
                <w:color w:val="000000"/>
                <w:sz w:val="16"/>
                <w:szCs w:val="16"/>
                <w:lang w:val="es-ES" w:eastAsia="es-ES"/>
              </w:rPr>
            </w:pPr>
            <w:r w:rsidRPr="00006F11">
              <w:rPr>
                <w:rFonts w:ascii="Arial Narrow" w:hAnsi="Arial Narrow" w:cs="Calibri"/>
                <w:color w:val="000000"/>
                <w:sz w:val="16"/>
                <w:szCs w:val="16"/>
                <w:lang w:val="es-ES" w:eastAsia="es-ES"/>
              </w:rPr>
              <w:t>Master no Habilitante</w:t>
            </w:r>
          </w:p>
        </w:tc>
      </w:tr>
      <w:tr w:rsidR="00587135" w:rsidRPr="00006F11" w:rsidTr="002C31A2">
        <w:trPr>
          <w:trHeight w:val="454"/>
        </w:trPr>
        <w:tc>
          <w:tcPr>
            <w:tcW w:w="1140" w:type="dxa"/>
            <w:shd w:val="clear" w:color="000000" w:fill="FFFFFF"/>
            <w:vAlign w:val="center"/>
            <w:hideMark/>
          </w:tcPr>
          <w:p w:rsidR="00587135" w:rsidRPr="00006F11" w:rsidRDefault="00587135" w:rsidP="002C31A2">
            <w:pPr>
              <w:spacing w:after="0"/>
              <w:ind w:firstLine="0"/>
              <w:jc w:val="lef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1ª matrícula</w:t>
            </w:r>
          </w:p>
        </w:tc>
        <w:tc>
          <w:tcPr>
            <w:tcW w:w="852"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27,34</w:t>
            </w:r>
          </w:p>
        </w:tc>
        <w:tc>
          <w:tcPr>
            <w:tcW w:w="856"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43,75</w:t>
            </w:r>
          </w:p>
        </w:tc>
        <w:tc>
          <w:tcPr>
            <w:tcW w:w="847"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27,70</w:t>
            </w:r>
          </w:p>
        </w:tc>
        <w:tc>
          <w:tcPr>
            <w:tcW w:w="850" w:type="dxa"/>
            <w:tcBorders>
              <w:right w:val="nil"/>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44,32</w:t>
            </w:r>
          </w:p>
        </w:tc>
        <w:tc>
          <w:tcPr>
            <w:tcW w:w="818" w:type="dxa"/>
            <w:tcBorders>
              <w:top w:val="single" w:sz="4" w:space="0" w:color="auto"/>
              <w:left w:val="nil"/>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1,30</w:t>
            </w:r>
          </w:p>
        </w:tc>
        <w:tc>
          <w:tcPr>
            <w:tcW w:w="883"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1,30</w:t>
            </w:r>
          </w:p>
        </w:tc>
        <w:tc>
          <w:tcPr>
            <w:tcW w:w="876" w:type="dxa"/>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22,67</w:t>
            </w:r>
          </w:p>
        </w:tc>
        <w:tc>
          <w:tcPr>
            <w:tcW w:w="850"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28,34</w:t>
            </w:r>
          </w:p>
        </w:tc>
        <w:tc>
          <w:tcPr>
            <w:tcW w:w="882"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-18,20</w:t>
            </w:r>
          </w:p>
        </w:tc>
        <w:tc>
          <w:tcPr>
            <w:tcW w:w="851"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-36,10</w:t>
            </w:r>
          </w:p>
        </w:tc>
        <w:tc>
          <w:tcPr>
            <w:tcW w:w="828" w:type="dxa"/>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22,65</w:t>
            </w:r>
          </w:p>
        </w:tc>
        <w:tc>
          <w:tcPr>
            <w:tcW w:w="957"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28,35</w:t>
            </w:r>
          </w:p>
        </w:tc>
        <w:tc>
          <w:tcPr>
            <w:tcW w:w="886" w:type="dxa"/>
            <w:gridSpan w:val="2"/>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-0,10</w:t>
            </w:r>
          </w:p>
        </w:tc>
        <w:tc>
          <w:tcPr>
            <w:tcW w:w="817"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0,00</w:t>
            </w:r>
          </w:p>
        </w:tc>
        <w:tc>
          <w:tcPr>
            <w:tcW w:w="884" w:type="dxa"/>
            <w:gridSpan w:val="2"/>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-17,20</w:t>
            </w:r>
          </w:p>
        </w:tc>
        <w:tc>
          <w:tcPr>
            <w:tcW w:w="850"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-35,20</w:t>
            </w:r>
          </w:p>
        </w:tc>
      </w:tr>
      <w:tr w:rsidR="00587135" w:rsidRPr="00006F11" w:rsidTr="002C31A2">
        <w:trPr>
          <w:trHeight w:val="454"/>
        </w:trPr>
        <w:tc>
          <w:tcPr>
            <w:tcW w:w="1140" w:type="dxa"/>
            <w:shd w:val="clear" w:color="000000" w:fill="FFFFFF"/>
            <w:vAlign w:val="center"/>
            <w:hideMark/>
          </w:tcPr>
          <w:p w:rsidR="00587135" w:rsidRPr="00006F11" w:rsidRDefault="00587135" w:rsidP="002C31A2">
            <w:pPr>
              <w:spacing w:after="0"/>
              <w:ind w:firstLine="0"/>
              <w:jc w:val="lef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2ª matrícula</w:t>
            </w:r>
          </w:p>
        </w:tc>
        <w:tc>
          <w:tcPr>
            <w:tcW w:w="852"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32,81</w:t>
            </w:r>
          </w:p>
        </w:tc>
        <w:tc>
          <w:tcPr>
            <w:tcW w:w="856"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71,09</w:t>
            </w:r>
          </w:p>
        </w:tc>
        <w:tc>
          <w:tcPr>
            <w:tcW w:w="847" w:type="dxa"/>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33,24</w:t>
            </w:r>
          </w:p>
        </w:tc>
        <w:tc>
          <w:tcPr>
            <w:tcW w:w="850" w:type="dxa"/>
            <w:tcBorders>
              <w:right w:val="nil"/>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72,01</w:t>
            </w:r>
          </w:p>
        </w:tc>
        <w:tc>
          <w:tcPr>
            <w:tcW w:w="818" w:type="dxa"/>
            <w:tcBorders>
              <w:top w:val="single" w:sz="4" w:space="0" w:color="auto"/>
              <w:left w:val="nil"/>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1,30</w:t>
            </w:r>
          </w:p>
        </w:tc>
        <w:tc>
          <w:tcPr>
            <w:tcW w:w="883"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1,30</w:t>
            </w:r>
          </w:p>
        </w:tc>
        <w:tc>
          <w:tcPr>
            <w:tcW w:w="876" w:type="dxa"/>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34,00</w:t>
            </w:r>
          </w:p>
        </w:tc>
        <w:tc>
          <w:tcPr>
            <w:tcW w:w="850"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73,67</w:t>
            </w:r>
          </w:p>
        </w:tc>
        <w:tc>
          <w:tcPr>
            <w:tcW w:w="882"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2,30</w:t>
            </w:r>
          </w:p>
        </w:tc>
        <w:tc>
          <w:tcPr>
            <w:tcW w:w="851"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2,30</w:t>
            </w:r>
          </w:p>
        </w:tc>
        <w:tc>
          <w:tcPr>
            <w:tcW w:w="828" w:type="dxa"/>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34,00</w:t>
            </w:r>
          </w:p>
        </w:tc>
        <w:tc>
          <w:tcPr>
            <w:tcW w:w="957"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73,65</w:t>
            </w:r>
          </w:p>
        </w:tc>
        <w:tc>
          <w:tcPr>
            <w:tcW w:w="886" w:type="dxa"/>
            <w:gridSpan w:val="2"/>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0,00</w:t>
            </w:r>
          </w:p>
        </w:tc>
        <w:tc>
          <w:tcPr>
            <w:tcW w:w="817"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0,00</w:t>
            </w:r>
          </w:p>
        </w:tc>
        <w:tc>
          <w:tcPr>
            <w:tcW w:w="884" w:type="dxa"/>
            <w:gridSpan w:val="2"/>
            <w:tcBorders>
              <w:lef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3,60</w:t>
            </w:r>
          </w:p>
        </w:tc>
        <w:tc>
          <w:tcPr>
            <w:tcW w:w="850" w:type="dxa"/>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3,60</w:t>
            </w:r>
          </w:p>
        </w:tc>
      </w:tr>
      <w:tr w:rsidR="00587135" w:rsidRPr="00006F11" w:rsidTr="002C31A2">
        <w:trPr>
          <w:trHeight w:val="454"/>
        </w:trPr>
        <w:tc>
          <w:tcPr>
            <w:tcW w:w="1140" w:type="dxa"/>
            <w:tcBorders>
              <w:bottom w:val="single" w:sz="4" w:space="0" w:color="auto"/>
            </w:tcBorders>
            <w:shd w:val="clear" w:color="000000" w:fill="FFFFFF"/>
            <w:vAlign w:val="center"/>
            <w:hideMark/>
          </w:tcPr>
          <w:p w:rsidR="00587135" w:rsidRPr="00006F11" w:rsidRDefault="00587135" w:rsidP="002C31A2">
            <w:pPr>
              <w:spacing w:after="0"/>
              <w:ind w:firstLine="0"/>
              <w:jc w:val="lef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3ª matrícula</w:t>
            </w:r>
          </w:p>
        </w:tc>
        <w:tc>
          <w:tcPr>
            <w:tcW w:w="852" w:type="dxa"/>
            <w:tcBorders>
              <w:bottom w:val="single" w:sz="4" w:space="0" w:color="auto"/>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71,09</w:t>
            </w:r>
          </w:p>
        </w:tc>
        <w:tc>
          <w:tcPr>
            <w:tcW w:w="856" w:type="dxa"/>
            <w:tcBorders>
              <w:bottom w:val="single" w:sz="4" w:space="0" w:color="auto"/>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71,09</w:t>
            </w:r>
          </w:p>
        </w:tc>
        <w:tc>
          <w:tcPr>
            <w:tcW w:w="847" w:type="dxa"/>
            <w:tcBorders>
              <w:bottom w:val="single" w:sz="4" w:space="0" w:color="auto"/>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72,01</w:t>
            </w:r>
          </w:p>
        </w:tc>
        <w:tc>
          <w:tcPr>
            <w:tcW w:w="850" w:type="dxa"/>
            <w:tcBorders>
              <w:bottom w:val="single" w:sz="4" w:space="0" w:color="auto"/>
              <w:right w:val="nil"/>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72,01</w:t>
            </w:r>
          </w:p>
        </w:tc>
        <w:tc>
          <w:tcPr>
            <w:tcW w:w="818" w:type="dxa"/>
            <w:tcBorders>
              <w:top w:val="single" w:sz="4" w:space="0" w:color="auto"/>
              <w:left w:val="nil"/>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1,30</w:t>
            </w:r>
          </w:p>
        </w:tc>
        <w:tc>
          <w:tcPr>
            <w:tcW w:w="883"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1,30</w:t>
            </w:r>
          </w:p>
        </w:tc>
        <w:tc>
          <w:tcPr>
            <w:tcW w:w="876" w:type="dxa"/>
            <w:tcBorders>
              <w:left w:val="single" w:sz="4" w:space="0" w:color="auto"/>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73,67</w:t>
            </w:r>
          </w:p>
        </w:tc>
        <w:tc>
          <w:tcPr>
            <w:tcW w:w="850" w:type="dxa"/>
            <w:tcBorders>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73,67</w:t>
            </w:r>
          </w:p>
        </w:tc>
        <w:tc>
          <w:tcPr>
            <w:tcW w:w="882" w:type="dxa"/>
            <w:tcBorders>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2,30</w:t>
            </w:r>
          </w:p>
        </w:tc>
        <w:tc>
          <w:tcPr>
            <w:tcW w:w="851"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2,30</w:t>
            </w:r>
          </w:p>
        </w:tc>
        <w:tc>
          <w:tcPr>
            <w:tcW w:w="828" w:type="dxa"/>
            <w:tcBorders>
              <w:left w:val="single" w:sz="4" w:space="0" w:color="auto"/>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73,65</w:t>
            </w:r>
          </w:p>
        </w:tc>
        <w:tc>
          <w:tcPr>
            <w:tcW w:w="957" w:type="dxa"/>
            <w:tcBorders>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73,65</w:t>
            </w:r>
          </w:p>
        </w:tc>
        <w:tc>
          <w:tcPr>
            <w:tcW w:w="886" w:type="dxa"/>
            <w:gridSpan w:val="2"/>
            <w:tcBorders>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0,00</w:t>
            </w:r>
          </w:p>
        </w:tc>
        <w:tc>
          <w:tcPr>
            <w:tcW w:w="817"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0,00</w:t>
            </w:r>
          </w:p>
        </w:tc>
        <w:tc>
          <w:tcPr>
            <w:tcW w:w="884" w:type="dxa"/>
            <w:gridSpan w:val="2"/>
            <w:tcBorders>
              <w:left w:val="single" w:sz="4" w:space="0" w:color="auto"/>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3,60</w:t>
            </w:r>
          </w:p>
        </w:tc>
        <w:tc>
          <w:tcPr>
            <w:tcW w:w="850" w:type="dxa"/>
            <w:tcBorders>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3,60</w:t>
            </w:r>
          </w:p>
        </w:tc>
      </w:tr>
      <w:tr w:rsidR="00587135" w:rsidRPr="00006F11" w:rsidTr="002C31A2">
        <w:trPr>
          <w:trHeight w:val="454"/>
        </w:trPr>
        <w:tc>
          <w:tcPr>
            <w:tcW w:w="1140" w:type="dxa"/>
            <w:tcBorders>
              <w:top w:val="single" w:sz="4" w:space="0" w:color="auto"/>
              <w:bottom w:val="single" w:sz="4" w:space="0" w:color="auto"/>
            </w:tcBorders>
            <w:shd w:val="clear" w:color="000000" w:fill="FFFFFF"/>
            <w:vAlign w:val="center"/>
            <w:hideMark/>
          </w:tcPr>
          <w:p w:rsidR="00587135" w:rsidRPr="00006F11" w:rsidRDefault="00587135" w:rsidP="002C31A2">
            <w:pPr>
              <w:spacing w:after="0"/>
              <w:ind w:firstLine="0"/>
              <w:jc w:val="lef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4ª matrícula</w:t>
            </w:r>
          </w:p>
        </w:tc>
        <w:tc>
          <w:tcPr>
            <w:tcW w:w="852" w:type="dxa"/>
            <w:tcBorders>
              <w:top w:val="single" w:sz="4" w:space="0" w:color="auto"/>
              <w:bottom w:val="single" w:sz="4" w:space="0" w:color="auto"/>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98,43</w:t>
            </w:r>
          </w:p>
        </w:tc>
        <w:tc>
          <w:tcPr>
            <w:tcW w:w="856" w:type="dxa"/>
            <w:tcBorders>
              <w:top w:val="single" w:sz="4" w:space="0" w:color="auto"/>
              <w:bottom w:val="single" w:sz="4" w:space="0" w:color="auto"/>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71,09</w:t>
            </w:r>
          </w:p>
        </w:tc>
        <w:tc>
          <w:tcPr>
            <w:tcW w:w="847" w:type="dxa"/>
            <w:tcBorders>
              <w:top w:val="single" w:sz="4" w:space="0" w:color="auto"/>
              <w:bottom w:val="single" w:sz="4" w:space="0" w:color="auto"/>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99,71</w:t>
            </w:r>
          </w:p>
        </w:tc>
        <w:tc>
          <w:tcPr>
            <w:tcW w:w="850" w:type="dxa"/>
            <w:tcBorders>
              <w:top w:val="single" w:sz="4" w:space="0" w:color="auto"/>
              <w:bottom w:val="single" w:sz="4" w:space="0" w:color="auto"/>
              <w:right w:val="nil"/>
            </w:tcBorders>
            <w:shd w:val="clear" w:color="000000" w:fill="FFFFFF"/>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72,01</w:t>
            </w:r>
          </w:p>
        </w:tc>
        <w:tc>
          <w:tcPr>
            <w:tcW w:w="818" w:type="dxa"/>
            <w:tcBorders>
              <w:top w:val="single" w:sz="4" w:space="0" w:color="auto"/>
              <w:left w:val="nil"/>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1,30</w:t>
            </w:r>
          </w:p>
        </w:tc>
        <w:tc>
          <w:tcPr>
            <w:tcW w:w="883"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1,30</w:t>
            </w:r>
          </w:p>
        </w:tc>
        <w:tc>
          <w:tcPr>
            <w:tcW w:w="876" w:type="dxa"/>
            <w:tcBorders>
              <w:top w:val="single" w:sz="4" w:space="0" w:color="auto"/>
              <w:left w:val="single" w:sz="4" w:space="0" w:color="auto"/>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102,00</w:t>
            </w:r>
          </w:p>
        </w:tc>
        <w:tc>
          <w:tcPr>
            <w:tcW w:w="850" w:type="dxa"/>
            <w:tcBorders>
              <w:top w:val="single" w:sz="4" w:space="0" w:color="auto"/>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73,67</w:t>
            </w:r>
          </w:p>
        </w:tc>
        <w:tc>
          <w:tcPr>
            <w:tcW w:w="882" w:type="dxa"/>
            <w:tcBorders>
              <w:top w:val="single" w:sz="4" w:space="0" w:color="auto"/>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2,30</w:t>
            </w:r>
          </w:p>
        </w:tc>
        <w:tc>
          <w:tcPr>
            <w:tcW w:w="851"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2,30</w:t>
            </w:r>
          </w:p>
        </w:tc>
        <w:tc>
          <w:tcPr>
            <w:tcW w:w="828" w:type="dxa"/>
            <w:tcBorders>
              <w:top w:val="single" w:sz="4" w:space="0" w:color="auto"/>
              <w:left w:val="single" w:sz="4" w:space="0" w:color="auto"/>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102,00</w:t>
            </w:r>
          </w:p>
        </w:tc>
        <w:tc>
          <w:tcPr>
            <w:tcW w:w="957" w:type="dxa"/>
            <w:tcBorders>
              <w:top w:val="single" w:sz="4" w:space="0" w:color="auto"/>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73,65</w:t>
            </w:r>
          </w:p>
        </w:tc>
        <w:tc>
          <w:tcPr>
            <w:tcW w:w="886" w:type="dxa"/>
            <w:gridSpan w:val="2"/>
            <w:tcBorders>
              <w:top w:val="single" w:sz="4" w:space="0" w:color="auto"/>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0,00</w:t>
            </w:r>
          </w:p>
        </w:tc>
        <w:tc>
          <w:tcPr>
            <w:tcW w:w="817" w:type="dxa"/>
            <w:tcBorders>
              <w:top w:val="single" w:sz="4" w:space="0" w:color="auto"/>
              <w:bottom w:val="single" w:sz="4" w:space="0" w:color="auto"/>
              <w:right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0,00</w:t>
            </w:r>
          </w:p>
        </w:tc>
        <w:tc>
          <w:tcPr>
            <w:tcW w:w="884" w:type="dxa"/>
            <w:gridSpan w:val="2"/>
            <w:tcBorders>
              <w:top w:val="single" w:sz="4" w:space="0" w:color="auto"/>
              <w:left w:val="single" w:sz="4" w:space="0" w:color="auto"/>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3,60</w:t>
            </w:r>
          </w:p>
        </w:tc>
        <w:tc>
          <w:tcPr>
            <w:tcW w:w="850" w:type="dxa"/>
            <w:tcBorders>
              <w:top w:val="single" w:sz="4" w:space="0" w:color="auto"/>
              <w:bottom w:val="single" w:sz="4" w:space="0" w:color="auto"/>
            </w:tcBorders>
            <w:shd w:val="clear" w:color="auto" w:fill="auto"/>
            <w:vAlign w:val="center"/>
            <w:hideMark/>
          </w:tcPr>
          <w:p w:rsidR="00587135" w:rsidRPr="00006F11" w:rsidRDefault="00587135" w:rsidP="002C31A2">
            <w:pPr>
              <w:spacing w:after="0"/>
              <w:ind w:firstLine="0"/>
              <w:jc w:val="right"/>
              <w:rPr>
                <w:rFonts w:ascii="Arial Narrow" w:hAnsi="Arial Narrow" w:cs="Calibri"/>
                <w:color w:val="000000"/>
                <w:sz w:val="18"/>
                <w:szCs w:val="18"/>
                <w:lang w:val="es-ES" w:eastAsia="es-ES"/>
              </w:rPr>
            </w:pPr>
            <w:r w:rsidRPr="00006F11">
              <w:rPr>
                <w:rFonts w:ascii="Arial Narrow" w:hAnsi="Arial Narrow" w:cs="Calibri"/>
                <w:color w:val="000000"/>
                <w:sz w:val="18"/>
                <w:szCs w:val="18"/>
                <w:lang w:val="es-ES" w:eastAsia="es-ES"/>
              </w:rPr>
              <w:t>3,60</w:t>
            </w:r>
          </w:p>
        </w:tc>
      </w:tr>
    </w:tbl>
    <w:p w:rsidR="00587135" w:rsidRPr="009F30D8" w:rsidRDefault="00587135" w:rsidP="00587135">
      <w:pPr>
        <w:pStyle w:val="texto"/>
        <w:tabs>
          <w:tab w:val="clear" w:pos="2835"/>
          <w:tab w:val="clear" w:pos="3969"/>
          <w:tab w:val="clear" w:pos="5103"/>
          <w:tab w:val="clear" w:pos="6237"/>
          <w:tab w:val="clear" w:pos="7371"/>
          <w:tab w:val="left" w:pos="8647"/>
        </w:tabs>
        <w:ind w:firstLine="0"/>
        <w:rPr>
          <w:szCs w:val="26"/>
        </w:rPr>
      </w:pPr>
    </w:p>
    <w:p w:rsidR="00587135" w:rsidRDefault="00587135">
      <w:pPr>
        <w:spacing w:after="0"/>
        <w:ind w:firstLine="0"/>
        <w:jc w:val="left"/>
        <w:rPr>
          <w:rFonts w:ascii="Arial" w:hAnsi="Arial"/>
          <w:color w:val="000000"/>
          <w:spacing w:val="6"/>
          <w:kern w:val="28"/>
          <w:sz w:val="25"/>
          <w:szCs w:val="26"/>
        </w:rPr>
      </w:pPr>
      <w:r>
        <w:rPr>
          <w:b/>
          <w:spacing w:val="6"/>
        </w:rPr>
        <w:br w:type="page"/>
      </w:r>
    </w:p>
    <w:p w:rsidR="00414999" w:rsidRDefault="00414999" w:rsidP="00C15BA1">
      <w:pPr>
        <w:pStyle w:val="atitulo1"/>
        <w:tabs>
          <w:tab w:val="left" w:pos="8647"/>
        </w:tabs>
        <w:spacing w:after="120"/>
        <w:ind w:right="284"/>
        <w:jc w:val="left"/>
        <w:rPr>
          <w:b w:val="0"/>
          <w:spacing w:val="6"/>
        </w:rPr>
      </w:pPr>
      <w:bookmarkStart w:id="29" w:name="_Toc57285462"/>
      <w:r w:rsidRPr="000320F1">
        <w:rPr>
          <w:b w:val="0"/>
          <w:spacing w:val="6"/>
        </w:rPr>
        <w:lastRenderedPageBreak/>
        <w:t xml:space="preserve">Anexo </w:t>
      </w:r>
      <w:r w:rsidR="00587135">
        <w:rPr>
          <w:b w:val="0"/>
          <w:spacing w:val="6"/>
        </w:rPr>
        <w:t>2</w:t>
      </w:r>
      <w:r w:rsidR="00C15BA1">
        <w:rPr>
          <w:b w:val="0"/>
          <w:spacing w:val="6"/>
        </w:rPr>
        <w:t xml:space="preserve">.- </w:t>
      </w:r>
      <w:r w:rsidRPr="000320F1">
        <w:rPr>
          <w:b w:val="0"/>
          <w:spacing w:val="6"/>
        </w:rPr>
        <w:t>Convenio de financiación plurianual de la U</w:t>
      </w:r>
      <w:r w:rsidR="00C15BA1">
        <w:rPr>
          <w:b w:val="0"/>
          <w:spacing w:val="6"/>
        </w:rPr>
        <w:t>PNA</w:t>
      </w:r>
      <w:r w:rsidRPr="000320F1">
        <w:rPr>
          <w:b w:val="0"/>
          <w:spacing w:val="6"/>
        </w:rPr>
        <w:t xml:space="preserve"> 2018-2020</w:t>
      </w:r>
      <w:bookmarkEnd w:id="28"/>
      <w:bookmarkEnd w:id="29"/>
    </w:p>
    <w:tbl>
      <w:tblPr>
        <w:tblW w:w="13466" w:type="dxa"/>
        <w:tblInd w:w="-142" w:type="dxa"/>
        <w:tblCellMar>
          <w:left w:w="70" w:type="dxa"/>
          <w:right w:w="70" w:type="dxa"/>
        </w:tblCellMar>
        <w:tblLook w:val="04A0" w:firstRow="1" w:lastRow="0" w:firstColumn="1" w:lastColumn="0" w:noHBand="0" w:noVBand="1"/>
      </w:tblPr>
      <w:tblGrid>
        <w:gridCol w:w="1276"/>
        <w:gridCol w:w="144"/>
        <w:gridCol w:w="146"/>
        <w:gridCol w:w="1411"/>
        <w:gridCol w:w="286"/>
        <w:gridCol w:w="2407"/>
        <w:gridCol w:w="707"/>
        <w:gridCol w:w="612"/>
        <w:gridCol w:w="1656"/>
        <w:gridCol w:w="84"/>
        <w:gridCol w:w="1050"/>
        <w:gridCol w:w="551"/>
        <w:gridCol w:w="630"/>
        <w:gridCol w:w="947"/>
        <w:gridCol w:w="234"/>
        <w:gridCol w:w="1182"/>
        <w:gridCol w:w="143"/>
      </w:tblGrid>
      <w:tr w:rsidR="00414999" w:rsidRPr="00436C70" w:rsidTr="004C6011">
        <w:trPr>
          <w:trHeight w:val="170"/>
        </w:trPr>
        <w:tc>
          <w:tcPr>
            <w:tcW w:w="1566" w:type="dxa"/>
            <w:gridSpan w:val="3"/>
            <w:tcBorders>
              <w:top w:val="single" w:sz="4" w:space="0" w:color="auto"/>
              <w:left w:val="nil"/>
              <w:bottom w:val="single" w:sz="4" w:space="0" w:color="auto"/>
              <w:right w:val="nil"/>
            </w:tcBorders>
            <w:shd w:val="clear" w:color="auto" w:fill="B8CCE4" w:themeFill="accent1" w:themeFillTint="66"/>
            <w:noWrap/>
            <w:vAlign w:val="center"/>
          </w:tcPr>
          <w:p w:rsidR="00414999" w:rsidRPr="00436C70" w:rsidRDefault="00414999" w:rsidP="00F44C41">
            <w:pPr>
              <w:tabs>
                <w:tab w:val="left" w:pos="8647"/>
              </w:tabs>
              <w:spacing w:after="0"/>
              <w:ind w:right="-68" w:firstLine="0"/>
              <w:jc w:val="left"/>
              <w:rPr>
                <w:rFonts w:ascii="Arial Narrow" w:hAnsi="Arial Narrow" w:cs="Arial"/>
                <w:sz w:val="18"/>
                <w:szCs w:val="18"/>
                <w:lang w:val="es-ES" w:eastAsia="es-ES"/>
              </w:rPr>
            </w:pPr>
            <w:r>
              <w:rPr>
                <w:rFonts w:ascii="Arial Narrow" w:hAnsi="Arial Narrow" w:cs="Arial"/>
                <w:sz w:val="18"/>
                <w:szCs w:val="18"/>
                <w:lang w:val="es-ES" w:eastAsia="es-ES"/>
              </w:rPr>
              <w:t>Componente</w:t>
            </w:r>
          </w:p>
        </w:tc>
        <w:tc>
          <w:tcPr>
            <w:tcW w:w="1697" w:type="dxa"/>
            <w:gridSpan w:val="2"/>
            <w:tcBorders>
              <w:top w:val="single" w:sz="4" w:space="0" w:color="auto"/>
              <w:left w:val="nil"/>
              <w:bottom w:val="single" w:sz="4" w:space="0" w:color="auto"/>
              <w:right w:val="nil"/>
            </w:tcBorders>
            <w:shd w:val="clear" w:color="auto" w:fill="B8CCE4" w:themeFill="accent1" w:themeFillTint="66"/>
            <w:noWrap/>
            <w:vAlign w:val="center"/>
          </w:tcPr>
          <w:p w:rsidR="00414999" w:rsidRPr="00436C70" w:rsidRDefault="00414999" w:rsidP="00F44C41">
            <w:pPr>
              <w:tabs>
                <w:tab w:val="left" w:pos="8647"/>
              </w:tabs>
              <w:spacing w:after="0"/>
              <w:ind w:left="-64" w:right="78" w:firstLine="0"/>
              <w:jc w:val="left"/>
              <w:rPr>
                <w:rFonts w:ascii="Arial Narrow" w:hAnsi="Arial Narrow" w:cs="Arial"/>
                <w:sz w:val="18"/>
                <w:szCs w:val="18"/>
                <w:lang w:val="es-ES" w:eastAsia="es-ES"/>
              </w:rPr>
            </w:pPr>
            <w:r>
              <w:rPr>
                <w:rFonts w:ascii="Arial Narrow" w:hAnsi="Arial Narrow" w:cs="Arial"/>
                <w:sz w:val="18"/>
                <w:szCs w:val="18"/>
                <w:lang w:val="es-ES" w:eastAsia="es-ES"/>
              </w:rPr>
              <w:t>Instrumentos</w:t>
            </w:r>
          </w:p>
        </w:tc>
        <w:tc>
          <w:tcPr>
            <w:tcW w:w="2407" w:type="dxa"/>
            <w:tcBorders>
              <w:top w:val="single" w:sz="4" w:space="0" w:color="auto"/>
              <w:left w:val="nil"/>
              <w:bottom w:val="single" w:sz="4" w:space="0" w:color="auto"/>
              <w:right w:val="nil"/>
            </w:tcBorders>
            <w:shd w:val="clear" w:color="auto" w:fill="B8CCE4" w:themeFill="accent1" w:themeFillTint="66"/>
            <w:vAlign w:val="center"/>
          </w:tcPr>
          <w:p w:rsidR="00414999" w:rsidRDefault="00414999" w:rsidP="00F44C41">
            <w:pPr>
              <w:tabs>
                <w:tab w:val="left" w:pos="8647"/>
              </w:tabs>
              <w:spacing w:after="0"/>
              <w:ind w:left="70" w:right="78" w:firstLine="0"/>
              <w:jc w:val="left"/>
              <w:rPr>
                <w:rFonts w:ascii="Arial Narrow" w:hAnsi="Arial Narrow" w:cs="Arial"/>
                <w:sz w:val="18"/>
                <w:szCs w:val="18"/>
                <w:lang w:val="es-ES" w:eastAsia="es-ES"/>
              </w:rPr>
            </w:pPr>
            <w:r>
              <w:rPr>
                <w:rFonts w:ascii="Arial Narrow" w:hAnsi="Arial Narrow" w:cs="Arial"/>
                <w:sz w:val="18"/>
                <w:szCs w:val="18"/>
                <w:lang w:val="es-ES" w:eastAsia="es-ES"/>
              </w:rPr>
              <w:t>Elementos</w:t>
            </w:r>
          </w:p>
        </w:tc>
        <w:tc>
          <w:tcPr>
            <w:tcW w:w="1319" w:type="dxa"/>
            <w:gridSpan w:val="2"/>
            <w:tcBorders>
              <w:top w:val="single" w:sz="4" w:space="0" w:color="auto"/>
              <w:left w:val="nil"/>
              <w:bottom w:val="single" w:sz="4" w:space="0" w:color="auto"/>
              <w:right w:val="nil"/>
            </w:tcBorders>
            <w:shd w:val="clear" w:color="auto" w:fill="B8CCE4" w:themeFill="accent1" w:themeFillTint="66"/>
            <w:vAlign w:val="center"/>
          </w:tcPr>
          <w:p w:rsidR="00414999" w:rsidRDefault="00414999" w:rsidP="00F44C41">
            <w:pPr>
              <w:tabs>
                <w:tab w:val="left" w:pos="8647"/>
              </w:tabs>
              <w:spacing w:after="0"/>
              <w:ind w:right="78" w:firstLine="0"/>
              <w:jc w:val="left"/>
              <w:rPr>
                <w:rFonts w:ascii="Arial Narrow" w:hAnsi="Arial Narrow" w:cs="Arial"/>
                <w:sz w:val="18"/>
                <w:szCs w:val="18"/>
                <w:lang w:val="es-ES" w:eastAsia="es-ES"/>
              </w:rPr>
            </w:pPr>
            <w:r>
              <w:rPr>
                <w:rFonts w:ascii="Arial Narrow" w:hAnsi="Arial Narrow" w:cs="Arial"/>
                <w:sz w:val="18"/>
                <w:szCs w:val="18"/>
                <w:lang w:val="es-ES" w:eastAsia="es-ES"/>
              </w:rPr>
              <w:t>Valores iniciales</w:t>
            </w:r>
          </w:p>
        </w:tc>
        <w:tc>
          <w:tcPr>
            <w:tcW w:w="1740" w:type="dxa"/>
            <w:gridSpan w:val="2"/>
            <w:tcBorders>
              <w:top w:val="single" w:sz="4" w:space="0" w:color="auto"/>
              <w:left w:val="nil"/>
              <w:bottom w:val="single" w:sz="4" w:space="0" w:color="auto"/>
              <w:right w:val="nil"/>
            </w:tcBorders>
            <w:shd w:val="clear" w:color="auto" w:fill="B8CCE4" w:themeFill="accent1" w:themeFillTint="66"/>
            <w:vAlign w:val="center"/>
          </w:tcPr>
          <w:p w:rsidR="00414999" w:rsidRDefault="00414999" w:rsidP="00F44C41">
            <w:pPr>
              <w:tabs>
                <w:tab w:val="left" w:pos="8647"/>
              </w:tabs>
              <w:spacing w:after="0"/>
              <w:ind w:right="78" w:firstLine="0"/>
              <w:jc w:val="left"/>
              <w:rPr>
                <w:rFonts w:ascii="Arial Narrow" w:hAnsi="Arial Narrow" w:cs="Arial"/>
                <w:sz w:val="18"/>
                <w:szCs w:val="18"/>
                <w:lang w:val="es-ES" w:eastAsia="es-ES"/>
              </w:rPr>
            </w:pPr>
            <w:r>
              <w:rPr>
                <w:rFonts w:ascii="Arial Narrow" w:hAnsi="Arial Narrow" w:cs="Arial"/>
                <w:sz w:val="18"/>
                <w:szCs w:val="18"/>
                <w:lang w:val="es-ES" w:eastAsia="es-ES"/>
              </w:rPr>
              <w:t>Actualización</w:t>
            </w:r>
            <w:r>
              <w:rPr>
                <w:rStyle w:val="Refdenotaalpie"/>
                <w:rFonts w:ascii="Arial Narrow" w:hAnsi="Arial Narrow" w:cs="Arial"/>
                <w:sz w:val="18"/>
                <w:szCs w:val="18"/>
                <w:lang w:val="es-ES" w:eastAsia="es-ES"/>
              </w:rPr>
              <w:footnoteReference w:id="4"/>
            </w:r>
          </w:p>
        </w:tc>
        <w:tc>
          <w:tcPr>
            <w:tcW w:w="1601" w:type="dxa"/>
            <w:gridSpan w:val="2"/>
            <w:tcBorders>
              <w:top w:val="single" w:sz="4" w:space="0" w:color="auto"/>
              <w:left w:val="nil"/>
              <w:bottom w:val="single" w:sz="4" w:space="0" w:color="auto"/>
              <w:right w:val="nil"/>
            </w:tcBorders>
            <w:shd w:val="clear" w:color="auto" w:fill="B8CCE4" w:themeFill="accent1" w:themeFillTint="66"/>
            <w:vAlign w:val="center"/>
          </w:tcPr>
          <w:p w:rsidR="00414999" w:rsidRDefault="00414999" w:rsidP="00F44C41">
            <w:pPr>
              <w:tabs>
                <w:tab w:val="left" w:pos="8647"/>
              </w:tabs>
              <w:spacing w:after="0"/>
              <w:ind w:right="78" w:firstLine="0"/>
              <w:jc w:val="right"/>
              <w:rPr>
                <w:rFonts w:ascii="Arial Narrow" w:hAnsi="Arial Narrow" w:cs="Arial"/>
                <w:sz w:val="18"/>
                <w:szCs w:val="18"/>
                <w:lang w:val="es-ES" w:eastAsia="es-ES"/>
              </w:rPr>
            </w:pPr>
            <w:r>
              <w:rPr>
                <w:rFonts w:ascii="Arial Narrow" w:hAnsi="Arial Narrow" w:cs="Arial"/>
                <w:sz w:val="18"/>
                <w:szCs w:val="18"/>
                <w:lang w:val="es-ES" w:eastAsia="es-ES"/>
              </w:rPr>
              <w:t>2018</w:t>
            </w:r>
          </w:p>
        </w:tc>
        <w:tc>
          <w:tcPr>
            <w:tcW w:w="1577" w:type="dxa"/>
            <w:gridSpan w:val="2"/>
            <w:tcBorders>
              <w:top w:val="single" w:sz="4" w:space="0" w:color="auto"/>
              <w:left w:val="nil"/>
              <w:bottom w:val="single" w:sz="4" w:space="0" w:color="auto"/>
              <w:right w:val="nil"/>
            </w:tcBorders>
            <w:shd w:val="clear" w:color="auto" w:fill="B8CCE4" w:themeFill="accent1" w:themeFillTint="66"/>
            <w:vAlign w:val="center"/>
          </w:tcPr>
          <w:p w:rsidR="00414999" w:rsidRDefault="00414999" w:rsidP="00F44C41">
            <w:pPr>
              <w:tabs>
                <w:tab w:val="left" w:pos="8647"/>
              </w:tabs>
              <w:spacing w:after="0"/>
              <w:ind w:right="66" w:firstLine="0"/>
              <w:jc w:val="right"/>
              <w:rPr>
                <w:rFonts w:ascii="Arial Narrow" w:hAnsi="Arial Narrow" w:cs="Arial"/>
                <w:sz w:val="18"/>
                <w:szCs w:val="18"/>
                <w:lang w:val="es-ES" w:eastAsia="es-ES"/>
              </w:rPr>
            </w:pPr>
            <w:r>
              <w:rPr>
                <w:rFonts w:ascii="Arial Narrow" w:hAnsi="Arial Narrow" w:cs="Arial"/>
                <w:sz w:val="18"/>
                <w:szCs w:val="18"/>
                <w:lang w:val="es-ES" w:eastAsia="es-ES"/>
              </w:rPr>
              <w:t>Estimado</w:t>
            </w:r>
          </w:p>
          <w:p w:rsidR="00414999" w:rsidRDefault="00414999" w:rsidP="00F44C41">
            <w:pPr>
              <w:tabs>
                <w:tab w:val="left" w:pos="8647"/>
              </w:tabs>
              <w:spacing w:after="0"/>
              <w:ind w:right="66" w:firstLine="0"/>
              <w:jc w:val="right"/>
              <w:rPr>
                <w:rFonts w:ascii="Arial Narrow" w:hAnsi="Arial Narrow" w:cs="Arial"/>
                <w:bCs/>
                <w:sz w:val="18"/>
                <w:szCs w:val="18"/>
                <w:lang w:val="es-ES" w:eastAsia="es-ES"/>
              </w:rPr>
            </w:pPr>
            <w:r>
              <w:rPr>
                <w:rFonts w:ascii="Arial Narrow" w:hAnsi="Arial Narrow" w:cs="Arial"/>
                <w:sz w:val="18"/>
                <w:szCs w:val="18"/>
                <w:lang w:val="es-ES" w:eastAsia="es-ES"/>
              </w:rPr>
              <w:t>2019</w:t>
            </w:r>
          </w:p>
        </w:tc>
        <w:tc>
          <w:tcPr>
            <w:tcW w:w="1559" w:type="dxa"/>
            <w:gridSpan w:val="3"/>
            <w:tcBorders>
              <w:top w:val="single" w:sz="4" w:space="0" w:color="auto"/>
              <w:left w:val="nil"/>
              <w:bottom w:val="single" w:sz="4" w:space="0" w:color="auto"/>
              <w:right w:val="nil"/>
            </w:tcBorders>
            <w:shd w:val="clear" w:color="auto" w:fill="B8CCE4" w:themeFill="accent1" w:themeFillTint="66"/>
            <w:vAlign w:val="center"/>
          </w:tcPr>
          <w:p w:rsidR="00414999" w:rsidRDefault="00414999" w:rsidP="00F44C41">
            <w:pPr>
              <w:tabs>
                <w:tab w:val="left" w:pos="8647"/>
              </w:tabs>
              <w:spacing w:after="0"/>
              <w:ind w:right="66" w:firstLine="0"/>
              <w:jc w:val="right"/>
              <w:rPr>
                <w:rFonts w:ascii="Arial Narrow" w:hAnsi="Arial Narrow" w:cs="Arial"/>
                <w:sz w:val="18"/>
                <w:szCs w:val="18"/>
                <w:lang w:val="es-ES" w:eastAsia="es-ES"/>
              </w:rPr>
            </w:pPr>
            <w:r>
              <w:rPr>
                <w:rFonts w:ascii="Arial Narrow" w:hAnsi="Arial Narrow" w:cs="Arial"/>
                <w:sz w:val="18"/>
                <w:szCs w:val="18"/>
                <w:lang w:val="es-ES" w:eastAsia="es-ES"/>
              </w:rPr>
              <w:t xml:space="preserve">Estimado </w:t>
            </w:r>
          </w:p>
          <w:p w:rsidR="00414999" w:rsidRDefault="00414999" w:rsidP="00F44C41">
            <w:pPr>
              <w:tabs>
                <w:tab w:val="left" w:pos="8647"/>
              </w:tabs>
              <w:spacing w:after="0"/>
              <w:ind w:right="66" w:firstLine="0"/>
              <w:jc w:val="right"/>
              <w:rPr>
                <w:rFonts w:ascii="Arial Narrow" w:hAnsi="Arial Narrow" w:cs="Arial"/>
                <w:bCs/>
                <w:sz w:val="18"/>
                <w:szCs w:val="18"/>
                <w:lang w:val="es-ES" w:eastAsia="es-ES"/>
              </w:rPr>
            </w:pPr>
            <w:r>
              <w:rPr>
                <w:rFonts w:ascii="Arial Narrow" w:hAnsi="Arial Narrow" w:cs="Arial"/>
                <w:sz w:val="18"/>
                <w:szCs w:val="18"/>
                <w:lang w:val="es-ES" w:eastAsia="es-ES"/>
              </w:rPr>
              <w:t>2020</w:t>
            </w:r>
          </w:p>
        </w:tc>
      </w:tr>
      <w:tr w:rsidR="00414999" w:rsidRPr="00436C70" w:rsidTr="004C6011">
        <w:trPr>
          <w:trHeight w:val="170"/>
        </w:trPr>
        <w:tc>
          <w:tcPr>
            <w:tcW w:w="1420" w:type="dxa"/>
            <w:gridSpan w:val="2"/>
            <w:vMerge w:val="restart"/>
            <w:tcBorders>
              <w:top w:val="single" w:sz="4" w:space="0" w:color="auto"/>
              <w:left w:val="nil"/>
              <w:right w:val="nil"/>
            </w:tcBorders>
            <w:shd w:val="clear" w:color="auto" w:fill="auto"/>
            <w:noWrap/>
            <w:vAlign w:val="center"/>
          </w:tcPr>
          <w:p w:rsidR="00414999" w:rsidRDefault="00414999" w:rsidP="00F44C41">
            <w:pPr>
              <w:tabs>
                <w:tab w:val="left" w:pos="8647"/>
              </w:tabs>
              <w:spacing w:after="0"/>
              <w:ind w:right="-68" w:firstLine="0"/>
              <w:jc w:val="left"/>
              <w:rPr>
                <w:rFonts w:ascii="Arial Narrow" w:hAnsi="Arial Narrow" w:cs="Arial"/>
                <w:sz w:val="18"/>
                <w:szCs w:val="18"/>
                <w:lang w:val="es-ES" w:eastAsia="es-ES"/>
              </w:rPr>
            </w:pPr>
            <w:r>
              <w:rPr>
                <w:rFonts w:ascii="Arial Narrow" w:hAnsi="Arial Narrow" w:cs="Arial"/>
                <w:sz w:val="18"/>
                <w:szCs w:val="18"/>
                <w:lang w:val="es-ES" w:eastAsia="es-ES"/>
              </w:rPr>
              <w:t>Financiación</w:t>
            </w:r>
          </w:p>
          <w:p w:rsidR="00414999" w:rsidRPr="00436C70" w:rsidRDefault="00414999" w:rsidP="00F44C41">
            <w:pPr>
              <w:tabs>
                <w:tab w:val="left" w:pos="8647"/>
              </w:tabs>
              <w:spacing w:after="0"/>
              <w:ind w:right="-68" w:firstLine="0"/>
              <w:jc w:val="left"/>
              <w:rPr>
                <w:rFonts w:ascii="Arial Narrow" w:hAnsi="Arial Narrow" w:cs="Arial"/>
                <w:sz w:val="18"/>
                <w:szCs w:val="18"/>
                <w:lang w:val="es-ES" w:eastAsia="es-ES"/>
              </w:rPr>
            </w:pPr>
            <w:r>
              <w:rPr>
                <w:rFonts w:ascii="Arial Narrow" w:hAnsi="Arial Narrow" w:cs="Arial"/>
                <w:sz w:val="18"/>
                <w:szCs w:val="18"/>
                <w:lang w:val="es-ES" w:eastAsia="es-ES"/>
              </w:rPr>
              <w:t>estructural (FE)</w:t>
            </w:r>
          </w:p>
        </w:tc>
        <w:tc>
          <w:tcPr>
            <w:tcW w:w="1843" w:type="dxa"/>
            <w:gridSpan w:val="3"/>
            <w:tcBorders>
              <w:top w:val="single" w:sz="4" w:space="0" w:color="auto"/>
              <w:left w:val="nil"/>
              <w:bottom w:val="single" w:sz="4" w:space="0" w:color="auto"/>
              <w:right w:val="nil"/>
            </w:tcBorders>
            <w:shd w:val="clear" w:color="auto" w:fill="auto"/>
            <w:noWrap/>
            <w:vAlign w:val="center"/>
          </w:tcPr>
          <w:p w:rsidR="00414999" w:rsidRPr="00436C70" w:rsidRDefault="00414999" w:rsidP="00F44C41">
            <w:pPr>
              <w:tabs>
                <w:tab w:val="left" w:pos="8647"/>
              </w:tabs>
              <w:spacing w:after="0"/>
              <w:ind w:right="-68" w:firstLine="0"/>
              <w:jc w:val="left"/>
              <w:rPr>
                <w:rFonts w:ascii="Arial Narrow" w:hAnsi="Arial Narrow" w:cs="Arial"/>
                <w:sz w:val="18"/>
                <w:szCs w:val="18"/>
                <w:lang w:val="es-ES" w:eastAsia="es-ES"/>
              </w:rPr>
            </w:pPr>
            <w:r>
              <w:rPr>
                <w:rFonts w:ascii="Arial Narrow" w:hAnsi="Arial Narrow" w:cs="Arial"/>
                <w:sz w:val="18"/>
                <w:szCs w:val="18"/>
                <w:lang w:val="es-ES" w:eastAsia="es-ES"/>
              </w:rPr>
              <w:t>Subvención Fija (SF)</w:t>
            </w:r>
          </w:p>
        </w:tc>
        <w:tc>
          <w:tcPr>
            <w:tcW w:w="2407" w:type="dxa"/>
            <w:tcBorders>
              <w:top w:val="single" w:sz="4" w:space="0" w:color="auto"/>
              <w:left w:val="nil"/>
              <w:bottom w:val="single" w:sz="4" w:space="0" w:color="auto"/>
              <w:right w:val="nil"/>
            </w:tcBorders>
            <w:vAlign w:val="center"/>
          </w:tcPr>
          <w:p w:rsidR="00414999" w:rsidRDefault="00414999" w:rsidP="00F44C41">
            <w:pPr>
              <w:tabs>
                <w:tab w:val="left" w:pos="8647"/>
              </w:tabs>
              <w:spacing w:after="0"/>
              <w:ind w:left="70" w:right="-68" w:firstLine="0"/>
              <w:jc w:val="left"/>
              <w:rPr>
                <w:rFonts w:ascii="Arial Narrow" w:hAnsi="Arial Narrow" w:cs="Arial"/>
                <w:sz w:val="18"/>
                <w:szCs w:val="18"/>
                <w:lang w:val="es-ES" w:eastAsia="es-ES"/>
              </w:rPr>
            </w:pPr>
            <w:r>
              <w:rPr>
                <w:rFonts w:ascii="Arial Narrow" w:hAnsi="Arial Narrow" w:cs="Arial"/>
                <w:sz w:val="18"/>
                <w:szCs w:val="18"/>
                <w:lang w:val="es-ES" w:eastAsia="es-ES"/>
              </w:rPr>
              <w:t>Base 2017</w:t>
            </w:r>
          </w:p>
        </w:tc>
        <w:tc>
          <w:tcPr>
            <w:tcW w:w="1319" w:type="dxa"/>
            <w:gridSpan w:val="2"/>
            <w:tcBorders>
              <w:top w:val="single" w:sz="4" w:space="0" w:color="auto"/>
              <w:left w:val="nil"/>
              <w:bottom w:val="single" w:sz="4" w:space="0" w:color="auto"/>
              <w:right w:val="nil"/>
            </w:tcBorders>
            <w:vAlign w:val="center"/>
          </w:tcPr>
          <w:p w:rsidR="00414999" w:rsidRDefault="00414999" w:rsidP="00F44C41">
            <w:pPr>
              <w:tabs>
                <w:tab w:val="left" w:pos="8647"/>
              </w:tabs>
              <w:spacing w:after="0"/>
              <w:ind w:right="66" w:firstLine="0"/>
              <w:jc w:val="right"/>
              <w:rPr>
                <w:rFonts w:ascii="Arial Narrow" w:hAnsi="Arial Narrow" w:cs="Arial"/>
                <w:sz w:val="18"/>
                <w:szCs w:val="18"/>
                <w:lang w:val="es-ES" w:eastAsia="es-ES"/>
              </w:rPr>
            </w:pPr>
            <w:r>
              <w:rPr>
                <w:rFonts w:ascii="Arial Narrow" w:hAnsi="Arial Narrow" w:cs="Arial"/>
                <w:sz w:val="18"/>
                <w:szCs w:val="18"/>
                <w:lang w:val="es-ES" w:eastAsia="es-ES"/>
              </w:rPr>
              <w:t>21.440.361</w:t>
            </w:r>
          </w:p>
        </w:tc>
        <w:tc>
          <w:tcPr>
            <w:tcW w:w="1740" w:type="dxa"/>
            <w:gridSpan w:val="2"/>
            <w:vMerge w:val="restart"/>
            <w:tcBorders>
              <w:top w:val="single" w:sz="4" w:space="0" w:color="auto"/>
              <w:left w:val="nil"/>
              <w:right w:val="nil"/>
            </w:tcBorders>
            <w:vAlign w:val="center"/>
          </w:tcPr>
          <w:p w:rsidR="00414999" w:rsidRDefault="00414999" w:rsidP="00F44C41">
            <w:pPr>
              <w:tabs>
                <w:tab w:val="left" w:pos="8647"/>
              </w:tabs>
              <w:spacing w:after="0"/>
              <w:ind w:right="-68" w:firstLine="0"/>
              <w:jc w:val="left"/>
              <w:rPr>
                <w:rFonts w:ascii="Arial Narrow" w:hAnsi="Arial Narrow" w:cs="Arial"/>
                <w:sz w:val="18"/>
                <w:szCs w:val="18"/>
                <w:lang w:val="es-ES" w:eastAsia="es-ES"/>
              </w:rPr>
            </w:pPr>
            <w:r>
              <w:rPr>
                <w:rFonts w:ascii="Arial Narrow" w:hAnsi="Arial Narrow" w:cs="Arial"/>
                <w:sz w:val="18"/>
                <w:szCs w:val="18"/>
                <w:lang w:val="es-ES" w:eastAsia="es-ES"/>
              </w:rPr>
              <w:t>Índice de actualización</w:t>
            </w:r>
          </w:p>
        </w:tc>
        <w:tc>
          <w:tcPr>
            <w:tcW w:w="1601" w:type="dxa"/>
            <w:gridSpan w:val="2"/>
            <w:vMerge w:val="restart"/>
            <w:tcBorders>
              <w:top w:val="single" w:sz="4" w:space="0" w:color="auto"/>
              <w:left w:val="nil"/>
              <w:right w:val="nil"/>
            </w:tcBorders>
            <w:vAlign w:val="center"/>
          </w:tcPr>
          <w:p w:rsidR="00414999" w:rsidRDefault="006819AB" w:rsidP="00F44C41">
            <w:pPr>
              <w:tabs>
                <w:tab w:val="left" w:pos="8647"/>
              </w:tabs>
              <w:spacing w:after="0"/>
              <w:ind w:right="-68" w:firstLine="0"/>
              <w:jc w:val="right"/>
              <w:rPr>
                <w:rFonts w:ascii="Arial Narrow" w:hAnsi="Arial Narrow" w:cs="Arial"/>
                <w:sz w:val="18"/>
                <w:szCs w:val="18"/>
                <w:lang w:val="es-ES" w:eastAsia="es-ES"/>
              </w:rPr>
            </w:pPr>
            <w:r>
              <w:rPr>
                <w:rFonts w:ascii="Arial Narrow" w:hAnsi="Arial Narrow" w:cs="Arial"/>
                <w:sz w:val="18"/>
                <w:szCs w:val="18"/>
                <w:lang w:val="es-ES" w:eastAsia="es-ES"/>
              </w:rPr>
              <w:t>-</w:t>
            </w:r>
          </w:p>
        </w:tc>
        <w:tc>
          <w:tcPr>
            <w:tcW w:w="1577" w:type="dxa"/>
            <w:gridSpan w:val="2"/>
            <w:vMerge w:val="restart"/>
            <w:tcBorders>
              <w:top w:val="single" w:sz="4" w:space="0" w:color="auto"/>
              <w:left w:val="nil"/>
              <w:right w:val="nil"/>
            </w:tcBorders>
            <w:vAlign w:val="center"/>
          </w:tcPr>
          <w:p w:rsidR="00414999" w:rsidRDefault="006819AB" w:rsidP="00F44C41">
            <w:pPr>
              <w:tabs>
                <w:tab w:val="left" w:pos="8647"/>
              </w:tabs>
              <w:spacing w:after="0"/>
              <w:ind w:right="66" w:firstLine="0"/>
              <w:jc w:val="right"/>
              <w:rPr>
                <w:rFonts w:ascii="Arial Narrow" w:hAnsi="Arial Narrow" w:cs="Arial"/>
                <w:sz w:val="18"/>
                <w:szCs w:val="18"/>
                <w:lang w:val="es-ES" w:eastAsia="es-ES"/>
              </w:rPr>
            </w:pPr>
            <w:r>
              <w:rPr>
                <w:rFonts w:ascii="Arial Narrow" w:hAnsi="Arial Narrow" w:cs="Arial"/>
                <w:sz w:val="18"/>
                <w:szCs w:val="18"/>
                <w:lang w:val="es-ES" w:eastAsia="es-ES"/>
              </w:rPr>
              <w:t>-</w:t>
            </w:r>
          </w:p>
        </w:tc>
        <w:tc>
          <w:tcPr>
            <w:tcW w:w="1559" w:type="dxa"/>
            <w:gridSpan w:val="3"/>
            <w:vMerge w:val="restart"/>
            <w:tcBorders>
              <w:top w:val="single" w:sz="4" w:space="0" w:color="auto"/>
              <w:left w:val="nil"/>
              <w:right w:val="nil"/>
            </w:tcBorders>
            <w:vAlign w:val="center"/>
          </w:tcPr>
          <w:p w:rsidR="00414999" w:rsidRDefault="006819AB" w:rsidP="00F44C41">
            <w:pPr>
              <w:tabs>
                <w:tab w:val="left" w:pos="8647"/>
              </w:tabs>
              <w:spacing w:after="0"/>
              <w:ind w:right="66" w:firstLine="0"/>
              <w:jc w:val="right"/>
              <w:rPr>
                <w:rFonts w:ascii="Arial Narrow" w:hAnsi="Arial Narrow" w:cs="Arial"/>
                <w:sz w:val="18"/>
                <w:szCs w:val="18"/>
                <w:lang w:val="es-ES" w:eastAsia="es-ES"/>
              </w:rPr>
            </w:pPr>
            <w:r>
              <w:rPr>
                <w:rFonts w:ascii="Arial Narrow" w:hAnsi="Arial Narrow" w:cs="Arial"/>
                <w:sz w:val="18"/>
                <w:szCs w:val="18"/>
                <w:lang w:val="es-ES" w:eastAsia="es-ES"/>
              </w:rPr>
              <w:t>-</w:t>
            </w:r>
          </w:p>
        </w:tc>
      </w:tr>
      <w:tr w:rsidR="00414999" w:rsidRPr="00436C70" w:rsidTr="004C6011">
        <w:trPr>
          <w:trHeight w:val="170"/>
        </w:trPr>
        <w:tc>
          <w:tcPr>
            <w:tcW w:w="1420" w:type="dxa"/>
            <w:gridSpan w:val="2"/>
            <w:vMerge/>
            <w:tcBorders>
              <w:left w:val="nil"/>
              <w:bottom w:val="single" w:sz="4" w:space="0" w:color="auto"/>
              <w:right w:val="nil"/>
            </w:tcBorders>
            <w:shd w:val="clear" w:color="auto" w:fill="auto"/>
            <w:noWrap/>
            <w:vAlign w:val="center"/>
          </w:tcPr>
          <w:p w:rsidR="00414999" w:rsidRDefault="00414999" w:rsidP="00F44C41">
            <w:pPr>
              <w:tabs>
                <w:tab w:val="left" w:pos="8647"/>
              </w:tabs>
              <w:spacing w:after="0"/>
              <w:ind w:right="-68" w:firstLine="0"/>
              <w:jc w:val="left"/>
              <w:rPr>
                <w:rFonts w:ascii="Arial Narrow" w:hAnsi="Arial Narrow" w:cs="Arial"/>
                <w:bCs/>
                <w:sz w:val="18"/>
                <w:szCs w:val="18"/>
                <w:lang w:val="es-ES" w:eastAsia="es-ES"/>
              </w:rPr>
            </w:pPr>
          </w:p>
        </w:tc>
        <w:tc>
          <w:tcPr>
            <w:tcW w:w="1843" w:type="dxa"/>
            <w:gridSpan w:val="3"/>
            <w:tcBorders>
              <w:top w:val="single" w:sz="4" w:space="0" w:color="auto"/>
              <w:left w:val="nil"/>
              <w:bottom w:val="single" w:sz="4" w:space="0" w:color="auto"/>
              <w:right w:val="nil"/>
            </w:tcBorders>
            <w:shd w:val="clear" w:color="auto" w:fill="auto"/>
            <w:noWrap/>
            <w:vAlign w:val="center"/>
          </w:tcPr>
          <w:p w:rsidR="00414999" w:rsidRDefault="00414999" w:rsidP="00F44C41">
            <w:pPr>
              <w:tabs>
                <w:tab w:val="left" w:pos="8647"/>
              </w:tabs>
              <w:spacing w:after="0"/>
              <w:ind w:right="-68" w:firstLine="0"/>
              <w:jc w:val="left"/>
              <w:rPr>
                <w:rFonts w:ascii="Arial Narrow" w:hAnsi="Arial Narrow" w:cs="Arial"/>
                <w:bCs/>
                <w:sz w:val="18"/>
                <w:szCs w:val="18"/>
                <w:lang w:val="es-ES" w:eastAsia="es-ES"/>
              </w:rPr>
            </w:pPr>
            <w:r>
              <w:rPr>
                <w:rFonts w:ascii="Arial Narrow" w:hAnsi="Arial Narrow" w:cs="Arial"/>
                <w:bCs/>
                <w:sz w:val="18"/>
                <w:szCs w:val="18"/>
                <w:lang w:val="es-ES" w:eastAsia="es-ES"/>
              </w:rPr>
              <w:t>Financiación de la</w:t>
            </w:r>
          </w:p>
          <w:p w:rsidR="00414999" w:rsidRPr="00436C70" w:rsidRDefault="00414999" w:rsidP="00F44C41">
            <w:pPr>
              <w:tabs>
                <w:tab w:val="left" w:pos="8647"/>
              </w:tabs>
              <w:spacing w:after="0"/>
              <w:ind w:right="-68" w:firstLine="0"/>
              <w:jc w:val="left"/>
              <w:rPr>
                <w:rFonts w:ascii="Arial Narrow" w:hAnsi="Arial Narrow" w:cs="Arial"/>
                <w:bCs/>
                <w:sz w:val="18"/>
                <w:szCs w:val="18"/>
                <w:lang w:val="es-ES" w:eastAsia="es-ES"/>
              </w:rPr>
            </w:pPr>
            <w:r>
              <w:rPr>
                <w:rFonts w:ascii="Arial Narrow" w:hAnsi="Arial Narrow" w:cs="Arial"/>
                <w:bCs/>
                <w:sz w:val="18"/>
                <w:szCs w:val="18"/>
                <w:lang w:val="es-ES" w:eastAsia="es-ES"/>
              </w:rPr>
              <w:t>capacidad investigadora (FCI) (30% PDI)</w:t>
            </w:r>
          </w:p>
        </w:tc>
        <w:tc>
          <w:tcPr>
            <w:tcW w:w="2407" w:type="dxa"/>
            <w:tcBorders>
              <w:top w:val="single" w:sz="4" w:space="0" w:color="auto"/>
              <w:left w:val="nil"/>
              <w:bottom w:val="single" w:sz="4" w:space="0" w:color="auto"/>
              <w:right w:val="nil"/>
            </w:tcBorders>
            <w:vAlign w:val="center"/>
          </w:tcPr>
          <w:p w:rsidR="00414999" w:rsidRDefault="00414999" w:rsidP="00F44C41">
            <w:pPr>
              <w:tabs>
                <w:tab w:val="left" w:pos="8647"/>
              </w:tabs>
              <w:spacing w:after="0"/>
              <w:ind w:left="70" w:right="-68" w:firstLine="0"/>
              <w:jc w:val="left"/>
              <w:rPr>
                <w:rFonts w:ascii="Arial Narrow" w:hAnsi="Arial Narrow" w:cs="Arial"/>
                <w:bCs/>
                <w:sz w:val="18"/>
                <w:szCs w:val="18"/>
                <w:lang w:val="es-ES" w:eastAsia="es-ES"/>
              </w:rPr>
            </w:pPr>
            <w:r>
              <w:rPr>
                <w:rFonts w:ascii="Arial Narrow" w:hAnsi="Arial Narrow" w:cs="Arial"/>
                <w:bCs/>
                <w:sz w:val="18"/>
                <w:szCs w:val="18"/>
                <w:lang w:val="es-ES" w:eastAsia="es-ES"/>
              </w:rPr>
              <w:t>30% remuneraciones PDI</w:t>
            </w:r>
          </w:p>
        </w:tc>
        <w:tc>
          <w:tcPr>
            <w:tcW w:w="1319" w:type="dxa"/>
            <w:gridSpan w:val="2"/>
            <w:tcBorders>
              <w:top w:val="single" w:sz="4" w:space="0" w:color="auto"/>
              <w:left w:val="nil"/>
              <w:bottom w:val="single" w:sz="4" w:space="0" w:color="auto"/>
              <w:right w:val="nil"/>
            </w:tcBorders>
            <w:vAlign w:val="center"/>
          </w:tcPr>
          <w:p w:rsidR="00414999" w:rsidRDefault="00414999" w:rsidP="00F44C41">
            <w:pPr>
              <w:tabs>
                <w:tab w:val="left" w:pos="8647"/>
              </w:tabs>
              <w:spacing w:after="0"/>
              <w:ind w:right="66"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9.366.745</w:t>
            </w:r>
          </w:p>
        </w:tc>
        <w:tc>
          <w:tcPr>
            <w:tcW w:w="1740" w:type="dxa"/>
            <w:gridSpan w:val="2"/>
            <w:vMerge/>
            <w:tcBorders>
              <w:left w:val="nil"/>
              <w:bottom w:val="single" w:sz="4" w:space="0" w:color="auto"/>
              <w:right w:val="nil"/>
            </w:tcBorders>
            <w:vAlign w:val="center"/>
          </w:tcPr>
          <w:p w:rsidR="00414999" w:rsidRDefault="00414999" w:rsidP="00F44C41">
            <w:pPr>
              <w:tabs>
                <w:tab w:val="left" w:pos="8647"/>
              </w:tabs>
              <w:spacing w:after="0"/>
              <w:ind w:right="-68" w:firstLine="0"/>
              <w:jc w:val="left"/>
              <w:rPr>
                <w:rFonts w:ascii="Arial Narrow" w:hAnsi="Arial Narrow" w:cs="Arial"/>
                <w:bCs/>
                <w:sz w:val="18"/>
                <w:szCs w:val="18"/>
                <w:lang w:val="es-ES" w:eastAsia="es-ES"/>
              </w:rPr>
            </w:pPr>
          </w:p>
        </w:tc>
        <w:tc>
          <w:tcPr>
            <w:tcW w:w="1601" w:type="dxa"/>
            <w:gridSpan w:val="2"/>
            <w:vMerge/>
            <w:tcBorders>
              <w:left w:val="nil"/>
              <w:bottom w:val="single" w:sz="4" w:space="0" w:color="auto"/>
              <w:right w:val="nil"/>
            </w:tcBorders>
            <w:vAlign w:val="center"/>
          </w:tcPr>
          <w:p w:rsidR="00414999" w:rsidRDefault="00414999" w:rsidP="00F44C41">
            <w:pPr>
              <w:tabs>
                <w:tab w:val="left" w:pos="8647"/>
              </w:tabs>
              <w:spacing w:after="0"/>
              <w:ind w:right="-68" w:firstLine="0"/>
              <w:jc w:val="right"/>
              <w:rPr>
                <w:rFonts w:ascii="Arial Narrow" w:hAnsi="Arial Narrow" w:cs="Arial"/>
                <w:bCs/>
                <w:sz w:val="18"/>
                <w:szCs w:val="18"/>
                <w:lang w:val="es-ES" w:eastAsia="es-ES"/>
              </w:rPr>
            </w:pPr>
          </w:p>
        </w:tc>
        <w:tc>
          <w:tcPr>
            <w:tcW w:w="1577" w:type="dxa"/>
            <w:gridSpan w:val="2"/>
            <w:vMerge/>
            <w:tcBorders>
              <w:left w:val="nil"/>
              <w:bottom w:val="single" w:sz="4" w:space="0" w:color="auto"/>
              <w:right w:val="nil"/>
            </w:tcBorders>
            <w:vAlign w:val="center"/>
          </w:tcPr>
          <w:p w:rsidR="00414999" w:rsidRDefault="00414999" w:rsidP="00F44C41">
            <w:pPr>
              <w:tabs>
                <w:tab w:val="left" w:pos="8647"/>
              </w:tabs>
              <w:spacing w:after="0"/>
              <w:ind w:right="66" w:firstLine="0"/>
              <w:jc w:val="right"/>
              <w:rPr>
                <w:rFonts w:ascii="Arial Narrow" w:hAnsi="Arial Narrow" w:cs="Arial"/>
                <w:bCs/>
                <w:sz w:val="18"/>
                <w:szCs w:val="18"/>
                <w:lang w:val="es-ES" w:eastAsia="es-ES"/>
              </w:rPr>
            </w:pPr>
          </w:p>
        </w:tc>
        <w:tc>
          <w:tcPr>
            <w:tcW w:w="1559" w:type="dxa"/>
            <w:gridSpan w:val="3"/>
            <w:vMerge/>
            <w:tcBorders>
              <w:left w:val="nil"/>
              <w:bottom w:val="single" w:sz="4" w:space="0" w:color="auto"/>
              <w:right w:val="nil"/>
            </w:tcBorders>
            <w:vAlign w:val="center"/>
          </w:tcPr>
          <w:p w:rsidR="00414999" w:rsidRDefault="00414999" w:rsidP="00F44C41">
            <w:pPr>
              <w:tabs>
                <w:tab w:val="left" w:pos="8647"/>
              </w:tabs>
              <w:spacing w:after="0"/>
              <w:ind w:right="66" w:firstLine="0"/>
              <w:jc w:val="right"/>
              <w:rPr>
                <w:rFonts w:ascii="Arial Narrow" w:hAnsi="Arial Narrow" w:cs="Arial"/>
                <w:bCs/>
                <w:sz w:val="18"/>
                <w:szCs w:val="18"/>
                <w:lang w:val="es-ES" w:eastAsia="es-ES"/>
              </w:rPr>
            </w:pPr>
          </w:p>
        </w:tc>
      </w:tr>
      <w:tr w:rsidR="004C6011" w:rsidRPr="000320F1" w:rsidTr="004C6011">
        <w:trPr>
          <w:trHeight w:val="284"/>
        </w:trPr>
        <w:tc>
          <w:tcPr>
            <w:tcW w:w="1420" w:type="dxa"/>
            <w:gridSpan w:val="2"/>
            <w:tcBorders>
              <w:top w:val="single" w:sz="4" w:space="0" w:color="auto"/>
              <w:left w:val="nil"/>
              <w:bottom w:val="single" w:sz="4" w:space="0" w:color="auto"/>
              <w:right w:val="nil"/>
            </w:tcBorders>
            <w:shd w:val="clear" w:color="auto" w:fill="B8CCE4" w:themeFill="accent1" w:themeFillTint="66"/>
            <w:noWrap/>
            <w:vAlign w:val="center"/>
          </w:tcPr>
          <w:p w:rsidR="004C6011" w:rsidRPr="000320F1" w:rsidRDefault="004C6011" w:rsidP="004C6011">
            <w:pPr>
              <w:tabs>
                <w:tab w:val="left" w:pos="8647"/>
              </w:tabs>
              <w:spacing w:after="0"/>
              <w:ind w:right="-68" w:firstLine="0"/>
              <w:jc w:val="left"/>
              <w:rPr>
                <w:rFonts w:ascii="Arial Narrow" w:hAnsi="Arial Narrow" w:cs="Arial"/>
                <w:bCs/>
                <w:sz w:val="18"/>
                <w:szCs w:val="18"/>
                <w:lang w:val="es-ES" w:eastAsia="es-ES"/>
              </w:rPr>
            </w:pPr>
            <w:r w:rsidRPr="000320F1">
              <w:rPr>
                <w:rFonts w:ascii="Arial Narrow" w:hAnsi="Arial Narrow" w:cs="Arial"/>
                <w:bCs/>
                <w:sz w:val="18"/>
                <w:szCs w:val="18"/>
                <w:lang w:val="es-ES" w:eastAsia="es-ES"/>
              </w:rPr>
              <w:t>Subtotal FE</w:t>
            </w:r>
          </w:p>
        </w:tc>
        <w:tc>
          <w:tcPr>
            <w:tcW w:w="1843" w:type="dxa"/>
            <w:gridSpan w:val="3"/>
            <w:tcBorders>
              <w:top w:val="single" w:sz="4" w:space="0" w:color="auto"/>
              <w:left w:val="nil"/>
              <w:bottom w:val="single" w:sz="4" w:space="0" w:color="auto"/>
              <w:right w:val="nil"/>
            </w:tcBorders>
            <w:shd w:val="clear" w:color="auto" w:fill="B8CCE4" w:themeFill="accent1" w:themeFillTint="66"/>
            <w:noWrap/>
            <w:vAlign w:val="center"/>
          </w:tcPr>
          <w:p w:rsidR="004C6011" w:rsidRPr="000320F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2407" w:type="dxa"/>
            <w:tcBorders>
              <w:top w:val="single" w:sz="4" w:space="0" w:color="auto"/>
              <w:left w:val="nil"/>
              <w:bottom w:val="single" w:sz="4" w:space="0" w:color="auto"/>
              <w:right w:val="nil"/>
            </w:tcBorders>
            <w:shd w:val="clear" w:color="auto" w:fill="B8CCE4" w:themeFill="accent1" w:themeFillTint="66"/>
            <w:vAlign w:val="center"/>
          </w:tcPr>
          <w:p w:rsidR="004C6011" w:rsidRPr="000320F1" w:rsidRDefault="004C6011" w:rsidP="004C6011">
            <w:pPr>
              <w:tabs>
                <w:tab w:val="left" w:pos="8647"/>
              </w:tabs>
              <w:spacing w:after="0"/>
              <w:ind w:left="70" w:right="-68" w:firstLine="0"/>
              <w:jc w:val="left"/>
              <w:rPr>
                <w:rFonts w:ascii="Arial Narrow" w:hAnsi="Arial Narrow" w:cs="Arial"/>
                <w:bCs/>
                <w:sz w:val="18"/>
                <w:szCs w:val="18"/>
                <w:lang w:val="es-ES" w:eastAsia="es-ES"/>
              </w:rPr>
            </w:pPr>
          </w:p>
        </w:tc>
        <w:tc>
          <w:tcPr>
            <w:tcW w:w="1319" w:type="dxa"/>
            <w:gridSpan w:val="2"/>
            <w:tcBorders>
              <w:top w:val="single" w:sz="4" w:space="0" w:color="auto"/>
              <w:left w:val="nil"/>
              <w:bottom w:val="single" w:sz="4" w:space="0" w:color="auto"/>
              <w:right w:val="nil"/>
            </w:tcBorders>
            <w:shd w:val="clear" w:color="auto" w:fill="B8CCE4" w:themeFill="accent1" w:themeFillTint="66"/>
            <w:vAlign w:val="center"/>
          </w:tcPr>
          <w:p w:rsidR="004C6011" w:rsidRPr="000320F1" w:rsidRDefault="004C6011" w:rsidP="004C6011">
            <w:pPr>
              <w:tabs>
                <w:tab w:val="left" w:pos="8647"/>
              </w:tabs>
              <w:spacing w:after="0"/>
              <w:ind w:right="66"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30.807.107</w:t>
            </w:r>
          </w:p>
        </w:tc>
        <w:tc>
          <w:tcPr>
            <w:tcW w:w="1740" w:type="dxa"/>
            <w:gridSpan w:val="2"/>
            <w:tcBorders>
              <w:top w:val="single" w:sz="4" w:space="0" w:color="auto"/>
              <w:left w:val="nil"/>
              <w:bottom w:val="single" w:sz="4" w:space="0" w:color="auto"/>
              <w:right w:val="nil"/>
            </w:tcBorders>
            <w:shd w:val="clear" w:color="auto" w:fill="B8CCE4" w:themeFill="accent1" w:themeFillTint="66"/>
            <w:vAlign w:val="center"/>
          </w:tcPr>
          <w:p w:rsidR="004C6011" w:rsidRPr="000320F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601" w:type="dxa"/>
            <w:gridSpan w:val="2"/>
            <w:tcBorders>
              <w:top w:val="single" w:sz="4" w:space="0" w:color="auto"/>
              <w:left w:val="nil"/>
              <w:bottom w:val="single" w:sz="4" w:space="0" w:color="auto"/>
              <w:right w:val="nil"/>
            </w:tcBorders>
            <w:shd w:val="clear" w:color="auto" w:fill="B8CCE4" w:themeFill="accent1" w:themeFillTint="66"/>
            <w:vAlign w:val="center"/>
          </w:tcPr>
          <w:p w:rsidR="004C6011" w:rsidRPr="000320F1" w:rsidRDefault="004C6011" w:rsidP="004C6011">
            <w:pPr>
              <w:tabs>
                <w:tab w:val="left" w:pos="8647"/>
              </w:tabs>
              <w:spacing w:after="0"/>
              <w:ind w:right="-68" w:firstLine="0"/>
              <w:jc w:val="right"/>
              <w:rPr>
                <w:rFonts w:ascii="Arial Narrow" w:hAnsi="Arial Narrow" w:cs="Arial"/>
                <w:bCs/>
                <w:sz w:val="18"/>
                <w:szCs w:val="18"/>
                <w:lang w:val="es-ES" w:eastAsia="es-ES"/>
              </w:rPr>
            </w:pPr>
            <w:r w:rsidRPr="000320F1">
              <w:rPr>
                <w:rFonts w:ascii="Arial Narrow" w:hAnsi="Arial Narrow" w:cs="Arial"/>
                <w:bCs/>
                <w:sz w:val="18"/>
                <w:szCs w:val="18"/>
                <w:lang w:val="es-ES" w:eastAsia="es-ES"/>
              </w:rPr>
              <w:t>31.394.752</w:t>
            </w:r>
          </w:p>
        </w:tc>
        <w:tc>
          <w:tcPr>
            <w:tcW w:w="1577" w:type="dxa"/>
            <w:gridSpan w:val="2"/>
            <w:tcBorders>
              <w:top w:val="single" w:sz="4" w:space="0" w:color="auto"/>
              <w:left w:val="nil"/>
              <w:bottom w:val="single" w:sz="4" w:space="0" w:color="auto"/>
              <w:right w:val="nil"/>
            </w:tcBorders>
            <w:shd w:val="clear" w:color="auto" w:fill="B8CCE4" w:themeFill="accent1" w:themeFillTint="66"/>
            <w:vAlign w:val="center"/>
          </w:tcPr>
          <w:p w:rsidR="004C6011" w:rsidRPr="00F55945" w:rsidRDefault="004C6011" w:rsidP="004C6011">
            <w:pPr>
              <w:tabs>
                <w:tab w:val="left" w:pos="8647"/>
              </w:tabs>
              <w:spacing w:after="0"/>
              <w:ind w:right="66" w:firstLine="0"/>
              <w:jc w:val="right"/>
              <w:rPr>
                <w:rFonts w:ascii="Arial Narrow" w:hAnsi="Arial Narrow" w:cs="Arial"/>
                <w:bCs/>
                <w:sz w:val="18"/>
                <w:szCs w:val="18"/>
                <w:lang w:val="es-ES" w:eastAsia="es-ES"/>
              </w:rPr>
            </w:pPr>
            <w:r w:rsidRPr="00F55945">
              <w:rPr>
                <w:rFonts w:ascii="Arial Narrow" w:hAnsi="Arial Narrow" w:cs="Arial"/>
                <w:bCs/>
                <w:sz w:val="18"/>
                <w:szCs w:val="18"/>
                <w:lang w:val="es-ES" w:eastAsia="es-ES"/>
              </w:rPr>
              <w:t>32.336.594</w:t>
            </w:r>
          </w:p>
        </w:tc>
        <w:tc>
          <w:tcPr>
            <w:tcW w:w="1559" w:type="dxa"/>
            <w:gridSpan w:val="3"/>
            <w:tcBorders>
              <w:top w:val="single" w:sz="4" w:space="0" w:color="auto"/>
              <w:left w:val="nil"/>
              <w:bottom w:val="single" w:sz="4" w:space="0" w:color="auto"/>
              <w:right w:val="nil"/>
            </w:tcBorders>
            <w:shd w:val="clear" w:color="auto" w:fill="B8CCE4" w:themeFill="accent1" w:themeFillTint="66"/>
            <w:vAlign w:val="center"/>
          </w:tcPr>
          <w:p w:rsidR="004C6011" w:rsidRPr="00F55945" w:rsidRDefault="004C6011" w:rsidP="004C6011">
            <w:pPr>
              <w:tabs>
                <w:tab w:val="left" w:pos="8647"/>
              </w:tabs>
              <w:spacing w:after="0"/>
              <w:ind w:right="66" w:firstLine="0"/>
              <w:jc w:val="right"/>
              <w:rPr>
                <w:rFonts w:ascii="Arial Narrow" w:hAnsi="Arial Narrow" w:cs="Arial"/>
                <w:bCs/>
                <w:sz w:val="18"/>
                <w:szCs w:val="18"/>
                <w:lang w:val="es-ES" w:eastAsia="es-ES"/>
              </w:rPr>
            </w:pPr>
            <w:r w:rsidRPr="00F55945">
              <w:rPr>
                <w:rFonts w:ascii="Arial Narrow" w:hAnsi="Arial Narrow" w:cs="Arial"/>
                <w:bCs/>
                <w:sz w:val="18"/>
                <w:szCs w:val="18"/>
                <w:lang w:val="es-ES" w:eastAsia="es-ES"/>
              </w:rPr>
              <w:t>33.306.691</w:t>
            </w:r>
          </w:p>
        </w:tc>
      </w:tr>
      <w:tr w:rsidR="004C6011" w:rsidRPr="00436C70" w:rsidTr="004C6011">
        <w:trPr>
          <w:trHeight w:val="170"/>
        </w:trPr>
        <w:tc>
          <w:tcPr>
            <w:tcW w:w="1420" w:type="dxa"/>
            <w:gridSpan w:val="2"/>
            <w:vMerge w:val="restart"/>
            <w:tcBorders>
              <w:top w:val="single" w:sz="4" w:space="0" w:color="auto"/>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r>
              <w:rPr>
                <w:rFonts w:ascii="Arial Narrow" w:hAnsi="Arial Narrow" w:cs="Arial"/>
                <w:bCs/>
                <w:sz w:val="18"/>
                <w:szCs w:val="18"/>
                <w:lang w:val="es-ES" w:eastAsia="es-ES"/>
              </w:rPr>
              <w:t>Financiación por</w:t>
            </w:r>
          </w:p>
          <w:p w:rsidR="004C6011" w:rsidRPr="00436C70" w:rsidRDefault="004C6011" w:rsidP="004C6011">
            <w:pPr>
              <w:tabs>
                <w:tab w:val="left" w:pos="8647"/>
              </w:tabs>
              <w:spacing w:after="0"/>
              <w:ind w:right="-68" w:firstLine="0"/>
              <w:jc w:val="left"/>
              <w:rPr>
                <w:rFonts w:ascii="Arial Narrow" w:hAnsi="Arial Narrow" w:cs="Arial"/>
                <w:bCs/>
                <w:sz w:val="18"/>
                <w:szCs w:val="18"/>
                <w:lang w:val="es-ES" w:eastAsia="es-ES"/>
              </w:rPr>
            </w:pPr>
            <w:r>
              <w:rPr>
                <w:rFonts w:ascii="Arial Narrow" w:hAnsi="Arial Narrow" w:cs="Arial"/>
                <w:bCs/>
                <w:sz w:val="18"/>
                <w:szCs w:val="18"/>
                <w:lang w:val="es-ES" w:eastAsia="es-ES"/>
              </w:rPr>
              <w:t xml:space="preserve"> resultados (FR)</w:t>
            </w:r>
          </w:p>
        </w:tc>
        <w:tc>
          <w:tcPr>
            <w:tcW w:w="1843" w:type="dxa"/>
            <w:gridSpan w:val="3"/>
            <w:vMerge w:val="restart"/>
            <w:tcBorders>
              <w:top w:val="single" w:sz="4" w:space="0" w:color="auto"/>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r>
              <w:rPr>
                <w:rFonts w:ascii="Arial Narrow" w:hAnsi="Arial Narrow" w:cs="Arial"/>
                <w:bCs/>
                <w:sz w:val="18"/>
                <w:szCs w:val="18"/>
                <w:lang w:val="es-ES" w:eastAsia="es-ES"/>
              </w:rPr>
              <w:t xml:space="preserve">Subvención por </w:t>
            </w:r>
          </w:p>
          <w:p w:rsidR="004C6011" w:rsidRPr="00436C70" w:rsidRDefault="004C6011" w:rsidP="004C6011">
            <w:pPr>
              <w:tabs>
                <w:tab w:val="left" w:pos="8647"/>
              </w:tabs>
              <w:spacing w:after="0"/>
              <w:ind w:right="-68" w:firstLine="0"/>
              <w:jc w:val="left"/>
              <w:rPr>
                <w:rFonts w:ascii="Arial Narrow" w:hAnsi="Arial Narrow" w:cs="Arial"/>
                <w:bCs/>
                <w:sz w:val="18"/>
                <w:szCs w:val="18"/>
                <w:lang w:val="es-ES" w:eastAsia="es-ES"/>
              </w:rPr>
            </w:pPr>
            <w:r>
              <w:rPr>
                <w:rFonts w:ascii="Arial Narrow" w:hAnsi="Arial Narrow" w:cs="Arial"/>
                <w:bCs/>
                <w:sz w:val="18"/>
                <w:szCs w:val="18"/>
                <w:lang w:val="es-ES" w:eastAsia="es-ES"/>
              </w:rPr>
              <w:t>resultados docentes (SRD)</w:t>
            </w:r>
          </w:p>
        </w:tc>
        <w:tc>
          <w:tcPr>
            <w:tcW w:w="2407" w:type="dxa"/>
            <w:tcBorders>
              <w:top w:val="single" w:sz="4" w:space="0" w:color="auto"/>
              <w:left w:val="nil"/>
              <w:bottom w:val="single" w:sz="4" w:space="0" w:color="auto"/>
              <w:right w:val="nil"/>
            </w:tcBorders>
            <w:vAlign w:val="center"/>
          </w:tcPr>
          <w:p w:rsidR="004C6011" w:rsidRDefault="004C6011" w:rsidP="004C6011">
            <w:pPr>
              <w:tabs>
                <w:tab w:val="left" w:pos="8647"/>
              </w:tabs>
              <w:spacing w:after="0"/>
              <w:ind w:left="70" w:right="-68" w:firstLine="0"/>
              <w:jc w:val="left"/>
              <w:rPr>
                <w:rFonts w:ascii="Arial Narrow" w:hAnsi="Arial Narrow" w:cs="Arial"/>
                <w:bCs/>
                <w:sz w:val="18"/>
                <w:szCs w:val="18"/>
                <w:lang w:val="es-ES" w:eastAsia="es-ES"/>
              </w:rPr>
            </w:pPr>
            <w:r>
              <w:rPr>
                <w:rFonts w:ascii="Arial Narrow" w:hAnsi="Arial Narrow" w:cs="Arial"/>
                <w:bCs/>
                <w:sz w:val="18"/>
                <w:szCs w:val="18"/>
                <w:lang w:val="es-ES" w:eastAsia="es-ES"/>
              </w:rPr>
              <w:t>Coste del grupo de docencia (CD)</w:t>
            </w:r>
            <w:r>
              <w:rPr>
                <w:rStyle w:val="Refdenotaalpie"/>
                <w:rFonts w:ascii="Arial Narrow" w:hAnsi="Arial Narrow" w:cs="Arial"/>
                <w:bCs/>
                <w:sz w:val="18"/>
                <w:szCs w:val="18"/>
                <w:lang w:val="es-ES" w:eastAsia="es-ES"/>
              </w:rPr>
              <w:footnoteReference w:id="5"/>
            </w:r>
          </w:p>
        </w:tc>
        <w:tc>
          <w:tcPr>
            <w:tcW w:w="1319" w:type="dxa"/>
            <w:gridSpan w:val="2"/>
            <w:tcBorders>
              <w:top w:val="single" w:sz="4" w:space="0" w:color="auto"/>
              <w:left w:val="nil"/>
              <w:bottom w:val="single" w:sz="4" w:space="0" w:color="auto"/>
              <w:right w:val="nil"/>
            </w:tcBorders>
            <w:vAlign w:val="center"/>
          </w:tcPr>
          <w:p w:rsidR="004C6011" w:rsidRDefault="004C6011" w:rsidP="004C6011">
            <w:pPr>
              <w:tabs>
                <w:tab w:val="left" w:pos="8647"/>
              </w:tabs>
              <w:spacing w:after="0"/>
              <w:ind w:right="66"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100.203</w:t>
            </w:r>
          </w:p>
        </w:tc>
        <w:tc>
          <w:tcPr>
            <w:tcW w:w="1740" w:type="dxa"/>
            <w:gridSpan w:val="2"/>
            <w:tcBorders>
              <w:top w:val="single" w:sz="4" w:space="0" w:color="auto"/>
              <w:left w:val="nil"/>
              <w:bottom w:val="single" w:sz="4" w:space="0" w:color="auto"/>
              <w:right w:val="nil"/>
            </w:tcBorders>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r>
              <w:rPr>
                <w:rFonts w:ascii="Arial Narrow" w:hAnsi="Arial Narrow" w:cs="Arial"/>
                <w:bCs/>
                <w:sz w:val="18"/>
                <w:szCs w:val="18"/>
                <w:lang w:val="es-ES" w:eastAsia="es-ES"/>
              </w:rPr>
              <w:t>Índice de actualización</w:t>
            </w:r>
          </w:p>
        </w:tc>
        <w:tc>
          <w:tcPr>
            <w:tcW w:w="1601" w:type="dxa"/>
            <w:gridSpan w:val="2"/>
            <w:tcBorders>
              <w:top w:val="single" w:sz="4" w:space="0" w:color="auto"/>
              <w:left w:val="nil"/>
              <w:bottom w:val="single" w:sz="4" w:space="0" w:color="auto"/>
              <w:right w:val="nil"/>
            </w:tcBorders>
            <w:vAlign w:val="center"/>
          </w:tcPr>
          <w:p w:rsidR="004C6011" w:rsidRDefault="004C6011" w:rsidP="004C6011">
            <w:pPr>
              <w:tabs>
                <w:tab w:val="left" w:pos="8647"/>
              </w:tabs>
              <w:spacing w:after="0"/>
              <w:ind w:right="-68"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20.320.824</w:t>
            </w:r>
          </w:p>
        </w:tc>
        <w:tc>
          <w:tcPr>
            <w:tcW w:w="1577" w:type="dxa"/>
            <w:gridSpan w:val="2"/>
            <w:tcBorders>
              <w:top w:val="single" w:sz="4" w:space="0" w:color="auto"/>
              <w:left w:val="nil"/>
              <w:bottom w:val="single" w:sz="4" w:space="0" w:color="auto"/>
              <w:right w:val="nil"/>
            </w:tcBorders>
            <w:vAlign w:val="center"/>
          </w:tcPr>
          <w:p w:rsidR="004C6011" w:rsidRDefault="004C6011" w:rsidP="004C6011">
            <w:pPr>
              <w:tabs>
                <w:tab w:val="left" w:pos="8647"/>
              </w:tabs>
              <w:spacing w:after="0"/>
              <w:ind w:right="66"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21.245.984</w:t>
            </w:r>
          </w:p>
        </w:tc>
        <w:tc>
          <w:tcPr>
            <w:tcW w:w="1559" w:type="dxa"/>
            <w:gridSpan w:val="3"/>
            <w:tcBorders>
              <w:top w:val="single" w:sz="4" w:space="0" w:color="auto"/>
              <w:left w:val="nil"/>
              <w:bottom w:val="single" w:sz="4" w:space="0" w:color="auto"/>
              <w:right w:val="nil"/>
            </w:tcBorders>
            <w:vAlign w:val="center"/>
          </w:tcPr>
          <w:p w:rsidR="004C6011" w:rsidRDefault="004C6011" w:rsidP="004C6011">
            <w:pPr>
              <w:tabs>
                <w:tab w:val="left" w:pos="8647"/>
              </w:tabs>
              <w:spacing w:after="0"/>
              <w:ind w:right="66"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22.208.363</w:t>
            </w:r>
          </w:p>
        </w:tc>
      </w:tr>
      <w:tr w:rsidR="004C6011" w:rsidRPr="00436C70" w:rsidTr="004C6011">
        <w:trPr>
          <w:trHeight w:val="170"/>
        </w:trPr>
        <w:tc>
          <w:tcPr>
            <w:tcW w:w="1420" w:type="dxa"/>
            <w:gridSpan w:val="2"/>
            <w:vMerge/>
            <w:tcBorders>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843" w:type="dxa"/>
            <w:gridSpan w:val="3"/>
            <w:vMerge/>
            <w:tcBorders>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2407" w:type="dxa"/>
            <w:tcBorders>
              <w:top w:val="single" w:sz="4" w:space="0" w:color="auto"/>
              <w:left w:val="nil"/>
              <w:bottom w:val="single" w:sz="4" w:space="0" w:color="auto"/>
              <w:right w:val="nil"/>
            </w:tcBorders>
            <w:vAlign w:val="center"/>
          </w:tcPr>
          <w:p w:rsidR="004C6011" w:rsidRDefault="004C6011" w:rsidP="004C6011">
            <w:pPr>
              <w:tabs>
                <w:tab w:val="left" w:pos="8647"/>
              </w:tabs>
              <w:spacing w:after="0"/>
              <w:ind w:left="70" w:right="-68" w:firstLine="0"/>
              <w:jc w:val="left"/>
              <w:rPr>
                <w:rFonts w:ascii="Arial Narrow" w:hAnsi="Arial Narrow" w:cs="Arial"/>
                <w:bCs/>
                <w:sz w:val="18"/>
                <w:szCs w:val="18"/>
                <w:lang w:val="es-ES" w:eastAsia="es-ES"/>
              </w:rPr>
            </w:pPr>
            <w:proofErr w:type="spellStart"/>
            <w:r>
              <w:rPr>
                <w:rFonts w:ascii="Arial Narrow" w:hAnsi="Arial Narrow" w:cs="Arial"/>
                <w:bCs/>
                <w:sz w:val="18"/>
                <w:szCs w:val="18"/>
                <w:lang w:val="es-ES" w:eastAsia="es-ES"/>
              </w:rPr>
              <w:t>Subv</w:t>
            </w:r>
            <w:proofErr w:type="spellEnd"/>
            <w:r>
              <w:rPr>
                <w:rFonts w:ascii="Arial Narrow" w:hAnsi="Arial Narrow" w:cs="Arial"/>
                <w:bCs/>
                <w:sz w:val="18"/>
                <w:szCs w:val="18"/>
                <w:lang w:val="es-ES" w:eastAsia="es-ES"/>
              </w:rPr>
              <w:t>. unitaria por ingresos de actividades de internacionaliz</w:t>
            </w:r>
            <w:r>
              <w:rPr>
                <w:rFonts w:ascii="Arial Narrow" w:hAnsi="Arial Narrow" w:cs="Arial"/>
                <w:bCs/>
                <w:sz w:val="18"/>
                <w:szCs w:val="18"/>
                <w:lang w:val="es-ES" w:eastAsia="es-ES"/>
              </w:rPr>
              <w:t>a</w:t>
            </w:r>
            <w:r>
              <w:rPr>
                <w:rFonts w:ascii="Arial Narrow" w:hAnsi="Arial Narrow" w:cs="Arial"/>
                <w:bCs/>
                <w:sz w:val="18"/>
                <w:szCs w:val="18"/>
                <w:lang w:val="es-ES" w:eastAsia="es-ES"/>
              </w:rPr>
              <w:t>ción</w:t>
            </w:r>
          </w:p>
        </w:tc>
        <w:tc>
          <w:tcPr>
            <w:tcW w:w="1319" w:type="dxa"/>
            <w:gridSpan w:val="2"/>
            <w:tcBorders>
              <w:top w:val="single" w:sz="4" w:space="0" w:color="auto"/>
              <w:left w:val="nil"/>
              <w:bottom w:val="single" w:sz="4" w:space="0" w:color="auto"/>
              <w:right w:val="nil"/>
            </w:tcBorders>
            <w:vAlign w:val="center"/>
          </w:tcPr>
          <w:p w:rsidR="004C6011" w:rsidRDefault="004C6011" w:rsidP="004C6011">
            <w:pPr>
              <w:tabs>
                <w:tab w:val="left" w:pos="8647"/>
              </w:tabs>
              <w:spacing w:after="0"/>
              <w:ind w:right="66"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0,22</w:t>
            </w:r>
          </w:p>
        </w:tc>
        <w:tc>
          <w:tcPr>
            <w:tcW w:w="1740" w:type="dxa"/>
            <w:gridSpan w:val="2"/>
            <w:tcBorders>
              <w:top w:val="single" w:sz="4" w:space="0" w:color="auto"/>
              <w:left w:val="nil"/>
              <w:bottom w:val="single" w:sz="4" w:space="0" w:color="auto"/>
              <w:right w:val="nil"/>
            </w:tcBorders>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r>
              <w:rPr>
                <w:rFonts w:ascii="Arial Narrow" w:hAnsi="Arial Narrow" w:cs="Arial"/>
                <w:bCs/>
                <w:sz w:val="18"/>
                <w:szCs w:val="18"/>
                <w:lang w:val="es-ES" w:eastAsia="es-ES"/>
              </w:rPr>
              <w:t>Factor constante</w:t>
            </w:r>
          </w:p>
        </w:tc>
        <w:tc>
          <w:tcPr>
            <w:tcW w:w="1601" w:type="dxa"/>
            <w:gridSpan w:val="2"/>
            <w:tcBorders>
              <w:top w:val="single" w:sz="4" w:space="0" w:color="auto"/>
              <w:left w:val="nil"/>
              <w:bottom w:val="single" w:sz="4" w:space="0" w:color="auto"/>
              <w:right w:val="nil"/>
            </w:tcBorders>
            <w:vAlign w:val="center"/>
          </w:tcPr>
          <w:p w:rsidR="004C6011" w:rsidRDefault="004C6011" w:rsidP="004C6011">
            <w:pPr>
              <w:tabs>
                <w:tab w:val="left" w:pos="8647"/>
              </w:tabs>
              <w:spacing w:after="0"/>
              <w:ind w:right="-68"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114.613</w:t>
            </w:r>
          </w:p>
        </w:tc>
        <w:tc>
          <w:tcPr>
            <w:tcW w:w="1577" w:type="dxa"/>
            <w:gridSpan w:val="2"/>
            <w:tcBorders>
              <w:top w:val="single" w:sz="4" w:space="0" w:color="auto"/>
              <w:left w:val="nil"/>
              <w:bottom w:val="single" w:sz="4" w:space="0" w:color="auto"/>
              <w:right w:val="nil"/>
            </w:tcBorders>
            <w:vAlign w:val="center"/>
          </w:tcPr>
          <w:p w:rsidR="004C6011" w:rsidRDefault="004C6011" w:rsidP="004C6011">
            <w:pPr>
              <w:tabs>
                <w:tab w:val="left" w:pos="8647"/>
              </w:tabs>
              <w:spacing w:after="0"/>
              <w:ind w:right="66"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114.613</w:t>
            </w:r>
          </w:p>
        </w:tc>
        <w:tc>
          <w:tcPr>
            <w:tcW w:w="1559" w:type="dxa"/>
            <w:gridSpan w:val="3"/>
            <w:tcBorders>
              <w:top w:val="single" w:sz="4" w:space="0" w:color="auto"/>
              <w:left w:val="nil"/>
              <w:bottom w:val="single" w:sz="4" w:space="0" w:color="auto"/>
              <w:right w:val="nil"/>
            </w:tcBorders>
            <w:vAlign w:val="center"/>
          </w:tcPr>
          <w:p w:rsidR="004C6011" w:rsidRDefault="004C6011" w:rsidP="004C6011">
            <w:pPr>
              <w:tabs>
                <w:tab w:val="left" w:pos="8647"/>
              </w:tabs>
              <w:spacing w:after="0"/>
              <w:ind w:right="66"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114.613</w:t>
            </w:r>
          </w:p>
        </w:tc>
      </w:tr>
      <w:tr w:rsidR="004C6011" w:rsidRPr="00436C70" w:rsidTr="004C6011">
        <w:trPr>
          <w:trHeight w:val="170"/>
        </w:trPr>
        <w:tc>
          <w:tcPr>
            <w:tcW w:w="1420" w:type="dxa"/>
            <w:gridSpan w:val="2"/>
            <w:vMerge/>
            <w:tcBorders>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843" w:type="dxa"/>
            <w:gridSpan w:val="3"/>
            <w:vMerge/>
            <w:tcBorders>
              <w:left w:val="nil"/>
              <w:bottom w:val="single" w:sz="4" w:space="0" w:color="auto"/>
              <w:right w:val="nil"/>
            </w:tcBorders>
            <w:shd w:val="clear" w:color="auto" w:fill="auto"/>
            <w:noWrap/>
            <w:vAlign w:val="center"/>
          </w:tcPr>
          <w:p w:rsidR="004C6011" w:rsidRPr="00DB6647" w:rsidRDefault="004C6011" w:rsidP="004C6011">
            <w:pPr>
              <w:tabs>
                <w:tab w:val="left" w:pos="8647"/>
              </w:tabs>
              <w:spacing w:after="0"/>
              <w:ind w:right="-68" w:firstLine="0"/>
              <w:jc w:val="left"/>
              <w:rPr>
                <w:rFonts w:ascii="Arial Narrow" w:hAnsi="Arial Narrow" w:cs="Arial"/>
                <w:b/>
                <w:bCs/>
                <w:sz w:val="18"/>
                <w:szCs w:val="18"/>
                <w:lang w:val="es-ES" w:eastAsia="es-ES"/>
              </w:rPr>
            </w:pPr>
          </w:p>
        </w:tc>
        <w:tc>
          <w:tcPr>
            <w:tcW w:w="2407" w:type="dxa"/>
            <w:tcBorders>
              <w:top w:val="single" w:sz="4" w:space="0" w:color="auto"/>
              <w:left w:val="nil"/>
              <w:bottom w:val="single" w:sz="4" w:space="0" w:color="auto"/>
              <w:right w:val="nil"/>
            </w:tcBorders>
            <w:vAlign w:val="center"/>
          </w:tcPr>
          <w:p w:rsidR="004C6011" w:rsidRPr="00DB6647" w:rsidRDefault="004C6011" w:rsidP="004C6011">
            <w:pPr>
              <w:tabs>
                <w:tab w:val="left" w:pos="8647"/>
              </w:tabs>
              <w:spacing w:after="0"/>
              <w:ind w:left="70" w:right="-68" w:firstLine="0"/>
              <w:jc w:val="left"/>
              <w:rPr>
                <w:rFonts w:ascii="Arial Narrow" w:hAnsi="Arial Narrow" w:cs="Arial"/>
                <w:b/>
                <w:bCs/>
                <w:sz w:val="18"/>
                <w:szCs w:val="18"/>
                <w:lang w:val="es-ES" w:eastAsia="es-ES"/>
              </w:rPr>
            </w:pPr>
          </w:p>
        </w:tc>
        <w:tc>
          <w:tcPr>
            <w:tcW w:w="1319"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19.722.358</w:t>
            </w:r>
          </w:p>
        </w:tc>
        <w:tc>
          <w:tcPr>
            <w:tcW w:w="1740"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601"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8"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20.435.437</w:t>
            </w:r>
          </w:p>
        </w:tc>
        <w:tc>
          <w:tcPr>
            <w:tcW w:w="1577"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F55945">
              <w:rPr>
                <w:rFonts w:ascii="Arial Narrow" w:hAnsi="Arial Narrow" w:cs="Arial"/>
                <w:bCs/>
                <w:sz w:val="18"/>
                <w:szCs w:val="18"/>
                <w:lang w:val="es-ES" w:eastAsia="es-ES"/>
              </w:rPr>
              <w:t>21.360.597</w:t>
            </w:r>
          </w:p>
        </w:tc>
        <w:tc>
          <w:tcPr>
            <w:tcW w:w="1559" w:type="dxa"/>
            <w:gridSpan w:val="3"/>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22.322.976</w:t>
            </w:r>
          </w:p>
        </w:tc>
      </w:tr>
      <w:tr w:rsidR="004C6011" w:rsidRPr="00436C70" w:rsidTr="004C6011">
        <w:trPr>
          <w:trHeight w:val="170"/>
        </w:trPr>
        <w:tc>
          <w:tcPr>
            <w:tcW w:w="1420" w:type="dxa"/>
            <w:gridSpan w:val="2"/>
            <w:vMerge/>
            <w:tcBorders>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843" w:type="dxa"/>
            <w:gridSpan w:val="3"/>
            <w:vMerge w:val="restart"/>
            <w:tcBorders>
              <w:top w:val="single" w:sz="4" w:space="0" w:color="auto"/>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r>
              <w:rPr>
                <w:rFonts w:ascii="Arial Narrow" w:hAnsi="Arial Narrow" w:cs="Arial"/>
                <w:bCs/>
                <w:sz w:val="18"/>
                <w:szCs w:val="18"/>
                <w:lang w:val="es-ES" w:eastAsia="es-ES"/>
              </w:rPr>
              <w:t xml:space="preserve">Subvención por </w:t>
            </w:r>
          </w:p>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r>
              <w:rPr>
                <w:rFonts w:ascii="Arial Narrow" w:hAnsi="Arial Narrow" w:cs="Arial"/>
                <w:bCs/>
                <w:sz w:val="18"/>
                <w:szCs w:val="18"/>
                <w:lang w:val="es-ES" w:eastAsia="es-ES"/>
              </w:rPr>
              <w:t>resultados de investig</w:t>
            </w:r>
            <w:r>
              <w:rPr>
                <w:rFonts w:ascii="Arial Narrow" w:hAnsi="Arial Narrow" w:cs="Arial"/>
                <w:bCs/>
                <w:sz w:val="18"/>
                <w:szCs w:val="18"/>
                <w:lang w:val="es-ES" w:eastAsia="es-ES"/>
              </w:rPr>
              <w:t>a</w:t>
            </w:r>
            <w:r>
              <w:rPr>
                <w:rFonts w:ascii="Arial Narrow" w:hAnsi="Arial Narrow" w:cs="Arial"/>
                <w:bCs/>
                <w:sz w:val="18"/>
                <w:szCs w:val="18"/>
                <w:lang w:val="es-ES" w:eastAsia="es-ES"/>
              </w:rPr>
              <w:t>ción (SRI)</w:t>
            </w:r>
          </w:p>
          <w:p w:rsidR="004C6011" w:rsidRPr="00436C70" w:rsidRDefault="004C6011" w:rsidP="004C6011">
            <w:pPr>
              <w:tabs>
                <w:tab w:val="left" w:pos="8647"/>
              </w:tabs>
              <w:spacing w:after="0"/>
              <w:ind w:right="-68" w:firstLine="0"/>
              <w:jc w:val="left"/>
              <w:rPr>
                <w:rFonts w:ascii="Arial Narrow" w:hAnsi="Arial Narrow" w:cs="Arial"/>
                <w:bCs/>
                <w:sz w:val="18"/>
                <w:szCs w:val="18"/>
                <w:lang w:val="es-ES" w:eastAsia="es-ES"/>
              </w:rPr>
            </w:pPr>
          </w:p>
          <w:p w:rsidR="004C6011" w:rsidRDefault="004C6011" w:rsidP="004C6011">
            <w:pPr>
              <w:tabs>
                <w:tab w:val="left" w:pos="8647"/>
              </w:tabs>
              <w:spacing w:after="0"/>
              <w:ind w:right="-68"/>
              <w:jc w:val="left"/>
              <w:rPr>
                <w:rFonts w:ascii="Arial Narrow" w:hAnsi="Arial Narrow" w:cs="Arial"/>
                <w:bCs/>
                <w:sz w:val="18"/>
                <w:szCs w:val="18"/>
                <w:lang w:val="es-ES" w:eastAsia="es-ES"/>
              </w:rPr>
            </w:pPr>
          </w:p>
        </w:tc>
        <w:tc>
          <w:tcPr>
            <w:tcW w:w="2407" w:type="dxa"/>
            <w:tcBorders>
              <w:top w:val="single" w:sz="4" w:space="0" w:color="auto"/>
              <w:left w:val="nil"/>
              <w:bottom w:val="single" w:sz="4" w:space="0" w:color="auto"/>
              <w:right w:val="nil"/>
            </w:tcBorders>
            <w:vAlign w:val="center"/>
          </w:tcPr>
          <w:p w:rsidR="004C6011" w:rsidRDefault="004C6011" w:rsidP="004C6011">
            <w:pPr>
              <w:tabs>
                <w:tab w:val="left" w:pos="8647"/>
              </w:tabs>
              <w:spacing w:after="0"/>
              <w:ind w:left="70" w:right="-68" w:firstLine="0"/>
              <w:jc w:val="left"/>
              <w:rPr>
                <w:rFonts w:ascii="Arial Narrow" w:hAnsi="Arial Narrow" w:cs="Arial"/>
                <w:bCs/>
                <w:sz w:val="18"/>
                <w:szCs w:val="18"/>
                <w:lang w:val="es-ES" w:eastAsia="es-ES"/>
              </w:rPr>
            </w:pPr>
            <w:proofErr w:type="spellStart"/>
            <w:r>
              <w:rPr>
                <w:rFonts w:ascii="Arial Narrow" w:hAnsi="Arial Narrow" w:cs="Arial"/>
                <w:bCs/>
                <w:sz w:val="18"/>
                <w:szCs w:val="18"/>
                <w:lang w:val="es-ES" w:eastAsia="es-ES"/>
              </w:rPr>
              <w:t>Subv</w:t>
            </w:r>
            <w:proofErr w:type="spellEnd"/>
            <w:r>
              <w:rPr>
                <w:rFonts w:ascii="Arial Narrow" w:hAnsi="Arial Narrow" w:cs="Arial"/>
                <w:bCs/>
                <w:sz w:val="18"/>
                <w:szCs w:val="18"/>
                <w:lang w:val="es-ES" w:eastAsia="es-ES"/>
              </w:rPr>
              <w:t>. unitaria por producción científica</w:t>
            </w:r>
          </w:p>
        </w:tc>
        <w:tc>
          <w:tcPr>
            <w:tcW w:w="1319"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1.000</w:t>
            </w:r>
          </w:p>
        </w:tc>
        <w:tc>
          <w:tcPr>
            <w:tcW w:w="1740" w:type="dxa"/>
            <w:gridSpan w:val="2"/>
            <w:vMerge w:val="restart"/>
            <w:tcBorders>
              <w:top w:val="single" w:sz="4" w:space="0" w:color="auto"/>
              <w:left w:val="nil"/>
              <w:right w:val="nil"/>
            </w:tcBorders>
            <w:vAlign w:val="center"/>
          </w:tcPr>
          <w:p w:rsidR="004C6011" w:rsidRPr="006A6617" w:rsidRDefault="004C6011" w:rsidP="004C6011">
            <w:pPr>
              <w:tabs>
                <w:tab w:val="left" w:pos="8647"/>
              </w:tabs>
              <w:spacing w:after="0"/>
              <w:ind w:right="-68" w:firstLine="0"/>
              <w:jc w:val="left"/>
              <w:rPr>
                <w:rFonts w:ascii="Arial Narrow" w:hAnsi="Arial Narrow" w:cs="Arial"/>
                <w:bCs/>
                <w:sz w:val="18"/>
                <w:szCs w:val="18"/>
                <w:lang w:val="es-ES" w:eastAsia="es-ES"/>
              </w:rPr>
            </w:pPr>
            <w:r w:rsidRPr="006A6617">
              <w:rPr>
                <w:rFonts w:ascii="Arial Narrow" w:hAnsi="Arial Narrow" w:cs="Arial"/>
                <w:bCs/>
                <w:sz w:val="18"/>
                <w:szCs w:val="18"/>
                <w:lang w:val="es-ES" w:eastAsia="es-ES"/>
              </w:rPr>
              <w:t>Índice de actualización</w:t>
            </w:r>
          </w:p>
        </w:tc>
        <w:tc>
          <w:tcPr>
            <w:tcW w:w="1601"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8"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1.261.615</w:t>
            </w:r>
          </w:p>
        </w:tc>
        <w:tc>
          <w:tcPr>
            <w:tcW w:w="1577"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1.299.463</w:t>
            </w:r>
          </w:p>
        </w:tc>
        <w:tc>
          <w:tcPr>
            <w:tcW w:w="1559" w:type="dxa"/>
            <w:gridSpan w:val="3"/>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1.338.447</w:t>
            </w:r>
          </w:p>
        </w:tc>
      </w:tr>
      <w:tr w:rsidR="004C6011" w:rsidRPr="00436C70" w:rsidTr="004C6011">
        <w:trPr>
          <w:trHeight w:val="170"/>
        </w:trPr>
        <w:tc>
          <w:tcPr>
            <w:tcW w:w="1420" w:type="dxa"/>
            <w:gridSpan w:val="2"/>
            <w:vMerge/>
            <w:tcBorders>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843" w:type="dxa"/>
            <w:gridSpan w:val="3"/>
            <w:vMerge/>
            <w:tcBorders>
              <w:left w:val="nil"/>
              <w:right w:val="nil"/>
            </w:tcBorders>
            <w:shd w:val="clear" w:color="auto" w:fill="auto"/>
            <w:noWrap/>
            <w:vAlign w:val="center"/>
          </w:tcPr>
          <w:p w:rsidR="004C6011" w:rsidRPr="00436C70"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2407" w:type="dxa"/>
            <w:tcBorders>
              <w:top w:val="single" w:sz="4" w:space="0" w:color="auto"/>
              <w:left w:val="nil"/>
              <w:bottom w:val="single" w:sz="4" w:space="0" w:color="auto"/>
              <w:right w:val="nil"/>
            </w:tcBorders>
            <w:vAlign w:val="center"/>
          </w:tcPr>
          <w:p w:rsidR="004C6011" w:rsidRDefault="004C6011" w:rsidP="004C6011">
            <w:pPr>
              <w:tabs>
                <w:tab w:val="left" w:pos="8647"/>
              </w:tabs>
              <w:spacing w:after="0"/>
              <w:ind w:left="70" w:right="-68" w:firstLine="0"/>
              <w:jc w:val="left"/>
              <w:rPr>
                <w:rFonts w:ascii="Arial Narrow" w:hAnsi="Arial Narrow" w:cs="Arial"/>
                <w:bCs/>
                <w:sz w:val="18"/>
                <w:szCs w:val="18"/>
                <w:lang w:val="es-ES" w:eastAsia="es-ES"/>
              </w:rPr>
            </w:pPr>
            <w:proofErr w:type="spellStart"/>
            <w:r>
              <w:rPr>
                <w:rFonts w:ascii="Arial Narrow" w:hAnsi="Arial Narrow" w:cs="Arial"/>
                <w:bCs/>
                <w:sz w:val="18"/>
                <w:szCs w:val="18"/>
                <w:lang w:val="es-ES" w:eastAsia="es-ES"/>
              </w:rPr>
              <w:t>Subv</w:t>
            </w:r>
            <w:proofErr w:type="spellEnd"/>
            <w:r>
              <w:rPr>
                <w:rFonts w:ascii="Arial Narrow" w:hAnsi="Arial Narrow" w:cs="Arial"/>
                <w:bCs/>
                <w:sz w:val="18"/>
                <w:szCs w:val="18"/>
                <w:lang w:val="es-ES" w:eastAsia="es-ES"/>
              </w:rPr>
              <w:t>. Unitaria por tramos</w:t>
            </w:r>
          </w:p>
          <w:p w:rsidR="004C6011" w:rsidRDefault="004C6011" w:rsidP="004C6011">
            <w:pPr>
              <w:tabs>
                <w:tab w:val="left" w:pos="8647"/>
              </w:tabs>
              <w:spacing w:after="0"/>
              <w:ind w:left="70" w:right="-68" w:firstLine="0"/>
              <w:jc w:val="left"/>
              <w:rPr>
                <w:rFonts w:ascii="Arial Narrow" w:hAnsi="Arial Narrow" w:cs="Arial"/>
                <w:bCs/>
                <w:sz w:val="18"/>
                <w:szCs w:val="18"/>
                <w:lang w:val="es-ES" w:eastAsia="es-ES"/>
              </w:rPr>
            </w:pPr>
            <w:r>
              <w:rPr>
                <w:rFonts w:ascii="Arial Narrow" w:hAnsi="Arial Narrow" w:cs="Arial"/>
                <w:bCs/>
                <w:sz w:val="18"/>
                <w:szCs w:val="18"/>
                <w:lang w:val="es-ES" w:eastAsia="es-ES"/>
              </w:rPr>
              <w:t xml:space="preserve"> de investigación</w:t>
            </w:r>
          </w:p>
        </w:tc>
        <w:tc>
          <w:tcPr>
            <w:tcW w:w="1319"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2.400</w:t>
            </w:r>
          </w:p>
        </w:tc>
        <w:tc>
          <w:tcPr>
            <w:tcW w:w="1740" w:type="dxa"/>
            <w:gridSpan w:val="2"/>
            <w:vMerge/>
            <w:tcBorders>
              <w:left w:val="nil"/>
              <w:right w:val="nil"/>
            </w:tcBorders>
            <w:vAlign w:val="center"/>
          </w:tcPr>
          <w:p w:rsidR="004C6011" w:rsidRPr="006A6617"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601"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8"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645.686</w:t>
            </w:r>
          </w:p>
        </w:tc>
        <w:tc>
          <w:tcPr>
            <w:tcW w:w="1577"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665.057</w:t>
            </w:r>
          </w:p>
        </w:tc>
        <w:tc>
          <w:tcPr>
            <w:tcW w:w="1559" w:type="dxa"/>
            <w:gridSpan w:val="3"/>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685.008</w:t>
            </w:r>
          </w:p>
        </w:tc>
      </w:tr>
      <w:tr w:rsidR="004C6011" w:rsidRPr="00436C70" w:rsidTr="004C6011">
        <w:trPr>
          <w:trHeight w:val="170"/>
        </w:trPr>
        <w:tc>
          <w:tcPr>
            <w:tcW w:w="1420" w:type="dxa"/>
            <w:gridSpan w:val="2"/>
            <w:vMerge/>
            <w:tcBorders>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843" w:type="dxa"/>
            <w:gridSpan w:val="3"/>
            <w:vMerge/>
            <w:tcBorders>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2407" w:type="dxa"/>
            <w:tcBorders>
              <w:top w:val="single" w:sz="4" w:space="0" w:color="auto"/>
              <w:left w:val="nil"/>
              <w:bottom w:val="single" w:sz="4" w:space="0" w:color="auto"/>
              <w:right w:val="nil"/>
            </w:tcBorders>
            <w:vAlign w:val="center"/>
          </w:tcPr>
          <w:p w:rsidR="004C6011" w:rsidRDefault="004C6011" w:rsidP="004C6011">
            <w:pPr>
              <w:tabs>
                <w:tab w:val="left" w:pos="8647"/>
              </w:tabs>
              <w:spacing w:after="0"/>
              <w:ind w:left="70" w:right="-68" w:firstLine="0"/>
              <w:jc w:val="left"/>
              <w:rPr>
                <w:rFonts w:ascii="Arial Narrow" w:hAnsi="Arial Narrow" w:cs="Arial"/>
                <w:bCs/>
                <w:sz w:val="18"/>
                <w:szCs w:val="18"/>
                <w:lang w:val="es-ES" w:eastAsia="es-ES"/>
              </w:rPr>
            </w:pPr>
            <w:proofErr w:type="spellStart"/>
            <w:r>
              <w:rPr>
                <w:rFonts w:ascii="Arial Narrow" w:hAnsi="Arial Narrow" w:cs="Arial"/>
                <w:bCs/>
                <w:sz w:val="18"/>
                <w:szCs w:val="18"/>
                <w:lang w:val="es-ES" w:eastAsia="es-ES"/>
              </w:rPr>
              <w:t>Subv</w:t>
            </w:r>
            <w:proofErr w:type="spellEnd"/>
            <w:r>
              <w:rPr>
                <w:rFonts w:ascii="Arial Narrow" w:hAnsi="Arial Narrow" w:cs="Arial"/>
                <w:bCs/>
                <w:sz w:val="18"/>
                <w:szCs w:val="18"/>
                <w:lang w:val="es-ES" w:eastAsia="es-ES"/>
              </w:rPr>
              <w:t>. unitaria por tesis doctorales</w:t>
            </w:r>
          </w:p>
        </w:tc>
        <w:tc>
          <w:tcPr>
            <w:tcW w:w="1319"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5.000</w:t>
            </w:r>
          </w:p>
        </w:tc>
        <w:tc>
          <w:tcPr>
            <w:tcW w:w="1740" w:type="dxa"/>
            <w:gridSpan w:val="2"/>
            <w:vMerge/>
            <w:tcBorders>
              <w:left w:val="nil"/>
              <w:bottom w:val="single" w:sz="4" w:space="0" w:color="auto"/>
              <w:right w:val="nil"/>
            </w:tcBorders>
            <w:vAlign w:val="center"/>
          </w:tcPr>
          <w:p w:rsidR="004C6011" w:rsidRPr="006A6617"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601"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8"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1.620.329</w:t>
            </w:r>
          </w:p>
        </w:tc>
        <w:tc>
          <w:tcPr>
            <w:tcW w:w="1577"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1.668.939</w:t>
            </w:r>
          </w:p>
        </w:tc>
        <w:tc>
          <w:tcPr>
            <w:tcW w:w="1559" w:type="dxa"/>
            <w:gridSpan w:val="3"/>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1.719.007</w:t>
            </w:r>
          </w:p>
        </w:tc>
      </w:tr>
      <w:tr w:rsidR="004C6011" w:rsidRPr="00436C70" w:rsidTr="004C6011">
        <w:trPr>
          <w:trHeight w:val="170"/>
        </w:trPr>
        <w:tc>
          <w:tcPr>
            <w:tcW w:w="1420" w:type="dxa"/>
            <w:gridSpan w:val="2"/>
            <w:vMerge/>
            <w:tcBorders>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843" w:type="dxa"/>
            <w:gridSpan w:val="3"/>
            <w:vMerge/>
            <w:tcBorders>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2407" w:type="dxa"/>
            <w:tcBorders>
              <w:top w:val="single" w:sz="4" w:space="0" w:color="auto"/>
              <w:left w:val="nil"/>
              <w:bottom w:val="single" w:sz="4" w:space="0" w:color="auto"/>
              <w:right w:val="nil"/>
            </w:tcBorders>
            <w:vAlign w:val="center"/>
          </w:tcPr>
          <w:p w:rsidR="004C6011" w:rsidRDefault="004C6011" w:rsidP="004C6011">
            <w:pPr>
              <w:tabs>
                <w:tab w:val="left" w:pos="8647"/>
              </w:tabs>
              <w:spacing w:after="0"/>
              <w:ind w:left="70" w:right="-68" w:firstLine="0"/>
              <w:jc w:val="left"/>
              <w:rPr>
                <w:rFonts w:ascii="Arial Narrow" w:hAnsi="Arial Narrow" w:cs="Arial"/>
                <w:bCs/>
                <w:sz w:val="18"/>
                <w:szCs w:val="18"/>
                <w:lang w:val="es-ES" w:eastAsia="es-ES"/>
              </w:rPr>
            </w:pPr>
            <w:proofErr w:type="spellStart"/>
            <w:r>
              <w:rPr>
                <w:rFonts w:ascii="Arial Narrow" w:hAnsi="Arial Narrow" w:cs="Arial"/>
                <w:bCs/>
                <w:sz w:val="18"/>
                <w:szCs w:val="18"/>
                <w:lang w:val="es-ES" w:eastAsia="es-ES"/>
              </w:rPr>
              <w:t>Subv</w:t>
            </w:r>
            <w:proofErr w:type="spellEnd"/>
            <w:r>
              <w:rPr>
                <w:rFonts w:ascii="Arial Narrow" w:hAnsi="Arial Narrow" w:cs="Arial"/>
                <w:bCs/>
                <w:sz w:val="18"/>
                <w:szCs w:val="18"/>
                <w:lang w:val="es-ES" w:eastAsia="es-ES"/>
              </w:rPr>
              <w:t xml:space="preserve">. unitaria por ingresos de </w:t>
            </w:r>
            <w:proofErr w:type="spellStart"/>
            <w:r>
              <w:rPr>
                <w:rFonts w:ascii="Arial Narrow" w:hAnsi="Arial Narrow" w:cs="Arial"/>
                <w:bCs/>
                <w:sz w:val="18"/>
                <w:szCs w:val="18"/>
                <w:lang w:val="es-ES" w:eastAsia="es-ES"/>
              </w:rPr>
              <w:t>proy</w:t>
            </w:r>
            <w:proofErr w:type="spellEnd"/>
            <w:r>
              <w:rPr>
                <w:rFonts w:ascii="Arial Narrow" w:hAnsi="Arial Narrow" w:cs="Arial"/>
                <w:bCs/>
                <w:sz w:val="18"/>
                <w:szCs w:val="18"/>
                <w:lang w:val="es-ES" w:eastAsia="es-ES"/>
              </w:rPr>
              <w:t xml:space="preserve">. </w:t>
            </w:r>
            <w:proofErr w:type="spellStart"/>
            <w:r>
              <w:rPr>
                <w:rFonts w:ascii="Arial Narrow" w:hAnsi="Arial Narrow" w:cs="Arial"/>
                <w:bCs/>
                <w:sz w:val="18"/>
                <w:szCs w:val="18"/>
                <w:lang w:val="es-ES" w:eastAsia="es-ES"/>
              </w:rPr>
              <w:t>investig</w:t>
            </w:r>
            <w:proofErr w:type="spellEnd"/>
            <w:r>
              <w:rPr>
                <w:rFonts w:ascii="Arial Narrow" w:hAnsi="Arial Narrow" w:cs="Arial"/>
                <w:bCs/>
                <w:sz w:val="18"/>
                <w:szCs w:val="18"/>
                <w:lang w:val="es-ES" w:eastAsia="es-ES"/>
              </w:rPr>
              <w:t>. competitivos</w:t>
            </w:r>
          </w:p>
        </w:tc>
        <w:tc>
          <w:tcPr>
            <w:tcW w:w="1319"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0,22</w:t>
            </w:r>
          </w:p>
        </w:tc>
        <w:tc>
          <w:tcPr>
            <w:tcW w:w="1740"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8" w:firstLine="0"/>
              <w:jc w:val="left"/>
              <w:rPr>
                <w:rFonts w:ascii="Arial Narrow" w:hAnsi="Arial Narrow" w:cs="Arial"/>
                <w:bCs/>
                <w:sz w:val="18"/>
                <w:szCs w:val="18"/>
                <w:lang w:val="es-ES" w:eastAsia="es-ES"/>
              </w:rPr>
            </w:pPr>
            <w:r w:rsidRPr="006A6617">
              <w:rPr>
                <w:rFonts w:ascii="Arial Narrow" w:hAnsi="Arial Narrow" w:cs="Arial"/>
                <w:bCs/>
                <w:sz w:val="18"/>
                <w:szCs w:val="18"/>
                <w:lang w:val="es-ES" w:eastAsia="es-ES"/>
              </w:rPr>
              <w:t>Factor constante</w:t>
            </w:r>
          </w:p>
        </w:tc>
        <w:tc>
          <w:tcPr>
            <w:tcW w:w="1601"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8"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475.304</w:t>
            </w:r>
          </w:p>
        </w:tc>
        <w:tc>
          <w:tcPr>
            <w:tcW w:w="1577"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475.304</w:t>
            </w:r>
          </w:p>
        </w:tc>
        <w:tc>
          <w:tcPr>
            <w:tcW w:w="1559" w:type="dxa"/>
            <w:gridSpan w:val="3"/>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475.304</w:t>
            </w:r>
          </w:p>
        </w:tc>
      </w:tr>
      <w:tr w:rsidR="004C6011" w:rsidRPr="00436C70" w:rsidTr="004C6011">
        <w:trPr>
          <w:trHeight w:val="170"/>
        </w:trPr>
        <w:tc>
          <w:tcPr>
            <w:tcW w:w="1420" w:type="dxa"/>
            <w:gridSpan w:val="2"/>
            <w:vMerge/>
            <w:tcBorders>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843" w:type="dxa"/>
            <w:gridSpan w:val="3"/>
            <w:vMerge/>
            <w:tcBorders>
              <w:left w:val="nil"/>
              <w:bottom w:val="single" w:sz="4" w:space="0" w:color="auto"/>
              <w:right w:val="nil"/>
            </w:tcBorders>
            <w:shd w:val="clear" w:color="auto" w:fill="auto"/>
            <w:noWrap/>
            <w:vAlign w:val="center"/>
          </w:tcPr>
          <w:p w:rsidR="004C6011" w:rsidRPr="00436C70"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2407" w:type="dxa"/>
            <w:tcBorders>
              <w:top w:val="single" w:sz="4" w:space="0" w:color="auto"/>
              <w:left w:val="nil"/>
              <w:bottom w:val="single" w:sz="4" w:space="0" w:color="auto"/>
              <w:right w:val="nil"/>
            </w:tcBorders>
            <w:vAlign w:val="center"/>
          </w:tcPr>
          <w:p w:rsidR="004C6011" w:rsidRPr="00582936" w:rsidRDefault="004C6011" w:rsidP="004C6011">
            <w:pPr>
              <w:tabs>
                <w:tab w:val="left" w:pos="8647"/>
              </w:tabs>
              <w:spacing w:after="0"/>
              <w:ind w:left="70" w:right="-68" w:firstLine="0"/>
              <w:jc w:val="left"/>
              <w:rPr>
                <w:rFonts w:ascii="Arial Narrow" w:hAnsi="Arial Narrow" w:cs="Arial"/>
                <w:b/>
                <w:bCs/>
                <w:sz w:val="18"/>
                <w:szCs w:val="18"/>
                <w:lang w:val="es-ES" w:eastAsia="es-ES"/>
              </w:rPr>
            </w:pPr>
          </w:p>
        </w:tc>
        <w:tc>
          <w:tcPr>
            <w:tcW w:w="1319"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3.791.933</w:t>
            </w:r>
          </w:p>
        </w:tc>
        <w:tc>
          <w:tcPr>
            <w:tcW w:w="1740"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601"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8"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4.002.934</w:t>
            </w:r>
          </w:p>
        </w:tc>
        <w:tc>
          <w:tcPr>
            <w:tcW w:w="1577" w:type="dxa"/>
            <w:gridSpan w:val="2"/>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4.108.763</w:t>
            </w:r>
          </w:p>
        </w:tc>
        <w:tc>
          <w:tcPr>
            <w:tcW w:w="1559" w:type="dxa"/>
            <w:gridSpan w:val="3"/>
            <w:tcBorders>
              <w:top w:val="single" w:sz="4" w:space="0" w:color="auto"/>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4.217.766</w:t>
            </w:r>
          </w:p>
        </w:tc>
      </w:tr>
      <w:tr w:rsidR="004C6011" w:rsidRPr="00436C70" w:rsidTr="004C6011">
        <w:trPr>
          <w:trHeight w:val="170"/>
        </w:trPr>
        <w:tc>
          <w:tcPr>
            <w:tcW w:w="1420" w:type="dxa"/>
            <w:gridSpan w:val="2"/>
            <w:vMerge/>
            <w:tcBorders>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843" w:type="dxa"/>
            <w:gridSpan w:val="3"/>
            <w:vMerge w:val="restart"/>
            <w:tcBorders>
              <w:top w:val="single" w:sz="4" w:space="0" w:color="auto"/>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r>
              <w:rPr>
                <w:rFonts w:ascii="Arial Narrow" w:hAnsi="Arial Narrow" w:cs="Arial"/>
                <w:bCs/>
                <w:sz w:val="18"/>
                <w:szCs w:val="18"/>
                <w:lang w:val="es-ES" w:eastAsia="es-ES"/>
              </w:rPr>
              <w:t xml:space="preserve">Transferencias por </w:t>
            </w:r>
          </w:p>
          <w:p w:rsidR="004C6011" w:rsidRPr="00436C70" w:rsidRDefault="004C6011" w:rsidP="004C6011">
            <w:pPr>
              <w:tabs>
                <w:tab w:val="left" w:pos="8647"/>
              </w:tabs>
              <w:spacing w:after="0"/>
              <w:ind w:right="-68" w:firstLine="0"/>
              <w:jc w:val="left"/>
              <w:rPr>
                <w:rFonts w:ascii="Arial Narrow" w:hAnsi="Arial Narrow" w:cs="Arial"/>
                <w:bCs/>
                <w:sz w:val="18"/>
                <w:szCs w:val="18"/>
                <w:lang w:val="es-ES" w:eastAsia="es-ES"/>
              </w:rPr>
            </w:pPr>
            <w:r>
              <w:rPr>
                <w:rFonts w:ascii="Arial Narrow" w:hAnsi="Arial Narrow" w:cs="Arial"/>
                <w:bCs/>
                <w:sz w:val="18"/>
                <w:szCs w:val="18"/>
                <w:lang w:val="es-ES" w:eastAsia="es-ES"/>
              </w:rPr>
              <w:t xml:space="preserve">resultados de </w:t>
            </w:r>
            <w:proofErr w:type="spellStart"/>
            <w:r>
              <w:rPr>
                <w:rFonts w:ascii="Arial Narrow" w:hAnsi="Arial Narrow" w:cs="Arial"/>
                <w:bCs/>
                <w:sz w:val="18"/>
                <w:szCs w:val="18"/>
                <w:lang w:val="es-ES" w:eastAsia="es-ES"/>
              </w:rPr>
              <w:t>transf</w:t>
            </w:r>
            <w:proofErr w:type="spellEnd"/>
            <w:r>
              <w:rPr>
                <w:rFonts w:ascii="Arial Narrow" w:hAnsi="Arial Narrow" w:cs="Arial"/>
                <w:bCs/>
                <w:sz w:val="18"/>
                <w:szCs w:val="18"/>
                <w:lang w:val="es-ES" w:eastAsia="es-ES"/>
              </w:rPr>
              <w:t xml:space="preserve">. del conocimiento (SRTC) </w:t>
            </w:r>
          </w:p>
          <w:p w:rsidR="004C6011" w:rsidRPr="00436C70" w:rsidRDefault="004C6011" w:rsidP="004C6011">
            <w:pPr>
              <w:tabs>
                <w:tab w:val="left" w:pos="8647"/>
              </w:tabs>
              <w:spacing w:after="0"/>
              <w:ind w:right="-68"/>
              <w:jc w:val="left"/>
              <w:rPr>
                <w:rFonts w:ascii="Arial Narrow" w:hAnsi="Arial Narrow" w:cs="Arial"/>
                <w:bCs/>
                <w:sz w:val="18"/>
                <w:szCs w:val="18"/>
                <w:lang w:val="es-ES" w:eastAsia="es-ES"/>
              </w:rPr>
            </w:pPr>
          </w:p>
        </w:tc>
        <w:tc>
          <w:tcPr>
            <w:tcW w:w="2407" w:type="dxa"/>
            <w:tcBorders>
              <w:top w:val="single" w:sz="4" w:space="0" w:color="auto"/>
              <w:left w:val="nil"/>
              <w:bottom w:val="single" w:sz="4" w:space="0" w:color="auto"/>
              <w:right w:val="nil"/>
            </w:tcBorders>
            <w:vAlign w:val="center"/>
          </w:tcPr>
          <w:p w:rsidR="004C6011" w:rsidRDefault="004C6011" w:rsidP="004C6011">
            <w:pPr>
              <w:tabs>
                <w:tab w:val="left" w:pos="8647"/>
              </w:tabs>
              <w:spacing w:after="0"/>
              <w:ind w:left="70" w:right="-68" w:firstLine="0"/>
              <w:jc w:val="left"/>
              <w:rPr>
                <w:rFonts w:ascii="Arial Narrow" w:hAnsi="Arial Narrow" w:cs="Arial"/>
                <w:bCs/>
                <w:sz w:val="18"/>
                <w:szCs w:val="18"/>
                <w:lang w:val="es-ES" w:eastAsia="es-ES"/>
              </w:rPr>
            </w:pPr>
            <w:proofErr w:type="spellStart"/>
            <w:r>
              <w:rPr>
                <w:rFonts w:ascii="Arial Narrow" w:hAnsi="Arial Narrow" w:cs="Arial"/>
                <w:bCs/>
                <w:sz w:val="18"/>
                <w:szCs w:val="18"/>
                <w:lang w:val="es-ES" w:eastAsia="es-ES"/>
              </w:rPr>
              <w:t>Subv</w:t>
            </w:r>
            <w:proofErr w:type="spellEnd"/>
            <w:r>
              <w:rPr>
                <w:rFonts w:ascii="Arial Narrow" w:hAnsi="Arial Narrow" w:cs="Arial"/>
                <w:bCs/>
                <w:sz w:val="18"/>
                <w:szCs w:val="18"/>
                <w:lang w:val="es-ES" w:eastAsia="es-ES"/>
              </w:rPr>
              <w:t xml:space="preserve">. unitaria por ingresos de </w:t>
            </w:r>
            <w:proofErr w:type="spellStart"/>
            <w:r>
              <w:rPr>
                <w:rFonts w:ascii="Arial Narrow" w:hAnsi="Arial Narrow" w:cs="Arial"/>
                <w:bCs/>
                <w:sz w:val="18"/>
                <w:szCs w:val="18"/>
                <w:lang w:val="es-ES" w:eastAsia="es-ES"/>
              </w:rPr>
              <w:t>transf</w:t>
            </w:r>
            <w:proofErr w:type="spellEnd"/>
            <w:r>
              <w:rPr>
                <w:rFonts w:ascii="Arial Narrow" w:hAnsi="Arial Narrow" w:cs="Arial"/>
                <w:bCs/>
                <w:sz w:val="18"/>
                <w:szCs w:val="18"/>
                <w:lang w:val="es-ES" w:eastAsia="es-ES"/>
              </w:rPr>
              <w:t>. de conocimiento y de fo</w:t>
            </w:r>
            <w:r>
              <w:rPr>
                <w:rFonts w:ascii="Arial Narrow" w:hAnsi="Arial Narrow" w:cs="Arial"/>
                <w:bCs/>
                <w:sz w:val="18"/>
                <w:szCs w:val="18"/>
                <w:lang w:val="es-ES" w:eastAsia="es-ES"/>
              </w:rPr>
              <w:t>r</w:t>
            </w:r>
            <w:r>
              <w:rPr>
                <w:rFonts w:ascii="Arial Narrow" w:hAnsi="Arial Narrow" w:cs="Arial"/>
                <w:bCs/>
                <w:sz w:val="18"/>
                <w:szCs w:val="18"/>
                <w:lang w:val="es-ES" w:eastAsia="es-ES"/>
              </w:rPr>
              <w:t>mación continua</w:t>
            </w:r>
          </w:p>
        </w:tc>
        <w:tc>
          <w:tcPr>
            <w:tcW w:w="1319" w:type="dxa"/>
            <w:gridSpan w:val="2"/>
            <w:tcBorders>
              <w:top w:val="nil"/>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0,25</w:t>
            </w:r>
          </w:p>
        </w:tc>
        <w:tc>
          <w:tcPr>
            <w:tcW w:w="1740" w:type="dxa"/>
            <w:gridSpan w:val="2"/>
            <w:vMerge w:val="restart"/>
            <w:tcBorders>
              <w:top w:val="single" w:sz="4" w:space="0" w:color="auto"/>
              <w:left w:val="nil"/>
              <w:right w:val="nil"/>
            </w:tcBorders>
            <w:vAlign w:val="center"/>
          </w:tcPr>
          <w:p w:rsidR="004C6011" w:rsidRPr="006A6617" w:rsidRDefault="004C6011" w:rsidP="004C6011">
            <w:pPr>
              <w:tabs>
                <w:tab w:val="left" w:pos="8647"/>
              </w:tabs>
              <w:spacing w:after="0"/>
              <w:ind w:right="-68" w:firstLine="0"/>
              <w:jc w:val="left"/>
              <w:rPr>
                <w:rFonts w:ascii="Arial Narrow" w:hAnsi="Arial Narrow" w:cs="Arial"/>
                <w:bCs/>
                <w:sz w:val="18"/>
                <w:szCs w:val="18"/>
                <w:lang w:val="es-ES" w:eastAsia="es-ES"/>
              </w:rPr>
            </w:pPr>
            <w:r w:rsidRPr="006A6617">
              <w:rPr>
                <w:rFonts w:ascii="Arial Narrow" w:hAnsi="Arial Narrow" w:cs="Arial"/>
                <w:bCs/>
                <w:sz w:val="18"/>
                <w:szCs w:val="18"/>
                <w:lang w:val="es-ES" w:eastAsia="es-ES"/>
              </w:rPr>
              <w:t>Factor constante</w:t>
            </w:r>
          </w:p>
        </w:tc>
        <w:tc>
          <w:tcPr>
            <w:tcW w:w="1601" w:type="dxa"/>
            <w:gridSpan w:val="2"/>
            <w:tcBorders>
              <w:top w:val="nil"/>
              <w:left w:val="nil"/>
              <w:bottom w:val="single" w:sz="4" w:space="0" w:color="auto"/>
              <w:right w:val="nil"/>
            </w:tcBorders>
            <w:vAlign w:val="center"/>
          </w:tcPr>
          <w:p w:rsidR="004C6011" w:rsidRPr="006A6617" w:rsidRDefault="004C6011" w:rsidP="004C6011">
            <w:pPr>
              <w:tabs>
                <w:tab w:val="left" w:pos="8647"/>
              </w:tabs>
              <w:spacing w:after="0"/>
              <w:ind w:right="-68"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356.545</w:t>
            </w:r>
          </w:p>
        </w:tc>
        <w:tc>
          <w:tcPr>
            <w:tcW w:w="1577" w:type="dxa"/>
            <w:gridSpan w:val="2"/>
            <w:tcBorders>
              <w:top w:val="nil"/>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356.515</w:t>
            </w:r>
          </w:p>
        </w:tc>
        <w:tc>
          <w:tcPr>
            <w:tcW w:w="1559" w:type="dxa"/>
            <w:gridSpan w:val="3"/>
            <w:tcBorders>
              <w:top w:val="nil"/>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356.545</w:t>
            </w:r>
          </w:p>
        </w:tc>
      </w:tr>
      <w:tr w:rsidR="004C6011" w:rsidRPr="00436C70" w:rsidTr="004C6011">
        <w:trPr>
          <w:trHeight w:val="170"/>
        </w:trPr>
        <w:tc>
          <w:tcPr>
            <w:tcW w:w="1420" w:type="dxa"/>
            <w:gridSpan w:val="2"/>
            <w:vMerge/>
            <w:tcBorders>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843" w:type="dxa"/>
            <w:gridSpan w:val="3"/>
            <w:vMerge/>
            <w:tcBorders>
              <w:left w:val="nil"/>
              <w:bottom w:val="single" w:sz="4" w:space="0" w:color="auto"/>
              <w:right w:val="nil"/>
            </w:tcBorders>
            <w:shd w:val="clear" w:color="auto" w:fill="auto"/>
            <w:noWrap/>
            <w:vAlign w:val="center"/>
          </w:tcPr>
          <w:p w:rsidR="004C6011" w:rsidRPr="00436C70"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2407" w:type="dxa"/>
            <w:tcBorders>
              <w:top w:val="nil"/>
              <w:left w:val="nil"/>
              <w:bottom w:val="single" w:sz="4" w:space="0" w:color="auto"/>
              <w:right w:val="nil"/>
            </w:tcBorders>
            <w:vAlign w:val="center"/>
          </w:tcPr>
          <w:p w:rsidR="004C6011" w:rsidRDefault="004C6011" w:rsidP="004C6011">
            <w:pPr>
              <w:tabs>
                <w:tab w:val="left" w:pos="8647"/>
              </w:tabs>
              <w:spacing w:after="0"/>
              <w:ind w:left="70" w:right="-68" w:firstLine="0"/>
              <w:jc w:val="left"/>
              <w:rPr>
                <w:rFonts w:ascii="Arial Narrow" w:hAnsi="Arial Narrow" w:cs="Arial"/>
                <w:bCs/>
                <w:sz w:val="18"/>
                <w:szCs w:val="18"/>
                <w:lang w:val="es-ES" w:eastAsia="es-ES"/>
              </w:rPr>
            </w:pPr>
            <w:proofErr w:type="spellStart"/>
            <w:r>
              <w:rPr>
                <w:rFonts w:ascii="Arial Narrow" w:hAnsi="Arial Narrow" w:cs="Arial"/>
                <w:bCs/>
                <w:sz w:val="18"/>
                <w:szCs w:val="18"/>
                <w:lang w:val="es-ES" w:eastAsia="es-ES"/>
              </w:rPr>
              <w:t>Subv</w:t>
            </w:r>
            <w:proofErr w:type="spellEnd"/>
            <w:r>
              <w:rPr>
                <w:rFonts w:ascii="Arial Narrow" w:hAnsi="Arial Narrow" w:cs="Arial"/>
                <w:bCs/>
                <w:sz w:val="18"/>
                <w:szCs w:val="18"/>
                <w:lang w:val="es-ES" w:eastAsia="es-ES"/>
              </w:rPr>
              <w:t>. unitaria por ingresos de formación continua</w:t>
            </w:r>
          </w:p>
        </w:tc>
        <w:tc>
          <w:tcPr>
            <w:tcW w:w="1319" w:type="dxa"/>
            <w:gridSpan w:val="2"/>
            <w:tcBorders>
              <w:top w:val="nil"/>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0,22</w:t>
            </w:r>
          </w:p>
        </w:tc>
        <w:tc>
          <w:tcPr>
            <w:tcW w:w="1740" w:type="dxa"/>
            <w:gridSpan w:val="2"/>
            <w:vMerge/>
            <w:tcBorders>
              <w:left w:val="nil"/>
              <w:bottom w:val="single" w:sz="4" w:space="0" w:color="auto"/>
              <w:right w:val="nil"/>
            </w:tcBorders>
            <w:vAlign w:val="center"/>
          </w:tcPr>
          <w:p w:rsidR="004C6011" w:rsidRPr="006A6617"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601" w:type="dxa"/>
            <w:gridSpan w:val="2"/>
            <w:tcBorders>
              <w:top w:val="nil"/>
              <w:left w:val="nil"/>
              <w:bottom w:val="single" w:sz="4" w:space="0" w:color="auto"/>
              <w:right w:val="nil"/>
            </w:tcBorders>
            <w:vAlign w:val="center"/>
          </w:tcPr>
          <w:p w:rsidR="004C6011" w:rsidRPr="006A6617" w:rsidRDefault="004C6011" w:rsidP="004C6011">
            <w:pPr>
              <w:tabs>
                <w:tab w:val="left" w:pos="8647"/>
              </w:tabs>
              <w:spacing w:after="0"/>
              <w:ind w:right="-68"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147.251</w:t>
            </w:r>
          </w:p>
        </w:tc>
        <w:tc>
          <w:tcPr>
            <w:tcW w:w="1577" w:type="dxa"/>
            <w:gridSpan w:val="2"/>
            <w:tcBorders>
              <w:top w:val="nil"/>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147.251</w:t>
            </w:r>
          </w:p>
        </w:tc>
        <w:tc>
          <w:tcPr>
            <w:tcW w:w="1559" w:type="dxa"/>
            <w:gridSpan w:val="3"/>
            <w:tcBorders>
              <w:top w:val="nil"/>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147.251</w:t>
            </w:r>
          </w:p>
        </w:tc>
      </w:tr>
      <w:tr w:rsidR="004C6011" w:rsidRPr="00436C70" w:rsidTr="004C6011">
        <w:trPr>
          <w:trHeight w:val="170"/>
        </w:trPr>
        <w:tc>
          <w:tcPr>
            <w:tcW w:w="1420" w:type="dxa"/>
            <w:gridSpan w:val="2"/>
            <w:vMerge/>
            <w:tcBorders>
              <w:left w:val="nil"/>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843" w:type="dxa"/>
            <w:gridSpan w:val="3"/>
            <w:vMerge/>
            <w:tcBorders>
              <w:top w:val="single" w:sz="4" w:space="0" w:color="auto"/>
              <w:left w:val="nil"/>
              <w:bottom w:val="single" w:sz="4" w:space="0" w:color="auto"/>
              <w:right w:val="nil"/>
            </w:tcBorders>
            <w:shd w:val="clear" w:color="auto" w:fill="auto"/>
            <w:noWrap/>
            <w:vAlign w:val="center"/>
          </w:tcPr>
          <w:p w:rsidR="004C601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2407" w:type="dxa"/>
            <w:tcBorders>
              <w:top w:val="single" w:sz="4" w:space="0" w:color="auto"/>
              <w:left w:val="nil"/>
              <w:bottom w:val="single" w:sz="4" w:space="0" w:color="auto"/>
              <w:right w:val="nil"/>
            </w:tcBorders>
            <w:vAlign w:val="center"/>
          </w:tcPr>
          <w:p w:rsidR="004C6011" w:rsidRPr="00582936" w:rsidRDefault="004C6011" w:rsidP="004C6011">
            <w:pPr>
              <w:tabs>
                <w:tab w:val="left" w:pos="8647"/>
              </w:tabs>
              <w:spacing w:after="0"/>
              <w:ind w:left="70" w:right="-68" w:firstLine="0"/>
              <w:jc w:val="left"/>
              <w:rPr>
                <w:rFonts w:ascii="Arial Narrow" w:hAnsi="Arial Narrow" w:cs="Arial"/>
                <w:b/>
                <w:bCs/>
                <w:sz w:val="18"/>
                <w:szCs w:val="18"/>
                <w:lang w:val="es-ES" w:eastAsia="es-ES"/>
              </w:rPr>
            </w:pPr>
          </w:p>
        </w:tc>
        <w:tc>
          <w:tcPr>
            <w:tcW w:w="1319" w:type="dxa"/>
            <w:gridSpan w:val="2"/>
            <w:tcBorders>
              <w:top w:val="nil"/>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483.669</w:t>
            </w:r>
          </w:p>
        </w:tc>
        <w:tc>
          <w:tcPr>
            <w:tcW w:w="1740" w:type="dxa"/>
            <w:gridSpan w:val="2"/>
            <w:tcBorders>
              <w:left w:val="nil"/>
              <w:bottom w:val="single" w:sz="4" w:space="0" w:color="auto"/>
              <w:right w:val="nil"/>
            </w:tcBorders>
            <w:vAlign w:val="center"/>
          </w:tcPr>
          <w:p w:rsidR="004C6011" w:rsidRPr="006A6617"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601" w:type="dxa"/>
            <w:gridSpan w:val="2"/>
            <w:tcBorders>
              <w:top w:val="nil"/>
              <w:left w:val="nil"/>
              <w:bottom w:val="single" w:sz="4" w:space="0" w:color="auto"/>
              <w:right w:val="nil"/>
            </w:tcBorders>
            <w:vAlign w:val="center"/>
          </w:tcPr>
          <w:p w:rsidR="004C6011" w:rsidRPr="006A6617" w:rsidRDefault="004C6011" w:rsidP="004C6011">
            <w:pPr>
              <w:tabs>
                <w:tab w:val="left" w:pos="8647"/>
              </w:tabs>
              <w:spacing w:after="0"/>
              <w:ind w:right="-68"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503.796</w:t>
            </w:r>
          </w:p>
        </w:tc>
        <w:tc>
          <w:tcPr>
            <w:tcW w:w="1577" w:type="dxa"/>
            <w:gridSpan w:val="2"/>
            <w:tcBorders>
              <w:top w:val="nil"/>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503.796</w:t>
            </w:r>
          </w:p>
        </w:tc>
        <w:tc>
          <w:tcPr>
            <w:tcW w:w="1559" w:type="dxa"/>
            <w:gridSpan w:val="3"/>
            <w:tcBorders>
              <w:top w:val="nil"/>
              <w:left w:val="nil"/>
              <w:bottom w:val="single" w:sz="4" w:space="0" w:color="auto"/>
              <w:right w:val="nil"/>
            </w:tcBorders>
            <w:vAlign w:val="center"/>
          </w:tcPr>
          <w:p w:rsidR="004C6011" w:rsidRPr="006A6617" w:rsidRDefault="004C6011" w:rsidP="004C6011">
            <w:pPr>
              <w:tabs>
                <w:tab w:val="left" w:pos="8647"/>
              </w:tabs>
              <w:spacing w:after="0"/>
              <w:ind w:right="66" w:firstLine="0"/>
              <w:jc w:val="right"/>
              <w:rPr>
                <w:rFonts w:ascii="Arial Narrow" w:hAnsi="Arial Narrow" w:cs="Arial"/>
                <w:bCs/>
                <w:sz w:val="18"/>
                <w:szCs w:val="18"/>
                <w:lang w:val="es-ES" w:eastAsia="es-ES"/>
              </w:rPr>
            </w:pPr>
            <w:r w:rsidRPr="006A6617">
              <w:rPr>
                <w:rFonts w:ascii="Arial Narrow" w:hAnsi="Arial Narrow" w:cs="Arial"/>
                <w:bCs/>
                <w:sz w:val="18"/>
                <w:szCs w:val="18"/>
                <w:lang w:val="es-ES" w:eastAsia="es-ES"/>
              </w:rPr>
              <w:t>503.796</w:t>
            </w:r>
          </w:p>
        </w:tc>
      </w:tr>
      <w:tr w:rsidR="004C6011" w:rsidRPr="000320F1" w:rsidTr="004C6011">
        <w:trPr>
          <w:trHeight w:val="284"/>
        </w:trPr>
        <w:tc>
          <w:tcPr>
            <w:tcW w:w="1420" w:type="dxa"/>
            <w:gridSpan w:val="2"/>
            <w:tcBorders>
              <w:top w:val="single" w:sz="4" w:space="0" w:color="auto"/>
              <w:left w:val="nil"/>
              <w:bottom w:val="single" w:sz="4" w:space="0" w:color="auto"/>
              <w:right w:val="nil"/>
            </w:tcBorders>
            <w:shd w:val="clear" w:color="auto" w:fill="B8CCE4" w:themeFill="accent1" w:themeFillTint="66"/>
            <w:noWrap/>
            <w:vAlign w:val="center"/>
          </w:tcPr>
          <w:p w:rsidR="004C6011" w:rsidRPr="000320F1" w:rsidRDefault="004C6011" w:rsidP="004C6011">
            <w:pPr>
              <w:tabs>
                <w:tab w:val="left" w:pos="8647"/>
              </w:tabs>
              <w:spacing w:after="0"/>
              <w:ind w:right="-68" w:firstLine="0"/>
              <w:jc w:val="left"/>
              <w:rPr>
                <w:rFonts w:ascii="Arial Narrow" w:hAnsi="Arial Narrow" w:cs="Arial"/>
                <w:bCs/>
                <w:sz w:val="18"/>
                <w:szCs w:val="18"/>
                <w:lang w:val="es-ES" w:eastAsia="es-ES"/>
              </w:rPr>
            </w:pPr>
            <w:r w:rsidRPr="000320F1">
              <w:rPr>
                <w:rFonts w:ascii="Arial Narrow" w:hAnsi="Arial Narrow" w:cs="Arial"/>
                <w:bCs/>
                <w:sz w:val="18"/>
                <w:szCs w:val="18"/>
                <w:lang w:val="es-ES" w:eastAsia="es-ES"/>
              </w:rPr>
              <w:t>Subtotal FR</w:t>
            </w:r>
          </w:p>
        </w:tc>
        <w:tc>
          <w:tcPr>
            <w:tcW w:w="1843" w:type="dxa"/>
            <w:gridSpan w:val="3"/>
            <w:tcBorders>
              <w:top w:val="single" w:sz="4" w:space="0" w:color="auto"/>
              <w:left w:val="nil"/>
              <w:bottom w:val="single" w:sz="4" w:space="0" w:color="auto"/>
              <w:right w:val="nil"/>
            </w:tcBorders>
            <w:shd w:val="clear" w:color="auto" w:fill="B8CCE4" w:themeFill="accent1" w:themeFillTint="66"/>
            <w:noWrap/>
            <w:vAlign w:val="center"/>
          </w:tcPr>
          <w:p w:rsidR="004C6011" w:rsidRPr="000320F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2407" w:type="dxa"/>
            <w:tcBorders>
              <w:top w:val="single" w:sz="4" w:space="0" w:color="auto"/>
              <w:left w:val="nil"/>
              <w:bottom w:val="single" w:sz="4" w:space="0" w:color="auto"/>
              <w:right w:val="nil"/>
            </w:tcBorders>
            <w:shd w:val="clear" w:color="auto" w:fill="B8CCE4" w:themeFill="accent1" w:themeFillTint="66"/>
            <w:vAlign w:val="center"/>
          </w:tcPr>
          <w:p w:rsidR="004C6011" w:rsidRPr="000320F1" w:rsidRDefault="004C6011" w:rsidP="004C6011">
            <w:pPr>
              <w:tabs>
                <w:tab w:val="left" w:pos="8647"/>
              </w:tabs>
              <w:spacing w:after="0"/>
              <w:ind w:left="70" w:right="-68" w:firstLine="0"/>
              <w:jc w:val="left"/>
              <w:rPr>
                <w:rFonts w:ascii="Arial Narrow" w:hAnsi="Arial Narrow" w:cs="Arial"/>
                <w:bCs/>
                <w:sz w:val="18"/>
                <w:szCs w:val="18"/>
                <w:lang w:val="es-ES" w:eastAsia="es-ES"/>
              </w:rPr>
            </w:pPr>
          </w:p>
        </w:tc>
        <w:tc>
          <w:tcPr>
            <w:tcW w:w="1319" w:type="dxa"/>
            <w:gridSpan w:val="2"/>
            <w:tcBorders>
              <w:top w:val="single" w:sz="4" w:space="0" w:color="auto"/>
              <w:left w:val="nil"/>
              <w:bottom w:val="single" w:sz="4" w:space="0" w:color="auto"/>
              <w:right w:val="nil"/>
            </w:tcBorders>
            <w:shd w:val="clear" w:color="auto" w:fill="B8CCE4" w:themeFill="accent1" w:themeFillTint="66"/>
            <w:vAlign w:val="center"/>
          </w:tcPr>
          <w:p w:rsidR="004C6011" w:rsidRPr="000320F1" w:rsidRDefault="004C6011" w:rsidP="004C6011">
            <w:pPr>
              <w:tabs>
                <w:tab w:val="left" w:pos="8647"/>
              </w:tabs>
              <w:spacing w:after="0"/>
              <w:ind w:right="66"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23.997.959</w:t>
            </w:r>
          </w:p>
        </w:tc>
        <w:tc>
          <w:tcPr>
            <w:tcW w:w="1740" w:type="dxa"/>
            <w:gridSpan w:val="2"/>
            <w:tcBorders>
              <w:top w:val="single" w:sz="4" w:space="0" w:color="auto"/>
              <w:left w:val="nil"/>
              <w:bottom w:val="single" w:sz="4" w:space="0" w:color="auto"/>
              <w:right w:val="nil"/>
            </w:tcBorders>
            <w:shd w:val="clear" w:color="auto" w:fill="B8CCE4" w:themeFill="accent1" w:themeFillTint="66"/>
            <w:vAlign w:val="center"/>
          </w:tcPr>
          <w:p w:rsidR="004C6011" w:rsidRPr="000320F1" w:rsidRDefault="004C6011" w:rsidP="004C6011">
            <w:pPr>
              <w:tabs>
                <w:tab w:val="left" w:pos="8647"/>
              </w:tabs>
              <w:spacing w:after="0"/>
              <w:ind w:right="-68" w:firstLine="0"/>
              <w:jc w:val="left"/>
              <w:rPr>
                <w:rFonts w:ascii="Arial Narrow" w:hAnsi="Arial Narrow" w:cs="Arial"/>
                <w:bCs/>
                <w:sz w:val="18"/>
                <w:szCs w:val="18"/>
                <w:lang w:val="es-ES" w:eastAsia="es-ES"/>
              </w:rPr>
            </w:pPr>
          </w:p>
        </w:tc>
        <w:tc>
          <w:tcPr>
            <w:tcW w:w="1601" w:type="dxa"/>
            <w:gridSpan w:val="2"/>
            <w:tcBorders>
              <w:top w:val="single" w:sz="4" w:space="0" w:color="auto"/>
              <w:left w:val="nil"/>
              <w:bottom w:val="single" w:sz="4" w:space="0" w:color="auto"/>
              <w:right w:val="nil"/>
            </w:tcBorders>
            <w:shd w:val="clear" w:color="auto" w:fill="B8CCE4" w:themeFill="accent1" w:themeFillTint="66"/>
            <w:vAlign w:val="center"/>
          </w:tcPr>
          <w:p w:rsidR="004C6011" w:rsidRPr="00F55945" w:rsidRDefault="004C6011" w:rsidP="004C6011">
            <w:pPr>
              <w:tabs>
                <w:tab w:val="left" w:pos="8647"/>
              </w:tabs>
              <w:spacing w:after="0"/>
              <w:ind w:right="-68" w:firstLine="0"/>
              <w:jc w:val="right"/>
              <w:rPr>
                <w:rFonts w:ascii="Arial Narrow" w:hAnsi="Arial Narrow" w:cs="Arial"/>
                <w:bCs/>
                <w:sz w:val="18"/>
                <w:szCs w:val="18"/>
                <w:lang w:val="es-ES" w:eastAsia="es-ES"/>
              </w:rPr>
            </w:pPr>
            <w:r w:rsidRPr="00F55945">
              <w:rPr>
                <w:rFonts w:ascii="Arial Narrow" w:hAnsi="Arial Narrow" w:cs="Arial"/>
                <w:bCs/>
                <w:sz w:val="18"/>
                <w:szCs w:val="18"/>
                <w:lang w:val="es-ES" w:eastAsia="es-ES"/>
              </w:rPr>
              <w:t>24.942.167</w:t>
            </w:r>
          </w:p>
        </w:tc>
        <w:tc>
          <w:tcPr>
            <w:tcW w:w="1577" w:type="dxa"/>
            <w:gridSpan w:val="2"/>
            <w:tcBorders>
              <w:top w:val="single" w:sz="4" w:space="0" w:color="auto"/>
              <w:left w:val="nil"/>
              <w:bottom w:val="single" w:sz="4" w:space="0" w:color="auto"/>
              <w:right w:val="nil"/>
            </w:tcBorders>
            <w:shd w:val="clear" w:color="auto" w:fill="B8CCE4" w:themeFill="accent1" w:themeFillTint="66"/>
            <w:vAlign w:val="center"/>
          </w:tcPr>
          <w:p w:rsidR="004C6011" w:rsidRPr="00F55945" w:rsidRDefault="004C6011" w:rsidP="004C6011">
            <w:pPr>
              <w:tabs>
                <w:tab w:val="left" w:pos="8647"/>
              </w:tabs>
              <w:spacing w:after="0"/>
              <w:ind w:right="66" w:firstLine="0"/>
              <w:jc w:val="right"/>
              <w:rPr>
                <w:rFonts w:ascii="Arial Narrow" w:hAnsi="Arial Narrow" w:cs="Arial"/>
                <w:bCs/>
                <w:sz w:val="18"/>
                <w:szCs w:val="18"/>
                <w:lang w:val="es-ES" w:eastAsia="es-ES"/>
              </w:rPr>
            </w:pPr>
            <w:r w:rsidRPr="00F55945">
              <w:rPr>
                <w:rFonts w:ascii="Arial Narrow" w:hAnsi="Arial Narrow" w:cs="Arial"/>
                <w:bCs/>
                <w:sz w:val="18"/>
                <w:szCs w:val="18"/>
                <w:lang w:val="es-ES" w:eastAsia="es-ES"/>
              </w:rPr>
              <w:t>25.973.156</w:t>
            </w:r>
          </w:p>
        </w:tc>
        <w:tc>
          <w:tcPr>
            <w:tcW w:w="1559" w:type="dxa"/>
            <w:gridSpan w:val="3"/>
            <w:tcBorders>
              <w:top w:val="single" w:sz="4" w:space="0" w:color="auto"/>
              <w:left w:val="nil"/>
              <w:bottom w:val="single" w:sz="4" w:space="0" w:color="auto"/>
              <w:right w:val="nil"/>
            </w:tcBorders>
            <w:shd w:val="clear" w:color="auto" w:fill="B8CCE4" w:themeFill="accent1" w:themeFillTint="66"/>
            <w:vAlign w:val="center"/>
          </w:tcPr>
          <w:p w:rsidR="004C6011" w:rsidRPr="00F55945" w:rsidRDefault="004C6011" w:rsidP="004C6011">
            <w:pPr>
              <w:tabs>
                <w:tab w:val="left" w:pos="8647"/>
              </w:tabs>
              <w:spacing w:after="0"/>
              <w:ind w:right="66" w:firstLine="0"/>
              <w:jc w:val="right"/>
              <w:rPr>
                <w:rFonts w:ascii="Arial Narrow" w:hAnsi="Arial Narrow" w:cs="Arial"/>
                <w:bCs/>
                <w:sz w:val="18"/>
                <w:szCs w:val="18"/>
                <w:lang w:val="es-ES" w:eastAsia="es-ES"/>
              </w:rPr>
            </w:pPr>
            <w:r w:rsidRPr="00F55945">
              <w:rPr>
                <w:rFonts w:ascii="Arial Narrow" w:hAnsi="Arial Narrow" w:cs="Arial"/>
                <w:bCs/>
                <w:sz w:val="18"/>
                <w:szCs w:val="18"/>
                <w:lang w:val="es-ES" w:eastAsia="es-ES"/>
              </w:rPr>
              <w:t>27.044.538</w:t>
            </w:r>
          </w:p>
        </w:tc>
      </w:tr>
      <w:tr w:rsidR="004C6011" w:rsidRPr="008C3E3F" w:rsidTr="004C6011">
        <w:trPr>
          <w:trHeight w:val="284"/>
        </w:trPr>
        <w:tc>
          <w:tcPr>
            <w:tcW w:w="1420" w:type="dxa"/>
            <w:gridSpan w:val="2"/>
            <w:tcBorders>
              <w:top w:val="single" w:sz="4" w:space="0" w:color="auto"/>
              <w:left w:val="nil"/>
              <w:bottom w:val="single" w:sz="4" w:space="0" w:color="auto"/>
              <w:right w:val="nil"/>
            </w:tcBorders>
            <w:shd w:val="clear" w:color="auto" w:fill="B8CCE4" w:themeFill="accent1" w:themeFillTint="66"/>
            <w:noWrap/>
            <w:vAlign w:val="center"/>
          </w:tcPr>
          <w:p w:rsidR="004C6011" w:rsidRPr="008C3E3F" w:rsidRDefault="004C6011" w:rsidP="004C6011">
            <w:pPr>
              <w:tabs>
                <w:tab w:val="left" w:pos="8647"/>
              </w:tabs>
              <w:spacing w:after="0"/>
              <w:ind w:right="-68" w:firstLine="0"/>
              <w:jc w:val="left"/>
              <w:rPr>
                <w:rFonts w:ascii="Arial Narrow" w:hAnsi="Arial Narrow" w:cs="Arial"/>
                <w:b/>
                <w:bCs/>
                <w:sz w:val="18"/>
                <w:szCs w:val="18"/>
                <w:lang w:val="es-ES" w:eastAsia="es-ES"/>
              </w:rPr>
            </w:pPr>
            <w:r w:rsidRPr="008C3E3F">
              <w:rPr>
                <w:rFonts w:ascii="Arial Narrow" w:hAnsi="Arial Narrow" w:cs="Arial"/>
                <w:b/>
                <w:bCs/>
                <w:sz w:val="18"/>
                <w:szCs w:val="18"/>
                <w:lang w:val="es-ES" w:eastAsia="es-ES"/>
              </w:rPr>
              <w:lastRenderedPageBreak/>
              <w:t>TOTAL FE+FR</w:t>
            </w:r>
          </w:p>
        </w:tc>
        <w:tc>
          <w:tcPr>
            <w:tcW w:w="1843" w:type="dxa"/>
            <w:gridSpan w:val="3"/>
            <w:tcBorders>
              <w:top w:val="single" w:sz="4" w:space="0" w:color="auto"/>
              <w:left w:val="nil"/>
              <w:bottom w:val="single" w:sz="4" w:space="0" w:color="auto"/>
              <w:right w:val="nil"/>
            </w:tcBorders>
            <w:shd w:val="clear" w:color="auto" w:fill="B8CCE4" w:themeFill="accent1" w:themeFillTint="66"/>
            <w:noWrap/>
            <w:vAlign w:val="center"/>
          </w:tcPr>
          <w:p w:rsidR="004C6011" w:rsidRPr="008C3E3F" w:rsidRDefault="004C6011" w:rsidP="004C6011">
            <w:pPr>
              <w:tabs>
                <w:tab w:val="left" w:pos="8647"/>
              </w:tabs>
              <w:spacing w:after="0"/>
              <w:ind w:right="-68" w:firstLine="0"/>
              <w:jc w:val="left"/>
              <w:rPr>
                <w:rFonts w:ascii="Arial Narrow" w:hAnsi="Arial Narrow" w:cs="Arial"/>
                <w:b/>
                <w:bCs/>
                <w:sz w:val="18"/>
                <w:szCs w:val="18"/>
                <w:lang w:val="es-ES" w:eastAsia="es-ES"/>
              </w:rPr>
            </w:pPr>
          </w:p>
        </w:tc>
        <w:tc>
          <w:tcPr>
            <w:tcW w:w="2407" w:type="dxa"/>
            <w:tcBorders>
              <w:top w:val="single" w:sz="4" w:space="0" w:color="auto"/>
              <w:left w:val="nil"/>
              <w:bottom w:val="single" w:sz="4" w:space="0" w:color="auto"/>
              <w:right w:val="nil"/>
            </w:tcBorders>
            <w:shd w:val="clear" w:color="auto" w:fill="B8CCE4" w:themeFill="accent1" w:themeFillTint="66"/>
            <w:vAlign w:val="center"/>
          </w:tcPr>
          <w:p w:rsidR="004C6011" w:rsidRPr="008C3E3F" w:rsidRDefault="004C6011" w:rsidP="004C6011">
            <w:pPr>
              <w:tabs>
                <w:tab w:val="left" w:pos="8647"/>
              </w:tabs>
              <w:spacing w:after="0"/>
              <w:ind w:left="70" w:right="-68" w:firstLine="0"/>
              <w:jc w:val="left"/>
              <w:rPr>
                <w:rFonts w:ascii="Arial Narrow" w:hAnsi="Arial Narrow" w:cs="Arial"/>
                <w:b/>
                <w:bCs/>
                <w:sz w:val="18"/>
                <w:szCs w:val="18"/>
                <w:lang w:val="es-ES" w:eastAsia="es-ES"/>
              </w:rPr>
            </w:pPr>
          </w:p>
        </w:tc>
        <w:tc>
          <w:tcPr>
            <w:tcW w:w="1319" w:type="dxa"/>
            <w:gridSpan w:val="2"/>
            <w:tcBorders>
              <w:top w:val="single" w:sz="4" w:space="0" w:color="auto"/>
              <w:left w:val="nil"/>
              <w:bottom w:val="single" w:sz="4" w:space="0" w:color="auto"/>
              <w:right w:val="nil"/>
            </w:tcBorders>
            <w:shd w:val="clear" w:color="auto" w:fill="B8CCE4" w:themeFill="accent1" w:themeFillTint="66"/>
            <w:vAlign w:val="center"/>
          </w:tcPr>
          <w:p w:rsidR="004C6011" w:rsidRPr="008C3E3F" w:rsidRDefault="004C6011" w:rsidP="004C6011">
            <w:pPr>
              <w:tabs>
                <w:tab w:val="left" w:pos="8647"/>
              </w:tabs>
              <w:spacing w:after="0"/>
              <w:ind w:right="66" w:firstLine="0"/>
              <w:jc w:val="right"/>
              <w:rPr>
                <w:rFonts w:ascii="Arial Narrow" w:hAnsi="Arial Narrow" w:cs="Arial"/>
                <w:b/>
                <w:bCs/>
                <w:sz w:val="18"/>
                <w:szCs w:val="18"/>
                <w:lang w:val="es-ES" w:eastAsia="es-ES"/>
              </w:rPr>
            </w:pPr>
            <w:r>
              <w:rPr>
                <w:rFonts w:ascii="Arial Narrow" w:hAnsi="Arial Narrow" w:cs="Arial"/>
                <w:b/>
                <w:bCs/>
                <w:sz w:val="18"/>
                <w:szCs w:val="18"/>
                <w:lang w:val="es-ES" w:eastAsia="es-ES"/>
              </w:rPr>
              <w:t>54.805.066</w:t>
            </w:r>
          </w:p>
        </w:tc>
        <w:tc>
          <w:tcPr>
            <w:tcW w:w="1740" w:type="dxa"/>
            <w:gridSpan w:val="2"/>
            <w:tcBorders>
              <w:top w:val="single" w:sz="4" w:space="0" w:color="auto"/>
              <w:left w:val="nil"/>
              <w:bottom w:val="single" w:sz="4" w:space="0" w:color="auto"/>
              <w:right w:val="nil"/>
            </w:tcBorders>
            <w:shd w:val="clear" w:color="auto" w:fill="B8CCE4" w:themeFill="accent1" w:themeFillTint="66"/>
            <w:vAlign w:val="center"/>
          </w:tcPr>
          <w:p w:rsidR="004C6011" w:rsidRPr="008C3E3F" w:rsidRDefault="004C6011" w:rsidP="004C6011">
            <w:pPr>
              <w:tabs>
                <w:tab w:val="left" w:pos="8647"/>
              </w:tabs>
              <w:spacing w:after="0"/>
              <w:ind w:right="-68" w:firstLine="0"/>
              <w:jc w:val="left"/>
              <w:rPr>
                <w:rFonts w:ascii="Arial Narrow" w:hAnsi="Arial Narrow" w:cs="Arial"/>
                <w:b/>
                <w:bCs/>
                <w:sz w:val="18"/>
                <w:szCs w:val="18"/>
                <w:lang w:val="es-ES" w:eastAsia="es-ES"/>
              </w:rPr>
            </w:pPr>
          </w:p>
        </w:tc>
        <w:tc>
          <w:tcPr>
            <w:tcW w:w="1601" w:type="dxa"/>
            <w:gridSpan w:val="2"/>
            <w:tcBorders>
              <w:top w:val="single" w:sz="4" w:space="0" w:color="auto"/>
              <w:left w:val="nil"/>
              <w:bottom w:val="single" w:sz="4" w:space="0" w:color="auto"/>
              <w:right w:val="nil"/>
            </w:tcBorders>
            <w:shd w:val="clear" w:color="auto" w:fill="B8CCE4" w:themeFill="accent1" w:themeFillTint="66"/>
            <w:vAlign w:val="center"/>
          </w:tcPr>
          <w:p w:rsidR="004C6011" w:rsidRPr="00F55945" w:rsidRDefault="004C6011" w:rsidP="004C6011">
            <w:pPr>
              <w:tabs>
                <w:tab w:val="left" w:pos="8647"/>
              </w:tabs>
              <w:spacing w:after="0"/>
              <w:ind w:right="-68" w:firstLine="0"/>
              <w:jc w:val="right"/>
              <w:rPr>
                <w:rFonts w:ascii="Arial Narrow" w:hAnsi="Arial Narrow" w:cs="Arial"/>
                <w:b/>
                <w:bCs/>
                <w:sz w:val="18"/>
                <w:szCs w:val="18"/>
                <w:lang w:val="es-ES" w:eastAsia="es-ES"/>
              </w:rPr>
            </w:pPr>
            <w:r w:rsidRPr="00F55945">
              <w:rPr>
                <w:rFonts w:ascii="Arial Narrow" w:hAnsi="Arial Narrow" w:cs="Arial"/>
                <w:b/>
                <w:bCs/>
                <w:sz w:val="18"/>
                <w:szCs w:val="18"/>
                <w:lang w:val="es-ES" w:eastAsia="es-ES"/>
              </w:rPr>
              <w:t>56.336.919</w:t>
            </w:r>
          </w:p>
        </w:tc>
        <w:tc>
          <w:tcPr>
            <w:tcW w:w="1577" w:type="dxa"/>
            <w:gridSpan w:val="2"/>
            <w:tcBorders>
              <w:top w:val="single" w:sz="4" w:space="0" w:color="auto"/>
              <w:left w:val="nil"/>
              <w:bottom w:val="single" w:sz="4" w:space="0" w:color="auto"/>
              <w:right w:val="nil"/>
            </w:tcBorders>
            <w:shd w:val="clear" w:color="auto" w:fill="B8CCE4" w:themeFill="accent1" w:themeFillTint="66"/>
            <w:vAlign w:val="center"/>
          </w:tcPr>
          <w:p w:rsidR="004C6011" w:rsidRPr="00F55945" w:rsidRDefault="004C6011" w:rsidP="004C6011">
            <w:pPr>
              <w:tabs>
                <w:tab w:val="left" w:pos="8647"/>
              </w:tabs>
              <w:spacing w:after="0"/>
              <w:ind w:right="66" w:firstLine="0"/>
              <w:jc w:val="right"/>
              <w:rPr>
                <w:rFonts w:ascii="Arial Narrow" w:hAnsi="Arial Narrow" w:cs="Arial"/>
                <w:b/>
                <w:bCs/>
                <w:sz w:val="18"/>
                <w:szCs w:val="18"/>
                <w:lang w:val="es-ES" w:eastAsia="es-ES"/>
              </w:rPr>
            </w:pPr>
            <w:r w:rsidRPr="00F55945">
              <w:rPr>
                <w:rFonts w:ascii="Arial Narrow" w:hAnsi="Arial Narrow" w:cs="Arial"/>
                <w:b/>
                <w:bCs/>
                <w:sz w:val="18"/>
                <w:szCs w:val="18"/>
                <w:lang w:val="es-ES" w:eastAsia="es-ES"/>
              </w:rPr>
              <w:t>58.309.750</w:t>
            </w:r>
          </w:p>
        </w:tc>
        <w:tc>
          <w:tcPr>
            <w:tcW w:w="1559" w:type="dxa"/>
            <w:gridSpan w:val="3"/>
            <w:tcBorders>
              <w:top w:val="single" w:sz="4" w:space="0" w:color="auto"/>
              <w:left w:val="nil"/>
              <w:bottom w:val="single" w:sz="4" w:space="0" w:color="auto"/>
              <w:right w:val="nil"/>
            </w:tcBorders>
            <w:shd w:val="clear" w:color="auto" w:fill="B8CCE4" w:themeFill="accent1" w:themeFillTint="66"/>
            <w:vAlign w:val="center"/>
          </w:tcPr>
          <w:p w:rsidR="004C6011" w:rsidRPr="00F55945" w:rsidRDefault="004C6011" w:rsidP="004C6011">
            <w:pPr>
              <w:tabs>
                <w:tab w:val="left" w:pos="8647"/>
              </w:tabs>
              <w:spacing w:after="0"/>
              <w:ind w:right="66" w:firstLine="0"/>
              <w:jc w:val="right"/>
              <w:rPr>
                <w:rFonts w:ascii="Arial Narrow" w:hAnsi="Arial Narrow" w:cs="Arial"/>
                <w:b/>
                <w:bCs/>
                <w:sz w:val="18"/>
                <w:szCs w:val="18"/>
                <w:lang w:val="es-ES" w:eastAsia="es-ES"/>
              </w:rPr>
            </w:pPr>
            <w:r w:rsidRPr="00F55945">
              <w:rPr>
                <w:rFonts w:ascii="Arial Narrow" w:hAnsi="Arial Narrow" w:cs="Arial"/>
                <w:b/>
                <w:bCs/>
                <w:sz w:val="18"/>
                <w:szCs w:val="18"/>
                <w:lang w:val="es-ES" w:eastAsia="es-ES"/>
              </w:rPr>
              <w:t>60.351.229</w:t>
            </w:r>
          </w:p>
        </w:tc>
      </w:tr>
      <w:tr w:rsidR="00414999" w:rsidRPr="00436C70" w:rsidTr="004C6011">
        <w:trPr>
          <w:gridAfter w:val="1"/>
          <w:wAfter w:w="143" w:type="dxa"/>
          <w:trHeight w:val="284"/>
        </w:trPr>
        <w:tc>
          <w:tcPr>
            <w:tcW w:w="1420" w:type="dxa"/>
            <w:gridSpan w:val="2"/>
            <w:tcBorders>
              <w:top w:val="single" w:sz="4" w:space="0" w:color="auto"/>
              <w:left w:val="nil"/>
              <w:bottom w:val="single" w:sz="4" w:space="0" w:color="auto"/>
              <w:right w:val="nil"/>
            </w:tcBorders>
            <w:shd w:val="clear" w:color="auto" w:fill="B8CCE4" w:themeFill="accent1" w:themeFillTint="66"/>
            <w:noWrap/>
            <w:vAlign w:val="center"/>
          </w:tcPr>
          <w:p w:rsidR="00414999" w:rsidRPr="00436C70" w:rsidRDefault="00414999" w:rsidP="00F44C41">
            <w:pPr>
              <w:pStyle w:val="cuadroCabe"/>
              <w:tabs>
                <w:tab w:val="left" w:pos="8647"/>
              </w:tabs>
              <w:rPr>
                <w:lang w:val="es-ES" w:eastAsia="es-ES"/>
              </w:rPr>
            </w:pPr>
            <w:r>
              <w:rPr>
                <w:lang w:val="es-ES" w:eastAsia="es-ES"/>
              </w:rPr>
              <w:t>Componente</w:t>
            </w:r>
          </w:p>
        </w:tc>
        <w:tc>
          <w:tcPr>
            <w:tcW w:w="1557" w:type="dxa"/>
            <w:gridSpan w:val="2"/>
            <w:tcBorders>
              <w:top w:val="single" w:sz="4" w:space="0" w:color="auto"/>
              <w:left w:val="nil"/>
              <w:bottom w:val="single" w:sz="4" w:space="0" w:color="auto"/>
              <w:right w:val="nil"/>
            </w:tcBorders>
            <w:shd w:val="clear" w:color="auto" w:fill="B8CCE4" w:themeFill="accent1" w:themeFillTint="66"/>
            <w:noWrap/>
            <w:vAlign w:val="center"/>
          </w:tcPr>
          <w:p w:rsidR="00414999" w:rsidRPr="00436C70" w:rsidRDefault="00414999" w:rsidP="00F44C41">
            <w:pPr>
              <w:pStyle w:val="cuadroCabe"/>
              <w:tabs>
                <w:tab w:val="left" w:pos="8647"/>
              </w:tabs>
              <w:rPr>
                <w:lang w:val="es-ES" w:eastAsia="es-ES"/>
              </w:rPr>
            </w:pPr>
            <w:r>
              <w:rPr>
                <w:lang w:val="es-ES" w:eastAsia="es-ES"/>
              </w:rPr>
              <w:t>Instrumentos</w:t>
            </w:r>
          </w:p>
        </w:tc>
        <w:tc>
          <w:tcPr>
            <w:tcW w:w="3400" w:type="dxa"/>
            <w:gridSpan w:val="3"/>
            <w:tcBorders>
              <w:top w:val="single" w:sz="4" w:space="0" w:color="auto"/>
              <w:left w:val="nil"/>
              <w:bottom w:val="single" w:sz="4" w:space="0" w:color="auto"/>
              <w:right w:val="nil"/>
            </w:tcBorders>
            <w:shd w:val="clear" w:color="auto" w:fill="B8CCE4" w:themeFill="accent1" w:themeFillTint="66"/>
            <w:vAlign w:val="center"/>
          </w:tcPr>
          <w:p w:rsidR="00414999" w:rsidRDefault="00414999" w:rsidP="00F44C41">
            <w:pPr>
              <w:pStyle w:val="cuadroCabe"/>
              <w:tabs>
                <w:tab w:val="left" w:pos="8647"/>
              </w:tabs>
              <w:rPr>
                <w:lang w:val="es-ES" w:eastAsia="es-ES"/>
              </w:rPr>
            </w:pPr>
            <w:r>
              <w:rPr>
                <w:lang w:val="es-ES" w:eastAsia="es-ES"/>
              </w:rPr>
              <w:t>Elementos</w:t>
            </w:r>
          </w:p>
        </w:tc>
        <w:tc>
          <w:tcPr>
            <w:tcW w:w="2268" w:type="dxa"/>
            <w:gridSpan w:val="2"/>
            <w:tcBorders>
              <w:top w:val="single" w:sz="4" w:space="0" w:color="auto"/>
              <w:left w:val="nil"/>
              <w:bottom w:val="single" w:sz="4" w:space="0" w:color="auto"/>
              <w:right w:val="nil"/>
            </w:tcBorders>
            <w:shd w:val="clear" w:color="auto" w:fill="B8CCE4" w:themeFill="accent1" w:themeFillTint="66"/>
            <w:vAlign w:val="center"/>
          </w:tcPr>
          <w:p w:rsidR="00414999" w:rsidRDefault="00414999" w:rsidP="00F44C41">
            <w:pPr>
              <w:pStyle w:val="cuadroCabe"/>
              <w:tabs>
                <w:tab w:val="left" w:pos="8647"/>
              </w:tabs>
              <w:rPr>
                <w:lang w:val="es-ES" w:eastAsia="es-ES"/>
              </w:rPr>
            </w:pPr>
            <w:r>
              <w:rPr>
                <w:lang w:val="es-ES" w:eastAsia="es-ES"/>
              </w:rPr>
              <w:t>Indicadores</w:t>
            </w:r>
          </w:p>
        </w:tc>
        <w:tc>
          <w:tcPr>
            <w:tcW w:w="1134" w:type="dxa"/>
            <w:gridSpan w:val="2"/>
            <w:tcBorders>
              <w:top w:val="single" w:sz="4" w:space="0" w:color="auto"/>
              <w:left w:val="nil"/>
              <w:bottom w:val="single" w:sz="4" w:space="0" w:color="auto"/>
              <w:right w:val="nil"/>
            </w:tcBorders>
            <w:shd w:val="clear" w:color="auto" w:fill="B8CCE4" w:themeFill="accent1" w:themeFillTint="66"/>
            <w:vAlign w:val="center"/>
          </w:tcPr>
          <w:p w:rsidR="00190EEC" w:rsidRDefault="00414999" w:rsidP="00F44C41">
            <w:pPr>
              <w:pStyle w:val="cuadroCabe"/>
              <w:tabs>
                <w:tab w:val="left" w:pos="8647"/>
              </w:tabs>
              <w:jc w:val="right"/>
              <w:rPr>
                <w:lang w:val="es-ES" w:eastAsia="es-ES"/>
              </w:rPr>
            </w:pPr>
            <w:r>
              <w:rPr>
                <w:lang w:val="es-ES" w:eastAsia="es-ES"/>
              </w:rPr>
              <w:t>Valores</w:t>
            </w:r>
          </w:p>
          <w:p w:rsidR="00414999" w:rsidRDefault="00414999" w:rsidP="00F44C41">
            <w:pPr>
              <w:pStyle w:val="cuadroCabe"/>
              <w:tabs>
                <w:tab w:val="left" w:pos="8647"/>
              </w:tabs>
              <w:jc w:val="right"/>
              <w:rPr>
                <w:lang w:val="es-ES" w:eastAsia="es-ES"/>
              </w:rPr>
            </w:pPr>
            <w:r>
              <w:rPr>
                <w:lang w:val="es-ES" w:eastAsia="es-ES"/>
              </w:rPr>
              <w:t xml:space="preserve"> iniciales</w:t>
            </w:r>
          </w:p>
        </w:tc>
        <w:tc>
          <w:tcPr>
            <w:tcW w:w="1181" w:type="dxa"/>
            <w:gridSpan w:val="2"/>
            <w:tcBorders>
              <w:top w:val="single" w:sz="4" w:space="0" w:color="auto"/>
              <w:left w:val="nil"/>
              <w:bottom w:val="single" w:sz="4" w:space="0" w:color="auto"/>
              <w:right w:val="nil"/>
            </w:tcBorders>
            <w:shd w:val="clear" w:color="auto" w:fill="B8CCE4" w:themeFill="accent1" w:themeFillTint="66"/>
            <w:vAlign w:val="center"/>
          </w:tcPr>
          <w:p w:rsidR="00414999" w:rsidRDefault="00414999" w:rsidP="00F44C41">
            <w:pPr>
              <w:pStyle w:val="cuadroCabe"/>
              <w:tabs>
                <w:tab w:val="left" w:pos="8647"/>
              </w:tabs>
              <w:jc w:val="right"/>
              <w:rPr>
                <w:lang w:val="es-ES" w:eastAsia="es-ES"/>
              </w:rPr>
            </w:pPr>
            <w:r>
              <w:rPr>
                <w:lang w:val="es-ES" w:eastAsia="es-ES"/>
              </w:rPr>
              <w:t>2018</w:t>
            </w:r>
          </w:p>
        </w:tc>
        <w:tc>
          <w:tcPr>
            <w:tcW w:w="1181" w:type="dxa"/>
            <w:gridSpan w:val="2"/>
            <w:tcBorders>
              <w:top w:val="single" w:sz="4" w:space="0" w:color="auto"/>
              <w:left w:val="nil"/>
              <w:bottom w:val="single" w:sz="4" w:space="0" w:color="auto"/>
              <w:right w:val="nil"/>
            </w:tcBorders>
            <w:shd w:val="clear" w:color="auto" w:fill="B8CCE4" w:themeFill="accent1" w:themeFillTint="66"/>
            <w:vAlign w:val="center"/>
          </w:tcPr>
          <w:p w:rsidR="00414999" w:rsidRDefault="00414999" w:rsidP="00F44C41">
            <w:pPr>
              <w:pStyle w:val="cuadroCabe"/>
              <w:tabs>
                <w:tab w:val="left" w:pos="8647"/>
              </w:tabs>
              <w:jc w:val="right"/>
              <w:rPr>
                <w:lang w:val="es-ES" w:eastAsia="es-ES"/>
              </w:rPr>
            </w:pPr>
            <w:r>
              <w:rPr>
                <w:lang w:val="es-ES" w:eastAsia="es-ES"/>
              </w:rPr>
              <w:t>Estimado</w:t>
            </w:r>
          </w:p>
          <w:p w:rsidR="00414999" w:rsidRDefault="00414999" w:rsidP="00F44C41">
            <w:pPr>
              <w:pStyle w:val="cuadroCabe"/>
              <w:tabs>
                <w:tab w:val="left" w:pos="8647"/>
              </w:tabs>
              <w:jc w:val="right"/>
              <w:rPr>
                <w:bCs/>
                <w:lang w:val="es-ES" w:eastAsia="es-ES"/>
              </w:rPr>
            </w:pPr>
            <w:r>
              <w:rPr>
                <w:lang w:val="es-ES" w:eastAsia="es-ES"/>
              </w:rPr>
              <w:t>2019</w:t>
            </w:r>
          </w:p>
        </w:tc>
        <w:tc>
          <w:tcPr>
            <w:tcW w:w="1182" w:type="dxa"/>
            <w:tcBorders>
              <w:top w:val="single" w:sz="4" w:space="0" w:color="auto"/>
              <w:left w:val="nil"/>
              <w:bottom w:val="single" w:sz="4" w:space="0" w:color="auto"/>
              <w:right w:val="nil"/>
            </w:tcBorders>
            <w:shd w:val="clear" w:color="auto" w:fill="B8CCE4" w:themeFill="accent1" w:themeFillTint="66"/>
            <w:vAlign w:val="center"/>
          </w:tcPr>
          <w:p w:rsidR="00414999" w:rsidRDefault="00414999" w:rsidP="00F44C41">
            <w:pPr>
              <w:pStyle w:val="cuadroCabe"/>
              <w:tabs>
                <w:tab w:val="left" w:pos="8647"/>
              </w:tabs>
              <w:jc w:val="right"/>
              <w:rPr>
                <w:lang w:val="es-ES" w:eastAsia="es-ES"/>
              </w:rPr>
            </w:pPr>
            <w:r>
              <w:rPr>
                <w:lang w:val="es-ES" w:eastAsia="es-ES"/>
              </w:rPr>
              <w:t xml:space="preserve">Estimado </w:t>
            </w:r>
          </w:p>
          <w:p w:rsidR="00414999" w:rsidRDefault="00414999" w:rsidP="00F44C41">
            <w:pPr>
              <w:pStyle w:val="cuadroCabe"/>
              <w:tabs>
                <w:tab w:val="left" w:pos="8647"/>
              </w:tabs>
              <w:jc w:val="right"/>
              <w:rPr>
                <w:bCs/>
                <w:lang w:val="es-ES" w:eastAsia="es-ES"/>
              </w:rPr>
            </w:pPr>
            <w:r>
              <w:rPr>
                <w:lang w:val="es-ES" w:eastAsia="es-ES"/>
              </w:rPr>
              <w:t>2020</w:t>
            </w:r>
          </w:p>
        </w:tc>
      </w:tr>
      <w:tr w:rsidR="00414999" w:rsidRPr="00436C70" w:rsidTr="004C6011">
        <w:trPr>
          <w:gridAfter w:val="1"/>
          <w:wAfter w:w="143" w:type="dxa"/>
          <w:trHeight w:val="284"/>
        </w:trPr>
        <w:tc>
          <w:tcPr>
            <w:tcW w:w="1276" w:type="dxa"/>
            <w:vMerge w:val="restart"/>
            <w:tcBorders>
              <w:left w:val="nil"/>
              <w:right w:val="nil"/>
            </w:tcBorders>
            <w:shd w:val="clear" w:color="auto" w:fill="auto"/>
            <w:noWrap/>
            <w:vAlign w:val="center"/>
          </w:tcPr>
          <w:p w:rsidR="00414999" w:rsidRDefault="00414999" w:rsidP="00587135">
            <w:pPr>
              <w:pStyle w:val="cuatexto"/>
              <w:tabs>
                <w:tab w:val="left" w:pos="8647"/>
              </w:tabs>
              <w:jc w:val="left"/>
              <w:rPr>
                <w:lang w:val="es-ES" w:eastAsia="es-ES"/>
              </w:rPr>
            </w:pPr>
            <w:r>
              <w:rPr>
                <w:lang w:val="es-ES" w:eastAsia="es-ES"/>
              </w:rPr>
              <w:t>Financiación para mejoras (FM)</w:t>
            </w:r>
          </w:p>
        </w:tc>
        <w:tc>
          <w:tcPr>
            <w:tcW w:w="1701" w:type="dxa"/>
            <w:gridSpan w:val="3"/>
            <w:vMerge w:val="restart"/>
            <w:tcBorders>
              <w:left w:val="nil"/>
              <w:right w:val="nil"/>
            </w:tcBorders>
            <w:shd w:val="clear" w:color="auto" w:fill="auto"/>
            <w:noWrap/>
            <w:vAlign w:val="center"/>
          </w:tcPr>
          <w:p w:rsidR="00414999" w:rsidRDefault="00414999" w:rsidP="00F44C41">
            <w:pPr>
              <w:pStyle w:val="cuatexto"/>
              <w:tabs>
                <w:tab w:val="left" w:pos="8647"/>
              </w:tabs>
              <w:rPr>
                <w:lang w:val="es-ES" w:eastAsia="es-ES"/>
              </w:rPr>
            </w:pPr>
            <w:r>
              <w:rPr>
                <w:lang w:val="es-ES" w:eastAsia="es-ES"/>
              </w:rPr>
              <w:t>Transferencias por la mejora de cal</w:t>
            </w:r>
            <w:r>
              <w:rPr>
                <w:lang w:val="es-ES" w:eastAsia="es-ES"/>
              </w:rPr>
              <w:t>i</w:t>
            </w:r>
            <w:r>
              <w:rPr>
                <w:lang w:val="es-ES" w:eastAsia="es-ES"/>
              </w:rPr>
              <w:t>dad</w:t>
            </w:r>
          </w:p>
        </w:tc>
        <w:tc>
          <w:tcPr>
            <w:tcW w:w="3400" w:type="dxa"/>
            <w:gridSpan w:val="3"/>
            <w:tcBorders>
              <w:left w:val="nil"/>
              <w:bottom w:val="single" w:sz="4" w:space="0" w:color="auto"/>
              <w:right w:val="nil"/>
            </w:tcBorders>
            <w:vAlign w:val="center"/>
          </w:tcPr>
          <w:p w:rsidR="00414999" w:rsidRPr="00190EEC" w:rsidRDefault="00414999" w:rsidP="00F44C41">
            <w:pPr>
              <w:pStyle w:val="cuatexto"/>
              <w:tabs>
                <w:tab w:val="left" w:pos="8647"/>
              </w:tabs>
              <w:rPr>
                <w:sz w:val="18"/>
                <w:szCs w:val="18"/>
                <w:lang w:val="es-ES" w:eastAsia="es-ES"/>
              </w:rPr>
            </w:pPr>
            <w:r w:rsidRPr="00190EEC">
              <w:rPr>
                <w:sz w:val="18"/>
                <w:szCs w:val="18"/>
                <w:lang w:val="es-ES" w:eastAsia="es-ES"/>
              </w:rPr>
              <w:t>Aumentar el nº de créditos ofertados en i</w:t>
            </w:r>
            <w:r w:rsidRPr="00190EEC">
              <w:rPr>
                <w:sz w:val="18"/>
                <w:szCs w:val="18"/>
                <w:lang w:val="es-ES" w:eastAsia="es-ES"/>
              </w:rPr>
              <w:t>n</w:t>
            </w:r>
            <w:r w:rsidRPr="00190EEC">
              <w:rPr>
                <w:sz w:val="18"/>
                <w:szCs w:val="18"/>
                <w:lang w:val="es-ES" w:eastAsia="es-ES"/>
              </w:rPr>
              <w:t>glés</w:t>
            </w:r>
          </w:p>
        </w:tc>
        <w:tc>
          <w:tcPr>
            <w:tcW w:w="2268" w:type="dxa"/>
            <w:gridSpan w:val="2"/>
            <w:tcBorders>
              <w:left w:val="nil"/>
              <w:bottom w:val="single" w:sz="4" w:space="0" w:color="auto"/>
              <w:right w:val="nil"/>
            </w:tcBorders>
            <w:vAlign w:val="center"/>
          </w:tcPr>
          <w:p w:rsidR="00414999" w:rsidRPr="00190EEC" w:rsidRDefault="00414999" w:rsidP="00F44C41">
            <w:pPr>
              <w:pStyle w:val="cuatexto"/>
              <w:tabs>
                <w:tab w:val="left" w:pos="8647"/>
              </w:tabs>
              <w:rPr>
                <w:sz w:val="18"/>
                <w:szCs w:val="18"/>
                <w:lang w:val="es-ES" w:eastAsia="es-ES"/>
              </w:rPr>
            </w:pPr>
            <w:r w:rsidRPr="00190EEC">
              <w:rPr>
                <w:sz w:val="18"/>
                <w:szCs w:val="18"/>
                <w:lang w:val="es-ES" w:eastAsia="es-ES"/>
              </w:rPr>
              <w:t>Nº de créditos ofertados</w:t>
            </w:r>
          </w:p>
          <w:p w:rsidR="00414999" w:rsidRPr="00190EEC" w:rsidRDefault="00414999" w:rsidP="00F44C41">
            <w:pPr>
              <w:pStyle w:val="cuatexto"/>
              <w:tabs>
                <w:tab w:val="left" w:pos="8647"/>
              </w:tabs>
              <w:rPr>
                <w:sz w:val="18"/>
                <w:szCs w:val="18"/>
                <w:lang w:val="es-ES" w:eastAsia="es-ES"/>
              </w:rPr>
            </w:pPr>
            <w:r w:rsidRPr="00190EEC">
              <w:rPr>
                <w:sz w:val="18"/>
                <w:szCs w:val="18"/>
                <w:lang w:val="es-ES" w:eastAsia="es-ES"/>
              </w:rPr>
              <w:t xml:space="preserve"> en inglés</w:t>
            </w:r>
          </w:p>
        </w:tc>
        <w:tc>
          <w:tcPr>
            <w:tcW w:w="1134" w:type="dxa"/>
            <w:gridSpan w:val="2"/>
            <w:tcBorders>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r>
              <w:rPr>
                <w:lang w:val="es-ES" w:eastAsia="es-ES"/>
              </w:rPr>
              <w:t>1.526</w:t>
            </w:r>
          </w:p>
        </w:tc>
        <w:tc>
          <w:tcPr>
            <w:tcW w:w="1181" w:type="dxa"/>
            <w:gridSpan w:val="2"/>
            <w:tcBorders>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r>
              <w:rPr>
                <w:lang w:val="es-ES" w:eastAsia="es-ES"/>
              </w:rPr>
              <w:t>1.653</w:t>
            </w:r>
          </w:p>
        </w:tc>
        <w:tc>
          <w:tcPr>
            <w:tcW w:w="1181" w:type="dxa"/>
            <w:gridSpan w:val="2"/>
            <w:tcBorders>
              <w:left w:val="nil"/>
              <w:bottom w:val="single" w:sz="4" w:space="0" w:color="auto"/>
              <w:right w:val="nil"/>
            </w:tcBorders>
            <w:vAlign w:val="center"/>
          </w:tcPr>
          <w:p w:rsidR="00414999" w:rsidRDefault="006819AB" w:rsidP="00F44C41">
            <w:pPr>
              <w:pStyle w:val="cuatexto"/>
              <w:tabs>
                <w:tab w:val="left" w:pos="8647"/>
              </w:tabs>
              <w:jc w:val="right"/>
              <w:rPr>
                <w:lang w:val="es-ES" w:eastAsia="es-ES"/>
              </w:rPr>
            </w:pPr>
            <w:r>
              <w:rPr>
                <w:lang w:val="es-ES" w:eastAsia="es-ES"/>
              </w:rPr>
              <w:t>1.771</w:t>
            </w:r>
          </w:p>
        </w:tc>
        <w:tc>
          <w:tcPr>
            <w:tcW w:w="1182" w:type="dxa"/>
            <w:tcBorders>
              <w:left w:val="nil"/>
              <w:bottom w:val="single" w:sz="4" w:space="0" w:color="auto"/>
              <w:right w:val="nil"/>
            </w:tcBorders>
            <w:vAlign w:val="center"/>
          </w:tcPr>
          <w:p w:rsidR="00414999" w:rsidRDefault="006819AB" w:rsidP="00F44C41">
            <w:pPr>
              <w:pStyle w:val="cuatexto"/>
              <w:tabs>
                <w:tab w:val="left" w:pos="8647"/>
              </w:tabs>
              <w:jc w:val="right"/>
              <w:rPr>
                <w:lang w:val="es-ES" w:eastAsia="es-ES"/>
              </w:rPr>
            </w:pPr>
            <w:r>
              <w:rPr>
                <w:lang w:val="es-ES" w:eastAsia="es-ES"/>
              </w:rPr>
              <w:t>1.897</w:t>
            </w:r>
          </w:p>
        </w:tc>
      </w:tr>
      <w:tr w:rsidR="00414999" w:rsidRPr="00436C70" w:rsidTr="004C6011">
        <w:trPr>
          <w:gridAfter w:val="1"/>
          <w:wAfter w:w="143" w:type="dxa"/>
          <w:trHeight w:val="284"/>
        </w:trPr>
        <w:tc>
          <w:tcPr>
            <w:tcW w:w="1276" w:type="dxa"/>
            <w:vMerge/>
            <w:tcBorders>
              <w:left w:val="nil"/>
              <w:right w:val="nil"/>
            </w:tcBorders>
            <w:shd w:val="clear" w:color="auto" w:fill="auto"/>
            <w:noWrap/>
            <w:vAlign w:val="center"/>
          </w:tcPr>
          <w:p w:rsidR="00414999" w:rsidRPr="00436C70" w:rsidRDefault="00414999" w:rsidP="00F44C41">
            <w:pPr>
              <w:pStyle w:val="cuatexto"/>
              <w:tabs>
                <w:tab w:val="left" w:pos="8647"/>
              </w:tabs>
              <w:rPr>
                <w:lang w:val="es-ES" w:eastAsia="es-ES"/>
              </w:rPr>
            </w:pPr>
          </w:p>
        </w:tc>
        <w:tc>
          <w:tcPr>
            <w:tcW w:w="1701" w:type="dxa"/>
            <w:gridSpan w:val="3"/>
            <w:vMerge/>
            <w:tcBorders>
              <w:left w:val="nil"/>
              <w:right w:val="nil"/>
            </w:tcBorders>
            <w:shd w:val="clear" w:color="auto" w:fill="auto"/>
            <w:noWrap/>
            <w:vAlign w:val="center"/>
          </w:tcPr>
          <w:p w:rsidR="00414999" w:rsidRPr="00436C70" w:rsidRDefault="00414999" w:rsidP="00F44C41">
            <w:pPr>
              <w:pStyle w:val="cuatexto"/>
              <w:tabs>
                <w:tab w:val="left" w:pos="8647"/>
              </w:tabs>
              <w:rPr>
                <w:lang w:val="es-ES" w:eastAsia="es-ES"/>
              </w:rPr>
            </w:pPr>
          </w:p>
        </w:tc>
        <w:tc>
          <w:tcPr>
            <w:tcW w:w="3400" w:type="dxa"/>
            <w:gridSpan w:val="3"/>
            <w:vMerge w:val="restart"/>
            <w:tcBorders>
              <w:top w:val="nil"/>
              <w:left w:val="nil"/>
              <w:right w:val="nil"/>
            </w:tcBorders>
            <w:vAlign w:val="center"/>
          </w:tcPr>
          <w:p w:rsidR="00414999" w:rsidRPr="00190EEC" w:rsidRDefault="00414999" w:rsidP="00F44C41">
            <w:pPr>
              <w:pStyle w:val="cuatexto"/>
              <w:tabs>
                <w:tab w:val="left" w:pos="8647"/>
              </w:tabs>
              <w:rPr>
                <w:sz w:val="18"/>
                <w:szCs w:val="18"/>
                <w:lang w:val="es-ES" w:eastAsia="es-ES"/>
              </w:rPr>
            </w:pPr>
            <w:r w:rsidRPr="00190EEC">
              <w:rPr>
                <w:sz w:val="18"/>
                <w:szCs w:val="18"/>
                <w:lang w:val="es-ES" w:eastAsia="es-ES"/>
              </w:rPr>
              <w:t>Aumentar la docencia y su calidad en eusk</w:t>
            </w:r>
            <w:r w:rsidRPr="00190EEC">
              <w:rPr>
                <w:sz w:val="18"/>
                <w:szCs w:val="18"/>
                <w:lang w:val="es-ES" w:eastAsia="es-ES"/>
              </w:rPr>
              <w:t>e</w:t>
            </w:r>
            <w:r w:rsidRPr="00190EEC">
              <w:rPr>
                <w:sz w:val="18"/>
                <w:szCs w:val="18"/>
                <w:lang w:val="es-ES" w:eastAsia="es-ES"/>
              </w:rPr>
              <w:t>ra</w:t>
            </w:r>
          </w:p>
        </w:tc>
        <w:tc>
          <w:tcPr>
            <w:tcW w:w="2268" w:type="dxa"/>
            <w:gridSpan w:val="2"/>
            <w:tcBorders>
              <w:top w:val="nil"/>
              <w:left w:val="nil"/>
              <w:bottom w:val="single" w:sz="4" w:space="0" w:color="auto"/>
              <w:right w:val="nil"/>
            </w:tcBorders>
            <w:vAlign w:val="center"/>
          </w:tcPr>
          <w:p w:rsidR="00414999" w:rsidRPr="00190EEC" w:rsidRDefault="00414999" w:rsidP="00F44C41">
            <w:pPr>
              <w:pStyle w:val="cuatexto"/>
              <w:tabs>
                <w:tab w:val="left" w:pos="8647"/>
              </w:tabs>
              <w:rPr>
                <w:sz w:val="18"/>
                <w:szCs w:val="18"/>
                <w:lang w:val="es-ES" w:eastAsia="es-ES"/>
              </w:rPr>
            </w:pPr>
            <w:r w:rsidRPr="00190EEC">
              <w:rPr>
                <w:sz w:val="18"/>
                <w:szCs w:val="18"/>
                <w:lang w:val="es-ES" w:eastAsia="es-ES"/>
              </w:rPr>
              <w:t>Nº de créditos ofertados</w:t>
            </w:r>
          </w:p>
          <w:p w:rsidR="00414999" w:rsidRPr="00190EEC" w:rsidRDefault="00414999" w:rsidP="00F44C41">
            <w:pPr>
              <w:pStyle w:val="cuatexto"/>
              <w:tabs>
                <w:tab w:val="left" w:pos="8647"/>
              </w:tabs>
              <w:rPr>
                <w:sz w:val="18"/>
                <w:szCs w:val="18"/>
                <w:lang w:val="es-ES" w:eastAsia="es-ES"/>
              </w:rPr>
            </w:pPr>
            <w:r w:rsidRPr="00190EEC">
              <w:rPr>
                <w:sz w:val="18"/>
                <w:szCs w:val="18"/>
                <w:lang w:val="es-ES" w:eastAsia="es-ES"/>
              </w:rPr>
              <w:t xml:space="preserve"> en euskera</w:t>
            </w:r>
          </w:p>
        </w:tc>
        <w:tc>
          <w:tcPr>
            <w:tcW w:w="1134"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r>
              <w:rPr>
                <w:lang w:val="es-ES" w:eastAsia="es-ES"/>
              </w:rPr>
              <w:t>1.460</w:t>
            </w:r>
          </w:p>
        </w:tc>
        <w:tc>
          <w:tcPr>
            <w:tcW w:w="1181"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r>
              <w:rPr>
                <w:lang w:val="es-ES" w:eastAsia="es-ES"/>
              </w:rPr>
              <w:t>1.495</w:t>
            </w:r>
          </w:p>
        </w:tc>
        <w:tc>
          <w:tcPr>
            <w:tcW w:w="1181"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r>
              <w:rPr>
                <w:lang w:val="es-ES" w:eastAsia="es-ES"/>
              </w:rPr>
              <w:t>1.529</w:t>
            </w:r>
          </w:p>
        </w:tc>
        <w:tc>
          <w:tcPr>
            <w:tcW w:w="1182" w:type="dxa"/>
            <w:tcBorders>
              <w:top w:val="nil"/>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r>
              <w:rPr>
                <w:lang w:val="es-ES" w:eastAsia="es-ES"/>
              </w:rPr>
              <w:t>1.564</w:t>
            </w:r>
          </w:p>
        </w:tc>
      </w:tr>
      <w:tr w:rsidR="00414999" w:rsidRPr="00436C70" w:rsidTr="004C6011">
        <w:trPr>
          <w:gridAfter w:val="1"/>
          <w:wAfter w:w="143" w:type="dxa"/>
          <w:trHeight w:val="284"/>
        </w:trPr>
        <w:tc>
          <w:tcPr>
            <w:tcW w:w="1276" w:type="dxa"/>
            <w:vMerge/>
            <w:tcBorders>
              <w:left w:val="nil"/>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1701" w:type="dxa"/>
            <w:gridSpan w:val="3"/>
            <w:vMerge/>
            <w:tcBorders>
              <w:left w:val="nil"/>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3400" w:type="dxa"/>
            <w:gridSpan w:val="3"/>
            <w:vMerge/>
            <w:tcBorders>
              <w:left w:val="nil"/>
              <w:bottom w:val="single" w:sz="4" w:space="0" w:color="auto"/>
              <w:right w:val="nil"/>
            </w:tcBorders>
            <w:vAlign w:val="center"/>
          </w:tcPr>
          <w:p w:rsidR="00414999" w:rsidRPr="00190EEC" w:rsidRDefault="00414999" w:rsidP="00F44C41">
            <w:pPr>
              <w:pStyle w:val="cuatexto"/>
              <w:tabs>
                <w:tab w:val="left" w:pos="8647"/>
              </w:tabs>
              <w:rPr>
                <w:sz w:val="18"/>
                <w:szCs w:val="18"/>
                <w:lang w:val="es-ES" w:eastAsia="es-ES"/>
              </w:rPr>
            </w:pPr>
          </w:p>
        </w:tc>
        <w:tc>
          <w:tcPr>
            <w:tcW w:w="2268" w:type="dxa"/>
            <w:gridSpan w:val="2"/>
            <w:tcBorders>
              <w:top w:val="nil"/>
              <w:left w:val="nil"/>
              <w:bottom w:val="single" w:sz="4" w:space="0" w:color="auto"/>
              <w:right w:val="nil"/>
            </w:tcBorders>
            <w:vAlign w:val="center"/>
          </w:tcPr>
          <w:p w:rsidR="00414999" w:rsidRPr="00190EEC" w:rsidRDefault="00414999" w:rsidP="00F44C41">
            <w:pPr>
              <w:pStyle w:val="cuatexto"/>
              <w:tabs>
                <w:tab w:val="left" w:pos="8647"/>
              </w:tabs>
              <w:rPr>
                <w:sz w:val="18"/>
                <w:szCs w:val="18"/>
                <w:lang w:val="es-ES" w:eastAsia="es-ES"/>
              </w:rPr>
            </w:pPr>
            <w:r w:rsidRPr="00190EEC">
              <w:rPr>
                <w:sz w:val="18"/>
                <w:szCs w:val="18"/>
                <w:lang w:val="es-ES" w:eastAsia="es-ES"/>
              </w:rPr>
              <w:t xml:space="preserve">Asignaturas con materiales docentes editados </w:t>
            </w:r>
          </w:p>
          <w:p w:rsidR="00414999" w:rsidRPr="00190EEC" w:rsidRDefault="00414999" w:rsidP="00F44C41">
            <w:pPr>
              <w:pStyle w:val="cuatexto"/>
              <w:tabs>
                <w:tab w:val="left" w:pos="8647"/>
              </w:tabs>
              <w:rPr>
                <w:sz w:val="18"/>
                <w:szCs w:val="18"/>
                <w:lang w:val="es-ES" w:eastAsia="es-ES"/>
              </w:rPr>
            </w:pPr>
            <w:r w:rsidRPr="00190EEC">
              <w:rPr>
                <w:sz w:val="18"/>
                <w:szCs w:val="18"/>
                <w:lang w:val="es-ES" w:eastAsia="es-ES"/>
              </w:rPr>
              <w:t>en euskera</w:t>
            </w:r>
          </w:p>
        </w:tc>
        <w:tc>
          <w:tcPr>
            <w:tcW w:w="1134"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r>
              <w:rPr>
                <w:lang w:val="es-ES" w:eastAsia="es-ES"/>
              </w:rPr>
              <w:t>-</w:t>
            </w:r>
          </w:p>
        </w:tc>
        <w:tc>
          <w:tcPr>
            <w:tcW w:w="1181"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r>
              <w:rPr>
                <w:lang w:val="es-ES" w:eastAsia="es-ES"/>
              </w:rPr>
              <w:t>3</w:t>
            </w:r>
          </w:p>
        </w:tc>
        <w:tc>
          <w:tcPr>
            <w:tcW w:w="1181"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r>
              <w:rPr>
                <w:lang w:val="es-ES" w:eastAsia="es-ES"/>
              </w:rPr>
              <w:t>8</w:t>
            </w:r>
          </w:p>
        </w:tc>
        <w:tc>
          <w:tcPr>
            <w:tcW w:w="1182" w:type="dxa"/>
            <w:tcBorders>
              <w:top w:val="nil"/>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r>
              <w:rPr>
                <w:lang w:val="es-ES" w:eastAsia="es-ES"/>
              </w:rPr>
              <w:t>13</w:t>
            </w:r>
          </w:p>
        </w:tc>
      </w:tr>
      <w:tr w:rsidR="00414999" w:rsidRPr="00436C70" w:rsidTr="004C6011">
        <w:trPr>
          <w:gridAfter w:val="1"/>
          <w:wAfter w:w="143" w:type="dxa"/>
          <w:trHeight w:val="284"/>
        </w:trPr>
        <w:tc>
          <w:tcPr>
            <w:tcW w:w="1276" w:type="dxa"/>
            <w:vMerge/>
            <w:tcBorders>
              <w:left w:val="nil"/>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1701" w:type="dxa"/>
            <w:gridSpan w:val="3"/>
            <w:vMerge/>
            <w:tcBorders>
              <w:left w:val="nil"/>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3400" w:type="dxa"/>
            <w:gridSpan w:val="3"/>
            <w:tcBorders>
              <w:top w:val="nil"/>
              <w:left w:val="nil"/>
              <w:bottom w:val="single" w:sz="4" w:space="0" w:color="auto"/>
              <w:right w:val="nil"/>
            </w:tcBorders>
            <w:vAlign w:val="center"/>
          </w:tcPr>
          <w:p w:rsidR="00414999" w:rsidRPr="00190EEC" w:rsidRDefault="00414999" w:rsidP="00F44C41">
            <w:pPr>
              <w:pStyle w:val="cuatexto"/>
              <w:tabs>
                <w:tab w:val="left" w:pos="8647"/>
              </w:tabs>
              <w:rPr>
                <w:sz w:val="18"/>
                <w:szCs w:val="18"/>
                <w:lang w:val="es-ES" w:eastAsia="es-ES"/>
              </w:rPr>
            </w:pPr>
            <w:r w:rsidRPr="00190EEC">
              <w:rPr>
                <w:sz w:val="18"/>
                <w:szCs w:val="18"/>
                <w:lang w:val="es-ES" w:eastAsia="es-ES"/>
              </w:rPr>
              <w:t>Aumentar la oferta de posgrados en form</w:t>
            </w:r>
            <w:r w:rsidRPr="00190EEC">
              <w:rPr>
                <w:sz w:val="18"/>
                <w:szCs w:val="18"/>
                <w:lang w:val="es-ES" w:eastAsia="es-ES"/>
              </w:rPr>
              <w:t>a</w:t>
            </w:r>
            <w:r w:rsidRPr="00190EEC">
              <w:rPr>
                <w:sz w:val="18"/>
                <w:szCs w:val="18"/>
                <w:lang w:val="es-ES" w:eastAsia="es-ES"/>
              </w:rPr>
              <w:t>ción del profesorado de ESO</w:t>
            </w:r>
          </w:p>
        </w:tc>
        <w:tc>
          <w:tcPr>
            <w:tcW w:w="2268" w:type="dxa"/>
            <w:gridSpan w:val="2"/>
            <w:tcBorders>
              <w:top w:val="nil"/>
              <w:left w:val="nil"/>
              <w:bottom w:val="single" w:sz="4" w:space="0" w:color="auto"/>
              <w:right w:val="nil"/>
            </w:tcBorders>
            <w:vAlign w:val="center"/>
          </w:tcPr>
          <w:p w:rsidR="00414999" w:rsidRPr="00190EEC" w:rsidRDefault="00414999" w:rsidP="00F44C41">
            <w:pPr>
              <w:pStyle w:val="cuatexto"/>
              <w:tabs>
                <w:tab w:val="left" w:pos="8647"/>
              </w:tabs>
              <w:rPr>
                <w:sz w:val="18"/>
                <w:szCs w:val="18"/>
                <w:lang w:val="es-ES" w:eastAsia="es-ES"/>
              </w:rPr>
            </w:pPr>
            <w:r w:rsidRPr="00190EEC">
              <w:rPr>
                <w:sz w:val="18"/>
                <w:szCs w:val="18"/>
                <w:lang w:val="es-ES" w:eastAsia="es-ES"/>
              </w:rPr>
              <w:t>Plazas ofertadas</w:t>
            </w:r>
          </w:p>
        </w:tc>
        <w:tc>
          <w:tcPr>
            <w:tcW w:w="1134"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r>
              <w:rPr>
                <w:lang w:val="es-ES" w:eastAsia="es-ES"/>
              </w:rPr>
              <w:t>120</w:t>
            </w:r>
          </w:p>
        </w:tc>
        <w:tc>
          <w:tcPr>
            <w:tcW w:w="1181"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r>
              <w:rPr>
                <w:lang w:val="es-ES" w:eastAsia="es-ES"/>
              </w:rPr>
              <w:t>120</w:t>
            </w:r>
          </w:p>
        </w:tc>
        <w:tc>
          <w:tcPr>
            <w:tcW w:w="1181"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p>
        </w:tc>
        <w:tc>
          <w:tcPr>
            <w:tcW w:w="1182" w:type="dxa"/>
            <w:tcBorders>
              <w:top w:val="nil"/>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p>
        </w:tc>
      </w:tr>
      <w:tr w:rsidR="00414999" w:rsidRPr="00436C70" w:rsidTr="004C6011">
        <w:trPr>
          <w:gridAfter w:val="1"/>
          <w:wAfter w:w="143" w:type="dxa"/>
          <w:trHeight w:val="284"/>
        </w:trPr>
        <w:tc>
          <w:tcPr>
            <w:tcW w:w="1276" w:type="dxa"/>
            <w:vMerge/>
            <w:tcBorders>
              <w:left w:val="nil"/>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1701" w:type="dxa"/>
            <w:gridSpan w:val="3"/>
            <w:vMerge/>
            <w:tcBorders>
              <w:left w:val="nil"/>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3400" w:type="dxa"/>
            <w:gridSpan w:val="3"/>
            <w:tcBorders>
              <w:top w:val="nil"/>
              <w:left w:val="nil"/>
              <w:bottom w:val="single" w:sz="4" w:space="0" w:color="auto"/>
              <w:right w:val="nil"/>
            </w:tcBorders>
            <w:vAlign w:val="center"/>
          </w:tcPr>
          <w:p w:rsidR="00414999" w:rsidRPr="00190EEC" w:rsidRDefault="00414999" w:rsidP="00F44C41">
            <w:pPr>
              <w:pStyle w:val="cuatexto"/>
              <w:tabs>
                <w:tab w:val="left" w:pos="8647"/>
              </w:tabs>
              <w:rPr>
                <w:sz w:val="18"/>
                <w:szCs w:val="18"/>
                <w:lang w:val="es-ES" w:eastAsia="es-ES"/>
              </w:rPr>
            </w:pPr>
            <w:r w:rsidRPr="00190EEC">
              <w:rPr>
                <w:sz w:val="18"/>
                <w:szCs w:val="18"/>
                <w:lang w:val="es-ES" w:eastAsia="es-ES"/>
              </w:rPr>
              <w:t>Aumentar el nº de tesis leídas con la me</w:t>
            </w:r>
            <w:r w:rsidRPr="00190EEC">
              <w:rPr>
                <w:sz w:val="18"/>
                <w:szCs w:val="18"/>
                <w:lang w:val="es-ES" w:eastAsia="es-ES"/>
              </w:rPr>
              <w:t>n</w:t>
            </w:r>
            <w:r w:rsidRPr="00190EEC">
              <w:rPr>
                <w:sz w:val="18"/>
                <w:szCs w:val="18"/>
                <w:lang w:val="es-ES" w:eastAsia="es-ES"/>
              </w:rPr>
              <w:t>ción internacional</w:t>
            </w:r>
          </w:p>
        </w:tc>
        <w:tc>
          <w:tcPr>
            <w:tcW w:w="2268" w:type="dxa"/>
            <w:gridSpan w:val="2"/>
            <w:tcBorders>
              <w:top w:val="nil"/>
              <w:left w:val="nil"/>
              <w:bottom w:val="single" w:sz="4" w:space="0" w:color="auto"/>
              <w:right w:val="nil"/>
            </w:tcBorders>
            <w:vAlign w:val="center"/>
          </w:tcPr>
          <w:p w:rsidR="00414999" w:rsidRPr="00190EEC" w:rsidRDefault="00414999" w:rsidP="00F44C41">
            <w:pPr>
              <w:pStyle w:val="cuatexto"/>
              <w:tabs>
                <w:tab w:val="left" w:pos="8647"/>
              </w:tabs>
              <w:rPr>
                <w:sz w:val="18"/>
                <w:szCs w:val="18"/>
                <w:lang w:val="es-ES" w:eastAsia="es-ES"/>
              </w:rPr>
            </w:pPr>
            <w:r w:rsidRPr="00190EEC">
              <w:rPr>
                <w:sz w:val="18"/>
                <w:szCs w:val="18"/>
                <w:lang w:val="es-ES" w:eastAsia="es-ES"/>
              </w:rPr>
              <w:t>Nº de tesis leídas con</w:t>
            </w:r>
          </w:p>
          <w:p w:rsidR="00414999" w:rsidRPr="00190EEC" w:rsidRDefault="00414999" w:rsidP="00F44C41">
            <w:pPr>
              <w:pStyle w:val="cuatexto"/>
              <w:tabs>
                <w:tab w:val="left" w:pos="8647"/>
              </w:tabs>
              <w:rPr>
                <w:sz w:val="18"/>
                <w:szCs w:val="18"/>
                <w:lang w:val="es-ES" w:eastAsia="es-ES"/>
              </w:rPr>
            </w:pPr>
            <w:r w:rsidRPr="00190EEC">
              <w:rPr>
                <w:sz w:val="18"/>
                <w:szCs w:val="18"/>
                <w:lang w:val="es-ES" w:eastAsia="es-ES"/>
              </w:rPr>
              <w:t xml:space="preserve"> mención internacional</w:t>
            </w:r>
          </w:p>
        </w:tc>
        <w:tc>
          <w:tcPr>
            <w:tcW w:w="1134"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r>
              <w:rPr>
                <w:lang w:val="es-ES" w:eastAsia="es-ES"/>
              </w:rPr>
              <w:t>29%</w:t>
            </w:r>
          </w:p>
        </w:tc>
        <w:tc>
          <w:tcPr>
            <w:tcW w:w="1181"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r>
              <w:rPr>
                <w:lang w:val="es-ES" w:eastAsia="es-ES"/>
              </w:rPr>
              <w:t>32%</w:t>
            </w:r>
          </w:p>
        </w:tc>
        <w:tc>
          <w:tcPr>
            <w:tcW w:w="1181"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r>
              <w:rPr>
                <w:lang w:val="es-ES" w:eastAsia="es-ES"/>
              </w:rPr>
              <w:t>35%</w:t>
            </w:r>
          </w:p>
        </w:tc>
        <w:tc>
          <w:tcPr>
            <w:tcW w:w="1182" w:type="dxa"/>
            <w:tcBorders>
              <w:top w:val="nil"/>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r>
              <w:rPr>
                <w:lang w:val="es-ES" w:eastAsia="es-ES"/>
              </w:rPr>
              <w:t>37%</w:t>
            </w:r>
          </w:p>
        </w:tc>
      </w:tr>
      <w:tr w:rsidR="00414999" w:rsidRPr="00436C70" w:rsidTr="004C6011">
        <w:trPr>
          <w:gridAfter w:val="1"/>
          <w:wAfter w:w="143" w:type="dxa"/>
          <w:trHeight w:val="284"/>
        </w:trPr>
        <w:tc>
          <w:tcPr>
            <w:tcW w:w="1276" w:type="dxa"/>
            <w:vMerge/>
            <w:tcBorders>
              <w:left w:val="nil"/>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1701" w:type="dxa"/>
            <w:gridSpan w:val="3"/>
            <w:vMerge/>
            <w:tcBorders>
              <w:left w:val="nil"/>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3400" w:type="dxa"/>
            <w:gridSpan w:val="3"/>
            <w:tcBorders>
              <w:top w:val="nil"/>
              <w:left w:val="nil"/>
              <w:bottom w:val="single" w:sz="4" w:space="0" w:color="auto"/>
              <w:right w:val="nil"/>
            </w:tcBorders>
            <w:vAlign w:val="center"/>
          </w:tcPr>
          <w:p w:rsidR="00414999" w:rsidRPr="00190EEC" w:rsidRDefault="00414999" w:rsidP="00F44C41">
            <w:pPr>
              <w:pStyle w:val="cuatexto"/>
              <w:tabs>
                <w:tab w:val="left" w:pos="8647"/>
              </w:tabs>
              <w:rPr>
                <w:sz w:val="18"/>
                <w:szCs w:val="18"/>
                <w:lang w:val="es-ES" w:eastAsia="es-ES"/>
              </w:rPr>
            </w:pPr>
            <w:r w:rsidRPr="00190EEC">
              <w:rPr>
                <w:sz w:val="18"/>
                <w:szCs w:val="18"/>
                <w:lang w:val="es-ES" w:eastAsia="es-ES"/>
              </w:rPr>
              <w:t>Impulsar medidas para apoyar la carrera académica de los profesores jóvenes</w:t>
            </w:r>
          </w:p>
        </w:tc>
        <w:tc>
          <w:tcPr>
            <w:tcW w:w="2268" w:type="dxa"/>
            <w:gridSpan w:val="2"/>
            <w:tcBorders>
              <w:top w:val="nil"/>
              <w:left w:val="nil"/>
              <w:bottom w:val="single" w:sz="4" w:space="0" w:color="auto"/>
              <w:right w:val="nil"/>
            </w:tcBorders>
            <w:vAlign w:val="center"/>
          </w:tcPr>
          <w:p w:rsidR="00414999" w:rsidRPr="00190EEC" w:rsidRDefault="00414999" w:rsidP="00F44C41">
            <w:pPr>
              <w:pStyle w:val="cuatexto"/>
              <w:tabs>
                <w:tab w:val="left" w:pos="8647"/>
              </w:tabs>
              <w:rPr>
                <w:sz w:val="18"/>
                <w:szCs w:val="18"/>
                <w:lang w:val="es-ES" w:eastAsia="es-ES"/>
              </w:rPr>
            </w:pPr>
            <w:r w:rsidRPr="00190EEC">
              <w:rPr>
                <w:sz w:val="18"/>
                <w:szCs w:val="18"/>
                <w:lang w:val="es-ES" w:eastAsia="es-ES"/>
              </w:rPr>
              <w:t>Nº de ayudantes doctores</w:t>
            </w:r>
          </w:p>
        </w:tc>
        <w:tc>
          <w:tcPr>
            <w:tcW w:w="1134"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r>
              <w:rPr>
                <w:lang w:val="es-ES" w:eastAsia="es-ES"/>
              </w:rPr>
              <w:t>-</w:t>
            </w:r>
          </w:p>
        </w:tc>
        <w:tc>
          <w:tcPr>
            <w:tcW w:w="1181"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r>
              <w:rPr>
                <w:lang w:val="es-ES" w:eastAsia="es-ES"/>
              </w:rPr>
              <w:t>6</w:t>
            </w:r>
          </w:p>
        </w:tc>
        <w:tc>
          <w:tcPr>
            <w:tcW w:w="1181"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r>
              <w:rPr>
                <w:lang w:val="es-ES" w:eastAsia="es-ES"/>
              </w:rPr>
              <w:t>9</w:t>
            </w:r>
          </w:p>
        </w:tc>
        <w:tc>
          <w:tcPr>
            <w:tcW w:w="1182" w:type="dxa"/>
            <w:tcBorders>
              <w:top w:val="nil"/>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r>
              <w:rPr>
                <w:lang w:val="es-ES" w:eastAsia="es-ES"/>
              </w:rPr>
              <w:t>12</w:t>
            </w:r>
          </w:p>
        </w:tc>
      </w:tr>
      <w:tr w:rsidR="00414999" w:rsidRPr="00436C70" w:rsidTr="004C6011">
        <w:trPr>
          <w:gridAfter w:val="1"/>
          <w:wAfter w:w="143" w:type="dxa"/>
          <w:trHeight w:val="284"/>
        </w:trPr>
        <w:tc>
          <w:tcPr>
            <w:tcW w:w="1276" w:type="dxa"/>
            <w:vMerge/>
            <w:tcBorders>
              <w:left w:val="nil"/>
              <w:bottom w:val="single" w:sz="4" w:space="0" w:color="auto"/>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1701" w:type="dxa"/>
            <w:gridSpan w:val="3"/>
            <w:vMerge/>
            <w:tcBorders>
              <w:left w:val="nil"/>
              <w:bottom w:val="single" w:sz="4" w:space="0" w:color="auto"/>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3400" w:type="dxa"/>
            <w:gridSpan w:val="3"/>
            <w:tcBorders>
              <w:top w:val="nil"/>
              <w:left w:val="nil"/>
              <w:bottom w:val="single" w:sz="4" w:space="0" w:color="auto"/>
              <w:right w:val="nil"/>
            </w:tcBorders>
            <w:vAlign w:val="center"/>
          </w:tcPr>
          <w:p w:rsidR="00414999" w:rsidRPr="00190EEC" w:rsidRDefault="00414999" w:rsidP="00F44C41">
            <w:pPr>
              <w:pStyle w:val="cuatexto"/>
              <w:tabs>
                <w:tab w:val="left" w:pos="8647"/>
              </w:tabs>
              <w:rPr>
                <w:sz w:val="18"/>
                <w:szCs w:val="18"/>
                <w:lang w:val="es-ES" w:eastAsia="es-ES"/>
              </w:rPr>
            </w:pPr>
            <w:r w:rsidRPr="00190EEC">
              <w:rPr>
                <w:sz w:val="18"/>
                <w:szCs w:val="18"/>
                <w:lang w:val="es-ES" w:eastAsia="es-ES"/>
              </w:rPr>
              <w:t>Articular figuras contractuales que permitan la atracción y retención de profes</w:t>
            </w:r>
            <w:r w:rsidRPr="00190EEC">
              <w:rPr>
                <w:sz w:val="18"/>
                <w:szCs w:val="18"/>
                <w:lang w:val="es-ES" w:eastAsia="es-ES"/>
              </w:rPr>
              <w:t>o</w:t>
            </w:r>
            <w:r w:rsidRPr="00190EEC">
              <w:rPr>
                <w:sz w:val="18"/>
                <w:szCs w:val="18"/>
                <w:lang w:val="es-ES" w:eastAsia="es-ES"/>
              </w:rPr>
              <w:t>res/investigadores de prestigio</w:t>
            </w:r>
          </w:p>
        </w:tc>
        <w:tc>
          <w:tcPr>
            <w:tcW w:w="2268" w:type="dxa"/>
            <w:gridSpan w:val="2"/>
            <w:tcBorders>
              <w:top w:val="nil"/>
              <w:left w:val="nil"/>
              <w:bottom w:val="single" w:sz="4" w:space="0" w:color="auto"/>
              <w:right w:val="nil"/>
            </w:tcBorders>
            <w:vAlign w:val="center"/>
          </w:tcPr>
          <w:p w:rsidR="00414999" w:rsidRPr="00190EEC" w:rsidRDefault="00414999" w:rsidP="00F44C41">
            <w:pPr>
              <w:pStyle w:val="cuatexto"/>
              <w:tabs>
                <w:tab w:val="left" w:pos="8647"/>
              </w:tabs>
              <w:rPr>
                <w:sz w:val="18"/>
                <w:szCs w:val="18"/>
                <w:lang w:val="es-ES" w:eastAsia="es-ES"/>
              </w:rPr>
            </w:pPr>
            <w:r w:rsidRPr="00190EEC">
              <w:rPr>
                <w:sz w:val="18"/>
                <w:szCs w:val="18"/>
                <w:lang w:val="es-ES" w:eastAsia="es-ES"/>
              </w:rPr>
              <w:t>Nª de profesores contratados a base de nuevas figuras</w:t>
            </w:r>
          </w:p>
        </w:tc>
        <w:tc>
          <w:tcPr>
            <w:tcW w:w="1134"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r>
              <w:rPr>
                <w:lang w:val="es-ES" w:eastAsia="es-ES"/>
              </w:rPr>
              <w:t>-</w:t>
            </w:r>
          </w:p>
        </w:tc>
        <w:tc>
          <w:tcPr>
            <w:tcW w:w="1181"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r>
              <w:rPr>
                <w:lang w:val="es-ES" w:eastAsia="es-ES"/>
              </w:rPr>
              <w:t>3</w:t>
            </w:r>
          </w:p>
        </w:tc>
        <w:tc>
          <w:tcPr>
            <w:tcW w:w="1181" w:type="dxa"/>
            <w:gridSpan w:val="2"/>
            <w:tcBorders>
              <w:top w:val="nil"/>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r>
              <w:rPr>
                <w:lang w:val="es-ES" w:eastAsia="es-ES"/>
              </w:rPr>
              <w:t>7</w:t>
            </w:r>
          </w:p>
        </w:tc>
        <w:tc>
          <w:tcPr>
            <w:tcW w:w="1182" w:type="dxa"/>
            <w:tcBorders>
              <w:top w:val="nil"/>
              <w:left w:val="nil"/>
              <w:bottom w:val="single" w:sz="4" w:space="0" w:color="auto"/>
              <w:right w:val="nil"/>
            </w:tcBorders>
            <w:vAlign w:val="center"/>
          </w:tcPr>
          <w:p w:rsidR="00414999" w:rsidRDefault="00414999" w:rsidP="00F44C41">
            <w:pPr>
              <w:pStyle w:val="cuatexto"/>
              <w:tabs>
                <w:tab w:val="left" w:pos="8647"/>
              </w:tabs>
              <w:jc w:val="right"/>
              <w:rPr>
                <w:lang w:val="es-ES" w:eastAsia="es-ES"/>
              </w:rPr>
            </w:pPr>
            <w:r>
              <w:rPr>
                <w:lang w:val="es-ES" w:eastAsia="es-ES"/>
              </w:rPr>
              <w:t>12</w:t>
            </w:r>
          </w:p>
        </w:tc>
      </w:tr>
      <w:tr w:rsidR="00414999" w:rsidRPr="00813455" w:rsidTr="004C6011">
        <w:trPr>
          <w:gridAfter w:val="1"/>
          <w:wAfter w:w="143" w:type="dxa"/>
          <w:trHeight w:val="284"/>
        </w:trPr>
        <w:tc>
          <w:tcPr>
            <w:tcW w:w="1276" w:type="dxa"/>
            <w:tcBorders>
              <w:top w:val="single" w:sz="4" w:space="0" w:color="auto"/>
              <w:left w:val="nil"/>
              <w:bottom w:val="single" w:sz="4" w:space="0" w:color="auto"/>
              <w:right w:val="nil"/>
            </w:tcBorders>
            <w:shd w:val="clear" w:color="auto" w:fill="B8CCE4" w:themeFill="accent1" w:themeFillTint="66"/>
            <w:noWrap/>
            <w:vAlign w:val="center"/>
          </w:tcPr>
          <w:p w:rsidR="00414999" w:rsidRPr="00813455" w:rsidRDefault="00414999" w:rsidP="00F44C41">
            <w:pPr>
              <w:pStyle w:val="cuadroCabe"/>
              <w:tabs>
                <w:tab w:val="left" w:pos="8647"/>
              </w:tabs>
              <w:rPr>
                <w:lang w:val="es-ES" w:eastAsia="es-ES"/>
              </w:rPr>
            </w:pPr>
            <w:r w:rsidRPr="00813455">
              <w:rPr>
                <w:lang w:val="es-ES" w:eastAsia="es-ES"/>
              </w:rPr>
              <w:t>Subtotal FM</w:t>
            </w:r>
          </w:p>
        </w:tc>
        <w:tc>
          <w:tcPr>
            <w:tcW w:w="1701" w:type="dxa"/>
            <w:gridSpan w:val="3"/>
            <w:tcBorders>
              <w:top w:val="single" w:sz="4" w:space="0" w:color="auto"/>
              <w:left w:val="nil"/>
              <w:bottom w:val="single" w:sz="4" w:space="0" w:color="auto"/>
              <w:right w:val="nil"/>
            </w:tcBorders>
            <w:shd w:val="clear" w:color="auto" w:fill="B8CCE4" w:themeFill="accent1" w:themeFillTint="66"/>
            <w:noWrap/>
            <w:vAlign w:val="center"/>
          </w:tcPr>
          <w:p w:rsidR="00414999" w:rsidRPr="00813455" w:rsidRDefault="00414999" w:rsidP="00F44C41">
            <w:pPr>
              <w:pStyle w:val="cuadroCabe"/>
              <w:tabs>
                <w:tab w:val="left" w:pos="8647"/>
              </w:tabs>
              <w:rPr>
                <w:lang w:val="es-ES" w:eastAsia="es-ES"/>
              </w:rPr>
            </w:pPr>
          </w:p>
        </w:tc>
        <w:tc>
          <w:tcPr>
            <w:tcW w:w="3400" w:type="dxa"/>
            <w:gridSpan w:val="3"/>
            <w:tcBorders>
              <w:top w:val="single" w:sz="4" w:space="0" w:color="auto"/>
              <w:left w:val="nil"/>
              <w:bottom w:val="single" w:sz="4" w:space="0" w:color="auto"/>
              <w:right w:val="nil"/>
            </w:tcBorders>
            <w:shd w:val="clear" w:color="auto" w:fill="B8CCE4" w:themeFill="accent1" w:themeFillTint="66"/>
            <w:vAlign w:val="center"/>
          </w:tcPr>
          <w:p w:rsidR="00414999" w:rsidRPr="00813455" w:rsidRDefault="00414999" w:rsidP="00F44C41">
            <w:pPr>
              <w:pStyle w:val="cuadroCabe"/>
              <w:tabs>
                <w:tab w:val="left" w:pos="8647"/>
              </w:tabs>
              <w:rPr>
                <w:lang w:val="es-ES" w:eastAsia="es-ES"/>
              </w:rPr>
            </w:pPr>
          </w:p>
        </w:tc>
        <w:tc>
          <w:tcPr>
            <w:tcW w:w="2268" w:type="dxa"/>
            <w:gridSpan w:val="2"/>
            <w:tcBorders>
              <w:top w:val="single" w:sz="4" w:space="0" w:color="auto"/>
              <w:left w:val="nil"/>
              <w:bottom w:val="single" w:sz="4" w:space="0" w:color="auto"/>
              <w:right w:val="nil"/>
            </w:tcBorders>
            <w:shd w:val="clear" w:color="auto" w:fill="B8CCE4" w:themeFill="accent1" w:themeFillTint="66"/>
            <w:vAlign w:val="center"/>
          </w:tcPr>
          <w:p w:rsidR="00414999" w:rsidRPr="00813455" w:rsidRDefault="00414999" w:rsidP="00F44C41">
            <w:pPr>
              <w:pStyle w:val="cuadroCabe"/>
              <w:tabs>
                <w:tab w:val="left" w:pos="8647"/>
              </w:tabs>
              <w:rPr>
                <w:lang w:val="es-ES" w:eastAsia="es-ES"/>
              </w:rPr>
            </w:pPr>
          </w:p>
        </w:tc>
        <w:tc>
          <w:tcPr>
            <w:tcW w:w="1134" w:type="dxa"/>
            <w:gridSpan w:val="2"/>
            <w:tcBorders>
              <w:top w:val="single" w:sz="4" w:space="0" w:color="auto"/>
              <w:left w:val="nil"/>
              <w:bottom w:val="single" w:sz="4" w:space="0" w:color="auto"/>
              <w:right w:val="nil"/>
            </w:tcBorders>
            <w:shd w:val="clear" w:color="auto" w:fill="B8CCE4" w:themeFill="accent1" w:themeFillTint="66"/>
            <w:vAlign w:val="center"/>
          </w:tcPr>
          <w:p w:rsidR="00414999" w:rsidRPr="00813455" w:rsidRDefault="00414999" w:rsidP="00F44C41">
            <w:pPr>
              <w:pStyle w:val="cuadroCabe"/>
              <w:tabs>
                <w:tab w:val="left" w:pos="8647"/>
              </w:tabs>
              <w:rPr>
                <w:lang w:val="es-ES" w:eastAsia="es-ES"/>
              </w:rPr>
            </w:pPr>
          </w:p>
        </w:tc>
        <w:tc>
          <w:tcPr>
            <w:tcW w:w="1181" w:type="dxa"/>
            <w:gridSpan w:val="2"/>
            <w:tcBorders>
              <w:top w:val="single" w:sz="4" w:space="0" w:color="auto"/>
              <w:left w:val="nil"/>
              <w:bottom w:val="single" w:sz="4" w:space="0" w:color="auto"/>
              <w:right w:val="nil"/>
            </w:tcBorders>
            <w:shd w:val="clear" w:color="auto" w:fill="B8CCE4" w:themeFill="accent1" w:themeFillTint="66"/>
            <w:vAlign w:val="center"/>
          </w:tcPr>
          <w:p w:rsidR="00414999" w:rsidRPr="00813455" w:rsidRDefault="00414999" w:rsidP="00F44C41">
            <w:pPr>
              <w:pStyle w:val="cuadroCabe"/>
              <w:tabs>
                <w:tab w:val="left" w:pos="8647"/>
              </w:tabs>
              <w:jc w:val="right"/>
              <w:rPr>
                <w:lang w:val="es-ES" w:eastAsia="es-ES"/>
              </w:rPr>
            </w:pPr>
            <w:r w:rsidRPr="00813455">
              <w:rPr>
                <w:lang w:val="es-ES" w:eastAsia="es-ES"/>
              </w:rPr>
              <w:t>584.161</w:t>
            </w:r>
          </w:p>
        </w:tc>
        <w:tc>
          <w:tcPr>
            <w:tcW w:w="1181" w:type="dxa"/>
            <w:gridSpan w:val="2"/>
            <w:tcBorders>
              <w:top w:val="single" w:sz="4" w:space="0" w:color="auto"/>
              <w:left w:val="nil"/>
              <w:bottom w:val="single" w:sz="4" w:space="0" w:color="auto"/>
              <w:right w:val="nil"/>
            </w:tcBorders>
            <w:shd w:val="clear" w:color="auto" w:fill="B8CCE4" w:themeFill="accent1" w:themeFillTint="66"/>
            <w:vAlign w:val="center"/>
          </w:tcPr>
          <w:p w:rsidR="00414999" w:rsidRPr="00813455" w:rsidRDefault="00414999" w:rsidP="00F44C41">
            <w:pPr>
              <w:pStyle w:val="cuadroCabe"/>
              <w:tabs>
                <w:tab w:val="left" w:pos="8647"/>
              </w:tabs>
              <w:jc w:val="right"/>
              <w:rPr>
                <w:lang w:val="es-ES" w:eastAsia="es-ES"/>
              </w:rPr>
            </w:pPr>
            <w:r w:rsidRPr="00813455">
              <w:rPr>
                <w:lang w:val="es-ES" w:eastAsia="es-ES"/>
              </w:rPr>
              <w:t>1.111.589</w:t>
            </w:r>
          </w:p>
        </w:tc>
        <w:tc>
          <w:tcPr>
            <w:tcW w:w="1182" w:type="dxa"/>
            <w:tcBorders>
              <w:top w:val="single" w:sz="4" w:space="0" w:color="auto"/>
              <w:left w:val="nil"/>
              <w:bottom w:val="single" w:sz="4" w:space="0" w:color="auto"/>
              <w:right w:val="nil"/>
            </w:tcBorders>
            <w:shd w:val="clear" w:color="auto" w:fill="B8CCE4" w:themeFill="accent1" w:themeFillTint="66"/>
            <w:vAlign w:val="center"/>
          </w:tcPr>
          <w:p w:rsidR="00414999" w:rsidRPr="00813455" w:rsidRDefault="00414999" w:rsidP="00F44C41">
            <w:pPr>
              <w:pStyle w:val="cuadroCabe"/>
              <w:tabs>
                <w:tab w:val="left" w:pos="8647"/>
              </w:tabs>
              <w:jc w:val="right"/>
              <w:rPr>
                <w:lang w:val="es-ES" w:eastAsia="es-ES"/>
              </w:rPr>
            </w:pPr>
            <w:r w:rsidRPr="00813455">
              <w:rPr>
                <w:lang w:val="es-ES" w:eastAsia="es-ES"/>
              </w:rPr>
              <w:t>1.368.884</w:t>
            </w:r>
          </w:p>
        </w:tc>
      </w:tr>
    </w:tbl>
    <w:p w:rsidR="00414999" w:rsidRDefault="00414999" w:rsidP="00F44C41">
      <w:pPr>
        <w:pStyle w:val="texto"/>
        <w:tabs>
          <w:tab w:val="clear" w:pos="2835"/>
          <w:tab w:val="clear" w:pos="3969"/>
          <w:tab w:val="clear" w:pos="5103"/>
          <w:tab w:val="clear" w:pos="6237"/>
          <w:tab w:val="clear" w:pos="7371"/>
          <w:tab w:val="left" w:pos="8647"/>
        </w:tabs>
        <w:spacing w:after="0"/>
        <w:rPr>
          <w:szCs w:val="26"/>
        </w:rPr>
      </w:pPr>
    </w:p>
    <w:tbl>
      <w:tblPr>
        <w:tblW w:w="13325" w:type="dxa"/>
        <w:tblInd w:w="-142" w:type="dxa"/>
        <w:tblCellMar>
          <w:left w:w="70" w:type="dxa"/>
          <w:right w:w="70" w:type="dxa"/>
        </w:tblCellMar>
        <w:tblLook w:val="04A0" w:firstRow="1" w:lastRow="0" w:firstColumn="1" w:lastColumn="0" w:noHBand="0" w:noVBand="1"/>
      </w:tblPr>
      <w:tblGrid>
        <w:gridCol w:w="1986"/>
        <w:gridCol w:w="2268"/>
        <w:gridCol w:w="3398"/>
        <w:gridCol w:w="1704"/>
        <w:gridCol w:w="1780"/>
        <w:gridCol w:w="1055"/>
        <w:gridCol w:w="1134"/>
      </w:tblGrid>
      <w:tr w:rsidR="00190EEC" w:rsidRPr="00436C70" w:rsidTr="00190EEC">
        <w:trPr>
          <w:trHeight w:val="578"/>
        </w:trPr>
        <w:tc>
          <w:tcPr>
            <w:tcW w:w="1986" w:type="dxa"/>
            <w:tcBorders>
              <w:top w:val="single" w:sz="4" w:space="0" w:color="auto"/>
              <w:left w:val="nil"/>
              <w:bottom w:val="single" w:sz="4" w:space="0" w:color="auto"/>
              <w:right w:val="nil"/>
            </w:tcBorders>
            <w:shd w:val="clear" w:color="auto" w:fill="B8CCE4" w:themeFill="accent1" w:themeFillTint="66"/>
            <w:noWrap/>
            <w:vAlign w:val="center"/>
          </w:tcPr>
          <w:p w:rsidR="00190EEC" w:rsidRDefault="00190EEC" w:rsidP="00F44C41">
            <w:pPr>
              <w:pStyle w:val="cuadroCabe"/>
              <w:tabs>
                <w:tab w:val="left" w:pos="8647"/>
              </w:tabs>
              <w:rPr>
                <w:bCs/>
                <w:lang w:val="es-ES" w:eastAsia="es-ES"/>
              </w:rPr>
            </w:pPr>
            <w:r>
              <w:rPr>
                <w:lang w:val="es-ES" w:eastAsia="es-ES"/>
              </w:rPr>
              <w:t>Componente</w:t>
            </w:r>
          </w:p>
        </w:tc>
        <w:tc>
          <w:tcPr>
            <w:tcW w:w="2268" w:type="dxa"/>
            <w:tcBorders>
              <w:top w:val="single" w:sz="4" w:space="0" w:color="auto"/>
              <w:left w:val="nil"/>
              <w:bottom w:val="single" w:sz="4" w:space="0" w:color="auto"/>
              <w:right w:val="nil"/>
            </w:tcBorders>
            <w:shd w:val="clear" w:color="auto" w:fill="B8CCE4" w:themeFill="accent1" w:themeFillTint="66"/>
            <w:noWrap/>
            <w:vAlign w:val="center"/>
          </w:tcPr>
          <w:p w:rsidR="00190EEC" w:rsidRDefault="00190EEC" w:rsidP="00F44C41">
            <w:pPr>
              <w:pStyle w:val="cuadroCabe"/>
              <w:tabs>
                <w:tab w:val="left" w:pos="8647"/>
              </w:tabs>
              <w:rPr>
                <w:bCs/>
                <w:lang w:val="es-ES" w:eastAsia="es-ES"/>
              </w:rPr>
            </w:pPr>
            <w:r>
              <w:rPr>
                <w:lang w:val="es-ES" w:eastAsia="es-ES"/>
              </w:rPr>
              <w:t>Instrumentos</w:t>
            </w:r>
          </w:p>
        </w:tc>
        <w:tc>
          <w:tcPr>
            <w:tcW w:w="3398" w:type="dxa"/>
            <w:tcBorders>
              <w:top w:val="single" w:sz="4" w:space="0" w:color="auto"/>
              <w:left w:val="nil"/>
              <w:bottom w:val="single" w:sz="4" w:space="0" w:color="auto"/>
              <w:right w:val="nil"/>
            </w:tcBorders>
            <w:shd w:val="clear" w:color="auto" w:fill="B8CCE4" w:themeFill="accent1" w:themeFillTint="66"/>
            <w:vAlign w:val="center"/>
          </w:tcPr>
          <w:p w:rsidR="00190EEC" w:rsidRDefault="00190EEC" w:rsidP="00F44C41">
            <w:pPr>
              <w:pStyle w:val="cuadroCabe"/>
              <w:tabs>
                <w:tab w:val="left" w:pos="8647"/>
              </w:tabs>
              <w:rPr>
                <w:bCs/>
                <w:lang w:val="es-ES" w:eastAsia="es-ES"/>
              </w:rPr>
            </w:pPr>
            <w:r>
              <w:rPr>
                <w:lang w:val="es-ES" w:eastAsia="es-ES"/>
              </w:rPr>
              <w:t>Elementos</w:t>
            </w:r>
          </w:p>
        </w:tc>
        <w:tc>
          <w:tcPr>
            <w:tcW w:w="1704" w:type="dxa"/>
            <w:tcBorders>
              <w:top w:val="single" w:sz="4" w:space="0" w:color="auto"/>
              <w:left w:val="nil"/>
              <w:bottom w:val="single" w:sz="4" w:space="0" w:color="auto"/>
              <w:right w:val="nil"/>
            </w:tcBorders>
            <w:shd w:val="clear" w:color="auto" w:fill="B8CCE4" w:themeFill="accent1" w:themeFillTint="66"/>
            <w:vAlign w:val="center"/>
          </w:tcPr>
          <w:p w:rsidR="00190EEC" w:rsidRDefault="00190EEC" w:rsidP="00F44C41">
            <w:pPr>
              <w:pStyle w:val="cuadroCabe"/>
              <w:tabs>
                <w:tab w:val="left" w:pos="8647"/>
              </w:tabs>
              <w:rPr>
                <w:lang w:val="es-ES" w:eastAsia="es-ES"/>
              </w:rPr>
            </w:pPr>
          </w:p>
        </w:tc>
        <w:tc>
          <w:tcPr>
            <w:tcW w:w="1780" w:type="dxa"/>
            <w:tcBorders>
              <w:top w:val="single" w:sz="4" w:space="0" w:color="auto"/>
              <w:left w:val="nil"/>
              <w:bottom w:val="single" w:sz="4" w:space="0" w:color="auto"/>
              <w:right w:val="nil"/>
            </w:tcBorders>
            <w:shd w:val="clear" w:color="auto" w:fill="B8CCE4" w:themeFill="accent1" w:themeFillTint="66"/>
            <w:vAlign w:val="center"/>
          </w:tcPr>
          <w:p w:rsidR="00190EEC" w:rsidRDefault="00190EEC" w:rsidP="00F44C41">
            <w:pPr>
              <w:pStyle w:val="cuadroCabe"/>
              <w:tabs>
                <w:tab w:val="left" w:pos="8647"/>
              </w:tabs>
              <w:jc w:val="right"/>
              <w:rPr>
                <w:bCs/>
                <w:lang w:val="es-ES" w:eastAsia="es-ES"/>
              </w:rPr>
            </w:pPr>
            <w:r>
              <w:rPr>
                <w:lang w:val="es-ES" w:eastAsia="es-ES"/>
              </w:rPr>
              <w:t>2018</w:t>
            </w:r>
          </w:p>
        </w:tc>
        <w:tc>
          <w:tcPr>
            <w:tcW w:w="1055" w:type="dxa"/>
            <w:tcBorders>
              <w:top w:val="single" w:sz="4" w:space="0" w:color="auto"/>
              <w:left w:val="nil"/>
              <w:bottom w:val="single" w:sz="4" w:space="0" w:color="auto"/>
              <w:right w:val="nil"/>
            </w:tcBorders>
            <w:shd w:val="clear" w:color="auto" w:fill="B8CCE4" w:themeFill="accent1" w:themeFillTint="66"/>
            <w:vAlign w:val="center"/>
          </w:tcPr>
          <w:p w:rsidR="00190EEC" w:rsidRDefault="00190EEC" w:rsidP="00F44C41">
            <w:pPr>
              <w:pStyle w:val="cuadroCabe"/>
              <w:tabs>
                <w:tab w:val="left" w:pos="8647"/>
              </w:tabs>
              <w:jc w:val="right"/>
              <w:rPr>
                <w:lang w:val="es-ES" w:eastAsia="es-ES"/>
              </w:rPr>
            </w:pPr>
            <w:r>
              <w:rPr>
                <w:lang w:val="es-ES" w:eastAsia="es-ES"/>
              </w:rPr>
              <w:t>Estimado</w:t>
            </w:r>
          </w:p>
          <w:p w:rsidR="00190EEC" w:rsidRDefault="00190EEC" w:rsidP="00F44C41">
            <w:pPr>
              <w:pStyle w:val="cuadroCabe"/>
              <w:tabs>
                <w:tab w:val="left" w:pos="8647"/>
              </w:tabs>
              <w:jc w:val="right"/>
              <w:rPr>
                <w:bCs/>
                <w:lang w:val="es-ES" w:eastAsia="es-ES"/>
              </w:rPr>
            </w:pPr>
            <w:r>
              <w:rPr>
                <w:lang w:val="es-ES" w:eastAsia="es-ES"/>
              </w:rPr>
              <w:t>2019</w:t>
            </w:r>
          </w:p>
        </w:tc>
        <w:tc>
          <w:tcPr>
            <w:tcW w:w="1134" w:type="dxa"/>
            <w:tcBorders>
              <w:top w:val="single" w:sz="4" w:space="0" w:color="auto"/>
              <w:left w:val="nil"/>
              <w:bottom w:val="single" w:sz="4" w:space="0" w:color="auto"/>
              <w:right w:val="nil"/>
            </w:tcBorders>
            <w:shd w:val="clear" w:color="auto" w:fill="B8CCE4" w:themeFill="accent1" w:themeFillTint="66"/>
            <w:vAlign w:val="center"/>
          </w:tcPr>
          <w:p w:rsidR="00190EEC" w:rsidRDefault="00190EEC" w:rsidP="00F44C41">
            <w:pPr>
              <w:pStyle w:val="cuadroCabe"/>
              <w:tabs>
                <w:tab w:val="left" w:pos="8647"/>
              </w:tabs>
              <w:jc w:val="right"/>
              <w:rPr>
                <w:lang w:val="es-ES" w:eastAsia="es-ES"/>
              </w:rPr>
            </w:pPr>
            <w:r>
              <w:rPr>
                <w:lang w:val="es-ES" w:eastAsia="es-ES"/>
              </w:rPr>
              <w:t xml:space="preserve">Estimado </w:t>
            </w:r>
          </w:p>
          <w:p w:rsidR="00190EEC" w:rsidRDefault="00190EEC" w:rsidP="00F44C41">
            <w:pPr>
              <w:pStyle w:val="cuadroCabe"/>
              <w:tabs>
                <w:tab w:val="left" w:pos="8647"/>
              </w:tabs>
              <w:jc w:val="right"/>
              <w:rPr>
                <w:bCs/>
                <w:lang w:val="es-ES" w:eastAsia="es-ES"/>
              </w:rPr>
            </w:pPr>
            <w:r>
              <w:rPr>
                <w:lang w:val="es-ES" w:eastAsia="es-ES"/>
              </w:rPr>
              <w:t>2020</w:t>
            </w:r>
          </w:p>
        </w:tc>
      </w:tr>
      <w:tr w:rsidR="00414999" w:rsidRPr="00436C70" w:rsidTr="00190EEC">
        <w:trPr>
          <w:trHeight w:val="284"/>
        </w:trPr>
        <w:tc>
          <w:tcPr>
            <w:tcW w:w="1986" w:type="dxa"/>
            <w:vMerge w:val="restart"/>
            <w:tcBorders>
              <w:top w:val="single" w:sz="4" w:space="0" w:color="auto"/>
              <w:left w:val="nil"/>
              <w:right w:val="nil"/>
            </w:tcBorders>
            <w:shd w:val="clear" w:color="auto" w:fill="auto"/>
            <w:noWrap/>
            <w:vAlign w:val="center"/>
          </w:tcPr>
          <w:p w:rsidR="00414999" w:rsidRDefault="00414999" w:rsidP="00F44C41">
            <w:pPr>
              <w:pStyle w:val="cuatexto"/>
              <w:tabs>
                <w:tab w:val="left" w:pos="8647"/>
              </w:tabs>
              <w:rPr>
                <w:lang w:val="es-ES" w:eastAsia="es-ES"/>
              </w:rPr>
            </w:pPr>
            <w:r>
              <w:rPr>
                <w:lang w:val="es-ES" w:eastAsia="es-ES"/>
              </w:rPr>
              <w:t xml:space="preserve">Financiación para </w:t>
            </w:r>
          </w:p>
          <w:p w:rsidR="00414999" w:rsidRDefault="00414999" w:rsidP="00F44C41">
            <w:pPr>
              <w:pStyle w:val="cuatexto"/>
              <w:tabs>
                <w:tab w:val="left" w:pos="8647"/>
              </w:tabs>
              <w:rPr>
                <w:lang w:val="es-ES" w:eastAsia="es-ES"/>
              </w:rPr>
            </w:pPr>
            <w:r>
              <w:rPr>
                <w:lang w:val="es-ES" w:eastAsia="es-ES"/>
              </w:rPr>
              <w:t>inversiones (FI)</w:t>
            </w:r>
          </w:p>
        </w:tc>
        <w:tc>
          <w:tcPr>
            <w:tcW w:w="2268" w:type="dxa"/>
            <w:vMerge w:val="restart"/>
            <w:tcBorders>
              <w:top w:val="single" w:sz="4" w:space="0" w:color="auto"/>
              <w:left w:val="nil"/>
              <w:right w:val="nil"/>
            </w:tcBorders>
            <w:shd w:val="clear" w:color="auto" w:fill="auto"/>
            <w:noWrap/>
            <w:vAlign w:val="center"/>
          </w:tcPr>
          <w:p w:rsidR="00414999" w:rsidRDefault="00414999" w:rsidP="00F44C41">
            <w:pPr>
              <w:pStyle w:val="cuatexto"/>
              <w:tabs>
                <w:tab w:val="left" w:pos="8647"/>
              </w:tabs>
              <w:rPr>
                <w:lang w:val="es-ES" w:eastAsia="es-ES"/>
              </w:rPr>
            </w:pPr>
            <w:r>
              <w:rPr>
                <w:lang w:val="es-ES" w:eastAsia="es-ES"/>
              </w:rPr>
              <w:t xml:space="preserve">Transferencias para </w:t>
            </w:r>
          </w:p>
          <w:p w:rsidR="00414999" w:rsidRDefault="00414999" w:rsidP="00F44C41">
            <w:pPr>
              <w:pStyle w:val="cuatexto"/>
              <w:tabs>
                <w:tab w:val="left" w:pos="8647"/>
              </w:tabs>
              <w:rPr>
                <w:lang w:val="es-ES" w:eastAsia="es-ES"/>
              </w:rPr>
            </w:pPr>
            <w:r>
              <w:rPr>
                <w:lang w:val="es-ES" w:eastAsia="es-ES"/>
              </w:rPr>
              <w:t>inversiones específicas</w:t>
            </w:r>
          </w:p>
        </w:tc>
        <w:tc>
          <w:tcPr>
            <w:tcW w:w="3398"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rPr>
                <w:lang w:val="es-ES" w:eastAsia="es-ES"/>
              </w:rPr>
            </w:pPr>
            <w:r>
              <w:rPr>
                <w:bCs/>
                <w:lang w:val="es-ES" w:eastAsia="es-ES"/>
              </w:rPr>
              <w:t>Fase 3..- Aulario</w:t>
            </w:r>
          </w:p>
        </w:tc>
        <w:tc>
          <w:tcPr>
            <w:tcW w:w="1704" w:type="dxa"/>
            <w:tcBorders>
              <w:top w:val="single" w:sz="4" w:space="0" w:color="auto"/>
              <w:left w:val="nil"/>
              <w:bottom w:val="single" w:sz="4" w:space="0" w:color="auto"/>
              <w:right w:val="nil"/>
            </w:tcBorders>
            <w:vAlign w:val="center"/>
          </w:tcPr>
          <w:p w:rsidR="00414999" w:rsidRDefault="00414999" w:rsidP="00F44C41">
            <w:pPr>
              <w:pStyle w:val="cuatexto"/>
              <w:tabs>
                <w:tab w:val="left" w:pos="8647"/>
              </w:tabs>
              <w:rPr>
                <w:bCs/>
                <w:lang w:val="es-ES" w:eastAsia="es-ES"/>
              </w:rPr>
            </w:pPr>
          </w:p>
        </w:tc>
        <w:tc>
          <w:tcPr>
            <w:tcW w:w="1780"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jc w:val="right"/>
              <w:rPr>
                <w:lang w:val="es-ES" w:eastAsia="es-ES"/>
              </w:rPr>
            </w:pPr>
            <w:r>
              <w:rPr>
                <w:bCs/>
                <w:lang w:val="es-ES" w:eastAsia="es-ES"/>
              </w:rPr>
              <w:t>657.000</w:t>
            </w:r>
          </w:p>
        </w:tc>
        <w:tc>
          <w:tcPr>
            <w:tcW w:w="1055"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jc w:val="right"/>
              <w:rPr>
                <w:lang w:val="es-ES" w:eastAsia="es-ES"/>
              </w:rPr>
            </w:pPr>
            <w:r>
              <w:rPr>
                <w:bCs/>
                <w:lang w:val="es-ES" w:eastAsia="es-ES"/>
              </w:rPr>
              <w:t>-</w:t>
            </w:r>
          </w:p>
        </w:tc>
        <w:tc>
          <w:tcPr>
            <w:tcW w:w="1134"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jc w:val="right"/>
              <w:rPr>
                <w:lang w:val="es-ES" w:eastAsia="es-ES"/>
              </w:rPr>
            </w:pPr>
            <w:r>
              <w:rPr>
                <w:bCs/>
                <w:lang w:val="es-ES" w:eastAsia="es-ES"/>
              </w:rPr>
              <w:t>-</w:t>
            </w:r>
          </w:p>
        </w:tc>
      </w:tr>
      <w:tr w:rsidR="00414999" w:rsidRPr="00436C70" w:rsidTr="00414999">
        <w:trPr>
          <w:trHeight w:val="284"/>
        </w:trPr>
        <w:tc>
          <w:tcPr>
            <w:tcW w:w="1986" w:type="dxa"/>
            <w:vMerge/>
            <w:tcBorders>
              <w:left w:val="nil"/>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2268" w:type="dxa"/>
            <w:vMerge/>
            <w:tcBorders>
              <w:left w:val="nil"/>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3398"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rPr>
                <w:bCs/>
                <w:lang w:val="es-ES" w:eastAsia="es-ES"/>
              </w:rPr>
            </w:pPr>
            <w:r>
              <w:rPr>
                <w:bCs/>
                <w:lang w:val="es-ES" w:eastAsia="es-ES"/>
              </w:rPr>
              <w:t xml:space="preserve">Fase 2 Edificio El </w:t>
            </w:r>
            <w:proofErr w:type="spellStart"/>
            <w:r>
              <w:rPr>
                <w:bCs/>
                <w:lang w:val="es-ES" w:eastAsia="es-ES"/>
              </w:rPr>
              <w:t>Sario</w:t>
            </w:r>
            <w:proofErr w:type="spellEnd"/>
          </w:p>
        </w:tc>
        <w:tc>
          <w:tcPr>
            <w:tcW w:w="1704" w:type="dxa"/>
            <w:tcBorders>
              <w:top w:val="single" w:sz="4" w:space="0" w:color="auto"/>
              <w:left w:val="nil"/>
              <w:bottom w:val="single" w:sz="4" w:space="0" w:color="auto"/>
              <w:right w:val="nil"/>
            </w:tcBorders>
            <w:vAlign w:val="center"/>
          </w:tcPr>
          <w:p w:rsidR="00414999" w:rsidRDefault="00414999" w:rsidP="00F44C41">
            <w:pPr>
              <w:pStyle w:val="cuatexto"/>
              <w:tabs>
                <w:tab w:val="left" w:pos="8647"/>
              </w:tabs>
              <w:rPr>
                <w:bCs/>
                <w:lang w:val="es-ES" w:eastAsia="es-ES"/>
              </w:rPr>
            </w:pPr>
          </w:p>
        </w:tc>
        <w:tc>
          <w:tcPr>
            <w:tcW w:w="1780"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jc w:val="right"/>
              <w:rPr>
                <w:bCs/>
                <w:lang w:val="es-ES" w:eastAsia="es-ES"/>
              </w:rPr>
            </w:pPr>
            <w:r>
              <w:rPr>
                <w:bCs/>
                <w:lang w:val="es-ES" w:eastAsia="es-ES"/>
              </w:rPr>
              <w:t>-</w:t>
            </w:r>
          </w:p>
        </w:tc>
        <w:tc>
          <w:tcPr>
            <w:tcW w:w="1055"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jc w:val="right"/>
              <w:rPr>
                <w:bCs/>
                <w:lang w:val="es-ES" w:eastAsia="es-ES"/>
              </w:rPr>
            </w:pPr>
            <w:r>
              <w:rPr>
                <w:bCs/>
                <w:lang w:val="es-ES" w:eastAsia="es-ES"/>
              </w:rPr>
              <w:t>400.000</w:t>
            </w:r>
          </w:p>
        </w:tc>
        <w:tc>
          <w:tcPr>
            <w:tcW w:w="1134"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jc w:val="right"/>
              <w:rPr>
                <w:bCs/>
                <w:lang w:val="es-ES" w:eastAsia="es-ES"/>
              </w:rPr>
            </w:pPr>
            <w:r>
              <w:rPr>
                <w:bCs/>
                <w:lang w:val="es-ES" w:eastAsia="es-ES"/>
              </w:rPr>
              <w:t>746.000</w:t>
            </w:r>
          </w:p>
        </w:tc>
      </w:tr>
      <w:tr w:rsidR="00414999" w:rsidRPr="00436C70" w:rsidTr="00414999">
        <w:trPr>
          <w:trHeight w:val="284"/>
        </w:trPr>
        <w:tc>
          <w:tcPr>
            <w:tcW w:w="1986" w:type="dxa"/>
            <w:vMerge/>
            <w:tcBorders>
              <w:left w:val="nil"/>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2268" w:type="dxa"/>
            <w:vMerge/>
            <w:tcBorders>
              <w:left w:val="nil"/>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3398"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rPr>
                <w:bCs/>
                <w:lang w:val="es-ES" w:eastAsia="es-ES"/>
              </w:rPr>
            </w:pPr>
            <w:r>
              <w:rPr>
                <w:bCs/>
                <w:lang w:val="es-ES" w:eastAsia="es-ES"/>
              </w:rPr>
              <w:t>Equipamiento docente</w:t>
            </w:r>
          </w:p>
        </w:tc>
        <w:tc>
          <w:tcPr>
            <w:tcW w:w="1704" w:type="dxa"/>
            <w:tcBorders>
              <w:top w:val="single" w:sz="4" w:space="0" w:color="auto"/>
              <w:left w:val="nil"/>
              <w:bottom w:val="single" w:sz="4" w:space="0" w:color="auto"/>
              <w:right w:val="nil"/>
            </w:tcBorders>
            <w:vAlign w:val="center"/>
          </w:tcPr>
          <w:p w:rsidR="00414999" w:rsidRDefault="00414999" w:rsidP="00F44C41">
            <w:pPr>
              <w:pStyle w:val="cuatexto"/>
              <w:tabs>
                <w:tab w:val="left" w:pos="8647"/>
              </w:tabs>
              <w:rPr>
                <w:bCs/>
                <w:lang w:val="es-ES" w:eastAsia="es-ES"/>
              </w:rPr>
            </w:pPr>
          </w:p>
        </w:tc>
        <w:tc>
          <w:tcPr>
            <w:tcW w:w="1780" w:type="dxa"/>
            <w:tcBorders>
              <w:top w:val="single" w:sz="4" w:space="0" w:color="auto"/>
              <w:left w:val="nil"/>
              <w:bottom w:val="single" w:sz="4" w:space="0" w:color="auto"/>
              <w:right w:val="nil"/>
            </w:tcBorders>
            <w:shd w:val="clear" w:color="auto" w:fill="auto"/>
            <w:vAlign w:val="center"/>
          </w:tcPr>
          <w:p w:rsidR="00414999" w:rsidRDefault="006819AB" w:rsidP="006819AB">
            <w:pPr>
              <w:pStyle w:val="cuatexto"/>
              <w:tabs>
                <w:tab w:val="left" w:pos="8647"/>
              </w:tabs>
              <w:jc w:val="right"/>
              <w:rPr>
                <w:bCs/>
                <w:lang w:val="es-ES" w:eastAsia="es-ES"/>
              </w:rPr>
            </w:pPr>
            <w:r>
              <w:rPr>
                <w:bCs/>
                <w:lang w:val="es-ES" w:eastAsia="es-ES"/>
              </w:rPr>
              <w:t>650</w:t>
            </w:r>
            <w:r w:rsidR="00414999">
              <w:rPr>
                <w:bCs/>
                <w:lang w:val="es-ES" w:eastAsia="es-ES"/>
              </w:rPr>
              <w:t>.000</w:t>
            </w:r>
          </w:p>
        </w:tc>
        <w:tc>
          <w:tcPr>
            <w:tcW w:w="1055"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jc w:val="right"/>
              <w:rPr>
                <w:bCs/>
                <w:lang w:val="es-ES" w:eastAsia="es-ES"/>
              </w:rPr>
            </w:pPr>
            <w:r>
              <w:rPr>
                <w:bCs/>
                <w:lang w:val="es-ES" w:eastAsia="es-ES"/>
              </w:rPr>
              <w:t>650.000</w:t>
            </w:r>
          </w:p>
        </w:tc>
        <w:tc>
          <w:tcPr>
            <w:tcW w:w="1134"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jc w:val="right"/>
              <w:rPr>
                <w:bCs/>
                <w:lang w:val="es-ES" w:eastAsia="es-ES"/>
              </w:rPr>
            </w:pPr>
            <w:r>
              <w:rPr>
                <w:bCs/>
                <w:lang w:val="es-ES" w:eastAsia="es-ES"/>
              </w:rPr>
              <w:t>650.000</w:t>
            </w:r>
          </w:p>
        </w:tc>
      </w:tr>
      <w:tr w:rsidR="00414999" w:rsidRPr="00436C70" w:rsidTr="00414999">
        <w:trPr>
          <w:trHeight w:val="284"/>
        </w:trPr>
        <w:tc>
          <w:tcPr>
            <w:tcW w:w="1986" w:type="dxa"/>
            <w:vMerge/>
            <w:tcBorders>
              <w:left w:val="nil"/>
              <w:bottom w:val="single" w:sz="4" w:space="0" w:color="auto"/>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2268" w:type="dxa"/>
            <w:vMerge/>
            <w:tcBorders>
              <w:left w:val="nil"/>
              <w:bottom w:val="single" w:sz="4" w:space="0" w:color="auto"/>
              <w:right w:val="nil"/>
            </w:tcBorders>
            <w:shd w:val="clear" w:color="auto" w:fill="auto"/>
            <w:noWrap/>
            <w:vAlign w:val="center"/>
          </w:tcPr>
          <w:p w:rsidR="00414999" w:rsidRDefault="00414999" w:rsidP="00F44C41">
            <w:pPr>
              <w:pStyle w:val="cuatexto"/>
              <w:tabs>
                <w:tab w:val="left" w:pos="8647"/>
              </w:tabs>
              <w:rPr>
                <w:lang w:val="es-ES" w:eastAsia="es-ES"/>
              </w:rPr>
            </w:pPr>
          </w:p>
        </w:tc>
        <w:tc>
          <w:tcPr>
            <w:tcW w:w="3398"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rPr>
                <w:bCs/>
                <w:lang w:val="es-ES" w:eastAsia="es-ES"/>
              </w:rPr>
            </w:pPr>
            <w:r>
              <w:rPr>
                <w:bCs/>
                <w:lang w:val="es-ES" w:eastAsia="es-ES"/>
              </w:rPr>
              <w:t>Equipamiento investigador</w:t>
            </w:r>
          </w:p>
        </w:tc>
        <w:tc>
          <w:tcPr>
            <w:tcW w:w="1704" w:type="dxa"/>
            <w:tcBorders>
              <w:top w:val="single" w:sz="4" w:space="0" w:color="auto"/>
              <w:left w:val="nil"/>
              <w:bottom w:val="single" w:sz="4" w:space="0" w:color="auto"/>
              <w:right w:val="nil"/>
            </w:tcBorders>
            <w:vAlign w:val="center"/>
          </w:tcPr>
          <w:p w:rsidR="00414999" w:rsidRDefault="00414999" w:rsidP="00F44C41">
            <w:pPr>
              <w:pStyle w:val="cuatexto"/>
              <w:tabs>
                <w:tab w:val="left" w:pos="8647"/>
              </w:tabs>
              <w:rPr>
                <w:bCs/>
                <w:lang w:val="es-ES" w:eastAsia="es-ES"/>
              </w:rPr>
            </w:pPr>
          </w:p>
        </w:tc>
        <w:tc>
          <w:tcPr>
            <w:tcW w:w="1780"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jc w:val="right"/>
              <w:rPr>
                <w:bCs/>
                <w:lang w:val="es-ES" w:eastAsia="es-ES"/>
              </w:rPr>
            </w:pPr>
            <w:r>
              <w:rPr>
                <w:bCs/>
                <w:lang w:val="es-ES" w:eastAsia="es-ES"/>
              </w:rPr>
              <w:t>470.000</w:t>
            </w:r>
          </w:p>
        </w:tc>
        <w:tc>
          <w:tcPr>
            <w:tcW w:w="1055"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jc w:val="right"/>
              <w:rPr>
                <w:bCs/>
                <w:lang w:val="es-ES" w:eastAsia="es-ES"/>
              </w:rPr>
            </w:pPr>
            <w:r>
              <w:rPr>
                <w:bCs/>
                <w:lang w:val="es-ES" w:eastAsia="es-ES"/>
              </w:rPr>
              <w:t>515.000</w:t>
            </w:r>
          </w:p>
        </w:tc>
        <w:tc>
          <w:tcPr>
            <w:tcW w:w="1134" w:type="dxa"/>
            <w:tcBorders>
              <w:top w:val="single" w:sz="4" w:space="0" w:color="auto"/>
              <w:left w:val="nil"/>
              <w:bottom w:val="single" w:sz="4" w:space="0" w:color="auto"/>
              <w:right w:val="nil"/>
            </w:tcBorders>
            <w:shd w:val="clear" w:color="auto" w:fill="auto"/>
            <w:vAlign w:val="center"/>
          </w:tcPr>
          <w:p w:rsidR="00414999" w:rsidRDefault="00414999" w:rsidP="00F44C41">
            <w:pPr>
              <w:pStyle w:val="cuatexto"/>
              <w:tabs>
                <w:tab w:val="left" w:pos="8647"/>
              </w:tabs>
              <w:jc w:val="right"/>
              <w:rPr>
                <w:bCs/>
                <w:lang w:val="es-ES" w:eastAsia="es-ES"/>
              </w:rPr>
            </w:pPr>
            <w:r>
              <w:rPr>
                <w:bCs/>
                <w:lang w:val="es-ES" w:eastAsia="es-ES"/>
              </w:rPr>
              <w:t>515.000</w:t>
            </w:r>
          </w:p>
        </w:tc>
      </w:tr>
      <w:tr w:rsidR="00414999" w:rsidRPr="00190EEC" w:rsidTr="00414999">
        <w:trPr>
          <w:trHeight w:val="284"/>
        </w:trPr>
        <w:tc>
          <w:tcPr>
            <w:tcW w:w="1986" w:type="dxa"/>
            <w:tcBorders>
              <w:top w:val="single" w:sz="4" w:space="0" w:color="auto"/>
              <w:left w:val="nil"/>
              <w:bottom w:val="single" w:sz="4" w:space="0" w:color="auto"/>
              <w:right w:val="nil"/>
            </w:tcBorders>
            <w:shd w:val="clear" w:color="auto" w:fill="B8CCE4" w:themeFill="accent1" w:themeFillTint="66"/>
            <w:noWrap/>
            <w:vAlign w:val="center"/>
          </w:tcPr>
          <w:p w:rsidR="00414999" w:rsidRPr="00190EEC" w:rsidRDefault="00414999" w:rsidP="00F44C41">
            <w:pPr>
              <w:pStyle w:val="cuadroCabe"/>
              <w:tabs>
                <w:tab w:val="left" w:pos="8647"/>
              </w:tabs>
              <w:rPr>
                <w:lang w:val="es-ES" w:eastAsia="es-ES"/>
              </w:rPr>
            </w:pPr>
            <w:r w:rsidRPr="00190EEC">
              <w:rPr>
                <w:lang w:val="es-ES" w:eastAsia="es-ES"/>
              </w:rPr>
              <w:t>Subtotal FI</w:t>
            </w:r>
          </w:p>
        </w:tc>
        <w:tc>
          <w:tcPr>
            <w:tcW w:w="2268" w:type="dxa"/>
            <w:tcBorders>
              <w:top w:val="single" w:sz="4" w:space="0" w:color="auto"/>
              <w:left w:val="nil"/>
              <w:bottom w:val="single" w:sz="4" w:space="0" w:color="auto"/>
              <w:right w:val="nil"/>
            </w:tcBorders>
            <w:shd w:val="clear" w:color="auto" w:fill="B8CCE4" w:themeFill="accent1" w:themeFillTint="66"/>
            <w:noWrap/>
            <w:vAlign w:val="center"/>
          </w:tcPr>
          <w:p w:rsidR="00414999" w:rsidRPr="00190EEC" w:rsidRDefault="00414999" w:rsidP="00F44C41">
            <w:pPr>
              <w:pStyle w:val="cuadroCabe"/>
              <w:tabs>
                <w:tab w:val="left" w:pos="8647"/>
              </w:tabs>
              <w:rPr>
                <w:lang w:val="es-ES" w:eastAsia="es-ES"/>
              </w:rPr>
            </w:pPr>
          </w:p>
        </w:tc>
        <w:tc>
          <w:tcPr>
            <w:tcW w:w="3398" w:type="dxa"/>
            <w:tcBorders>
              <w:top w:val="single" w:sz="4" w:space="0" w:color="auto"/>
              <w:left w:val="nil"/>
              <w:bottom w:val="single" w:sz="4" w:space="0" w:color="auto"/>
              <w:right w:val="nil"/>
            </w:tcBorders>
            <w:shd w:val="clear" w:color="auto" w:fill="B8CCE4" w:themeFill="accent1" w:themeFillTint="66"/>
            <w:vAlign w:val="center"/>
          </w:tcPr>
          <w:p w:rsidR="00414999" w:rsidRPr="00190EEC" w:rsidRDefault="00414999" w:rsidP="00F44C41">
            <w:pPr>
              <w:pStyle w:val="cuadroCabe"/>
              <w:tabs>
                <w:tab w:val="left" w:pos="8647"/>
              </w:tabs>
              <w:rPr>
                <w:lang w:val="es-ES" w:eastAsia="es-ES"/>
              </w:rPr>
            </w:pPr>
          </w:p>
        </w:tc>
        <w:tc>
          <w:tcPr>
            <w:tcW w:w="1704" w:type="dxa"/>
            <w:tcBorders>
              <w:top w:val="single" w:sz="4" w:space="0" w:color="auto"/>
              <w:left w:val="nil"/>
              <w:bottom w:val="single" w:sz="4" w:space="0" w:color="auto"/>
              <w:right w:val="nil"/>
            </w:tcBorders>
            <w:shd w:val="clear" w:color="auto" w:fill="B8CCE4" w:themeFill="accent1" w:themeFillTint="66"/>
            <w:vAlign w:val="center"/>
          </w:tcPr>
          <w:p w:rsidR="00414999" w:rsidRPr="00190EEC" w:rsidRDefault="00414999" w:rsidP="00F44C41">
            <w:pPr>
              <w:pStyle w:val="cuadroCabe"/>
              <w:tabs>
                <w:tab w:val="left" w:pos="8647"/>
              </w:tabs>
              <w:rPr>
                <w:lang w:val="es-ES" w:eastAsia="es-ES"/>
              </w:rPr>
            </w:pPr>
          </w:p>
        </w:tc>
        <w:tc>
          <w:tcPr>
            <w:tcW w:w="1780" w:type="dxa"/>
            <w:tcBorders>
              <w:top w:val="single" w:sz="4" w:space="0" w:color="auto"/>
              <w:left w:val="nil"/>
              <w:bottom w:val="single" w:sz="4" w:space="0" w:color="auto"/>
              <w:right w:val="nil"/>
            </w:tcBorders>
            <w:shd w:val="clear" w:color="auto" w:fill="B8CCE4" w:themeFill="accent1" w:themeFillTint="66"/>
            <w:vAlign w:val="center"/>
          </w:tcPr>
          <w:p w:rsidR="00414999" w:rsidRPr="00190EEC" w:rsidRDefault="00414999" w:rsidP="00F44C41">
            <w:pPr>
              <w:pStyle w:val="cuadroCabe"/>
              <w:tabs>
                <w:tab w:val="left" w:pos="8647"/>
              </w:tabs>
              <w:jc w:val="right"/>
              <w:rPr>
                <w:lang w:val="es-ES" w:eastAsia="es-ES"/>
              </w:rPr>
            </w:pPr>
            <w:r w:rsidRPr="00190EEC">
              <w:rPr>
                <w:lang w:val="es-ES" w:eastAsia="es-ES"/>
              </w:rPr>
              <w:t>1.777.000</w:t>
            </w:r>
          </w:p>
        </w:tc>
        <w:tc>
          <w:tcPr>
            <w:tcW w:w="1055" w:type="dxa"/>
            <w:tcBorders>
              <w:top w:val="single" w:sz="4" w:space="0" w:color="auto"/>
              <w:left w:val="nil"/>
              <w:bottom w:val="single" w:sz="4" w:space="0" w:color="auto"/>
              <w:right w:val="nil"/>
            </w:tcBorders>
            <w:shd w:val="clear" w:color="auto" w:fill="B8CCE4" w:themeFill="accent1" w:themeFillTint="66"/>
            <w:vAlign w:val="center"/>
          </w:tcPr>
          <w:p w:rsidR="00414999" w:rsidRPr="00190EEC" w:rsidRDefault="00414999" w:rsidP="00F44C41">
            <w:pPr>
              <w:pStyle w:val="cuadroCabe"/>
              <w:tabs>
                <w:tab w:val="left" w:pos="8647"/>
              </w:tabs>
              <w:jc w:val="right"/>
              <w:rPr>
                <w:lang w:val="es-ES" w:eastAsia="es-ES"/>
              </w:rPr>
            </w:pPr>
            <w:r w:rsidRPr="00190EEC">
              <w:rPr>
                <w:lang w:val="es-ES" w:eastAsia="es-ES"/>
              </w:rPr>
              <w:t>1.565.000</w:t>
            </w:r>
          </w:p>
        </w:tc>
        <w:tc>
          <w:tcPr>
            <w:tcW w:w="1134" w:type="dxa"/>
            <w:tcBorders>
              <w:top w:val="single" w:sz="4" w:space="0" w:color="auto"/>
              <w:left w:val="nil"/>
              <w:bottom w:val="single" w:sz="4" w:space="0" w:color="auto"/>
              <w:right w:val="nil"/>
            </w:tcBorders>
            <w:shd w:val="clear" w:color="auto" w:fill="B8CCE4" w:themeFill="accent1" w:themeFillTint="66"/>
            <w:vAlign w:val="center"/>
          </w:tcPr>
          <w:p w:rsidR="00414999" w:rsidRPr="00190EEC" w:rsidRDefault="00414999" w:rsidP="00F44C41">
            <w:pPr>
              <w:pStyle w:val="cuadroCabe"/>
              <w:tabs>
                <w:tab w:val="left" w:pos="8647"/>
              </w:tabs>
              <w:jc w:val="right"/>
              <w:rPr>
                <w:lang w:val="es-ES" w:eastAsia="es-ES"/>
              </w:rPr>
            </w:pPr>
            <w:r w:rsidRPr="00190EEC">
              <w:rPr>
                <w:lang w:val="es-ES" w:eastAsia="es-ES"/>
              </w:rPr>
              <w:t>1.911.000</w:t>
            </w:r>
          </w:p>
        </w:tc>
      </w:tr>
    </w:tbl>
    <w:p w:rsidR="00414999" w:rsidRDefault="00414999" w:rsidP="00F44C41">
      <w:pPr>
        <w:pStyle w:val="texto"/>
        <w:tabs>
          <w:tab w:val="clear" w:pos="2835"/>
          <w:tab w:val="clear" w:pos="3969"/>
          <w:tab w:val="clear" w:pos="5103"/>
          <w:tab w:val="clear" w:pos="6237"/>
          <w:tab w:val="clear" w:pos="7371"/>
          <w:tab w:val="left" w:pos="8647"/>
        </w:tabs>
        <w:spacing w:after="0"/>
        <w:rPr>
          <w:szCs w:val="26"/>
        </w:rPr>
      </w:pPr>
    </w:p>
    <w:tbl>
      <w:tblPr>
        <w:tblW w:w="13325" w:type="dxa"/>
        <w:tblInd w:w="-142" w:type="dxa"/>
        <w:tblCellMar>
          <w:left w:w="70" w:type="dxa"/>
          <w:right w:w="70" w:type="dxa"/>
        </w:tblCellMar>
        <w:tblLook w:val="04A0" w:firstRow="1" w:lastRow="0" w:firstColumn="1" w:lastColumn="0" w:noHBand="0" w:noVBand="1"/>
      </w:tblPr>
      <w:tblGrid>
        <w:gridCol w:w="4254"/>
        <w:gridCol w:w="3371"/>
        <w:gridCol w:w="1691"/>
        <w:gridCol w:w="1774"/>
        <w:gridCol w:w="1101"/>
        <w:gridCol w:w="1134"/>
      </w:tblGrid>
      <w:tr w:rsidR="004C6011" w:rsidRPr="00190EEC" w:rsidTr="00190EEC">
        <w:trPr>
          <w:trHeight w:val="284"/>
        </w:trPr>
        <w:tc>
          <w:tcPr>
            <w:tcW w:w="4254" w:type="dxa"/>
            <w:tcBorders>
              <w:top w:val="single" w:sz="4" w:space="0" w:color="auto"/>
              <w:left w:val="nil"/>
              <w:bottom w:val="single" w:sz="4" w:space="0" w:color="auto"/>
              <w:right w:val="nil"/>
            </w:tcBorders>
            <w:shd w:val="clear" w:color="auto" w:fill="B8CCE4" w:themeFill="accent1" w:themeFillTint="66"/>
            <w:noWrap/>
            <w:vAlign w:val="center"/>
          </w:tcPr>
          <w:p w:rsidR="004C6011" w:rsidRPr="00190EEC" w:rsidRDefault="004C6011" w:rsidP="004C6011">
            <w:pPr>
              <w:pStyle w:val="cuadroCabe"/>
              <w:tabs>
                <w:tab w:val="left" w:pos="8647"/>
              </w:tabs>
              <w:rPr>
                <w:lang w:val="en-US" w:eastAsia="es-ES"/>
              </w:rPr>
            </w:pPr>
            <w:r w:rsidRPr="00190EEC">
              <w:rPr>
                <w:lang w:val="en-US" w:eastAsia="es-ES"/>
              </w:rPr>
              <w:t>TOTAL FE+FR+FM+FI</w:t>
            </w:r>
          </w:p>
        </w:tc>
        <w:tc>
          <w:tcPr>
            <w:tcW w:w="3371" w:type="dxa"/>
            <w:tcBorders>
              <w:top w:val="single" w:sz="4" w:space="0" w:color="auto"/>
              <w:left w:val="nil"/>
              <w:bottom w:val="single" w:sz="4" w:space="0" w:color="auto"/>
              <w:right w:val="nil"/>
            </w:tcBorders>
            <w:shd w:val="clear" w:color="auto" w:fill="B8CCE4" w:themeFill="accent1" w:themeFillTint="66"/>
            <w:vAlign w:val="center"/>
          </w:tcPr>
          <w:p w:rsidR="004C6011" w:rsidRPr="00190EEC" w:rsidRDefault="004C6011" w:rsidP="004C6011">
            <w:pPr>
              <w:pStyle w:val="cuadroCabe"/>
              <w:tabs>
                <w:tab w:val="left" w:pos="8647"/>
              </w:tabs>
              <w:rPr>
                <w:lang w:val="en-US" w:eastAsia="es-ES"/>
              </w:rPr>
            </w:pPr>
          </w:p>
        </w:tc>
        <w:tc>
          <w:tcPr>
            <w:tcW w:w="1691" w:type="dxa"/>
            <w:tcBorders>
              <w:top w:val="single" w:sz="4" w:space="0" w:color="auto"/>
              <w:left w:val="nil"/>
              <w:bottom w:val="single" w:sz="4" w:space="0" w:color="auto"/>
              <w:right w:val="nil"/>
            </w:tcBorders>
            <w:shd w:val="clear" w:color="auto" w:fill="B8CCE4" w:themeFill="accent1" w:themeFillTint="66"/>
            <w:vAlign w:val="center"/>
          </w:tcPr>
          <w:p w:rsidR="004C6011" w:rsidRPr="00190EEC" w:rsidRDefault="004C6011" w:rsidP="004C6011">
            <w:pPr>
              <w:pStyle w:val="cuadroCabe"/>
              <w:tabs>
                <w:tab w:val="left" w:pos="8647"/>
              </w:tabs>
              <w:rPr>
                <w:lang w:val="en-US" w:eastAsia="es-ES"/>
              </w:rPr>
            </w:pPr>
          </w:p>
        </w:tc>
        <w:tc>
          <w:tcPr>
            <w:tcW w:w="1774" w:type="dxa"/>
            <w:tcBorders>
              <w:top w:val="single" w:sz="4" w:space="0" w:color="auto"/>
              <w:left w:val="nil"/>
              <w:bottom w:val="single" w:sz="4" w:space="0" w:color="auto"/>
              <w:right w:val="nil"/>
            </w:tcBorders>
            <w:shd w:val="clear" w:color="auto" w:fill="B8CCE4" w:themeFill="accent1" w:themeFillTint="66"/>
            <w:vAlign w:val="center"/>
          </w:tcPr>
          <w:p w:rsidR="004C6011" w:rsidRPr="00F55945" w:rsidRDefault="004C6011" w:rsidP="000D7CB9">
            <w:pPr>
              <w:pStyle w:val="cuadroCabe"/>
              <w:tabs>
                <w:tab w:val="left" w:pos="8647"/>
              </w:tabs>
              <w:jc w:val="right"/>
              <w:rPr>
                <w:lang w:val="en-US" w:eastAsia="es-ES"/>
              </w:rPr>
            </w:pPr>
            <w:r w:rsidRPr="00F55945">
              <w:rPr>
                <w:lang w:val="en-US" w:eastAsia="es-ES"/>
              </w:rPr>
              <w:t>5</w:t>
            </w:r>
            <w:r w:rsidR="000D7CB9">
              <w:rPr>
                <w:lang w:val="en-US" w:eastAsia="es-ES"/>
              </w:rPr>
              <w:t>8</w:t>
            </w:r>
            <w:r w:rsidRPr="00F55945">
              <w:rPr>
                <w:lang w:val="en-US" w:eastAsia="es-ES"/>
              </w:rPr>
              <w:t>.698.080</w:t>
            </w:r>
          </w:p>
        </w:tc>
        <w:tc>
          <w:tcPr>
            <w:tcW w:w="1101" w:type="dxa"/>
            <w:tcBorders>
              <w:top w:val="single" w:sz="4" w:space="0" w:color="auto"/>
              <w:left w:val="nil"/>
              <w:bottom w:val="single" w:sz="4" w:space="0" w:color="auto"/>
              <w:right w:val="nil"/>
            </w:tcBorders>
            <w:shd w:val="clear" w:color="auto" w:fill="B8CCE4" w:themeFill="accent1" w:themeFillTint="66"/>
            <w:vAlign w:val="center"/>
          </w:tcPr>
          <w:p w:rsidR="004C6011" w:rsidRPr="00F55945" w:rsidRDefault="004C6011" w:rsidP="004C6011">
            <w:pPr>
              <w:pStyle w:val="cuadroCabe"/>
              <w:tabs>
                <w:tab w:val="left" w:pos="8647"/>
              </w:tabs>
              <w:jc w:val="right"/>
              <w:rPr>
                <w:lang w:val="en-US" w:eastAsia="es-ES"/>
              </w:rPr>
            </w:pPr>
            <w:r w:rsidRPr="00F55945">
              <w:rPr>
                <w:lang w:val="en-US" w:eastAsia="es-ES"/>
              </w:rPr>
              <w:t>60.986.339</w:t>
            </w:r>
          </w:p>
        </w:tc>
        <w:tc>
          <w:tcPr>
            <w:tcW w:w="1134" w:type="dxa"/>
            <w:tcBorders>
              <w:top w:val="single" w:sz="4" w:space="0" w:color="auto"/>
              <w:left w:val="nil"/>
              <w:bottom w:val="single" w:sz="4" w:space="0" w:color="auto"/>
              <w:right w:val="nil"/>
            </w:tcBorders>
            <w:shd w:val="clear" w:color="auto" w:fill="B8CCE4" w:themeFill="accent1" w:themeFillTint="66"/>
            <w:vAlign w:val="center"/>
          </w:tcPr>
          <w:p w:rsidR="004C6011" w:rsidRPr="00F55945" w:rsidRDefault="004C6011" w:rsidP="004C6011">
            <w:pPr>
              <w:pStyle w:val="cuadroCabe"/>
              <w:tabs>
                <w:tab w:val="left" w:pos="8647"/>
              </w:tabs>
              <w:jc w:val="right"/>
              <w:rPr>
                <w:lang w:val="es-ES" w:eastAsia="es-ES"/>
              </w:rPr>
            </w:pPr>
            <w:r w:rsidRPr="00F55945">
              <w:rPr>
                <w:lang w:val="es-ES" w:eastAsia="es-ES"/>
              </w:rPr>
              <w:t>63.631.113</w:t>
            </w:r>
          </w:p>
        </w:tc>
      </w:tr>
    </w:tbl>
    <w:p w:rsidR="00414999" w:rsidRDefault="00414999" w:rsidP="00F44C41">
      <w:pPr>
        <w:pStyle w:val="texto"/>
        <w:tabs>
          <w:tab w:val="clear" w:pos="2835"/>
          <w:tab w:val="clear" w:pos="3969"/>
          <w:tab w:val="clear" w:pos="5103"/>
          <w:tab w:val="clear" w:pos="6237"/>
          <w:tab w:val="clear" w:pos="7371"/>
          <w:tab w:val="left" w:pos="8647"/>
        </w:tabs>
        <w:rPr>
          <w:szCs w:val="26"/>
          <w:lang w:val="en-US"/>
        </w:rPr>
      </w:pPr>
    </w:p>
    <w:p w:rsidR="009F30D8" w:rsidRDefault="009F30D8" w:rsidP="00F44C41">
      <w:pPr>
        <w:pStyle w:val="texto"/>
        <w:tabs>
          <w:tab w:val="clear" w:pos="2835"/>
          <w:tab w:val="clear" w:pos="3969"/>
          <w:tab w:val="clear" w:pos="5103"/>
          <w:tab w:val="clear" w:pos="6237"/>
          <w:tab w:val="clear" w:pos="7371"/>
          <w:tab w:val="left" w:pos="8647"/>
        </w:tabs>
        <w:rPr>
          <w:szCs w:val="26"/>
          <w:lang w:val="en-US"/>
        </w:rPr>
      </w:pPr>
    </w:p>
    <w:sectPr w:rsidR="009F30D8" w:rsidSect="00F44C41">
      <w:headerReference w:type="default" r:id="rId17"/>
      <w:type w:val="nextColumn"/>
      <w:pgSz w:w="16840" w:h="11907" w:orient="landscape"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A73" w:rsidRDefault="00A85A73">
      <w:r>
        <w:separator/>
      </w:r>
    </w:p>
    <w:p w:rsidR="00A85A73" w:rsidRDefault="00A85A73"/>
    <w:p w:rsidR="00A85A73" w:rsidRDefault="00A85A73"/>
    <w:p w:rsidR="00A85A73" w:rsidRDefault="00A85A73"/>
  </w:endnote>
  <w:endnote w:type="continuationSeparator" w:id="0">
    <w:p w:rsidR="00A85A73" w:rsidRDefault="00A85A73">
      <w:r>
        <w:continuationSeparator/>
      </w:r>
    </w:p>
    <w:p w:rsidR="00A85A73" w:rsidRDefault="00A85A73"/>
    <w:p w:rsidR="00A85A73" w:rsidRDefault="00A85A73"/>
    <w:p w:rsidR="00A85A73" w:rsidRDefault="00A85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11" w:rsidRDefault="004C6011"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C6011" w:rsidRDefault="004C6011"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11" w:rsidRPr="00F03814" w:rsidRDefault="004C6011"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9075" cy="371475"/>
          <wp:effectExtent l="0" t="0" r="9525" b="9525"/>
          <wp:docPr id="44" name="Imagen 4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4C6011" w:rsidRPr="00C13453" w:rsidRDefault="004C6011" w:rsidP="00C55651">
    <w:pPr>
      <w:pStyle w:val="BorradorProvisional"/>
      <w:spacing w:after="120"/>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11" w:rsidRDefault="004C6011"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11" w:rsidRDefault="004C6011" w:rsidP="00190EEC">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Style w:val="Nmerodepgina"/>
        <w:szCs w:val="24"/>
      </w:rPr>
    </w:pPr>
    <w:r>
      <w:rPr>
        <w:rFonts w:ascii="GillSans" w:hAnsi="GillSans"/>
        <w:noProof/>
        <w:lang w:val="es-ES" w:eastAsia="es-ES"/>
      </w:rPr>
      <w:drawing>
        <wp:inline distT="0" distB="0" distL="0" distR="0">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p>
  <w:p w:rsidR="004C6011" w:rsidRDefault="004C6011" w:rsidP="00190EEC">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Cs w:val="24"/>
      </w:rPr>
    </w:pP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1B5DFE">
      <w:rPr>
        <w:rStyle w:val="Nmerodepgina"/>
        <w:noProof/>
        <w:szCs w:val="24"/>
      </w:rPr>
      <w:t>33</w:t>
    </w:r>
    <w:r w:rsidRPr="001D4F09">
      <w:rPr>
        <w:rStyle w:val="Nmerodepgina"/>
        <w:szCs w:val="24"/>
      </w:rPr>
      <w:fldChar w:fldCharType="end"/>
    </w:r>
    <w:r w:rsidRPr="001D4F09">
      <w:rPr>
        <w:rStyle w:val="Nmerodepgina"/>
        <w:szCs w:val="24"/>
      </w:rPr>
      <w:t xml:space="preserve"> </w:t>
    </w:r>
    <w:r>
      <w:rPr>
        <w:rStyle w:val="Nmerodepgina"/>
        <w:szCs w:val="24"/>
      </w:rPr>
      <w:t>-</w:t>
    </w:r>
  </w:p>
  <w:p w:rsidR="004C6011" w:rsidRPr="00C13453" w:rsidRDefault="004C6011" w:rsidP="00AE227F">
    <w:pPr>
      <w:pStyle w:val="BorradorProvisional"/>
      <w:ind w:left="0"/>
      <w:jc w:val="center"/>
    </w:pPr>
  </w:p>
  <w:p w:rsidR="004C6011" w:rsidRPr="00AE227F" w:rsidRDefault="004C6011" w:rsidP="00190EEC">
    <w:pPr>
      <w:pStyle w:val="BorradorProvisional"/>
      <w:spacing w:after="180"/>
      <w:ind w:left="0"/>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A73" w:rsidRDefault="00A85A73" w:rsidP="009C7823">
      <w:pPr>
        <w:ind w:firstLine="0"/>
      </w:pPr>
      <w:r>
        <w:separator/>
      </w:r>
    </w:p>
  </w:footnote>
  <w:footnote w:type="continuationSeparator" w:id="0">
    <w:p w:rsidR="00A85A73" w:rsidRDefault="00A85A73">
      <w:r>
        <w:continuationSeparator/>
      </w:r>
    </w:p>
    <w:p w:rsidR="00A85A73" w:rsidRDefault="00A85A73"/>
    <w:p w:rsidR="00A85A73" w:rsidRDefault="00A85A73"/>
    <w:p w:rsidR="00A85A73" w:rsidRDefault="00A85A73"/>
  </w:footnote>
  <w:footnote w:id="1">
    <w:p w:rsidR="004C6011" w:rsidRDefault="004C6011" w:rsidP="00414999">
      <w:pPr>
        <w:pStyle w:val="Textonotapie"/>
        <w:ind w:firstLine="0"/>
      </w:pPr>
      <w:r>
        <w:rPr>
          <w:rStyle w:val="Refdenotaalpie"/>
        </w:rPr>
        <w:footnoteRef/>
      </w:r>
      <w:r>
        <w:t xml:space="preserve"> La Conferencia General de Política Universitaria sustituyó en 2007 al Consejo de Coordinación Universit</w:t>
      </w:r>
      <w:r>
        <w:t>a</w:t>
      </w:r>
      <w:r>
        <w:t>ria.</w:t>
      </w:r>
    </w:p>
  </w:footnote>
  <w:footnote w:id="2">
    <w:p w:rsidR="004C6011" w:rsidRPr="00362A9A" w:rsidRDefault="004C6011" w:rsidP="00362A9A">
      <w:pPr>
        <w:tabs>
          <w:tab w:val="left" w:pos="8647"/>
        </w:tabs>
        <w:suppressAutoHyphens/>
        <w:autoSpaceDN w:val="0"/>
        <w:spacing w:after="120"/>
        <w:ind w:firstLine="0"/>
        <w:rPr>
          <w:spacing w:val="6"/>
          <w:sz w:val="18"/>
          <w:szCs w:val="18"/>
        </w:rPr>
      </w:pPr>
      <w:r>
        <w:rPr>
          <w:rStyle w:val="Refdenotaalpie"/>
        </w:rPr>
        <w:footnoteRef/>
      </w:r>
      <w:r>
        <w:t xml:space="preserve"> </w:t>
      </w:r>
      <w:r w:rsidRPr="00362A9A">
        <w:rPr>
          <w:spacing w:val="6"/>
          <w:sz w:val="18"/>
          <w:szCs w:val="18"/>
        </w:rPr>
        <w:t>El índice de actualización es el resultado de un cálculo ponderado de la variación porcentual, respecto del año anterior, que experimente el techo de gasto de los Presupuestos Generales de Navarra en un 25 por ciento y la variación de los créditos que integren el capítulo 1 del Anteproyecto de Ley Foral de los Presupuestos Generales de Navarra en un 75 por ciento.</w:t>
      </w:r>
    </w:p>
    <w:p w:rsidR="004C6011" w:rsidRDefault="004C6011">
      <w:pPr>
        <w:pStyle w:val="Textonotapie"/>
      </w:pPr>
    </w:p>
  </w:footnote>
  <w:footnote w:id="3">
    <w:p w:rsidR="004C6011" w:rsidRPr="005E55D3" w:rsidRDefault="004C6011" w:rsidP="00BA0C05">
      <w:pPr>
        <w:pStyle w:val="Textonotapie"/>
        <w:ind w:firstLine="0"/>
        <w:rPr>
          <w:sz w:val="18"/>
          <w:szCs w:val="18"/>
        </w:rPr>
      </w:pPr>
      <w:r w:rsidRPr="005E55D3">
        <w:rPr>
          <w:rStyle w:val="Refdenotaalpie"/>
          <w:sz w:val="18"/>
          <w:szCs w:val="18"/>
        </w:rPr>
        <w:footnoteRef/>
      </w:r>
      <w:r w:rsidRPr="005E55D3">
        <w:rPr>
          <w:sz w:val="18"/>
          <w:szCs w:val="18"/>
        </w:rPr>
        <w:t xml:space="preserve"> </w:t>
      </w:r>
      <w:r w:rsidRPr="005E55D3">
        <w:rPr>
          <w:spacing w:val="6"/>
          <w:sz w:val="18"/>
          <w:szCs w:val="18"/>
        </w:rPr>
        <w:t xml:space="preserve">Contratos y convenios que regulen la colaboración entre un grupo de investigación de una universidad y una empresa. </w:t>
      </w:r>
    </w:p>
  </w:footnote>
  <w:footnote w:id="4">
    <w:p w:rsidR="004C6011" w:rsidRDefault="004C6011" w:rsidP="004B4657">
      <w:pPr>
        <w:suppressAutoHyphens/>
        <w:autoSpaceDN w:val="0"/>
        <w:spacing w:after="60"/>
        <w:ind w:right="539" w:firstLine="0"/>
      </w:pPr>
      <w:r>
        <w:rPr>
          <w:rStyle w:val="Refdenotaalpie"/>
        </w:rPr>
        <w:footnoteRef/>
      </w:r>
      <w:r>
        <w:t xml:space="preserve"> </w:t>
      </w:r>
      <w:r w:rsidRPr="00194DFF">
        <w:rPr>
          <w:sz w:val="18"/>
          <w:szCs w:val="18"/>
        </w:rPr>
        <w:t>El índice de actualización es el resultado de un cálculo ponderado de la variación porcentual, respecto del año anterior, que experimente el techo de gasto de los Presupuestos Generales de Navarra en un 25 por ciento y la variación de los créditos que integren el capítulo 1 del Anteproyecto de Ley Foral de los Presupuestos Generales de Navarra en un 75 por ciento</w:t>
      </w:r>
      <w:r w:rsidRPr="007C09F2">
        <w:rPr>
          <w:spacing w:val="6"/>
          <w:sz w:val="18"/>
          <w:szCs w:val="18"/>
        </w:rPr>
        <w:t>.</w:t>
      </w:r>
    </w:p>
  </w:footnote>
  <w:footnote w:id="5">
    <w:p w:rsidR="004C6011" w:rsidRPr="007C09F2" w:rsidRDefault="004C6011" w:rsidP="004B4657">
      <w:pPr>
        <w:pStyle w:val="Textonotapie"/>
        <w:spacing w:after="0"/>
        <w:ind w:right="539" w:firstLine="0"/>
        <w:rPr>
          <w:sz w:val="18"/>
          <w:szCs w:val="18"/>
        </w:rPr>
      </w:pPr>
      <w:r w:rsidRPr="007C09F2">
        <w:rPr>
          <w:rStyle w:val="Refdenotaalpie"/>
          <w:sz w:val="18"/>
          <w:szCs w:val="18"/>
        </w:rPr>
        <w:footnoteRef/>
      </w:r>
      <w:r w:rsidRPr="007C09F2">
        <w:rPr>
          <w:sz w:val="18"/>
          <w:szCs w:val="18"/>
        </w:rPr>
        <w:t xml:space="preserve"> Su cálculo se determinará por la aplicación de la contabilidad analítica. En tanto en cuanto no se disponga de esta aplicación se aplicará la subvención media de funcionamiento.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11" w:rsidRDefault="004C6011" w:rsidP="00414999">
    <w:pPr>
      <w:pStyle w:val="Encabezado"/>
      <w:pBdr>
        <w:bottom w:val="single" w:sz="4" w:space="1" w:color="auto"/>
      </w:pBdr>
      <w:spacing w:after="0"/>
      <w:ind w:firstLine="0"/>
      <w:jc w:val="left"/>
      <w:rPr>
        <w:lang w:val="es-ES"/>
      </w:rPr>
    </w:pPr>
    <w:r>
      <w:rPr>
        <w:b/>
        <w:noProof/>
        <w:lang w:val="es-ES" w:eastAsia="es-ES"/>
      </w:rPr>
      <w:drawing>
        <wp:inline distT="0" distB="0" distL="0" distR="0">
          <wp:extent cx="771525" cy="762000"/>
          <wp:effectExtent l="0" t="0" r="9525" b="0"/>
          <wp:docPr id="43" name="Imagen 4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Borrador final del informe SOBRE implantación de la contabilidad analítica en la upna y </w:t>
    </w:r>
  </w:p>
  <w:p w:rsidR="004C6011" w:rsidRPr="0059650E" w:rsidRDefault="004C6011" w:rsidP="00414999">
    <w:pPr>
      <w:pStyle w:val="Encabezado"/>
      <w:pBdr>
        <w:bottom w:val="single" w:sz="4" w:space="1" w:color="auto"/>
      </w:pBdr>
      <w:spacing w:after="40"/>
      <w:ind w:firstLine="0"/>
      <w:jc w:val="left"/>
      <w:rPr>
        <w:lang w:val="es-ES"/>
      </w:rPr>
    </w:pPr>
    <w:r>
      <w:rPr>
        <w:lang w:val="es-ES"/>
      </w:rPr>
      <w:t xml:space="preserve">                                   seguimiento de recomendaciones del informe de auditoría upna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11" w:rsidRDefault="004C6011" w:rsidP="005C1EAA">
    <w:pPr>
      <w:pStyle w:val="Encabezado"/>
      <w:spacing w:after="0"/>
      <w:ind w:firstLine="0"/>
      <w:jc w:val="left"/>
    </w:pPr>
    <w:r>
      <w:rPr>
        <w:noProof/>
        <w:lang w:val="es-ES" w:eastAsia="es-ES"/>
      </w:rPr>
      <w:drawing>
        <wp:inline distT="0" distB="0" distL="0" distR="0">
          <wp:extent cx="771525" cy="762000"/>
          <wp:effectExtent l="0" t="0" r="9525" b="0"/>
          <wp:docPr id="45" name="Imagen 45"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sidRPr="00414999">
      <w:rPr>
        <w:lang w:val="es-E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11" w:rsidRDefault="004C6011" w:rsidP="005C1EAA">
    <w:pPr>
      <w:pStyle w:val="Encabezado"/>
      <w:pBdr>
        <w:bottom w:val="single" w:sz="4" w:space="1" w:color="auto"/>
      </w:pBdr>
      <w:spacing w:after="0"/>
      <w:ind w:firstLine="0"/>
      <w:jc w:val="left"/>
      <w:rPr>
        <w:lang w:val="es-ES"/>
      </w:rPr>
    </w:pPr>
    <w:r>
      <w:rPr>
        <w:b/>
        <w:noProof/>
        <w:lang w:val="es-ES" w:eastAsia="es-ES"/>
      </w:rPr>
      <w:drawing>
        <wp:inline distT="0" distB="0" distL="0" distR="0" wp14:anchorId="2F48CB00" wp14:editId="16A09159">
          <wp:extent cx="771525" cy="762000"/>
          <wp:effectExtent l="0" t="0" r="9525"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informe de fiscalización soBRE implantación de la contabilidad analítica y seguimiento de</w:t>
    </w:r>
  </w:p>
  <w:p w:rsidR="004C6011" w:rsidRPr="0059650E" w:rsidRDefault="004C6011" w:rsidP="00D25D0A">
    <w:pPr>
      <w:pStyle w:val="Encabezado"/>
      <w:pBdr>
        <w:bottom w:val="single" w:sz="4" w:space="1" w:color="auto"/>
      </w:pBdr>
      <w:spacing w:after="0"/>
      <w:ind w:firstLine="0"/>
      <w:rPr>
        <w:lang w:val="es-ES"/>
      </w:rPr>
    </w:pPr>
    <w:r>
      <w:rPr>
        <w:lang w:val="es-ES"/>
      </w:rPr>
      <w:t>recomendaciones en la universidad pública de navarra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11" w:rsidRDefault="004C6011"/>
  <w:p w:rsidR="004C6011" w:rsidRDefault="004C6011"/>
  <w:p w:rsidR="004C6011" w:rsidRDefault="004C601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11" w:rsidRPr="0059650E" w:rsidRDefault="004C6011" w:rsidP="008E0BD0">
    <w:pPr>
      <w:pStyle w:val="Encabezado"/>
      <w:pBdr>
        <w:bottom w:val="single" w:sz="4" w:space="1" w:color="auto"/>
      </w:pBdr>
      <w:spacing w:after="0"/>
      <w:ind w:firstLine="0"/>
      <w:jc w:val="left"/>
      <w:rPr>
        <w:lang w:val="es-ES"/>
      </w:rPr>
    </w:pPr>
    <w:r>
      <w:rPr>
        <w:b/>
        <w:noProof/>
        <w:lang w:val="es-ES" w:eastAsia="es-ES"/>
      </w:rPr>
      <w:drawing>
        <wp:inline distT="0" distB="0" distL="0" distR="0" wp14:anchorId="4AC66102" wp14:editId="378460A5">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informe de fiscLIZACIÓN soBRE implantación de la contabilidad analítica y seguimiento de recomendaciones en la universidad pública de navarra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608E"/>
    <w:multiLevelType w:val="hybridMultilevel"/>
    <w:tmpl w:val="933E221C"/>
    <w:lvl w:ilvl="0" w:tplc="5270E8CC">
      <w:start w:val="2"/>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nsid w:val="0A587DC5"/>
    <w:multiLevelType w:val="hybridMultilevel"/>
    <w:tmpl w:val="BCB033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106F2838"/>
    <w:multiLevelType w:val="hybridMultilevel"/>
    <w:tmpl w:val="1C2058D2"/>
    <w:lvl w:ilvl="0" w:tplc="101C5E74">
      <w:numFmt w:val="bullet"/>
      <w:lvlText w:val="-"/>
      <w:lvlJc w:val="left"/>
      <w:pPr>
        <w:ind w:left="644" w:hanging="360"/>
      </w:pPr>
      <w:rPr>
        <w:rFonts w:ascii="Times New Roman" w:eastAsia="Times New Roman" w:hAnsi="Times New Roman" w:cs="Times New Roman" w:hint="default"/>
        <w:sz w:val="20"/>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nsid w:val="10FE1E86"/>
    <w:multiLevelType w:val="singleLevel"/>
    <w:tmpl w:val="CBC6FF46"/>
    <w:lvl w:ilvl="0">
      <w:start w:val="1"/>
      <w:numFmt w:val="lowerRoman"/>
      <w:pStyle w:val="Sangradoi"/>
      <w:lvlText w:val="%1)"/>
      <w:lvlJc w:val="left"/>
      <w:pPr>
        <w:tabs>
          <w:tab w:val="num" w:pos="567"/>
        </w:tabs>
        <w:ind w:left="567" w:hanging="567"/>
      </w:pPr>
    </w:lvl>
  </w:abstractNum>
  <w:abstractNum w:abstractNumId="4">
    <w:nsid w:val="1119168D"/>
    <w:multiLevelType w:val="hybridMultilevel"/>
    <w:tmpl w:val="B316BEF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6">
    <w:nsid w:val="199B1856"/>
    <w:multiLevelType w:val="hybridMultilevel"/>
    <w:tmpl w:val="A6BCE73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nsid w:val="1D131025"/>
    <w:multiLevelType w:val="hybridMultilevel"/>
    <w:tmpl w:val="E55C9686"/>
    <w:lvl w:ilvl="0" w:tplc="40765ABA">
      <w:start w:val="1"/>
      <w:numFmt w:val="lowerLetter"/>
      <w:lvlText w:val="%1)"/>
      <w:lvlJc w:val="left"/>
      <w:pPr>
        <w:ind w:left="644" w:hanging="360"/>
      </w:pPr>
      <w:rPr>
        <w:rFonts w:ascii="Times New Roman" w:eastAsia="Times New Roman" w:hAnsi="Times New Roman" w:cs="Times New Roman"/>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nsid w:val="3AF333AF"/>
    <w:multiLevelType w:val="hybridMultilevel"/>
    <w:tmpl w:val="0F1279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4EF13E54"/>
    <w:multiLevelType w:val="hybridMultilevel"/>
    <w:tmpl w:val="355A2CA0"/>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2">
    <w:nsid w:val="652B6D57"/>
    <w:multiLevelType w:val="hybridMultilevel"/>
    <w:tmpl w:val="C8C2755C"/>
    <w:lvl w:ilvl="0" w:tplc="D676F8C8">
      <w:start w:val="3"/>
      <w:numFmt w:val="bullet"/>
      <w:lvlText w:val="-"/>
      <w:lvlJc w:val="left"/>
      <w:pPr>
        <w:tabs>
          <w:tab w:val="num" w:pos="502"/>
        </w:tabs>
        <w:ind w:left="502" w:hanging="360"/>
      </w:pPr>
      <w:rPr>
        <w:rFonts w:ascii="Arial" w:eastAsia="Times New Roman" w:hAnsi="Arial" w:hint="default"/>
      </w:rPr>
    </w:lvl>
    <w:lvl w:ilvl="1" w:tplc="0C0A0003" w:tentative="1">
      <w:start w:val="1"/>
      <w:numFmt w:val="bullet"/>
      <w:lvlText w:val="o"/>
      <w:lvlJc w:val="left"/>
      <w:pPr>
        <w:tabs>
          <w:tab w:val="num" w:pos="1222"/>
        </w:tabs>
        <w:ind w:left="1222" w:hanging="360"/>
      </w:pPr>
      <w:rPr>
        <w:rFonts w:ascii="Courier New" w:hAnsi="Courier New" w:hint="default"/>
      </w:rPr>
    </w:lvl>
    <w:lvl w:ilvl="2" w:tplc="0C0A0005" w:tentative="1">
      <w:start w:val="1"/>
      <w:numFmt w:val="bullet"/>
      <w:lvlText w:val=""/>
      <w:lvlJc w:val="left"/>
      <w:pPr>
        <w:tabs>
          <w:tab w:val="num" w:pos="1942"/>
        </w:tabs>
        <w:ind w:left="1942" w:hanging="360"/>
      </w:pPr>
      <w:rPr>
        <w:rFonts w:ascii="Wingdings" w:hAnsi="Wingdings"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13">
    <w:nsid w:val="66B62E7E"/>
    <w:multiLevelType w:val="hybridMultilevel"/>
    <w:tmpl w:val="98848180"/>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nsid w:val="74A10C09"/>
    <w:multiLevelType w:val="hybridMultilevel"/>
    <w:tmpl w:val="D9BEDB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74FE0F30"/>
    <w:multiLevelType w:val="hybridMultilevel"/>
    <w:tmpl w:val="9ED00346"/>
    <w:lvl w:ilvl="0" w:tplc="D39E0CF6">
      <w:start w:val="2"/>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nsid w:val="767F2534"/>
    <w:multiLevelType w:val="hybridMultilevel"/>
    <w:tmpl w:val="C4765F1A"/>
    <w:lvl w:ilvl="0" w:tplc="0C0A000F">
      <w:start w:val="1"/>
      <w:numFmt w:val="decimal"/>
      <w:lvlText w:val="%1."/>
      <w:lvlJc w:val="left"/>
      <w:pPr>
        <w:ind w:left="720"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7A3C30BA"/>
    <w:multiLevelType w:val="hybridMultilevel"/>
    <w:tmpl w:val="FF6EBB62"/>
    <w:lvl w:ilvl="0" w:tplc="0C0A0001">
      <w:start w:val="1"/>
      <w:numFmt w:val="bullet"/>
      <w:lvlText w:val=""/>
      <w:lvlJc w:val="left"/>
      <w:pPr>
        <w:ind w:left="644" w:hanging="360"/>
      </w:pPr>
      <w:rPr>
        <w:rFonts w:ascii="Symbol" w:hAnsi="Symbol" w:hint="default"/>
        <w:sz w:val="20"/>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nsid w:val="7AF905BA"/>
    <w:multiLevelType w:val="hybridMultilevel"/>
    <w:tmpl w:val="DC868B68"/>
    <w:lvl w:ilvl="0" w:tplc="D410E414">
      <w:start w:val="1"/>
      <w:numFmt w:val="bullet"/>
      <w:lvlText w:val="-"/>
      <w:lvlJc w:val="left"/>
      <w:pPr>
        <w:ind w:left="1287" w:hanging="360"/>
      </w:pPr>
      <w:rPr>
        <w:rFont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1">
    <w:nsid w:val="7B3B4826"/>
    <w:multiLevelType w:val="hybridMultilevel"/>
    <w:tmpl w:val="1EE001C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20"/>
  </w:num>
  <w:num w:numId="2">
    <w:abstractNumId w:val="11"/>
  </w:num>
  <w:num w:numId="3">
    <w:abstractNumId w:val="5"/>
  </w:num>
  <w:num w:numId="4">
    <w:abstractNumId w:val="9"/>
  </w:num>
  <w:num w:numId="5">
    <w:abstractNumId w:val="14"/>
  </w:num>
  <w:num w:numId="6">
    <w:abstractNumId w:val="5"/>
  </w:num>
  <w:num w:numId="7">
    <w:abstractNumId w:val="5"/>
  </w:num>
  <w:num w:numId="8">
    <w:abstractNumId w:val="5"/>
  </w:num>
  <w:num w:numId="9">
    <w:abstractNumId w:val="3"/>
  </w:num>
  <w:num w:numId="10">
    <w:abstractNumId w:val="21"/>
  </w:num>
  <w:num w:numId="11">
    <w:abstractNumId w:val="19"/>
  </w:num>
  <w:num w:numId="12">
    <w:abstractNumId w:val="13"/>
  </w:num>
  <w:num w:numId="13">
    <w:abstractNumId w:val="12"/>
  </w:num>
  <w:num w:numId="14">
    <w:abstractNumId w:val="6"/>
  </w:num>
  <w:num w:numId="15">
    <w:abstractNumId w:val="4"/>
  </w:num>
  <w:num w:numId="16">
    <w:abstractNumId w:val="2"/>
  </w:num>
  <w:num w:numId="17">
    <w:abstractNumId w:val="18"/>
  </w:num>
  <w:num w:numId="18">
    <w:abstractNumId w:val="10"/>
  </w:num>
  <w:num w:numId="19">
    <w:abstractNumId w:val="8"/>
  </w:num>
  <w:num w:numId="20">
    <w:abstractNumId w:val="15"/>
  </w:num>
  <w:num w:numId="21">
    <w:abstractNumId w:val="17"/>
  </w:num>
  <w:num w:numId="22">
    <w:abstractNumId w:val="16"/>
  </w:num>
  <w:num w:numId="23">
    <w:abstractNumId w:val="0"/>
  </w:num>
  <w:num w:numId="24">
    <w:abstractNumId w:val="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999"/>
    <w:rsid w:val="0000002F"/>
    <w:rsid w:val="000019D8"/>
    <w:rsid w:val="00006736"/>
    <w:rsid w:val="00006A97"/>
    <w:rsid w:val="0001123B"/>
    <w:rsid w:val="00012A7F"/>
    <w:rsid w:val="000153BC"/>
    <w:rsid w:val="00017A3A"/>
    <w:rsid w:val="00020AD7"/>
    <w:rsid w:val="0002640C"/>
    <w:rsid w:val="00027D64"/>
    <w:rsid w:val="00036E42"/>
    <w:rsid w:val="0004373B"/>
    <w:rsid w:val="000448FA"/>
    <w:rsid w:val="00053A42"/>
    <w:rsid w:val="0005517D"/>
    <w:rsid w:val="0006133D"/>
    <w:rsid w:val="00063585"/>
    <w:rsid w:val="00071CD0"/>
    <w:rsid w:val="00075692"/>
    <w:rsid w:val="00087B8D"/>
    <w:rsid w:val="00093D67"/>
    <w:rsid w:val="00093E60"/>
    <w:rsid w:val="000945EA"/>
    <w:rsid w:val="00097AA7"/>
    <w:rsid w:val="000A18B7"/>
    <w:rsid w:val="000A1912"/>
    <w:rsid w:val="000A2C1E"/>
    <w:rsid w:val="000A4697"/>
    <w:rsid w:val="000B2728"/>
    <w:rsid w:val="000B3943"/>
    <w:rsid w:val="000B4477"/>
    <w:rsid w:val="000C0704"/>
    <w:rsid w:val="000C2B07"/>
    <w:rsid w:val="000C39CC"/>
    <w:rsid w:val="000C7566"/>
    <w:rsid w:val="000D188E"/>
    <w:rsid w:val="000D5335"/>
    <w:rsid w:val="000D7CB9"/>
    <w:rsid w:val="000E5281"/>
    <w:rsid w:val="000E7B86"/>
    <w:rsid w:val="000F2B66"/>
    <w:rsid w:val="000F3D83"/>
    <w:rsid w:val="000F43E0"/>
    <w:rsid w:val="00100F12"/>
    <w:rsid w:val="00103589"/>
    <w:rsid w:val="001045C9"/>
    <w:rsid w:val="00107CC1"/>
    <w:rsid w:val="001105F4"/>
    <w:rsid w:val="00111A92"/>
    <w:rsid w:val="001145C3"/>
    <w:rsid w:val="001161D2"/>
    <w:rsid w:val="00127099"/>
    <w:rsid w:val="00130BE2"/>
    <w:rsid w:val="001311E5"/>
    <w:rsid w:val="00131DF1"/>
    <w:rsid w:val="001321DE"/>
    <w:rsid w:val="00132C38"/>
    <w:rsid w:val="00133984"/>
    <w:rsid w:val="001365C4"/>
    <w:rsid w:val="0014147D"/>
    <w:rsid w:val="00141D29"/>
    <w:rsid w:val="0014506A"/>
    <w:rsid w:val="0014728F"/>
    <w:rsid w:val="001521A2"/>
    <w:rsid w:val="001521BC"/>
    <w:rsid w:val="00152358"/>
    <w:rsid w:val="00155BFF"/>
    <w:rsid w:val="00160F66"/>
    <w:rsid w:val="00162FDE"/>
    <w:rsid w:val="001633AF"/>
    <w:rsid w:val="0016603A"/>
    <w:rsid w:val="00166A6C"/>
    <w:rsid w:val="001728D0"/>
    <w:rsid w:val="00173EDD"/>
    <w:rsid w:val="0017402B"/>
    <w:rsid w:val="00174A70"/>
    <w:rsid w:val="00180ACA"/>
    <w:rsid w:val="00181D37"/>
    <w:rsid w:val="001835B7"/>
    <w:rsid w:val="0018426B"/>
    <w:rsid w:val="00185A37"/>
    <w:rsid w:val="00190EEC"/>
    <w:rsid w:val="00194309"/>
    <w:rsid w:val="00194DFF"/>
    <w:rsid w:val="0019660E"/>
    <w:rsid w:val="001A013B"/>
    <w:rsid w:val="001A5493"/>
    <w:rsid w:val="001B39E2"/>
    <w:rsid w:val="001B5DFE"/>
    <w:rsid w:val="001B7714"/>
    <w:rsid w:val="001C03CE"/>
    <w:rsid w:val="001C2B26"/>
    <w:rsid w:val="001C3A32"/>
    <w:rsid w:val="001D4F09"/>
    <w:rsid w:val="001D57C8"/>
    <w:rsid w:val="001F1482"/>
    <w:rsid w:val="001F20D7"/>
    <w:rsid w:val="001F7744"/>
    <w:rsid w:val="002014EB"/>
    <w:rsid w:val="00202B1A"/>
    <w:rsid w:val="00204979"/>
    <w:rsid w:val="002053FA"/>
    <w:rsid w:val="00206B8D"/>
    <w:rsid w:val="00211D69"/>
    <w:rsid w:val="00215467"/>
    <w:rsid w:val="002179DB"/>
    <w:rsid w:val="00227E48"/>
    <w:rsid w:val="00230577"/>
    <w:rsid w:val="0023159D"/>
    <w:rsid w:val="0023209D"/>
    <w:rsid w:val="002333F8"/>
    <w:rsid w:val="00233D79"/>
    <w:rsid w:val="00237657"/>
    <w:rsid w:val="00242BA7"/>
    <w:rsid w:val="002437B5"/>
    <w:rsid w:val="00244EF1"/>
    <w:rsid w:val="00246DD6"/>
    <w:rsid w:val="00246F21"/>
    <w:rsid w:val="00253E78"/>
    <w:rsid w:val="00262C3C"/>
    <w:rsid w:val="00264C88"/>
    <w:rsid w:val="0026532C"/>
    <w:rsid w:val="0026575D"/>
    <w:rsid w:val="002705B0"/>
    <w:rsid w:val="002717A6"/>
    <w:rsid w:val="00272015"/>
    <w:rsid w:val="00273C10"/>
    <w:rsid w:val="00274B4C"/>
    <w:rsid w:val="00276264"/>
    <w:rsid w:val="00281DCA"/>
    <w:rsid w:val="00285849"/>
    <w:rsid w:val="00287573"/>
    <w:rsid w:val="002879A4"/>
    <w:rsid w:val="00297B04"/>
    <w:rsid w:val="002A056C"/>
    <w:rsid w:val="002A66A5"/>
    <w:rsid w:val="002A6AA8"/>
    <w:rsid w:val="002A6EBB"/>
    <w:rsid w:val="002B1394"/>
    <w:rsid w:val="002B21E9"/>
    <w:rsid w:val="002B2B87"/>
    <w:rsid w:val="002B4712"/>
    <w:rsid w:val="002B4E0F"/>
    <w:rsid w:val="002B5754"/>
    <w:rsid w:val="002C31A2"/>
    <w:rsid w:val="002C63EC"/>
    <w:rsid w:val="002C7026"/>
    <w:rsid w:val="002C7E08"/>
    <w:rsid w:val="002D089F"/>
    <w:rsid w:val="002D5635"/>
    <w:rsid w:val="002D65E8"/>
    <w:rsid w:val="002D7D32"/>
    <w:rsid w:val="002E02E5"/>
    <w:rsid w:val="002E0478"/>
    <w:rsid w:val="002E0791"/>
    <w:rsid w:val="002E1B92"/>
    <w:rsid w:val="002E449C"/>
    <w:rsid w:val="002E7B81"/>
    <w:rsid w:val="002F09FB"/>
    <w:rsid w:val="002F0FE3"/>
    <w:rsid w:val="002F1AF0"/>
    <w:rsid w:val="002F2530"/>
    <w:rsid w:val="002F272A"/>
    <w:rsid w:val="002F3225"/>
    <w:rsid w:val="002F4D81"/>
    <w:rsid w:val="002F53B4"/>
    <w:rsid w:val="002F72A2"/>
    <w:rsid w:val="002F76D6"/>
    <w:rsid w:val="00303506"/>
    <w:rsid w:val="00307057"/>
    <w:rsid w:val="00312819"/>
    <w:rsid w:val="00312E9C"/>
    <w:rsid w:val="00313875"/>
    <w:rsid w:val="003203BF"/>
    <w:rsid w:val="0032115F"/>
    <w:rsid w:val="00321369"/>
    <w:rsid w:val="00330787"/>
    <w:rsid w:val="00335E9C"/>
    <w:rsid w:val="00337493"/>
    <w:rsid w:val="0034285F"/>
    <w:rsid w:val="003464A4"/>
    <w:rsid w:val="00351684"/>
    <w:rsid w:val="00354458"/>
    <w:rsid w:val="00362A9A"/>
    <w:rsid w:val="00363653"/>
    <w:rsid w:val="0036509D"/>
    <w:rsid w:val="0037228C"/>
    <w:rsid w:val="003738FD"/>
    <w:rsid w:val="003810BE"/>
    <w:rsid w:val="003812C2"/>
    <w:rsid w:val="003852AD"/>
    <w:rsid w:val="00386F6C"/>
    <w:rsid w:val="00387709"/>
    <w:rsid w:val="00387794"/>
    <w:rsid w:val="00397162"/>
    <w:rsid w:val="003A03A6"/>
    <w:rsid w:val="003A0A02"/>
    <w:rsid w:val="003A335E"/>
    <w:rsid w:val="003A3DD2"/>
    <w:rsid w:val="003B3573"/>
    <w:rsid w:val="003B5813"/>
    <w:rsid w:val="003C03EA"/>
    <w:rsid w:val="003C196B"/>
    <w:rsid w:val="003C1F29"/>
    <w:rsid w:val="003C6E1D"/>
    <w:rsid w:val="003D058C"/>
    <w:rsid w:val="003D157D"/>
    <w:rsid w:val="003D5ED2"/>
    <w:rsid w:val="003D76B1"/>
    <w:rsid w:val="003E17A6"/>
    <w:rsid w:val="003E4AA5"/>
    <w:rsid w:val="003F1CEC"/>
    <w:rsid w:val="003F1E6D"/>
    <w:rsid w:val="003F43BF"/>
    <w:rsid w:val="003F68F6"/>
    <w:rsid w:val="003F6BE4"/>
    <w:rsid w:val="00403CF8"/>
    <w:rsid w:val="00405FA2"/>
    <w:rsid w:val="00407459"/>
    <w:rsid w:val="00414999"/>
    <w:rsid w:val="00414D01"/>
    <w:rsid w:val="004170FE"/>
    <w:rsid w:val="004209E6"/>
    <w:rsid w:val="0042324B"/>
    <w:rsid w:val="004234E8"/>
    <w:rsid w:val="00426805"/>
    <w:rsid w:val="00430150"/>
    <w:rsid w:val="004302F9"/>
    <w:rsid w:val="0043229B"/>
    <w:rsid w:val="00435287"/>
    <w:rsid w:val="00435A92"/>
    <w:rsid w:val="00440A22"/>
    <w:rsid w:val="0044328F"/>
    <w:rsid w:val="00451468"/>
    <w:rsid w:val="00451A80"/>
    <w:rsid w:val="0045550E"/>
    <w:rsid w:val="00456456"/>
    <w:rsid w:val="00462367"/>
    <w:rsid w:val="00464001"/>
    <w:rsid w:val="0046490C"/>
    <w:rsid w:val="00470287"/>
    <w:rsid w:val="00470733"/>
    <w:rsid w:val="004733FA"/>
    <w:rsid w:val="00477C53"/>
    <w:rsid w:val="00485380"/>
    <w:rsid w:val="00487B66"/>
    <w:rsid w:val="00493D87"/>
    <w:rsid w:val="004950D4"/>
    <w:rsid w:val="004A0506"/>
    <w:rsid w:val="004A2342"/>
    <w:rsid w:val="004A2F62"/>
    <w:rsid w:val="004A31AF"/>
    <w:rsid w:val="004B013B"/>
    <w:rsid w:val="004B1DB8"/>
    <w:rsid w:val="004B2F01"/>
    <w:rsid w:val="004B4182"/>
    <w:rsid w:val="004B43B1"/>
    <w:rsid w:val="004B4538"/>
    <w:rsid w:val="004B4657"/>
    <w:rsid w:val="004B6FB6"/>
    <w:rsid w:val="004C3423"/>
    <w:rsid w:val="004C3603"/>
    <w:rsid w:val="004C571D"/>
    <w:rsid w:val="004C6011"/>
    <w:rsid w:val="004D35A2"/>
    <w:rsid w:val="004D5FD1"/>
    <w:rsid w:val="004E551B"/>
    <w:rsid w:val="004F7C93"/>
    <w:rsid w:val="004F7D5A"/>
    <w:rsid w:val="00506105"/>
    <w:rsid w:val="00513162"/>
    <w:rsid w:val="00514343"/>
    <w:rsid w:val="00525809"/>
    <w:rsid w:val="00534241"/>
    <w:rsid w:val="00535130"/>
    <w:rsid w:val="00537302"/>
    <w:rsid w:val="00540B46"/>
    <w:rsid w:val="00555509"/>
    <w:rsid w:val="00561C5B"/>
    <w:rsid w:val="00563A8B"/>
    <w:rsid w:val="00564F2D"/>
    <w:rsid w:val="00566CDA"/>
    <w:rsid w:val="0056727E"/>
    <w:rsid w:val="00567BA6"/>
    <w:rsid w:val="00570033"/>
    <w:rsid w:val="00570147"/>
    <w:rsid w:val="0057307E"/>
    <w:rsid w:val="00573A4C"/>
    <w:rsid w:val="00574B79"/>
    <w:rsid w:val="00574D12"/>
    <w:rsid w:val="005800B4"/>
    <w:rsid w:val="0058070B"/>
    <w:rsid w:val="0058296F"/>
    <w:rsid w:val="00587135"/>
    <w:rsid w:val="00595E80"/>
    <w:rsid w:val="0059650E"/>
    <w:rsid w:val="00596953"/>
    <w:rsid w:val="005A6030"/>
    <w:rsid w:val="005B57AD"/>
    <w:rsid w:val="005B722E"/>
    <w:rsid w:val="005C02FE"/>
    <w:rsid w:val="005C1EAA"/>
    <w:rsid w:val="005C50AC"/>
    <w:rsid w:val="005C6406"/>
    <w:rsid w:val="005D5E70"/>
    <w:rsid w:val="005D69D1"/>
    <w:rsid w:val="005E210D"/>
    <w:rsid w:val="005E55D3"/>
    <w:rsid w:val="005F1EDB"/>
    <w:rsid w:val="005F2425"/>
    <w:rsid w:val="005F5EC7"/>
    <w:rsid w:val="005F7207"/>
    <w:rsid w:val="005F7FCF"/>
    <w:rsid w:val="00607691"/>
    <w:rsid w:val="0061062C"/>
    <w:rsid w:val="00610894"/>
    <w:rsid w:val="006108D3"/>
    <w:rsid w:val="00613183"/>
    <w:rsid w:val="006133F0"/>
    <w:rsid w:val="00616888"/>
    <w:rsid w:val="006176BE"/>
    <w:rsid w:val="006212CB"/>
    <w:rsid w:val="00622C8B"/>
    <w:rsid w:val="00625FDC"/>
    <w:rsid w:val="006279F9"/>
    <w:rsid w:val="006369EE"/>
    <w:rsid w:val="00643374"/>
    <w:rsid w:val="0064700E"/>
    <w:rsid w:val="00650183"/>
    <w:rsid w:val="00650677"/>
    <w:rsid w:val="006736A9"/>
    <w:rsid w:val="00673BC7"/>
    <w:rsid w:val="00674975"/>
    <w:rsid w:val="00675D39"/>
    <w:rsid w:val="00681820"/>
    <w:rsid w:val="006819AB"/>
    <w:rsid w:val="00683BAC"/>
    <w:rsid w:val="0068560B"/>
    <w:rsid w:val="006A1277"/>
    <w:rsid w:val="006A25B6"/>
    <w:rsid w:val="006A2602"/>
    <w:rsid w:val="006A2D41"/>
    <w:rsid w:val="006A67E1"/>
    <w:rsid w:val="006C36FB"/>
    <w:rsid w:val="006C7D62"/>
    <w:rsid w:val="006D0B23"/>
    <w:rsid w:val="006D2ED6"/>
    <w:rsid w:val="006D2F74"/>
    <w:rsid w:val="006D5685"/>
    <w:rsid w:val="006D71A1"/>
    <w:rsid w:val="006D7687"/>
    <w:rsid w:val="006E1987"/>
    <w:rsid w:val="006E23B2"/>
    <w:rsid w:val="006E3A40"/>
    <w:rsid w:val="006E5207"/>
    <w:rsid w:val="006F5C70"/>
    <w:rsid w:val="006F6A20"/>
    <w:rsid w:val="007047B2"/>
    <w:rsid w:val="00704DE7"/>
    <w:rsid w:val="00706868"/>
    <w:rsid w:val="007078B8"/>
    <w:rsid w:val="00715E32"/>
    <w:rsid w:val="007162D1"/>
    <w:rsid w:val="00716463"/>
    <w:rsid w:val="0071706E"/>
    <w:rsid w:val="007236C2"/>
    <w:rsid w:val="00727292"/>
    <w:rsid w:val="00741221"/>
    <w:rsid w:val="00741724"/>
    <w:rsid w:val="00742F6A"/>
    <w:rsid w:val="007446E8"/>
    <w:rsid w:val="00751553"/>
    <w:rsid w:val="0075165E"/>
    <w:rsid w:val="00754E10"/>
    <w:rsid w:val="00762A29"/>
    <w:rsid w:val="0076327D"/>
    <w:rsid w:val="00765409"/>
    <w:rsid w:val="00767115"/>
    <w:rsid w:val="00767745"/>
    <w:rsid w:val="007707FC"/>
    <w:rsid w:val="00770BE3"/>
    <w:rsid w:val="00771152"/>
    <w:rsid w:val="0077177A"/>
    <w:rsid w:val="007728A8"/>
    <w:rsid w:val="00785A76"/>
    <w:rsid w:val="00787852"/>
    <w:rsid w:val="007915BC"/>
    <w:rsid w:val="00796389"/>
    <w:rsid w:val="007967FA"/>
    <w:rsid w:val="00797E7A"/>
    <w:rsid w:val="007A0EA6"/>
    <w:rsid w:val="007A2D9E"/>
    <w:rsid w:val="007A571E"/>
    <w:rsid w:val="007A71EC"/>
    <w:rsid w:val="007A78E6"/>
    <w:rsid w:val="007B0381"/>
    <w:rsid w:val="007B0F3D"/>
    <w:rsid w:val="007B148D"/>
    <w:rsid w:val="007B18C8"/>
    <w:rsid w:val="007B28DE"/>
    <w:rsid w:val="007B762E"/>
    <w:rsid w:val="007B7A5F"/>
    <w:rsid w:val="007B7BBC"/>
    <w:rsid w:val="007C119B"/>
    <w:rsid w:val="007C36BE"/>
    <w:rsid w:val="007C3D24"/>
    <w:rsid w:val="007C553B"/>
    <w:rsid w:val="007D53ED"/>
    <w:rsid w:val="007D5EF3"/>
    <w:rsid w:val="007D6001"/>
    <w:rsid w:val="007D7F94"/>
    <w:rsid w:val="007E1B76"/>
    <w:rsid w:val="007E219A"/>
    <w:rsid w:val="007E37BF"/>
    <w:rsid w:val="007E5A1B"/>
    <w:rsid w:val="007E6593"/>
    <w:rsid w:val="007E7EB9"/>
    <w:rsid w:val="007F1101"/>
    <w:rsid w:val="007F2CB1"/>
    <w:rsid w:val="00803D20"/>
    <w:rsid w:val="00807060"/>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324C"/>
    <w:rsid w:val="00844111"/>
    <w:rsid w:val="00844F74"/>
    <w:rsid w:val="00846382"/>
    <w:rsid w:val="00850F57"/>
    <w:rsid w:val="008536C2"/>
    <w:rsid w:val="008600C7"/>
    <w:rsid w:val="008617D0"/>
    <w:rsid w:val="00861A60"/>
    <w:rsid w:val="00862357"/>
    <w:rsid w:val="00862D02"/>
    <w:rsid w:val="008637B9"/>
    <w:rsid w:val="00864194"/>
    <w:rsid w:val="008661DA"/>
    <w:rsid w:val="00870399"/>
    <w:rsid w:val="008711EC"/>
    <w:rsid w:val="008718FE"/>
    <w:rsid w:val="00871A29"/>
    <w:rsid w:val="00872946"/>
    <w:rsid w:val="00883928"/>
    <w:rsid w:val="00883DDE"/>
    <w:rsid w:val="00891D73"/>
    <w:rsid w:val="00892A44"/>
    <w:rsid w:val="008A2DE8"/>
    <w:rsid w:val="008A312D"/>
    <w:rsid w:val="008A3E09"/>
    <w:rsid w:val="008A3E57"/>
    <w:rsid w:val="008A77A7"/>
    <w:rsid w:val="008B175C"/>
    <w:rsid w:val="008B3F34"/>
    <w:rsid w:val="008C56B9"/>
    <w:rsid w:val="008D05E0"/>
    <w:rsid w:val="008D2600"/>
    <w:rsid w:val="008E0AC0"/>
    <w:rsid w:val="008E0BD0"/>
    <w:rsid w:val="008E221A"/>
    <w:rsid w:val="008E3FFE"/>
    <w:rsid w:val="008E60BE"/>
    <w:rsid w:val="008E6B74"/>
    <w:rsid w:val="008F0FAF"/>
    <w:rsid w:val="008F1F7E"/>
    <w:rsid w:val="008F46CD"/>
    <w:rsid w:val="008F6480"/>
    <w:rsid w:val="008F7740"/>
    <w:rsid w:val="00900CA2"/>
    <w:rsid w:val="00903653"/>
    <w:rsid w:val="00910A52"/>
    <w:rsid w:val="00911479"/>
    <w:rsid w:val="0091299D"/>
    <w:rsid w:val="0091484D"/>
    <w:rsid w:val="00920312"/>
    <w:rsid w:val="00923FB3"/>
    <w:rsid w:val="00925E71"/>
    <w:rsid w:val="00930BEB"/>
    <w:rsid w:val="0093329F"/>
    <w:rsid w:val="00937043"/>
    <w:rsid w:val="00942218"/>
    <w:rsid w:val="009445D3"/>
    <w:rsid w:val="00947029"/>
    <w:rsid w:val="00950CCA"/>
    <w:rsid w:val="00955A8A"/>
    <w:rsid w:val="0096400D"/>
    <w:rsid w:val="00964B53"/>
    <w:rsid w:val="00966600"/>
    <w:rsid w:val="009671D9"/>
    <w:rsid w:val="00971352"/>
    <w:rsid w:val="00974E6A"/>
    <w:rsid w:val="00975E5B"/>
    <w:rsid w:val="00977C8F"/>
    <w:rsid w:val="00977F94"/>
    <w:rsid w:val="00981AF4"/>
    <w:rsid w:val="009863E9"/>
    <w:rsid w:val="00991EBE"/>
    <w:rsid w:val="00991FE0"/>
    <w:rsid w:val="00992E20"/>
    <w:rsid w:val="009936FC"/>
    <w:rsid w:val="00993925"/>
    <w:rsid w:val="00993977"/>
    <w:rsid w:val="009A05D1"/>
    <w:rsid w:val="009A0D1F"/>
    <w:rsid w:val="009A28AC"/>
    <w:rsid w:val="009A3A5B"/>
    <w:rsid w:val="009A3F2A"/>
    <w:rsid w:val="009A4019"/>
    <w:rsid w:val="009B08F9"/>
    <w:rsid w:val="009B2AAC"/>
    <w:rsid w:val="009B3521"/>
    <w:rsid w:val="009B541C"/>
    <w:rsid w:val="009C4460"/>
    <w:rsid w:val="009C7823"/>
    <w:rsid w:val="009D154E"/>
    <w:rsid w:val="009D70E2"/>
    <w:rsid w:val="009D7192"/>
    <w:rsid w:val="009E0677"/>
    <w:rsid w:val="009E0E38"/>
    <w:rsid w:val="009E1A35"/>
    <w:rsid w:val="009F09AA"/>
    <w:rsid w:val="009F2C16"/>
    <w:rsid w:val="009F2C1B"/>
    <w:rsid w:val="009F30D8"/>
    <w:rsid w:val="009F335C"/>
    <w:rsid w:val="00A002B5"/>
    <w:rsid w:val="00A0260C"/>
    <w:rsid w:val="00A041B5"/>
    <w:rsid w:val="00A04F8C"/>
    <w:rsid w:val="00A05158"/>
    <w:rsid w:val="00A12F30"/>
    <w:rsid w:val="00A13BF5"/>
    <w:rsid w:val="00A14837"/>
    <w:rsid w:val="00A16087"/>
    <w:rsid w:val="00A225E3"/>
    <w:rsid w:val="00A23A26"/>
    <w:rsid w:val="00A24A8F"/>
    <w:rsid w:val="00A25708"/>
    <w:rsid w:val="00A25BF0"/>
    <w:rsid w:val="00A3026E"/>
    <w:rsid w:val="00A32CD8"/>
    <w:rsid w:val="00A363FE"/>
    <w:rsid w:val="00A36484"/>
    <w:rsid w:val="00A44303"/>
    <w:rsid w:val="00A44F50"/>
    <w:rsid w:val="00A4576A"/>
    <w:rsid w:val="00A45AD0"/>
    <w:rsid w:val="00A45EE9"/>
    <w:rsid w:val="00A53C14"/>
    <w:rsid w:val="00A5594D"/>
    <w:rsid w:val="00A61410"/>
    <w:rsid w:val="00A6198A"/>
    <w:rsid w:val="00A630C6"/>
    <w:rsid w:val="00A65108"/>
    <w:rsid w:val="00A7067F"/>
    <w:rsid w:val="00A707A7"/>
    <w:rsid w:val="00A718FD"/>
    <w:rsid w:val="00A72341"/>
    <w:rsid w:val="00A776ED"/>
    <w:rsid w:val="00A80E50"/>
    <w:rsid w:val="00A8137F"/>
    <w:rsid w:val="00A83663"/>
    <w:rsid w:val="00A83B0F"/>
    <w:rsid w:val="00A84216"/>
    <w:rsid w:val="00A84D1C"/>
    <w:rsid w:val="00A85A73"/>
    <w:rsid w:val="00A90BFA"/>
    <w:rsid w:val="00A92BF3"/>
    <w:rsid w:val="00A943C8"/>
    <w:rsid w:val="00A950A4"/>
    <w:rsid w:val="00A9520D"/>
    <w:rsid w:val="00A9747D"/>
    <w:rsid w:val="00AA00A6"/>
    <w:rsid w:val="00AA6BA8"/>
    <w:rsid w:val="00AA7F5A"/>
    <w:rsid w:val="00AB2340"/>
    <w:rsid w:val="00AB5FE4"/>
    <w:rsid w:val="00AB659D"/>
    <w:rsid w:val="00AC229F"/>
    <w:rsid w:val="00AD1FB4"/>
    <w:rsid w:val="00AD608F"/>
    <w:rsid w:val="00AD7671"/>
    <w:rsid w:val="00AE227F"/>
    <w:rsid w:val="00AE53E8"/>
    <w:rsid w:val="00AE6FE4"/>
    <w:rsid w:val="00AF2018"/>
    <w:rsid w:val="00AF2059"/>
    <w:rsid w:val="00AF3D84"/>
    <w:rsid w:val="00AF4161"/>
    <w:rsid w:val="00AF580B"/>
    <w:rsid w:val="00B007C8"/>
    <w:rsid w:val="00B14410"/>
    <w:rsid w:val="00B15E61"/>
    <w:rsid w:val="00B24F35"/>
    <w:rsid w:val="00B30A40"/>
    <w:rsid w:val="00B32C88"/>
    <w:rsid w:val="00B34747"/>
    <w:rsid w:val="00B41D30"/>
    <w:rsid w:val="00B42E49"/>
    <w:rsid w:val="00B50903"/>
    <w:rsid w:val="00B62FFE"/>
    <w:rsid w:val="00B65013"/>
    <w:rsid w:val="00B7123A"/>
    <w:rsid w:val="00B7332B"/>
    <w:rsid w:val="00B7435C"/>
    <w:rsid w:val="00B76F38"/>
    <w:rsid w:val="00B8085D"/>
    <w:rsid w:val="00B81EFF"/>
    <w:rsid w:val="00B836BB"/>
    <w:rsid w:val="00B84122"/>
    <w:rsid w:val="00B862B0"/>
    <w:rsid w:val="00B941DA"/>
    <w:rsid w:val="00B95438"/>
    <w:rsid w:val="00BA0C05"/>
    <w:rsid w:val="00BA2B7C"/>
    <w:rsid w:val="00BB0AD0"/>
    <w:rsid w:val="00BB142A"/>
    <w:rsid w:val="00BB34B9"/>
    <w:rsid w:val="00BB35C2"/>
    <w:rsid w:val="00BB4144"/>
    <w:rsid w:val="00BB553B"/>
    <w:rsid w:val="00BC28D7"/>
    <w:rsid w:val="00BC376C"/>
    <w:rsid w:val="00BC3886"/>
    <w:rsid w:val="00BC6321"/>
    <w:rsid w:val="00BC7817"/>
    <w:rsid w:val="00BD3819"/>
    <w:rsid w:val="00BD642D"/>
    <w:rsid w:val="00BD6988"/>
    <w:rsid w:val="00BE1A77"/>
    <w:rsid w:val="00BE4742"/>
    <w:rsid w:val="00BE523D"/>
    <w:rsid w:val="00BE7383"/>
    <w:rsid w:val="00BE754D"/>
    <w:rsid w:val="00BF15FE"/>
    <w:rsid w:val="00BF1DB9"/>
    <w:rsid w:val="00BF5579"/>
    <w:rsid w:val="00BF6D10"/>
    <w:rsid w:val="00BF6E79"/>
    <w:rsid w:val="00C03F6C"/>
    <w:rsid w:val="00C06A1C"/>
    <w:rsid w:val="00C07A40"/>
    <w:rsid w:val="00C12108"/>
    <w:rsid w:val="00C121D9"/>
    <w:rsid w:val="00C12A2F"/>
    <w:rsid w:val="00C13453"/>
    <w:rsid w:val="00C15BA1"/>
    <w:rsid w:val="00C220F9"/>
    <w:rsid w:val="00C2541C"/>
    <w:rsid w:val="00C26862"/>
    <w:rsid w:val="00C30458"/>
    <w:rsid w:val="00C31DA6"/>
    <w:rsid w:val="00C33260"/>
    <w:rsid w:val="00C408F9"/>
    <w:rsid w:val="00C4598F"/>
    <w:rsid w:val="00C47C1E"/>
    <w:rsid w:val="00C50360"/>
    <w:rsid w:val="00C547AD"/>
    <w:rsid w:val="00C54E12"/>
    <w:rsid w:val="00C55468"/>
    <w:rsid w:val="00C55651"/>
    <w:rsid w:val="00C60E1D"/>
    <w:rsid w:val="00C622C3"/>
    <w:rsid w:val="00C62E1C"/>
    <w:rsid w:val="00C63BD5"/>
    <w:rsid w:val="00C6468C"/>
    <w:rsid w:val="00C64AE5"/>
    <w:rsid w:val="00C74906"/>
    <w:rsid w:val="00C81B40"/>
    <w:rsid w:val="00C81FEA"/>
    <w:rsid w:val="00C83969"/>
    <w:rsid w:val="00C86C95"/>
    <w:rsid w:val="00CA05EB"/>
    <w:rsid w:val="00CA3515"/>
    <w:rsid w:val="00CA3A05"/>
    <w:rsid w:val="00CB14E9"/>
    <w:rsid w:val="00CB6D90"/>
    <w:rsid w:val="00CB72C3"/>
    <w:rsid w:val="00CC30DF"/>
    <w:rsid w:val="00CC45E4"/>
    <w:rsid w:val="00CD019F"/>
    <w:rsid w:val="00CD27C5"/>
    <w:rsid w:val="00CE104B"/>
    <w:rsid w:val="00CE4169"/>
    <w:rsid w:val="00CE7894"/>
    <w:rsid w:val="00CF06A1"/>
    <w:rsid w:val="00CF1467"/>
    <w:rsid w:val="00CF379F"/>
    <w:rsid w:val="00CF48D6"/>
    <w:rsid w:val="00CF57D6"/>
    <w:rsid w:val="00CF6C1B"/>
    <w:rsid w:val="00D019D5"/>
    <w:rsid w:val="00D040FE"/>
    <w:rsid w:val="00D168FD"/>
    <w:rsid w:val="00D16F64"/>
    <w:rsid w:val="00D20463"/>
    <w:rsid w:val="00D244F1"/>
    <w:rsid w:val="00D2472C"/>
    <w:rsid w:val="00D25D0A"/>
    <w:rsid w:val="00D279BA"/>
    <w:rsid w:val="00D312BC"/>
    <w:rsid w:val="00D404B5"/>
    <w:rsid w:val="00D41A47"/>
    <w:rsid w:val="00D447CB"/>
    <w:rsid w:val="00D4574A"/>
    <w:rsid w:val="00D465DA"/>
    <w:rsid w:val="00D46DB7"/>
    <w:rsid w:val="00D47D16"/>
    <w:rsid w:val="00D505F4"/>
    <w:rsid w:val="00D51CE1"/>
    <w:rsid w:val="00D562F2"/>
    <w:rsid w:val="00D61B93"/>
    <w:rsid w:val="00D67E4A"/>
    <w:rsid w:val="00D763FD"/>
    <w:rsid w:val="00D8009B"/>
    <w:rsid w:val="00D833AF"/>
    <w:rsid w:val="00D8585F"/>
    <w:rsid w:val="00D90AD1"/>
    <w:rsid w:val="00D941F7"/>
    <w:rsid w:val="00DA4DDF"/>
    <w:rsid w:val="00DB0804"/>
    <w:rsid w:val="00DB0BCC"/>
    <w:rsid w:val="00DB2FC4"/>
    <w:rsid w:val="00DB7601"/>
    <w:rsid w:val="00DC382A"/>
    <w:rsid w:val="00DE1923"/>
    <w:rsid w:val="00DE2B33"/>
    <w:rsid w:val="00DE638B"/>
    <w:rsid w:val="00DE72EE"/>
    <w:rsid w:val="00DF37E5"/>
    <w:rsid w:val="00E034FE"/>
    <w:rsid w:val="00E041E5"/>
    <w:rsid w:val="00E04888"/>
    <w:rsid w:val="00E0763B"/>
    <w:rsid w:val="00E10302"/>
    <w:rsid w:val="00E17EC5"/>
    <w:rsid w:val="00E23A4B"/>
    <w:rsid w:val="00E26BFD"/>
    <w:rsid w:val="00E27E90"/>
    <w:rsid w:val="00E33D02"/>
    <w:rsid w:val="00E34F2C"/>
    <w:rsid w:val="00E35D79"/>
    <w:rsid w:val="00E36872"/>
    <w:rsid w:val="00E4641E"/>
    <w:rsid w:val="00E5095A"/>
    <w:rsid w:val="00E519AE"/>
    <w:rsid w:val="00E57AF7"/>
    <w:rsid w:val="00E6241B"/>
    <w:rsid w:val="00E64CFF"/>
    <w:rsid w:val="00E64FCC"/>
    <w:rsid w:val="00E703B6"/>
    <w:rsid w:val="00E72200"/>
    <w:rsid w:val="00E72B1B"/>
    <w:rsid w:val="00E75D47"/>
    <w:rsid w:val="00E766F5"/>
    <w:rsid w:val="00E82948"/>
    <w:rsid w:val="00E90218"/>
    <w:rsid w:val="00E913BB"/>
    <w:rsid w:val="00E95F2E"/>
    <w:rsid w:val="00EA1508"/>
    <w:rsid w:val="00EA1541"/>
    <w:rsid w:val="00EA32E4"/>
    <w:rsid w:val="00EA7E36"/>
    <w:rsid w:val="00EB0898"/>
    <w:rsid w:val="00EB627B"/>
    <w:rsid w:val="00EB6D94"/>
    <w:rsid w:val="00EC4183"/>
    <w:rsid w:val="00EC6468"/>
    <w:rsid w:val="00EC6708"/>
    <w:rsid w:val="00ED207C"/>
    <w:rsid w:val="00ED325A"/>
    <w:rsid w:val="00ED3F41"/>
    <w:rsid w:val="00ED5014"/>
    <w:rsid w:val="00ED5615"/>
    <w:rsid w:val="00ED692E"/>
    <w:rsid w:val="00ED69AF"/>
    <w:rsid w:val="00EE1847"/>
    <w:rsid w:val="00EE240E"/>
    <w:rsid w:val="00EE688E"/>
    <w:rsid w:val="00EE6A6D"/>
    <w:rsid w:val="00EF03E2"/>
    <w:rsid w:val="00EF165D"/>
    <w:rsid w:val="00EF7F8B"/>
    <w:rsid w:val="00F03814"/>
    <w:rsid w:val="00F04ABF"/>
    <w:rsid w:val="00F07A09"/>
    <w:rsid w:val="00F1390C"/>
    <w:rsid w:val="00F14D98"/>
    <w:rsid w:val="00F17EC8"/>
    <w:rsid w:val="00F20C5E"/>
    <w:rsid w:val="00F21939"/>
    <w:rsid w:val="00F31B6B"/>
    <w:rsid w:val="00F368A5"/>
    <w:rsid w:val="00F36A1D"/>
    <w:rsid w:val="00F44278"/>
    <w:rsid w:val="00F449FC"/>
    <w:rsid w:val="00F44C41"/>
    <w:rsid w:val="00F51B65"/>
    <w:rsid w:val="00F52AAB"/>
    <w:rsid w:val="00F52EB6"/>
    <w:rsid w:val="00F55260"/>
    <w:rsid w:val="00F55945"/>
    <w:rsid w:val="00F56550"/>
    <w:rsid w:val="00F6176B"/>
    <w:rsid w:val="00F6316B"/>
    <w:rsid w:val="00F65AE0"/>
    <w:rsid w:val="00F74E38"/>
    <w:rsid w:val="00F76D6F"/>
    <w:rsid w:val="00F778B0"/>
    <w:rsid w:val="00F83BC2"/>
    <w:rsid w:val="00F864E9"/>
    <w:rsid w:val="00F92EC1"/>
    <w:rsid w:val="00F94C47"/>
    <w:rsid w:val="00FA0421"/>
    <w:rsid w:val="00FA3389"/>
    <w:rsid w:val="00FA3476"/>
    <w:rsid w:val="00FA495F"/>
    <w:rsid w:val="00FB0C10"/>
    <w:rsid w:val="00FB3C36"/>
    <w:rsid w:val="00FB4280"/>
    <w:rsid w:val="00FB58A3"/>
    <w:rsid w:val="00FB7CCE"/>
    <w:rsid w:val="00FC01C8"/>
    <w:rsid w:val="00FC5027"/>
    <w:rsid w:val="00FC50C7"/>
    <w:rsid w:val="00FC511D"/>
    <w:rsid w:val="00FC68BC"/>
    <w:rsid w:val="00FD11D4"/>
    <w:rsid w:val="00FD225D"/>
    <w:rsid w:val="00FD238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9" w:qFormat="1"/>
    <w:lsdException w:name="heading 5" w:semiHidden="0"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footnote text" w:uiPriority="99"/>
    <w:lsdException w:name="footer" w:uiPriority="99"/>
    <w:lsdException w:name="caption" w:uiPriority="99"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414999"/>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414999"/>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qFormat/>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414999"/>
    <w:rPr>
      <w:b/>
      <w:bCs/>
      <w:sz w:val="28"/>
      <w:szCs w:val="28"/>
      <w:lang w:val="es-ES_tradnl" w:eastAsia="en-US"/>
    </w:rPr>
  </w:style>
  <w:style w:type="character" w:customStyle="1" w:styleId="Ttulo7Car">
    <w:name w:val="Título 7 Car"/>
    <w:basedOn w:val="Fuentedeprrafopredeter"/>
    <w:link w:val="Ttulo7"/>
    <w:uiPriority w:val="99"/>
    <w:rsid w:val="00414999"/>
    <w:rPr>
      <w:sz w:val="52"/>
    </w:rPr>
  </w:style>
  <w:style w:type="character" w:customStyle="1" w:styleId="atitulo1Car">
    <w:name w:val="atitulo1 Car"/>
    <w:basedOn w:val="Fuentedeprrafopredeter"/>
    <w:link w:val="atitulo1"/>
    <w:locked/>
    <w:rsid w:val="00414999"/>
    <w:rPr>
      <w:rFonts w:ascii="Arial" w:hAnsi="Arial"/>
      <w:b/>
      <w:color w:val="000000"/>
      <w:kern w:val="28"/>
      <w:sz w:val="25"/>
      <w:szCs w:val="26"/>
      <w:lang w:val="es-ES_tradnl" w:eastAsia="en-US"/>
    </w:rPr>
  </w:style>
  <w:style w:type="character" w:customStyle="1" w:styleId="atitulo2Car">
    <w:name w:val="atitulo2 Car"/>
    <w:link w:val="atitulo2"/>
    <w:locked/>
    <w:rsid w:val="00414999"/>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414999"/>
  </w:style>
  <w:style w:type="character" w:customStyle="1" w:styleId="TextonotapieCar">
    <w:name w:val="Texto nota pie Car"/>
    <w:basedOn w:val="Fuentedeprrafopredeter"/>
    <w:link w:val="Textonotapie"/>
    <w:uiPriority w:val="99"/>
    <w:rsid w:val="00414999"/>
    <w:rPr>
      <w:lang w:val="es-ES_tradnl" w:eastAsia="en-US"/>
    </w:rPr>
  </w:style>
  <w:style w:type="character" w:styleId="Refdenotaalpie">
    <w:name w:val="footnote reference"/>
    <w:uiPriority w:val="99"/>
    <w:rsid w:val="00414999"/>
    <w:rPr>
      <w:vertAlign w:val="superscript"/>
    </w:rPr>
  </w:style>
  <w:style w:type="paragraph" w:styleId="Prrafodelista">
    <w:name w:val="List Paragraph"/>
    <w:basedOn w:val="Normal"/>
    <w:uiPriority w:val="34"/>
    <w:qFormat/>
    <w:rsid w:val="00414999"/>
    <w:pPr>
      <w:ind w:left="720"/>
      <w:contextualSpacing/>
    </w:pPr>
  </w:style>
  <w:style w:type="character" w:customStyle="1" w:styleId="Ttulo1Car">
    <w:name w:val="Título 1 Car"/>
    <w:basedOn w:val="Fuentedeprrafopredeter"/>
    <w:link w:val="Ttulo1"/>
    <w:uiPriority w:val="9"/>
    <w:rsid w:val="00414999"/>
    <w:rPr>
      <w:rFonts w:ascii="Arial" w:hAnsi="Arial" w:cs="Arial"/>
      <w:b/>
      <w:bCs/>
      <w:kern w:val="32"/>
      <w:sz w:val="32"/>
      <w:szCs w:val="32"/>
      <w:lang w:val="es-ES_tradnl" w:eastAsia="en-US"/>
    </w:rPr>
  </w:style>
  <w:style w:type="character" w:customStyle="1" w:styleId="Ttulo2Car">
    <w:name w:val="Título 2 Car"/>
    <w:basedOn w:val="Fuentedeprrafopredeter"/>
    <w:link w:val="Ttulo2"/>
    <w:rsid w:val="00414999"/>
    <w:rPr>
      <w:rFonts w:ascii="Arial" w:hAnsi="Arial" w:cs="Arial"/>
      <w:b/>
      <w:bCs/>
      <w:i/>
      <w:iCs/>
      <w:sz w:val="28"/>
      <w:szCs w:val="28"/>
      <w:lang w:val="es-ES_tradnl" w:eastAsia="en-US"/>
    </w:rPr>
  </w:style>
  <w:style w:type="character" w:customStyle="1" w:styleId="Ttulo3Car">
    <w:name w:val="Título 3 Car"/>
    <w:basedOn w:val="Fuentedeprrafopredeter"/>
    <w:link w:val="Ttulo3"/>
    <w:rsid w:val="00414999"/>
    <w:rPr>
      <w:rFonts w:ascii="Arial" w:hAnsi="Arial" w:cs="Arial"/>
      <w:b/>
      <w:bCs/>
      <w:szCs w:val="26"/>
      <w:lang w:val="es-ES_tradnl" w:eastAsia="en-US"/>
    </w:rPr>
  </w:style>
  <w:style w:type="character" w:customStyle="1" w:styleId="Ttulo5Car">
    <w:name w:val="Título 5 Car"/>
    <w:basedOn w:val="Fuentedeprrafopredeter"/>
    <w:link w:val="Ttulo5"/>
    <w:rsid w:val="00414999"/>
    <w:rPr>
      <w:b/>
      <w:sz w:val="28"/>
      <w:lang w:eastAsia="en-US"/>
    </w:rPr>
  </w:style>
  <w:style w:type="paragraph" w:styleId="Ttulo">
    <w:name w:val="Title"/>
    <w:basedOn w:val="Normal"/>
    <w:next w:val="Normal"/>
    <w:link w:val="TtuloCar"/>
    <w:uiPriority w:val="10"/>
    <w:qFormat/>
    <w:rsid w:val="004149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14999"/>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414999"/>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14999"/>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414999"/>
    <w:rPr>
      <w:rFonts w:cs="Times New Roman"/>
      <w:b/>
    </w:rPr>
  </w:style>
  <w:style w:type="character" w:styleId="nfasis">
    <w:name w:val="Emphasis"/>
    <w:basedOn w:val="Fuentedeprrafopredeter"/>
    <w:uiPriority w:val="99"/>
    <w:qFormat/>
    <w:rsid w:val="00414999"/>
    <w:rPr>
      <w:rFonts w:cs="Times New Roman"/>
      <w:i/>
      <w:iCs/>
    </w:rPr>
  </w:style>
  <w:style w:type="paragraph" w:styleId="Cita">
    <w:name w:val="Quote"/>
    <w:basedOn w:val="Normal"/>
    <w:next w:val="Normal"/>
    <w:link w:val="CitaCar"/>
    <w:uiPriority w:val="29"/>
    <w:qFormat/>
    <w:rsid w:val="00414999"/>
    <w:rPr>
      <w:i/>
      <w:iCs/>
      <w:color w:val="000000" w:themeColor="text1"/>
    </w:rPr>
  </w:style>
  <w:style w:type="character" w:customStyle="1" w:styleId="CitaCar">
    <w:name w:val="Cita Car"/>
    <w:basedOn w:val="Fuentedeprrafopredeter"/>
    <w:link w:val="Cita"/>
    <w:uiPriority w:val="29"/>
    <w:rsid w:val="00414999"/>
    <w:rPr>
      <w:i/>
      <w:iCs/>
      <w:color w:val="000000" w:themeColor="text1"/>
      <w:lang w:val="es-ES_tradnl" w:eastAsia="en-US"/>
    </w:rPr>
  </w:style>
  <w:style w:type="character" w:styleId="nfasissutil">
    <w:name w:val="Subtle Emphasis"/>
    <w:basedOn w:val="Fuentedeprrafopredeter"/>
    <w:uiPriority w:val="19"/>
    <w:qFormat/>
    <w:rsid w:val="00414999"/>
    <w:rPr>
      <w:i/>
      <w:iCs/>
      <w:color w:val="808080" w:themeColor="text1" w:themeTint="7F"/>
    </w:rPr>
  </w:style>
  <w:style w:type="character" w:styleId="nfasisintenso">
    <w:name w:val="Intense Emphasis"/>
    <w:basedOn w:val="Fuentedeprrafopredeter"/>
    <w:uiPriority w:val="21"/>
    <w:qFormat/>
    <w:rsid w:val="00414999"/>
    <w:rPr>
      <w:b/>
      <w:bCs/>
      <w:i/>
      <w:iCs/>
      <w:color w:val="4F81BD" w:themeColor="accent1"/>
    </w:rPr>
  </w:style>
  <w:style w:type="character" w:styleId="Referenciasutil">
    <w:name w:val="Subtle Reference"/>
    <w:basedOn w:val="Fuentedeprrafopredeter"/>
    <w:uiPriority w:val="31"/>
    <w:qFormat/>
    <w:rsid w:val="00414999"/>
    <w:rPr>
      <w:smallCaps/>
      <w:color w:val="C0504D" w:themeColor="accent2"/>
      <w:u w:val="single"/>
    </w:rPr>
  </w:style>
  <w:style w:type="character" w:styleId="Referenciaintensa">
    <w:name w:val="Intense Reference"/>
    <w:basedOn w:val="Fuentedeprrafopredeter"/>
    <w:uiPriority w:val="32"/>
    <w:qFormat/>
    <w:rsid w:val="00414999"/>
    <w:rPr>
      <w:b/>
      <w:bCs/>
      <w:smallCaps/>
      <w:color w:val="C0504D" w:themeColor="accent2"/>
      <w:spacing w:val="5"/>
      <w:u w:val="single"/>
    </w:rPr>
  </w:style>
  <w:style w:type="paragraph" w:customStyle="1" w:styleId="1">
    <w:name w:val="1"/>
    <w:basedOn w:val="Normal"/>
    <w:next w:val="Normal"/>
    <w:qFormat/>
    <w:rsid w:val="00414999"/>
    <w:rPr>
      <w:b/>
      <w:bCs/>
    </w:rPr>
  </w:style>
  <w:style w:type="paragraph" w:customStyle="1" w:styleId="Estndar">
    <w:name w:val="Estándar"/>
    <w:rsid w:val="00414999"/>
    <w:pPr>
      <w:snapToGrid w:val="0"/>
    </w:pPr>
    <w:rPr>
      <w:rFonts w:ascii="CG Omega" w:hAnsi="CG Omega"/>
      <w:color w:val="000000"/>
      <w:sz w:val="22"/>
    </w:rPr>
  </w:style>
  <w:style w:type="paragraph" w:customStyle="1" w:styleId="tabla10">
    <w:name w:val="tabla10"/>
    <w:rsid w:val="00414999"/>
    <w:pPr>
      <w:tabs>
        <w:tab w:val="left" w:pos="567"/>
        <w:tab w:val="left" w:pos="1134"/>
      </w:tabs>
      <w:snapToGrid w:val="0"/>
    </w:pPr>
    <w:rPr>
      <w:rFonts w:ascii="CG Times" w:hAnsi="CG Times"/>
      <w:color w:val="000000"/>
    </w:rPr>
  </w:style>
  <w:style w:type="paragraph" w:styleId="NormalWeb">
    <w:name w:val="Normal (Web)"/>
    <w:basedOn w:val="Normal"/>
    <w:uiPriority w:val="99"/>
    <w:rsid w:val="00414999"/>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414999"/>
  </w:style>
  <w:style w:type="character" w:customStyle="1" w:styleId="TextocomentarioCar">
    <w:name w:val="Texto comentario Car"/>
    <w:basedOn w:val="Fuentedeprrafopredeter"/>
    <w:link w:val="Textocomentario"/>
    <w:rsid w:val="00414999"/>
    <w:rPr>
      <w:lang w:val="es-ES_tradnl" w:eastAsia="en-US"/>
    </w:rPr>
  </w:style>
  <w:style w:type="paragraph" w:styleId="Asuntodelcomentario">
    <w:name w:val="annotation subject"/>
    <w:basedOn w:val="Textocomentario"/>
    <w:next w:val="Textocomentario"/>
    <w:link w:val="AsuntodelcomentarioCar"/>
    <w:rsid w:val="00414999"/>
    <w:rPr>
      <w:b/>
      <w:bCs/>
    </w:rPr>
  </w:style>
  <w:style w:type="character" w:customStyle="1" w:styleId="AsuntodelcomentarioCar">
    <w:name w:val="Asunto del comentario Car"/>
    <w:basedOn w:val="TextocomentarioCar"/>
    <w:link w:val="Asuntodelcomentario"/>
    <w:rsid w:val="00414999"/>
    <w:rPr>
      <w:b/>
      <w:bCs/>
      <w:lang w:val="es-ES_tradnl" w:eastAsia="en-US"/>
    </w:rPr>
  </w:style>
  <w:style w:type="paragraph" w:styleId="Mapadeldocumento">
    <w:name w:val="Document Map"/>
    <w:basedOn w:val="Normal"/>
    <w:link w:val="MapadeldocumentoCar"/>
    <w:rsid w:val="00414999"/>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414999"/>
    <w:rPr>
      <w:rFonts w:ascii="Tahoma" w:hAnsi="Tahoma" w:cs="Tahoma"/>
      <w:shd w:val="clear" w:color="auto" w:fill="000080"/>
      <w:lang w:val="es-ES_tradnl" w:eastAsia="en-US"/>
    </w:rPr>
  </w:style>
  <w:style w:type="character" w:styleId="Refdecomentario">
    <w:name w:val="annotation reference"/>
    <w:rsid w:val="00414999"/>
    <w:rPr>
      <w:sz w:val="16"/>
      <w:szCs w:val="16"/>
    </w:rPr>
  </w:style>
  <w:style w:type="paragraph" w:customStyle="1" w:styleId="Default">
    <w:name w:val="Default"/>
    <w:rsid w:val="00414999"/>
    <w:pPr>
      <w:autoSpaceDE w:val="0"/>
      <w:autoSpaceDN w:val="0"/>
      <w:adjustRightInd w:val="0"/>
    </w:pPr>
    <w:rPr>
      <w:rFonts w:ascii="Calibri" w:hAnsi="Calibri" w:cs="Calibri"/>
      <w:color w:val="000000"/>
      <w:sz w:val="24"/>
      <w:szCs w:val="24"/>
      <w:lang w:eastAsia="es-ES_tradnl"/>
    </w:rPr>
  </w:style>
  <w:style w:type="paragraph" w:customStyle="1" w:styleId="Sangradoi">
    <w:name w:val="Sangrado i)"/>
    <w:basedOn w:val="Normal"/>
    <w:rsid w:val="00414999"/>
    <w:pPr>
      <w:numPr>
        <w:numId w:val="9"/>
      </w:numPr>
      <w:tabs>
        <w:tab w:val="left" w:pos="1134"/>
        <w:tab w:val="left" w:pos="1701"/>
        <w:tab w:val="center" w:pos="4428"/>
        <w:tab w:val="center" w:pos="6713"/>
        <w:tab w:val="right" w:pos="8998"/>
      </w:tabs>
      <w:spacing w:after="0"/>
      <w:jc w:val="left"/>
    </w:pPr>
    <w:rPr>
      <w:rFonts w:ascii="CG Omega" w:hAnsi="CG Omega"/>
      <w:sz w:val="22"/>
      <w:lang w:eastAsia="es-ES"/>
    </w:rPr>
  </w:style>
  <w:style w:type="character" w:customStyle="1" w:styleId="EncabezadoCar">
    <w:name w:val="Encabezado Car"/>
    <w:basedOn w:val="Fuentedeprrafopredeter"/>
    <w:link w:val="Encabezado"/>
    <w:rsid w:val="00414999"/>
    <w:rPr>
      <w:bCs/>
      <w:caps/>
      <w:sz w:val="14"/>
      <w:szCs w:val="12"/>
      <w:lang w:val="es-ES_tradnl" w:eastAsia="en-US"/>
    </w:rPr>
  </w:style>
  <w:style w:type="character" w:customStyle="1" w:styleId="object">
    <w:name w:val="object"/>
    <w:basedOn w:val="Fuentedeprrafopredeter"/>
    <w:rsid w:val="00414999"/>
  </w:style>
  <w:style w:type="character" w:customStyle="1" w:styleId="PiedepginaCar">
    <w:name w:val="Pie de página Car"/>
    <w:basedOn w:val="Fuentedeprrafopredeter"/>
    <w:link w:val="Piedepgina"/>
    <w:uiPriority w:val="99"/>
    <w:rsid w:val="00414999"/>
    <w:rPr>
      <w:spacing w:val="6"/>
      <w:lang w:val="es-ES_tradnl" w:eastAsia="en-US"/>
    </w:rPr>
  </w:style>
  <w:style w:type="character" w:styleId="Hipervnculovisitado">
    <w:name w:val="FollowedHyperlink"/>
    <w:basedOn w:val="Fuentedeprrafopredeter"/>
    <w:unhideWhenUsed/>
    <w:rsid w:val="00414999"/>
    <w:rPr>
      <w:color w:val="800080" w:themeColor="followedHyperlink"/>
      <w:u w:val="single"/>
    </w:rPr>
  </w:style>
  <w:style w:type="paragraph" w:customStyle="1" w:styleId="xa1">
    <w:name w:val="xa1"/>
    <w:basedOn w:val="Normal"/>
    <w:rsid w:val="00414999"/>
    <w:pPr>
      <w:spacing w:before="100" w:beforeAutospacing="1" w:after="100" w:afterAutospacing="1"/>
      <w:ind w:firstLine="0"/>
      <w:jc w:val="left"/>
    </w:pPr>
    <w:rPr>
      <w:sz w:val="24"/>
      <w:szCs w:val="24"/>
      <w:lang w:val="es-ES" w:eastAsia="es-ES"/>
    </w:rPr>
  </w:style>
  <w:style w:type="paragraph" w:customStyle="1" w:styleId="parrafo2">
    <w:name w:val="parrafo_2"/>
    <w:basedOn w:val="Normal"/>
    <w:rsid w:val="00414999"/>
    <w:pPr>
      <w:spacing w:before="100" w:beforeAutospacing="1" w:after="100" w:afterAutospacing="1"/>
      <w:ind w:firstLine="0"/>
      <w:jc w:val="left"/>
    </w:pPr>
    <w:rPr>
      <w:sz w:val="24"/>
      <w:szCs w:val="24"/>
      <w:lang w:val="es-ES" w:eastAsia="es-ES"/>
    </w:rPr>
  </w:style>
  <w:style w:type="paragraph" w:customStyle="1" w:styleId="parrafo">
    <w:name w:val="parrafo"/>
    <w:basedOn w:val="Normal"/>
    <w:rsid w:val="00414999"/>
    <w:pPr>
      <w:spacing w:before="100" w:beforeAutospacing="1" w:after="100" w:afterAutospacing="1"/>
      <w:ind w:firstLine="0"/>
      <w:jc w:val="left"/>
    </w:pPr>
    <w:rPr>
      <w:sz w:val="24"/>
      <w:szCs w:val="24"/>
      <w:lang w:val="es-ES" w:eastAsia="es-ES"/>
    </w:rPr>
  </w:style>
  <w:style w:type="paragraph" w:styleId="Textonotaalfinal">
    <w:name w:val="endnote text"/>
    <w:basedOn w:val="Normal"/>
    <w:link w:val="TextonotaalfinalCar"/>
    <w:semiHidden/>
    <w:unhideWhenUsed/>
    <w:rsid w:val="00362A9A"/>
    <w:pPr>
      <w:spacing w:after="0"/>
    </w:pPr>
  </w:style>
  <w:style w:type="character" w:customStyle="1" w:styleId="TextonotaalfinalCar">
    <w:name w:val="Texto nota al final Car"/>
    <w:basedOn w:val="Fuentedeprrafopredeter"/>
    <w:link w:val="Textonotaalfinal"/>
    <w:semiHidden/>
    <w:rsid w:val="00362A9A"/>
    <w:rPr>
      <w:lang w:val="es-ES_tradnl" w:eastAsia="en-US"/>
    </w:rPr>
  </w:style>
  <w:style w:type="character" w:styleId="Refdenotaalfinal">
    <w:name w:val="endnote reference"/>
    <w:basedOn w:val="Fuentedeprrafopredeter"/>
    <w:semiHidden/>
    <w:unhideWhenUsed/>
    <w:rsid w:val="00362A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9" w:qFormat="1"/>
    <w:lsdException w:name="heading 5" w:semiHidden="0"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footnote text" w:uiPriority="99"/>
    <w:lsdException w:name="footer" w:uiPriority="99"/>
    <w:lsdException w:name="caption" w:uiPriority="99"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414999"/>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414999"/>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qFormat/>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414999"/>
    <w:rPr>
      <w:b/>
      <w:bCs/>
      <w:sz w:val="28"/>
      <w:szCs w:val="28"/>
      <w:lang w:val="es-ES_tradnl" w:eastAsia="en-US"/>
    </w:rPr>
  </w:style>
  <w:style w:type="character" w:customStyle="1" w:styleId="Ttulo7Car">
    <w:name w:val="Título 7 Car"/>
    <w:basedOn w:val="Fuentedeprrafopredeter"/>
    <w:link w:val="Ttulo7"/>
    <w:uiPriority w:val="99"/>
    <w:rsid w:val="00414999"/>
    <w:rPr>
      <w:sz w:val="52"/>
    </w:rPr>
  </w:style>
  <w:style w:type="character" w:customStyle="1" w:styleId="atitulo1Car">
    <w:name w:val="atitulo1 Car"/>
    <w:basedOn w:val="Fuentedeprrafopredeter"/>
    <w:link w:val="atitulo1"/>
    <w:locked/>
    <w:rsid w:val="00414999"/>
    <w:rPr>
      <w:rFonts w:ascii="Arial" w:hAnsi="Arial"/>
      <w:b/>
      <w:color w:val="000000"/>
      <w:kern w:val="28"/>
      <w:sz w:val="25"/>
      <w:szCs w:val="26"/>
      <w:lang w:val="es-ES_tradnl" w:eastAsia="en-US"/>
    </w:rPr>
  </w:style>
  <w:style w:type="character" w:customStyle="1" w:styleId="atitulo2Car">
    <w:name w:val="atitulo2 Car"/>
    <w:link w:val="atitulo2"/>
    <w:locked/>
    <w:rsid w:val="00414999"/>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414999"/>
  </w:style>
  <w:style w:type="character" w:customStyle="1" w:styleId="TextonotapieCar">
    <w:name w:val="Texto nota pie Car"/>
    <w:basedOn w:val="Fuentedeprrafopredeter"/>
    <w:link w:val="Textonotapie"/>
    <w:uiPriority w:val="99"/>
    <w:rsid w:val="00414999"/>
    <w:rPr>
      <w:lang w:val="es-ES_tradnl" w:eastAsia="en-US"/>
    </w:rPr>
  </w:style>
  <w:style w:type="character" w:styleId="Refdenotaalpie">
    <w:name w:val="footnote reference"/>
    <w:uiPriority w:val="99"/>
    <w:rsid w:val="00414999"/>
    <w:rPr>
      <w:vertAlign w:val="superscript"/>
    </w:rPr>
  </w:style>
  <w:style w:type="paragraph" w:styleId="Prrafodelista">
    <w:name w:val="List Paragraph"/>
    <w:basedOn w:val="Normal"/>
    <w:uiPriority w:val="34"/>
    <w:qFormat/>
    <w:rsid w:val="00414999"/>
    <w:pPr>
      <w:ind w:left="720"/>
      <w:contextualSpacing/>
    </w:pPr>
  </w:style>
  <w:style w:type="character" w:customStyle="1" w:styleId="Ttulo1Car">
    <w:name w:val="Título 1 Car"/>
    <w:basedOn w:val="Fuentedeprrafopredeter"/>
    <w:link w:val="Ttulo1"/>
    <w:uiPriority w:val="9"/>
    <w:rsid w:val="00414999"/>
    <w:rPr>
      <w:rFonts w:ascii="Arial" w:hAnsi="Arial" w:cs="Arial"/>
      <w:b/>
      <w:bCs/>
      <w:kern w:val="32"/>
      <w:sz w:val="32"/>
      <w:szCs w:val="32"/>
      <w:lang w:val="es-ES_tradnl" w:eastAsia="en-US"/>
    </w:rPr>
  </w:style>
  <w:style w:type="character" w:customStyle="1" w:styleId="Ttulo2Car">
    <w:name w:val="Título 2 Car"/>
    <w:basedOn w:val="Fuentedeprrafopredeter"/>
    <w:link w:val="Ttulo2"/>
    <w:rsid w:val="00414999"/>
    <w:rPr>
      <w:rFonts w:ascii="Arial" w:hAnsi="Arial" w:cs="Arial"/>
      <w:b/>
      <w:bCs/>
      <w:i/>
      <w:iCs/>
      <w:sz w:val="28"/>
      <w:szCs w:val="28"/>
      <w:lang w:val="es-ES_tradnl" w:eastAsia="en-US"/>
    </w:rPr>
  </w:style>
  <w:style w:type="character" w:customStyle="1" w:styleId="Ttulo3Car">
    <w:name w:val="Título 3 Car"/>
    <w:basedOn w:val="Fuentedeprrafopredeter"/>
    <w:link w:val="Ttulo3"/>
    <w:rsid w:val="00414999"/>
    <w:rPr>
      <w:rFonts w:ascii="Arial" w:hAnsi="Arial" w:cs="Arial"/>
      <w:b/>
      <w:bCs/>
      <w:szCs w:val="26"/>
      <w:lang w:val="es-ES_tradnl" w:eastAsia="en-US"/>
    </w:rPr>
  </w:style>
  <w:style w:type="character" w:customStyle="1" w:styleId="Ttulo5Car">
    <w:name w:val="Título 5 Car"/>
    <w:basedOn w:val="Fuentedeprrafopredeter"/>
    <w:link w:val="Ttulo5"/>
    <w:rsid w:val="00414999"/>
    <w:rPr>
      <w:b/>
      <w:sz w:val="28"/>
      <w:lang w:eastAsia="en-US"/>
    </w:rPr>
  </w:style>
  <w:style w:type="paragraph" w:styleId="Ttulo">
    <w:name w:val="Title"/>
    <w:basedOn w:val="Normal"/>
    <w:next w:val="Normal"/>
    <w:link w:val="TtuloCar"/>
    <w:uiPriority w:val="10"/>
    <w:qFormat/>
    <w:rsid w:val="004149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14999"/>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414999"/>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14999"/>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414999"/>
    <w:rPr>
      <w:rFonts w:cs="Times New Roman"/>
      <w:b/>
    </w:rPr>
  </w:style>
  <w:style w:type="character" w:styleId="nfasis">
    <w:name w:val="Emphasis"/>
    <w:basedOn w:val="Fuentedeprrafopredeter"/>
    <w:uiPriority w:val="99"/>
    <w:qFormat/>
    <w:rsid w:val="00414999"/>
    <w:rPr>
      <w:rFonts w:cs="Times New Roman"/>
      <w:i/>
      <w:iCs/>
    </w:rPr>
  </w:style>
  <w:style w:type="paragraph" w:styleId="Cita">
    <w:name w:val="Quote"/>
    <w:basedOn w:val="Normal"/>
    <w:next w:val="Normal"/>
    <w:link w:val="CitaCar"/>
    <w:uiPriority w:val="29"/>
    <w:qFormat/>
    <w:rsid w:val="00414999"/>
    <w:rPr>
      <w:i/>
      <w:iCs/>
      <w:color w:val="000000" w:themeColor="text1"/>
    </w:rPr>
  </w:style>
  <w:style w:type="character" w:customStyle="1" w:styleId="CitaCar">
    <w:name w:val="Cita Car"/>
    <w:basedOn w:val="Fuentedeprrafopredeter"/>
    <w:link w:val="Cita"/>
    <w:uiPriority w:val="29"/>
    <w:rsid w:val="00414999"/>
    <w:rPr>
      <w:i/>
      <w:iCs/>
      <w:color w:val="000000" w:themeColor="text1"/>
      <w:lang w:val="es-ES_tradnl" w:eastAsia="en-US"/>
    </w:rPr>
  </w:style>
  <w:style w:type="character" w:styleId="nfasissutil">
    <w:name w:val="Subtle Emphasis"/>
    <w:basedOn w:val="Fuentedeprrafopredeter"/>
    <w:uiPriority w:val="19"/>
    <w:qFormat/>
    <w:rsid w:val="00414999"/>
    <w:rPr>
      <w:i/>
      <w:iCs/>
      <w:color w:val="808080" w:themeColor="text1" w:themeTint="7F"/>
    </w:rPr>
  </w:style>
  <w:style w:type="character" w:styleId="nfasisintenso">
    <w:name w:val="Intense Emphasis"/>
    <w:basedOn w:val="Fuentedeprrafopredeter"/>
    <w:uiPriority w:val="21"/>
    <w:qFormat/>
    <w:rsid w:val="00414999"/>
    <w:rPr>
      <w:b/>
      <w:bCs/>
      <w:i/>
      <w:iCs/>
      <w:color w:val="4F81BD" w:themeColor="accent1"/>
    </w:rPr>
  </w:style>
  <w:style w:type="character" w:styleId="Referenciasutil">
    <w:name w:val="Subtle Reference"/>
    <w:basedOn w:val="Fuentedeprrafopredeter"/>
    <w:uiPriority w:val="31"/>
    <w:qFormat/>
    <w:rsid w:val="00414999"/>
    <w:rPr>
      <w:smallCaps/>
      <w:color w:val="C0504D" w:themeColor="accent2"/>
      <w:u w:val="single"/>
    </w:rPr>
  </w:style>
  <w:style w:type="character" w:styleId="Referenciaintensa">
    <w:name w:val="Intense Reference"/>
    <w:basedOn w:val="Fuentedeprrafopredeter"/>
    <w:uiPriority w:val="32"/>
    <w:qFormat/>
    <w:rsid w:val="00414999"/>
    <w:rPr>
      <w:b/>
      <w:bCs/>
      <w:smallCaps/>
      <w:color w:val="C0504D" w:themeColor="accent2"/>
      <w:spacing w:val="5"/>
      <w:u w:val="single"/>
    </w:rPr>
  </w:style>
  <w:style w:type="paragraph" w:customStyle="1" w:styleId="1">
    <w:name w:val="1"/>
    <w:basedOn w:val="Normal"/>
    <w:next w:val="Normal"/>
    <w:qFormat/>
    <w:rsid w:val="00414999"/>
    <w:rPr>
      <w:b/>
      <w:bCs/>
    </w:rPr>
  </w:style>
  <w:style w:type="paragraph" w:customStyle="1" w:styleId="Estndar">
    <w:name w:val="Estándar"/>
    <w:rsid w:val="00414999"/>
    <w:pPr>
      <w:snapToGrid w:val="0"/>
    </w:pPr>
    <w:rPr>
      <w:rFonts w:ascii="CG Omega" w:hAnsi="CG Omega"/>
      <w:color w:val="000000"/>
      <w:sz w:val="22"/>
    </w:rPr>
  </w:style>
  <w:style w:type="paragraph" w:customStyle="1" w:styleId="tabla10">
    <w:name w:val="tabla10"/>
    <w:rsid w:val="00414999"/>
    <w:pPr>
      <w:tabs>
        <w:tab w:val="left" w:pos="567"/>
        <w:tab w:val="left" w:pos="1134"/>
      </w:tabs>
      <w:snapToGrid w:val="0"/>
    </w:pPr>
    <w:rPr>
      <w:rFonts w:ascii="CG Times" w:hAnsi="CG Times"/>
      <w:color w:val="000000"/>
    </w:rPr>
  </w:style>
  <w:style w:type="paragraph" w:styleId="NormalWeb">
    <w:name w:val="Normal (Web)"/>
    <w:basedOn w:val="Normal"/>
    <w:uiPriority w:val="99"/>
    <w:rsid w:val="00414999"/>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414999"/>
  </w:style>
  <w:style w:type="character" w:customStyle="1" w:styleId="TextocomentarioCar">
    <w:name w:val="Texto comentario Car"/>
    <w:basedOn w:val="Fuentedeprrafopredeter"/>
    <w:link w:val="Textocomentario"/>
    <w:rsid w:val="00414999"/>
    <w:rPr>
      <w:lang w:val="es-ES_tradnl" w:eastAsia="en-US"/>
    </w:rPr>
  </w:style>
  <w:style w:type="paragraph" w:styleId="Asuntodelcomentario">
    <w:name w:val="annotation subject"/>
    <w:basedOn w:val="Textocomentario"/>
    <w:next w:val="Textocomentario"/>
    <w:link w:val="AsuntodelcomentarioCar"/>
    <w:rsid w:val="00414999"/>
    <w:rPr>
      <w:b/>
      <w:bCs/>
    </w:rPr>
  </w:style>
  <w:style w:type="character" w:customStyle="1" w:styleId="AsuntodelcomentarioCar">
    <w:name w:val="Asunto del comentario Car"/>
    <w:basedOn w:val="TextocomentarioCar"/>
    <w:link w:val="Asuntodelcomentario"/>
    <w:rsid w:val="00414999"/>
    <w:rPr>
      <w:b/>
      <w:bCs/>
      <w:lang w:val="es-ES_tradnl" w:eastAsia="en-US"/>
    </w:rPr>
  </w:style>
  <w:style w:type="paragraph" w:styleId="Mapadeldocumento">
    <w:name w:val="Document Map"/>
    <w:basedOn w:val="Normal"/>
    <w:link w:val="MapadeldocumentoCar"/>
    <w:rsid w:val="00414999"/>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414999"/>
    <w:rPr>
      <w:rFonts w:ascii="Tahoma" w:hAnsi="Tahoma" w:cs="Tahoma"/>
      <w:shd w:val="clear" w:color="auto" w:fill="000080"/>
      <w:lang w:val="es-ES_tradnl" w:eastAsia="en-US"/>
    </w:rPr>
  </w:style>
  <w:style w:type="character" w:styleId="Refdecomentario">
    <w:name w:val="annotation reference"/>
    <w:rsid w:val="00414999"/>
    <w:rPr>
      <w:sz w:val="16"/>
      <w:szCs w:val="16"/>
    </w:rPr>
  </w:style>
  <w:style w:type="paragraph" w:customStyle="1" w:styleId="Default">
    <w:name w:val="Default"/>
    <w:rsid w:val="00414999"/>
    <w:pPr>
      <w:autoSpaceDE w:val="0"/>
      <w:autoSpaceDN w:val="0"/>
      <w:adjustRightInd w:val="0"/>
    </w:pPr>
    <w:rPr>
      <w:rFonts w:ascii="Calibri" w:hAnsi="Calibri" w:cs="Calibri"/>
      <w:color w:val="000000"/>
      <w:sz w:val="24"/>
      <w:szCs w:val="24"/>
      <w:lang w:eastAsia="es-ES_tradnl"/>
    </w:rPr>
  </w:style>
  <w:style w:type="paragraph" w:customStyle="1" w:styleId="Sangradoi">
    <w:name w:val="Sangrado i)"/>
    <w:basedOn w:val="Normal"/>
    <w:rsid w:val="00414999"/>
    <w:pPr>
      <w:numPr>
        <w:numId w:val="9"/>
      </w:numPr>
      <w:tabs>
        <w:tab w:val="left" w:pos="1134"/>
        <w:tab w:val="left" w:pos="1701"/>
        <w:tab w:val="center" w:pos="4428"/>
        <w:tab w:val="center" w:pos="6713"/>
        <w:tab w:val="right" w:pos="8998"/>
      </w:tabs>
      <w:spacing w:after="0"/>
      <w:jc w:val="left"/>
    </w:pPr>
    <w:rPr>
      <w:rFonts w:ascii="CG Omega" w:hAnsi="CG Omega"/>
      <w:sz w:val="22"/>
      <w:lang w:eastAsia="es-ES"/>
    </w:rPr>
  </w:style>
  <w:style w:type="character" w:customStyle="1" w:styleId="EncabezadoCar">
    <w:name w:val="Encabezado Car"/>
    <w:basedOn w:val="Fuentedeprrafopredeter"/>
    <w:link w:val="Encabezado"/>
    <w:rsid w:val="00414999"/>
    <w:rPr>
      <w:bCs/>
      <w:caps/>
      <w:sz w:val="14"/>
      <w:szCs w:val="12"/>
      <w:lang w:val="es-ES_tradnl" w:eastAsia="en-US"/>
    </w:rPr>
  </w:style>
  <w:style w:type="character" w:customStyle="1" w:styleId="object">
    <w:name w:val="object"/>
    <w:basedOn w:val="Fuentedeprrafopredeter"/>
    <w:rsid w:val="00414999"/>
  </w:style>
  <w:style w:type="character" w:customStyle="1" w:styleId="PiedepginaCar">
    <w:name w:val="Pie de página Car"/>
    <w:basedOn w:val="Fuentedeprrafopredeter"/>
    <w:link w:val="Piedepgina"/>
    <w:uiPriority w:val="99"/>
    <w:rsid w:val="00414999"/>
    <w:rPr>
      <w:spacing w:val="6"/>
      <w:lang w:val="es-ES_tradnl" w:eastAsia="en-US"/>
    </w:rPr>
  </w:style>
  <w:style w:type="character" w:styleId="Hipervnculovisitado">
    <w:name w:val="FollowedHyperlink"/>
    <w:basedOn w:val="Fuentedeprrafopredeter"/>
    <w:unhideWhenUsed/>
    <w:rsid w:val="00414999"/>
    <w:rPr>
      <w:color w:val="800080" w:themeColor="followedHyperlink"/>
      <w:u w:val="single"/>
    </w:rPr>
  </w:style>
  <w:style w:type="paragraph" w:customStyle="1" w:styleId="xa1">
    <w:name w:val="xa1"/>
    <w:basedOn w:val="Normal"/>
    <w:rsid w:val="00414999"/>
    <w:pPr>
      <w:spacing w:before="100" w:beforeAutospacing="1" w:after="100" w:afterAutospacing="1"/>
      <w:ind w:firstLine="0"/>
      <w:jc w:val="left"/>
    </w:pPr>
    <w:rPr>
      <w:sz w:val="24"/>
      <w:szCs w:val="24"/>
      <w:lang w:val="es-ES" w:eastAsia="es-ES"/>
    </w:rPr>
  </w:style>
  <w:style w:type="paragraph" w:customStyle="1" w:styleId="parrafo2">
    <w:name w:val="parrafo_2"/>
    <w:basedOn w:val="Normal"/>
    <w:rsid w:val="00414999"/>
    <w:pPr>
      <w:spacing w:before="100" w:beforeAutospacing="1" w:after="100" w:afterAutospacing="1"/>
      <w:ind w:firstLine="0"/>
      <w:jc w:val="left"/>
    </w:pPr>
    <w:rPr>
      <w:sz w:val="24"/>
      <w:szCs w:val="24"/>
      <w:lang w:val="es-ES" w:eastAsia="es-ES"/>
    </w:rPr>
  </w:style>
  <w:style w:type="paragraph" w:customStyle="1" w:styleId="parrafo">
    <w:name w:val="parrafo"/>
    <w:basedOn w:val="Normal"/>
    <w:rsid w:val="00414999"/>
    <w:pPr>
      <w:spacing w:before="100" w:beforeAutospacing="1" w:after="100" w:afterAutospacing="1"/>
      <w:ind w:firstLine="0"/>
      <w:jc w:val="left"/>
    </w:pPr>
    <w:rPr>
      <w:sz w:val="24"/>
      <w:szCs w:val="24"/>
      <w:lang w:val="es-ES" w:eastAsia="es-ES"/>
    </w:rPr>
  </w:style>
  <w:style w:type="paragraph" w:styleId="Textonotaalfinal">
    <w:name w:val="endnote text"/>
    <w:basedOn w:val="Normal"/>
    <w:link w:val="TextonotaalfinalCar"/>
    <w:semiHidden/>
    <w:unhideWhenUsed/>
    <w:rsid w:val="00362A9A"/>
    <w:pPr>
      <w:spacing w:after="0"/>
    </w:pPr>
  </w:style>
  <w:style w:type="character" w:customStyle="1" w:styleId="TextonotaalfinalCar">
    <w:name w:val="Texto nota al final Car"/>
    <w:basedOn w:val="Fuentedeprrafopredeter"/>
    <w:link w:val="Textonotaalfinal"/>
    <w:semiHidden/>
    <w:rsid w:val="00362A9A"/>
    <w:rPr>
      <w:lang w:val="es-ES_tradnl" w:eastAsia="en-US"/>
    </w:rPr>
  </w:style>
  <w:style w:type="character" w:styleId="Refdenotaalfinal">
    <w:name w:val="endnote reference"/>
    <w:basedOn w:val="Fuentedeprrafopredeter"/>
    <w:semiHidden/>
    <w:unhideWhenUsed/>
    <w:rsid w:val="00362A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5808D-C23B-4E83-A42B-B3DCA9995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9884</Words>
  <Characters>54365</Characters>
  <Application>Microsoft Office Word</Application>
  <DocSecurity>4</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64121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d841144</dc:creator>
  <cp:lastModifiedBy>Aranaz, Carlota</cp:lastModifiedBy>
  <cp:revision>2</cp:revision>
  <cp:lastPrinted>2020-11-27T07:58:00Z</cp:lastPrinted>
  <dcterms:created xsi:type="dcterms:W3CDTF">2020-12-22T08:57:00Z</dcterms:created>
  <dcterms:modified xsi:type="dcterms:W3CDTF">2020-12-22T08:57:00Z</dcterms:modified>
</cp:coreProperties>
</file>