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951" w:rsidRPr="00D43951" w:rsidRDefault="003D0F3A" w:rsidP="003D0F3A">
      <w:pPr>
        <w:tabs>
          <w:tab w:val="left" w:pos="3780"/>
        </w:tabs>
        <w:spacing w:line="288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D43951">
        <w:rPr>
          <w:rFonts w:ascii="Arial" w:hAnsi="Arial" w:cs="Arial"/>
          <w:sz w:val="24"/>
          <w:szCs w:val="24"/>
        </w:rPr>
        <w:t>La Consejera de Salud del Gobierno de Navarra, en relación con la pregunta escrita (10-20-PES-00191) presentada por la Parlamentaria Foral Ilma. Sra. Cristina Ibarrola Guillén, adscrita al Grupo Parlamentario Navarra Suma, que solicita “información sobre los test rápidos”, tiene el honor de remitirle la s</w:t>
      </w:r>
      <w:r w:rsidRPr="00D43951">
        <w:rPr>
          <w:rFonts w:ascii="Arial" w:hAnsi="Arial" w:cs="Arial"/>
          <w:sz w:val="24"/>
          <w:szCs w:val="24"/>
        </w:rPr>
        <w:t>i</w:t>
      </w:r>
      <w:r w:rsidRPr="00D43951">
        <w:rPr>
          <w:rFonts w:ascii="Arial" w:hAnsi="Arial" w:cs="Arial"/>
          <w:sz w:val="24"/>
          <w:szCs w:val="24"/>
        </w:rPr>
        <w:t xml:space="preserve">guiente información: </w:t>
      </w:r>
    </w:p>
    <w:p w:rsidR="00D43951" w:rsidRPr="00D43951" w:rsidRDefault="00D9276B" w:rsidP="003D0F3A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D43951">
        <w:rPr>
          <w:rFonts w:ascii="Arial" w:eastAsia="Times New Roman" w:hAnsi="Arial" w:cs="Arial"/>
          <w:sz w:val="24"/>
          <w:szCs w:val="24"/>
          <w:lang w:eastAsia="es-ES"/>
        </w:rPr>
        <w:t>¿Qué tipo y marca de test rápidos se están utilizando en el cribado del inicio</w:t>
      </w:r>
      <w:r w:rsidR="003D0F3A" w:rsidRPr="00D43951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D43951">
        <w:rPr>
          <w:rFonts w:ascii="Arial" w:eastAsia="Times New Roman" w:hAnsi="Arial" w:cs="Arial"/>
          <w:sz w:val="24"/>
          <w:szCs w:val="24"/>
          <w:lang w:eastAsia="es-ES"/>
        </w:rPr>
        <w:t>escolar?</w:t>
      </w:r>
    </w:p>
    <w:p w:rsidR="00AF05AA" w:rsidRPr="00D43951" w:rsidRDefault="00AF05AA" w:rsidP="003D0F3A">
      <w:pPr>
        <w:spacing w:line="288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43951">
        <w:rPr>
          <w:rFonts w:ascii="Arial" w:hAnsi="Arial" w:cs="Arial"/>
          <w:sz w:val="24"/>
          <w:szCs w:val="24"/>
          <w:lang w:val="en-US"/>
        </w:rPr>
        <w:t>WONDFO, Leading POCT Manufacturer</w:t>
      </w:r>
    </w:p>
    <w:p w:rsidR="00AF05AA" w:rsidRPr="00D43951" w:rsidRDefault="00AF05AA" w:rsidP="003D0F3A">
      <w:pPr>
        <w:spacing w:line="288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43951">
        <w:rPr>
          <w:rFonts w:ascii="Arial" w:hAnsi="Arial" w:cs="Arial"/>
          <w:sz w:val="24"/>
          <w:szCs w:val="24"/>
          <w:lang w:val="en-US"/>
        </w:rPr>
        <w:t>SARS-CoV-2 Antibody Test</w:t>
      </w:r>
    </w:p>
    <w:p w:rsidR="00D43951" w:rsidRPr="00D43951" w:rsidRDefault="00AF05AA" w:rsidP="003D0F3A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D43951">
        <w:rPr>
          <w:rFonts w:ascii="Arial" w:hAnsi="Arial" w:cs="Arial"/>
          <w:sz w:val="24"/>
          <w:szCs w:val="24"/>
        </w:rPr>
        <w:t xml:space="preserve">(Lateral </w:t>
      </w:r>
      <w:proofErr w:type="spellStart"/>
      <w:r w:rsidRPr="00D43951">
        <w:rPr>
          <w:rFonts w:ascii="Arial" w:hAnsi="Arial" w:cs="Arial"/>
          <w:sz w:val="24"/>
          <w:szCs w:val="24"/>
        </w:rPr>
        <w:t>Flow</w:t>
      </w:r>
      <w:proofErr w:type="spellEnd"/>
      <w:r w:rsidRPr="00D439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3951">
        <w:rPr>
          <w:rFonts w:ascii="Arial" w:hAnsi="Arial" w:cs="Arial"/>
          <w:sz w:val="24"/>
          <w:szCs w:val="24"/>
        </w:rPr>
        <w:t>Method</w:t>
      </w:r>
      <w:proofErr w:type="spellEnd"/>
      <w:r w:rsidRPr="00D43951">
        <w:rPr>
          <w:rFonts w:ascii="Arial" w:hAnsi="Arial" w:cs="Arial"/>
          <w:sz w:val="24"/>
          <w:szCs w:val="24"/>
        </w:rPr>
        <w:t>)</w:t>
      </w:r>
    </w:p>
    <w:p w:rsidR="00D43951" w:rsidRPr="00D43951" w:rsidRDefault="006611DB" w:rsidP="003D0F3A">
      <w:pPr>
        <w:autoSpaceDE w:val="0"/>
        <w:autoSpaceDN w:val="0"/>
        <w:adjustRightInd w:val="0"/>
        <w:spacing w:line="288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43951">
        <w:rPr>
          <w:rFonts w:ascii="Arial" w:eastAsia="Times New Roman" w:hAnsi="Arial" w:cs="Arial"/>
          <w:sz w:val="24"/>
          <w:szCs w:val="24"/>
          <w:lang w:eastAsia="es-ES"/>
        </w:rPr>
        <w:t xml:space="preserve">¿Qué validación se ha realizado de dichos test rápidos </w:t>
      </w:r>
      <w:proofErr w:type="gramStart"/>
      <w:r w:rsidRPr="00D43951">
        <w:rPr>
          <w:rFonts w:ascii="Arial" w:eastAsia="Times New Roman" w:hAnsi="Arial" w:cs="Arial"/>
          <w:sz w:val="24"/>
          <w:szCs w:val="24"/>
          <w:lang w:eastAsia="es-ES"/>
        </w:rPr>
        <w:t>utilizados</w:t>
      </w:r>
      <w:proofErr w:type="gramEnd"/>
      <w:r w:rsidRPr="00D43951">
        <w:rPr>
          <w:rFonts w:ascii="Arial" w:eastAsia="Times New Roman" w:hAnsi="Arial" w:cs="Arial"/>
          <w:sz w:val="24"/>
          <w:szCs w:val="24"/>
          <w:lang w:eastAsia="es-ES"/>
        </w:rPr>
        <w:t xml:space="preserve"> en personas</w:t>
      </w:r>
      <w:r w:rsidR="003D0F3A" w:rsidRPr="00D43951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D43951">
        <w:rPr>
          <w:rFonts w:ascii="Arial" w:eastAsia="Times New Roman" w:hAnsi="Arial" w:cs="Arial"/>
          <w:sz w:val="24"/>
          <w:szCs w:val="24"/>
          <w:lang w:eastAsia="es-ES"/>
        </w:rPr>
        <w:t>asintomáticas?</w:t>
      </w:r>
    </w:p>
    <w:p w:rsidR="00404788" w:rsidRPr="00D43951" w:rsidRDefault="00404788" w:rsidP="003D0F3A">
      <w:pPr>
        <w:spacing w:line="288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43951">
        <w:rPr>
          <w:rFonts w:ascii="Arial" w:eastAsia="Times New Roman" w:hAnsi="Arial" w:cs="Arial"/>
          <w:sz w:val="24"/>
          <w:szCs w:val="24"/>
          <w:lang w:eastAsia="es-ES"/>
        </w:rPr>
        <w:t xml:space="preserve">La validación la </w:t>
      </w:r>
      <w:r w:rsidR="007259A1" w:rsidRPr="00D43951">
        <w:rPr>
          <w:rFonts w:ascii="Arial" w:eastAsia="Times New Roman" w:hAnsi="Arial" w:cs="Arial"/>
          <w:sz w:val="24"/>
          <w:szCs w:val="24"/>
          <w:lang w:eastAsia="es-ES"/>
        </w:rPr>
        <w:t>realiza</w:t>
      </w:r>
      <w:r w:rsidRPr="00D43951">
        <w:rPr>
          <w:rFonts w:ascii="Arial" w:eastAsia="Times New Roman" w:hAnsi="Arial" w:cs="Arial"/>
          <w:sz w:val="24"/>
          <w:szCs w:val="24"/>
          <w:lang w:eastAsia="es-ES"/>
        </w:rPr>
        <w:t xml:space="preserve"> el fabricante antes </w:t>
      </w:r>
      <w:r w:rsidR="003D0F3A" w:rsidRPr="00D43951">
        <w:rPr>
          <w:rFonts w:ascii="Arial" w:eastAsia="Times New Roman" w:hAnsi="Arial" w:cs="Arial"/>
          <w:sz w:val="24"/>
          <w:szCs w:val="24"/>
          <w:lang w:eastAsia="es-ES"/>
        </w:rPr>
        <w:t xml:space="preserve">de </w:t>
      </w:r>
      <w:r w:rsidRPr="00D43951">
        <w:rPr>
          <w:rFonts w:ascii="Arial" w:eastAsia="Times New Roman" w:hAnsi="Arial" w:cs="Arial"/>
          <w:sz w:val="24"/>
          <w:szCs w:val="24"/>
          <w:lang w:eastAsia="es-ES"/>
        </w:rPr>
        <w:t>su comercialización.</w:t>
      </w:r>
    </w:p>
    <w:p w:rsidR="00D43951" w:rsidRPr="00D43951" w:rsidRDefault="00404788" w:rsidP="003D0F3A">
      <w:pPr>
        <w:spacing w:line="288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43951">
        <w:rPr>
          <w:rFonts w:ascii="Arial" w:eastAsia="Times New Roman" w:hAnsi="Arial" w:cs="Arial"/>
          <w:sz w:val="24"/>
          <w:szCs w:val="24"/>
          <w:lang w:eastAsia="es-ES"/>
        </w:rPr>
        <w:t>Antes de su aplicación en España</w:t>
      </w:r>
      <w:r w:rsidR="003D0F3A" w:rsidRPr="00D43951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7259A1" w:rsidRPr="00D43951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3D0F3A" w:rsidRPr="00D43951">
        <w:rPr>
          <w:rFonts w:ascii="Arial" w:eastAsia="Times New Roman" w:hAnsi="Arial" w:cs="Arial"/>
          <w:sz w:val="24"/>
          <w:szCs w:val="24"/>
          <w:lang w:eastAsia="es-ES"/>
        </w:rPr>
        <w:t xml:space="preserve">el </w:t>
      </w:r>
      <w:r w:rsidR="007259A1" w:rsidRPr="00D43951">
        <w:rPr>
          <w:rFonts w:ascii="Arial" w:eastAsia="Times New Roman" w:hAnsi="Arial" w:cs="Arial"/>
          <w:sz w:val="24"/>
          <w:szCs w:val="24"/>
          <w:lang w:eastAsia="es-ES"/>
        </w:rPr>
        <w:t xml:space="preserve">Centro Nacional de Microbiología también validó el test. </w:t>
      </w:r>
      <w:r w:rsidRPr="00D43951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:rsidR="00D43951" w:rsidRPr="00D43951" w:rsidRDefault="006611DB" w:rsidP="003D0F3A">
      <w:pPr>
        <w:autoSpaceDE w:val="0"/>
        <w:autoSpaceDN w:val="0"/>
        <w:adjustRightInd w:val="0"/>
        <w:spacing w:line="288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43951">
        <w:rPr>
          <w:rFonts w:ascii="Arial" w:eastAsia="Times New Roman" w:hAnsi="Arial" w:cs="Arial"/>
          <w:sz w:val="24"/>
          <w:szCs w:val="24"/>
          <w:lang w:eastAsia="es-ES"/>
        </w:rPr>
        <w:t>¿Cuál es la sensibilidad y especificidad de dichos test en la validación realizada</w:t>
      </w:r>
      <w:r w:rsidR="003D0F3A" w:rsidRPr="00D43951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D43951">
        <w:rPr>
          <w:rFonts w:ascii="Arial" w:eastAsia="Times New Roman" w:hAnsi="Arial" w:cs="Arial"/>
          <w:sz w:val="24"/>
          <w:szCs w:val="24"/>
          <w:lang w:eastAsia="es-ES"/>
        </w:rPr>
        <w:t>en personas asintomáticas?</w:t>
      </w:r>
    </w:p>
    <w:p w:rsidR="00404788" w:rsidRPr="00D43951" w:rsidRDefault="00404788" w:rsidP="003D0F3A">
      <w:pPr>
        <w:autoSpaceDE w:val="0"/>
        <w:autoSpaceDN w:val="0"/>
        <w:adjustRightInd w:val="0"/>
        <w:spacing w:line="288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43951">
        <w:rPr>
          <w:rFonts w:ascii="Arial" w:eastAsia="Times New Roman" w:hAnsi="Arial" w:cs="Arial"/>
          <w:sz w:val="24"/>
          <w:szCs w:val="24"/>
          <w:lang w:eastAsia="es-ES"/>
        </w:rPr>
        <w:t>Según el fabricante</w:t>
      </w:r>
      <w:r w:rsidR="003D0F3A" w:rsidRPr="00D43951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Pr="00D43951">
        <w:rPr>
          <w:rFonts w:ascii="Arial" w:eastAsia="Times New Roman" w:hAnsi="Arial" w:cs="Arial"/>
          <w:sz w:val="24"/>
          <w:szCs w:val="24"/>
          <w:lang w:eastAsia="es-ES"/>
        </w:rPr>
        <w:t xml:space="preserve"> el test tiene una sensibilidad de 86,4% y una especificidad de 99,6%.</w:t>
      </w:r>
    </w:p>
    <w:p w:rsidR="00D43951" w:rsidRPr="00D43951" w:rsidRDefault="00404788" w:rsidP="003D0F3A">
      <w:pPr>
        <w:spacing w:line="288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43951">
        <w:rPr>
          <w:rFonts w:ascii="Arial" w:eastAsia="Times New Roman" w:hAnsi="Arial" w:cs="Arial"/>
          <w:sz w:val="24"/>
          <w:szCs w:val="24"/>
          <w:lang w:eastAsia="es-ES"/>
        </w:rPr>
        <w:t>Los estudios de validación realizados por el Centro Nacional de Microbiología muestran los siguientes resultados:</w:t>
      </w:r>
    </w:p>
    <w:p w:rsidR="006611DB" w:rsidRPr="00D43951" w:rsidRDefault="006611DB" w:rsidP="003D0F3A">
      <w:pPr>
        <w:autoSpaceDE w:val="0"/>
        <w:autoSpaceDN w:val="0"/>
        <w:adjustRightInd w:val="0"/>
        <w:spacing w:line="288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43951">
        <w:rPr>
          <w:rFonts w:ascii="Arial" w:eastAsia="Times New Roman" w:hAnsi="Arial" w:cs="Arial"/>
          <w:sz w:val="24"/>
          <w:szCs w:val="24"/>
          <w:lang w:eastAsia="es-ES"/>
        </w:rPr>
        <w:t>a. Sensibilidad: 66,3% (IC 95% 64,8-67,8%).</w:t>
      </w:r>
    </w:p>
    <w:p w:rsidR="00D43951" w:rsidRPr="00D43951" w:rsidRDefault="006611DB" w:rsidP="003D0F3A">
      <w:pPr>
        <w:autoSpaceDE w:val="0"/>
        <w:autoSpaceDN w:val="0"/>
        <w:adjustRightInd w:val="0"/>
        <w:spacing w:line="288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43951">
        <w:rPr>
          <w:rFonts w:ascii="Arial" w:eastAsia="Times New Roman" w:hAnsi="Arial" w:cs="Arial"/>
          <w:sz w:val="24"/>
          <w:szCs w:val="24"/>
          <w:lang w:eastAsia="es-ES"/>
        </w:rPr>
        <w:t>b. Especificidad: 100% (IC 95% 100%).</w:t>
      </w:r>
    </w:p>
    <w:p w:rsidR="003D0F3A" w:rsidRPr="00D43951" w:rsidRDefault="00404788" w:rsidP="003D0F3A">
      <w:pPr>
        <w:autoSpaceDE w:val="0"/>
        <w:autoSpaceDN w:val="0"/>
        <w:adjustRightInd w:val="0"/>
        <w:spacing w:line="288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43951">
        <w:rPr>
          <w:rFonts w:ascii="Arial" w:eastAsia="Times New Roman" w:hAnsi="Arial" w:cs="Arial"/>
          <w:sz w:val="24"/>
          <w:szCs w:val="24"/>
          <w:lang w:eastAsia="es-ES"/>
        </w:rPr>
        <w:t xml:space="preserve">La sensibilidad y especificidad siempre son propiedades del test. </w:t>
      </w:r>
    </w:p>
    <w:p w:rsidR="00404788" w:rsidRPr="00D43951" w:rsidRDefault="00404788" w:rsidP="003D0F3A">
      <w:pPr>
        <w:autoSpaceDE w:val="0"/>
        <w:autoSpaceDN w:val="0"/>
        <w:adjustRightInd w:val="0"/>
        <w:spacing w:line="288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43951">
        <w:rPr>
          <w:rFonts w:ascii="Arial" w:eastAsia="Times New Roman" w:hAnsi="Arial" w:cs="Arial"/>
          <w:sz w:val="24"/>
          <w:szCs w:val="24"/>
          <w:lang w:eastAsia="es-ES"/>
        </w:rPr>
        <w:t>Es el valor predictivo positivo y negativo el que depende de la prevalencia de la enfermedad en la población. (Prevalencia alta en personas sintomáticas y pr</w:t>
      </w:r>
      <w:r w:rsidRPr="00D43951">
        <w:rPr>
          <w:rFonts w:ascii="Arial" w:eastAsia="Times New Roman" w:hAnsi="Arial" w:cs="Arial"/>
          <w:sz w:val="24"/>
          <w:szCs w:val="24"/>
          <w:lang w:eastAsia="es-ES"/>
        </w:rPr>
        <w:t>e</w:t>
      </w:r>
      <w:r w:rsidRPr="00D43951">
        <w:rPr>
          <w:rFonts w:ascii="Arial" w:eastAsia="Times New Roman" w:hAnsi="Arial" w:cs="Arial"/>
          <w:sz w:val="24"/>
          <w:szCs w:val="24"/>
          <w:lang w:eastAsia="es-ES"/>
        </w:rPr>
        <w:t>valencia baja en asintomáticas).</w:t>
      </w:r>
    </w:p>
    <w:p w:rsidR="00D43951" w:rsidRPr="00D43951" w:rsidRDefault="00AE4903" w:rsidP="003D0F3A">
      <w:pPr>
        <w:autoSpaceDE w:val="0"/>
        <w:autoSpaceDN w:val="0"/>
        <w:adjustRightInd w:val="0"/>
        <w:spacing w:line="288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43951">
        <w:rPr>
          <w:rFonts w:ascii="Arial" w:eastAsia="Times New Roman" w:hAnsi="Arial" w:cs="Arial"/>
          <w:sz w:val="24"/>
          <w:szCs w:val="24"/>
          <w:lang w:eastAsia="es-ES"/>
        </w:rPr>
        <w:t>El valor predictivo negativo en asintomáticos sería prácticamente del 100% (El 100% de los que den negativo en el test rápido entre asintomáticos, no habrían tenido contacto con el virus</w:t>
      </w:r>
      <w:r w:rsidR="00057FCE" w:rsidRPr="00D43951">
        <w:rPr>
          <w:rFonts w:ascii="Arial" w:eastAsia="Times New Roman" w:hAnsi="Arial" w:cs="Arial"/>
          <w:sz w:val="24"/>
          <w:szCs w:val="24"/>
          <w:lang w:eastAsia="es-ES"/>
        </w:rPr>
        <w:t>)</w:t>
      </w:r>
      <w:r w:rsidRPr="00D43951">
        <w:rPr>
          <w:rFonts w:ascii="Arial" w:eastAsia="Times New Roman" w:hAnsi="Arial" w:cs="Arial"/>
          <w:sz w:val="24"/>
          <w:szCs w:val="24"/>
          <w:lang w:eastAsia="es-ES"/>
        </w:rPr>
        <w:t>. En cambio, el valor predictivo positivo en asint</w:t>
      </w:r>
      <w:r w:rsidRPr="00D43951">
        <w:rPr>
          <w:rFonts w:ascii="Arial" w:eastAsia="Times New Roman" w:hAnsi="Arial" w:cs="Arial"/>
          <w:sz w:val="24"/>
          <w:szCs w:val="24"/>
          <w:lang w:eastAsia="es-ES"/>
        </w:rPr>
        <w:t>o</w:t>
      </w:r>
      <w:r w:rsidRPr="00D43951">
        <w:rPr>
          <w:rFonts w:ascii="Arial" w:eastAsia="Times New Roman" w:hAnsi="Arial" w:cs="Arial"/>
          <w:sz w:val="24"/>
          <w:szCs w:val="24"/>
          <w:lang w:eastAsia="es-ES"/>
        </w:rPr>
        <w:t>máticos sería bajo (Solamente una fracción de los que dan positivo en el test rápido, estarían enfermos), y por ello en el cribado escolar a los positivos</w:t>
      </w:r>
      <w:r w:rsidR="00057FCE" w:rsidRPr="00D43951">
        <w:rPr>
          <w:rFonts w:ascii="Arial" w:eastAsia="Times New Roman" w:hAnsi="Arial" w:cs="Arial"/>
          <w:sz w:val="24"/>
          <w:szCs w:val="24"/>
          <w:lang w:eastAsia="es-ES"/>
        </w:rPr>
        <w:t xml:space="preserve"> en el test rápido</w:t>
      </w:r>
      <w:r w:rsidRPr="00D43951">
        <w:rPr>
          <w:rFonts w:ascii="Arial" w:eastAsia="Times New Roman" w:hAnsi="Arial" w:cs="Arial"/>
          <w:sz w:val="24"/>
          <w:szCs w:val="24"/>
          <w:lang w:eastAsia="es-ES"/>
        </w:rPr>
        <w:t xml:space="preserve"> se les ha hecho PCR.</w:t>
      </w:r>
    </w:p>
    <w:p w:rsidR="00D43951" w:rsidRPr="00D43951" w:rsidRDefault="003D0F3A" w:rsidP="003D0F3A">
      <w:pPr>
        <w:tabs>
          <w:tab w:val="left" w:pos="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43951">
        <w:rPr>
          <w:rFonts w:ascii="Arial" w:hAnsi="Arial" w:cs="Arial"/>
          <w:sz w:val="24"/>
          <w:szCs w:val="24"/>
        </w:rPr>
        <w:t>Es cuanto tengo el honor de informar en cumplimiento de lo dispuesto en el artículo 194 del Reglamento del Parlamento de Navarra.</w:t>
      </w:r>
    </w:p>
    <w:p w:rsidR="00D43951" w:rsidRPr="00D43951" w:rsidRDefault="003D0F3A" w:rsidP="003D0F3A">
      <w:pPr>
        <w:tabs>
          <w:tab w:val="left" w:pos="378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43951">
        <w:rPr>
          <w:rFonts w:ascii="Arial" w:hAnsi="Arial" w:cs="Arial"/>
          <w:sz w:val="24"/>
          <w:szCs w:val="24"/>
        </w:rPr>
        <w:t>Pamplona,  13 octubre de 2020</w:t>
      </w:r>
    </w:p>
    <w:p w:rsidR="00D43951" w:rsidRPr="00D43951" w:rsidRDefault="00D43951" w:rsidP="003D0F3A">
      <w:pPr>
        <w:spacing w:line="360" w:lineRule="auto"/>
        <w:ind w:left="567" w:right="567"/>
        <w:jc w:val="center"/>
        <w:rPr>
          <w:rFonts w:ascii="Arial" w:hAnsi="Arial" w:cs="Arial"/>
          <w:sz w:val="24"/>
          <w:szCs w:val="24"/>
          <w:lang w:val="pt-BR"/>
        </w:rPr>
      </w:pPr>
      <w:r w:rsidRPr="00D43951">
        <w:rPr>
          <w:rFonts w:ascii="Arial" w:hAnsi="Arial" w:cs="Arial"/>
          <w:sz w:val="24"/>
          <w:szCs w:val="24"/>
        </w:rPr>
        <w:t>La Consejera de Salud</w:t>
      </w:r>
      <w:r>
        <w:rPr>
          <w:rFonts w:ascii="Arial" w:hAnsi="Arial" w:cs="Arial"/>
          <w:sz w:val="24"/>
          <w:szCs w:val="24"/>
        </w:rPr>
        <w:t>:</w:t>
      </w:r>
      <w:r w:rsidRPr="00D439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 xml:space="preserve">Santos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Indurá</w:t>
      </w:r>
      <w:r w:rsidR="003D0F3A" w:rsidRPr="00D43951">
        <w:rPr>
          <w:rFonts w:ascii="Arial" w:hAnsi="Arial" w:cs="Arial"/>
          <w:sz w:val="24"/>
          <w:szCs w:val="24"/>
          <w:lang w:val="pt-BR"/>
        </w:rPr>
        <w:t>in</w:t>
      </w:r>
      <w:proofErr w:type="spellEnd"/>
      <w:r w:rsidR="003D0F3A" w:rsidRPr="00D43951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3D0F3A" w:rsidRPr="00D43951">
        <w:rPr>
          <w:rFonts w:ascii="Arial" w:hAnsi="Arial" w:cs="Arial"/>
          <w:sz w:val="24"/>
          <w:szCs w:val="24"/>
          <w:lang w:val="pt-BR"/>
        </w:rPr>
        <w:t>Orduna</w:t>
      </w:r>
      <w:proofErr w:type="spellEnd"/>
    </w:p>
    <w:bookmarkEnd w:id="0"/>
    <w:p w:rsidR="00D9276B" w:rsidRPr="00D43951" w:rsidRDefault="00D9276B" w:rsidP="003D0F3A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sectPr w:rsidR="00D9276B" w:rsidRPr="00D43951" w:rsidSect="003D0F3A"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F3A" w:rsidRDefault="003D0F3A" w:rsidP="003D0F3A">
      <w:r>
        <w:separator/>
      </w:r>
    </w:p>
  </w:endnote>
  <w:endnote w:type="continuationSeparator" w:id="0">
    <w:p w:rsidR="003D0F3A" w:rsidRDefault="003D0F3A" w:rsidP="003D0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F3A" w:rsidRDefault="003D0F3A" w:rsidP="003D0F3A">
      <w:r>
        <w:separator/>
      </w:r>
    </w:p>
  </w:footnote>
  <w:footnote w:type="continuationSeparator" w:id="0">
    <w:p w:rsidR="003D0F3A" w:rsidRDefault="003D0F3A" w:rsidP="003D0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AA"/>
    <w:rsid w:val="000115AF"/>
    <w:rsid w:val="00057FCE"/>
    <w:rsid w:val="00075128"/>
    <w:rsid w:val="000864CB"/>
    <w:rsid w:val="000F0E52"/>
    <w:rsid w:val="000F336F"/>
    <w:rsid w:val="001315B8"/>
    <w:rsid w:val="0018354C"/>
    <w:rsid w:val="001B68E7"/>
    <w:rsid w:val="001D5292"/>
    <w:rsid w:val="002533CB"/>
    <w:rsid w:val="002736CC"/>
    <w:rsid w:val="002A67C8"/>
    <w:rsid w:val="002B1CE7"/>
    <w:rsid w:val="002C7CCE"/>
    <w:rsid w:val="00395C19"/>
    <w:rsid w:val="003A6CD0"/>
    <w:rsid w:val="003B5E44"/>
    <w:rsid w:val="003D0F3A"/>
    <w:rsid w:val="00404788"/>
    <w:rsid w:val="00424B71"/>
    <w:rsid w:val="004C4D12"/>
    <w:rsid w:val="005205C2"/>
    <w:rsid w:val="00552127"/>
    <w:rsid w:val="005826CE"/>
    <w:rsid w:val="00592536"/>
    <w:rsid w:val="0059640F"/>
    <w:rsid w:val="005C2D0F"/>
    <w:rsid w:val="005F678A"/>
    <w:rsid w:val="00606A69"/>
    <w:rsid w:val="00617C6F"/>
    <w:rsid w:val="0064221D"/>
    <w:rsid w:val="006611DB"/>
    <w:rsid w:val="0067434E"/>
    <w:rsid w:val="00686A46"/>
    <w:rsid w:val="006A58C2"/>
    <w:rsid w:val="006C6E9D"/>
    <w:rsid w:val="00710441"/>
    <w:rsid w:val="00717AF8"/>
    <w:rsid w:val="007259A1"/>
    <w:rsid w:val="00811A8B"/>
    <w:rsid w:val="00823922"/>
    <w:rsid w:val="008F2FAE"/>
    <w:rsid w:val="00972141"/>
    <w:rsid w:val="00A360A7"/>
    <w:rsid w:val="00A61942"/>
    <w:rsid w:val="00AE376B"/>
    <w:rsid w:val="00AE3B59"/>
    <w:rsid w:val="00AE4903"/>
    <w:rsid w:val="00AE675D"/>
    <w:rsid w:val="00AF05AA"/>
    <w:rsid w:val="00AF6371"/>
    <w:rsid w:val="00B642E6"/>
    <w:rsid w:val="00C05C2E"/>
    <w:rsid w:val="00C11073"/>
    <w:rsid w:val="00C15B2E"/>
    <w:rsid w:val="00C2014F"/>
    <w:rsid w:val="00C26236"/>
    <w:rsid w:val="00C46B6F"/>
    <w:rsid w:val="00C93C5F"/>
    <w:rsid w:val="00CA01D1"/>
    <w:rsid w:val="00CA22BF"/>
    <w:rsid w:val="00CA3BA8"/>
    <w:rsid w:val="00CE54DF"/>
    <w:rsid w:val="00D116DB"/>
    <w:rsid w:val="00D13B63"/>
    <w:rsid w:val="00D43951"/>
    <w:rsid w:val="00D57135"/>
    <w:rsid w:val="00D9276B"/>
    <w:rsid w:val="00DA6216"/>
    <w:rsid w:val="00DB5001"/>
    <w:rsid w:val="00E76744"/>
    <w:rsid w:val="00E92428"/>
    <w:rsid w:val="00F72073"/>
    <w:rsid w:val="00FC3141"/>
    <w:rsid w:val="00FD1B4C"/>
    <w:rsid w:val="00FE1983"/>
    <w:rsid w:val="00FE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5AA"/>
    <w:rPr>
      <w:rFonts w:ascii="Calibri" w:eastAsiaTheme="minorHAnsi" w:hAnsi="Calibri" w:cs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D0F3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D0F3A"/>
    <w:rPr>
      <w:rFonts w:ascii="Calibri" w:eastAsiaTheme="minorHAnsi" w:hAnsi="Calibri" w:cs="Calibri"/>
      <w:sz w:val="22"/>
      <w:szCs w:val="22"/>
      <w:lang w:eastAsia="en-US"/>
    </w:rPr>
  </w:style>
  <w:style w:type="paragraph" w:styleId="Piedepgina">
    <w:name w:val="footer"/>
    <w:basedOn w:val="Normal"/>
    <w:link w:val="PiedepginaCar"/>
    <w:unhideWhenUsed/>
    <w:rsid w:val="003D0F3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0F3A"/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5AA"/>
    <w:rPr>
      <w:rFonts w:ascii="Calibri" w:eastAsiaTheme="minorHAnsi" w:hAnsi="Calibri" w:cs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D0F3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D0F3A"/>
    <w:rPr>
      <w:rFonts w:ascii="Calibri" w:eastAsiaTheme="minorHAnsi" w:hAnsi="Calibri" w:cs="Calibri"/>
      <w:sz w:val="22"/>
      <w:szCs w:val="22"/>
      <w:lang w:eastAsia="en-US"/>
    </w:rPr>
  </w:style>
  <w:style w:type="paragraph" w:styleId="Piedepgina">
    <w:name w:val="footer"/>
    <w:basedOn w:val="Normal"/>
    <w:link w:val="PiedepginaCar"/>
    <w:unhideWhenUsed/>
    <w:rsid w:val="003D0F3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0F3A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N014703</dc:creator>
  <cp:lastModifiedBy>Aranaz, Carlota</cp:lastModifiedBy>
  <cp:revision>3</cp:revision>
  <cp:lastPrinted>2020-10-13T15:52:00Z</cp:lastPrinted>
  <dcterms:created xsi:type="dcterms:W3CDTF">2020-11-16T13:24:00Z</dcterms:created>
  <dcterms:modified xsi:type="dcterms:W3CDTF">2020-11-16T13:24:00Z</dcterms:modified>
</cp:coreProperties>
</file>