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E4A" w:rsidRDefault="00EB72C6" w:rsidP="00326E4A">
      <w:pPr>
        <w:pStyle w:val="Default"/>
        <w:spacing w:line="360" w:lineRule="auto"/>
        <w:ind w:left="-993"/>
        <w:jc w:val="both"/>
        <w:rPr>
          <w:rFonts w:ascii="Calibri" w:hAnsi="Calibri"/>
        </w:rPr>
      </w:pPr>
      <w:bookmarkStart w:id="0" w:name="_GoBack"/>
      <w:r>
        <w:rPr>
          <w:rFonts w:ascii="Calibri" w:hAnsi="Calibri"/>
        </w:rPr>
        <w:t xml:space="preserve">EH Bildu Nafarroa talde parlamentarioari atxikitako foru parlamentari Adolfo Araiz </w:t>
      </w:r>
      <w:proofErr w:type="spellStart"/>
      <w:r>
        <w:rPr>
          <w:rFonts w:ascii="Calibri" w:hAnsi="Calibri"/>
        </w:rPr>
        <w:t>Flamarique</w:t>
      </w:r>
      <w:proofErr w:type="spellEnd"/>
      <w:r>
        <w:rPr>
          <w:rFonts w:ascii="Calibri" w:hAnsi="Calibri"/>
        </w:rPr>
        <w:t xml:space="preserve"> jaunak PES-00195 idatzizko galdera egin du “Delta 50” deitutako eremuari buruz. Hona hemen horri buruz informatu beharrekoa</w:t>
      </w:r>
    </w:p>
    <w:p w:rsidR="00326E4A" w:rsidRDefault="00E740DE" w:rsidP="00DD01F5">
      <w:pPr>
        <w:spacing w:line="360" w:lineRule="auto"/>
        <w:ind w:left="-993"/>
        <w:jc w:val="both"/>
        <w:rPr>
          <w:rFonts w:ascii="Calibri" w:hAnsi="Calibri" w:cs="Arial"/>
          <w:b/>
        </w:rPr>
      </w:pPr>
      <w:r>
        <w:rPr>
          <w:rFonts w:ascii="Calibri" w:hAnsi="Calibri"/>
          <w:b/>
        </w:rPr>
        <w:t>Egia al da badela Tafallatik Bardearaino doan “Delta 50” eremu hori, zeinak mugatu egiten baitu aire-ibilgailu oro bertatik hegaldatzea?</w:t>
      </w:r>
    </w:p>
    <w:p w:rsidR="00326E4A" w:rsidRDefault="00B318A1" w:rsidP="00DD01F5">
      <w:pPr>
        <w:spacing w:line="360" w:lineRule="auto"/>
        <w:ind w:left="-993"/>
        <w:jc w:val="both"/>
        <w:rPr>
          <w:rFonts w:ascii="Calibri" w:hAnsi="Calibri" w:cs="Arial"/>
          <w:b/>
        </w:rPr>
      </w:pPr>
      <w:r>
        <w:rPr>
          <w:rFonts w:ascii="Calibri" w:hAnsi="Calibri"/>
          <w:b/>
        </w:rPr>
        <w:t xml:space="preserve">Azken bost urteotan, suteak itzaltzeko aire-baliabideei, helikoptero </w:t>
      </w:r>
      <w:proofErr w:type="spellStart"/>
      <w:r>
        <w:rPr>
          <w:rFonts w:ascii="Calibri" w:hAnsi="Calibri"/>
          <w:b/>
        </w:rPr>
        <w:t>medikalizatuari</w:t>
      </w:r>
      <w:proofErr w:type="spellEnd"/>
      <w:r>
        <w:rPr>
          <w:rFonts w:ascii="Calibri" w:hAnsi="Calibri"/>
          <w:b/>
        </w:rPr>
        <w:t xml:space="preserve"> edo Nafarroako Gobernuaren mendeko bestelako emergentzia-baliabideei zenbat aldiz ukatu zaie eremu hori igarotzeko baimena?</w:t>
      </w:r>
    </w:p>
    <w:p w:rsidR="00326E4A" w:rsidRDefault="00B318A1" w:rsidP="00DD01F5">
      <w:pPr>
        <w:spacing w:line="360" w:lineRule="auto"/>
        <w:ind w:left="-993"/>
        <w:jc w:val="both"/>
        <w:rPr>
          <w:rFonts w:ascii="Calibri" w:hAnsi="Calibri" w:cs="Arial"/>
          <w:b/>
        </w:rPr>
      </w:pPr>
      <w:r>
        <w:rPr>
          <w:rFonts w:ascii="Calibri" w:hAnsi="Calibri"/>
          <w:b/>
        </w:rPr>
        <w:t>Abiazio Zibilak edo Noaingo aireportuko kontrol-dorreak zer arrazoi eman dute aire-baliabideei baimena ukatzeko?</w:t>
      </w:r>
    </w:p>
    <w:p w:rsidR="00326E4A" w:rsidRDefault="00B318A1" w:rsidP="00DD01F5">
      <w:pPr>
        <w:spacing w:line="360" w:lineRule="auto"/>
        <w:ind w:left="-993"/>
        <w:jc w:val="both"/>
        <w:rPr>
          <w:rFonts w:ascii="Calibri" w:hAnsi="Calibri" w:cs="Arial"/>
          <w:b/>
        </w:rPr>
      </w:pPr>
      <w:r>
        <w:rPr>
          <w:rFonts w:ascii="Calibri" w:hAnsi="Calibri"/>
          <w:b/>
        </w:rPr>
        <w:t>Departamentuak jakin al daki inoiz, eremua igaro eta emergentzia bati erantzutera azkarrago iristeko baimenik ezagatik, emergentzia bat okerragotu ote den?</w:t>
      </w:r>
    </w:p>
    <w:p w:rsidR="00326E4A" w:rsidRDefault="00341E17" w:rsidP="00DD01F5">
      <w:pPr>
        <w:spacing w:line="360" w:lineRule="auto"/>
        <w:ind w:left="-993"/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Estatuek beren subiranotasuna eta jurisdikzioa baliatzen duten aire-espazioa Estatuaren eskumena da. Aireontziek aire-espazioa erabiltzeko, Sustapen Ministerioko Abiazio Zibileko Zuzendaritza Nagusiaren esku-hartze administratiboa behar da. </w:t>
      </w:r>
      <w:r>
        <w:t xml:space="preserve">Horri dagokionez, </w:t>
      </w:r>
      <w:hyperlink r:id="rId9" w:anchor="I271')" w:tooltip="esteka" w:history="1">
        <w:r>
          <w:rPr>
            <w:rFonts w:ascii="Calibri" w:hAnsi="Calibri"/>
          </w:rPr>
          <w:t>Espainiako Konstituzioaren 149.1.20 artikuluak</w:t>
        </w:r>
      </w:hyperlink>
      <w:r>
        <w:t xml:space="preserve"> jasotzen du Estatuaren eskumen esklusiboak direla "interes orokorreko aireportuak; aire-espazioaren kontrola, aire-zirkulazioa eta -garraioa, meteorologia-zerbitzua eta aireontzien matrikulazioa".</w:t>
      </w:r>
    </w:p>
    <w:p w:rsidR="00E6699A" w:rsidRDefault="00AD0922" w:rsidP="002B51E9">
      <w:pPr>
        <w:spacing w:line="360" w:lineRule="auto"/>
        <w:ind w:left="-993"/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Irailaren 8an, EC-3 (helikopteroa) eskatu zen LED-50en barruan dagoen </w:t>
      </w:r>
      <w:proofErr w:type="spellStart"/>
      <w:r>
        <w:rPr>
          <w:rFonts w:ascii="Calibri" w:hAnsi="Calibri"/>
        </w:rPr>
        <w:t>Rada</w:t>
      </w:r>
      <w:proofErr w:type="spellEnd"/>
      <w:r>
        <w:rPr>
          <w:rFonts w:ascii="Calibri" w:hAnsi="Calibri"/>
        </w:rPr>
        <w:t xml:space="preserve"> udalerrian baso-sute bat itzaltzen laguntzeko. Eremu honen ezaugarriak AIP.ENR.5.1-17 izeneko eskuliburuan jasota daude,  </w:t>
      </w:r>
      <w:r>
        <w:rPr>
          <w:rStyle w:val="st1"/>
          <w:rFonts w:ascii="Arial" w:hAnsi="Arial"/>
          <w:color w:val="4D5156"/>
          <w:sz w:val="21"/>
          <w:szCs w:val="21"/>
        </w:rPr>
        <w:t>aeronautikako oinarrizko informaziorako eskuliburuan</w:t>
      </w:r>
      <w:r>
        <w:rPr>
          <w:rFonts w:ascii="Calibri" w:hAnsi="Calibri"/>
        </w:rPr>
        <w:t>:</w:t>
      </w:r>
    </w:p>
    <w:p w:rsidR="00326E4A" w:rsidRDefault="00FB1FA5" w:rsidP="002B51E9">
      <w:pPr>
        <w:spacing w:line="360" w:lineRule="auto"/>
        <w:ind w:left="-993"/>
        <w:jc w:val="both"/>
        <w:rPr>
          <w:rFonts w:ascii="Calibri" w:hAnsi="Calibri" w:cs="Arial"/>
        </w:rPr>
      </w:pPr>
      <w:hyperlink r:id="rId10" w:history="1">
        <w:r w:rsidR="00E6699A">
          <w:rPr>
            <w:rStyle w:val="Hipervnculo"/>
            <w:rFonts w:ascii="Calibri" w:hAnsi="Calibri"/>
          </w:rPr>
          <w:t>https://ais.enaire.es/AIP/AIPS/AMDT_323_2020_AIRAC_16_2019/AIP/aip/enr/enr5/LE_ENR_5_1_en.pdf</w:t>
        </w:r>
      </w:hyperlink>
      <w:r w:rsidR="00E6699A">
        <w:rPr>
          <w:rFonts w:ascii="Calibri" w:hAnsi="Calibri"/>
        </w:rPr>
        <w:t xml:space="preserve"> ) </w:t>
      </w:r>
    </w:p>
    <w:p w:rsidR="00326E4A" w:rsidRDefault="00A71248" w:rsidP="00A71248">
      <w:pPr>
        <w:spacing w:line="360" w:lineRule="auto"/>
        <w:ind w:left="-993"/>
        <w:jc w:val="both"/>
        <w:rPr>
          <w:rFonts w:ascii="Calibri" w:hAnsi="Calibri" w:cs="Arial"/>
        </w:rPr>
      </w:pPr>
      <w:r>
        <w:rPr>
          <w:rFonts w:ascii="Calibri" w:hAnsi="Calibri"/>
        </w:rPr>
        <w:t>Eremua astelehenetik ostiralera dago aktibo, 08:00etatik 15:00etara (UTC</w:t>
      </w:r>
      <w:proofErr w:type="spellStart"/>
      <w:r>
        <w:rPr>
          <w:rFonts w:ascii="Calibri" w:hAnsi="Calibri"/>
        </w:rPr>
        <w:t xml:space="preserve">), </w:t>
      </w:r>
      <w:proofErr w:type="spellEnd"/>
      <w:r>
        <w:rPr>
          <w:rFonts w:ascii="Calibri" w:hAnsi="Calibri"/>
        </w:rPr>
        <w:t>eta honako kokapen geografiko hau du: 42º 02’ 00” N  001º 22’ 002W  | 42º 11’ 00” N  001º 10’ 00”W | 42º 31’30”N 001º 39’ 00”W | 42º 20’ 00” N 001º 48’ 00”W</w:t>
      </w:r>
    </w:p>
    <w:p w:rsidR="00326E4A" w:rsidRDefault="00696A16" w:rsidP="00A71248">
      <w:pPr>
        <w:spacing w:line="360" w:lineRule="auto"/>
        <w:ind w:left="-993"/>
        <w:jc w:val="center"/>
        <w:rPr>
          <w:rFonts w:ascii="Calibri" w:hAnsi="Calibri" w:cs="Arial"/>
        </w:rPr>
      </w:pPr>
      <w:r>
        <w:rPr>
          <w:noProof/>
          <w:lang w:val="es-ES"/>
        </w:rPr>
        <w:lastRenderedPageBreak/>
        <w:drawing>
          <wp:inline distT="0" distB="0" distL="0" distR="0" wp14:anchorId="69C4756E" wp14:editId="30D9F453">
            <wp:extent cx="4543425" cy="41719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25D" w:rsidRDefault="00E6699A" w:rsidP="002B51E9">
      <w:pPr>
        <w:spacing w:line="360" w:lineRule="auto"/>
        <w:ind w:left="-993"/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Eremuaren barruan jarduerarik ez dagoenean, hegaldia egiteko baimena ematen da. Jarduera dagoen aldietan soilik gerta daiteke estamentuekiko koordinazioaren berezko atzerapen txiki bat, lurraldearen gaineko hegaldia adierazteko edo, bestela, desbideratzea kudeatzeko. </w:t>
      </w:r>
    </w:p>
    <w:p w:rsidR="00326E4A" w:rsidRDefault="00780EDC" w:rsidP="002B51E9">
      <w:pPr>
        <w:spacing w:line="360" w:lineRule="auto"/>
        <w:ind w:left="-993"/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Kasu honetan, operatiboak beharrezko operazio-estandar guztiak bete zituen. Hala, Iruñeko Kontrol Dorreari une horretan eremu horretan izandako jarduerari buruzko informazioa eskatu zitzaion. Larrialdiko misioaren izaera jakinarazi ondoren, Iruñeko aire-zirkulazioko zerbitzuek, Zaragoza </w:t>
      </w:r>
      <w:proofErr w:type="spellStart"/>
      <w:r>
        <w:rPr>
          <w:rFonts w:ascii="Calibri" w:hAnsi="Calibri"/>
        </w:rPr>
        <w:t>APP-rekin</w:t>
      </w:r>
      <w:proofErr w:type="spellEnd"/>
      <w:r>
        <w:rPr>
          <w:rFonts w:ascii="Calibri" w:hAnsi="Calibri"/>
        </w:rPr>
        <w:t xml:space="preserve"> (aire-trafikoa eta LED-50en jarduera koordinatzeaz arduratzen den bulegoa) sartzeko baimena kudeatzeari ekin zitzaion. Iraupen tarte honetan, helikopteroa Tafalla inguruan orbitatu zuen, eta </w:t>
      </w:r>
      <w:proofErr w:type="spellStart"/>
      <w:r>
        <w:rPr>
          <w:rFonts w:ascii="Calibri" w:hAnsi="Calibri"/>
        </w:rPr>
        <w:t>track</w:t>
      </w:r>
      <w:proofErr w:type="spellEnd"/>
      <w:r>
        <w:rPr>
          <w:rFonts w:ascii="Calibri" w:hAnsi="Calibri"/>
        </w:rPr>
        <w:t xml:space="preserve"> analisiaren arabera, iraupena ez zen 5 minututik gorakoa izan. Aldi hori eten egin zen SOS Nafarroak eskifaiari jakinarazi zionean dispositiboaren beharrik ez zegoela, eta bertaratu ziren suhiltzaileen lurreko operatiboak baieztatu egin zuen hori. Beraz, helikopteroa </w:t>
      </w:r>
      <w:proofErr w:type="spellStart"/>
      <w:r>
        <w:rPr>
          <w:rFonts w:ascii="Calibri" w:hAnsi="Calibri"/>
        </w:rPr>
        <w:t>Miluzeko</w:t>
      </w:r>
      <w:proofErr w:type="spellEnd"/>
      <w:r>
        <w:rPr>
          <w:rFonts w:ascii="Calibri" w:hAnsi="Calibri"/>
        </w:rPr>
        <w:t xml:space="preserve"> basera itzuli zen. </w:t>
      </w:r>
    </w:p>
    <w:p w:rsidR="00326E4A" w:rsidRDefault="00CF307D" w:rsidP="002B51E9">
      <w:pPr>
        <w:spacing w:line="360" w:lineRule="auto"/>
        <w:ind w:left="-993"/>
        <w:jc w:val="both"/>
        <w:rPr>
          <w:rFonts w:ascii="Calibri" w:hAnsi="Calibri" w:cs="Arial"/>
        </w:rPr>
      </w:pPr>
      <w:r>
        <w:rPr>
          <w:rFonts w:ascii="Calibri" w:hAnsi="Calibri"/>
        </w:rPr>
        <w:t>Barne Zuzendaritza Nagusiari atxikitako Babes Zibileko eta Larrialdietako Zerbitzuak gertakari horren berri baino ez du, eta ez zuen inolako ondoriorik izan. Era berean, ez dago datu-baserik Nafarroako Gobernuko helikopteroek eremu horietan egin dituzten misioetan izandako gertaerak zenbatzen dituenik.</w:t>
      </w:r>
    </w:p>
    <w:p w:rsidR="00326E4A" w:rsidRDefault="00292A07" w:rsidP="00DD01F5">
      <w:pPr>
        <w:spacing w:line="360" w:lineRule="auto"/>
        <w:ind w:left="-993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Hori guztia jakinarazten dizut, Nafarroako Parlamentuko Erregelamenduaren 194. artikulua betez.</w:t>
      </w:r>
    </w:p>
    <w:p w:rsidR="00326E4A" w:rsidRDefault="001C1A73" w:rsidP="00DA3CB2">
      <w:pPr>
        <w:ind w:left="-993"/>
        <w:jc w:val="center"/>
        <w:rPr>
          <w:rFonts w:ascii="Calibri" w:hAnsi="Calibri"/>
        </w:rPr>
      </w:pPr>
      <w:r>
        <w:rPr>
          <w:rFonts w:ascii="Calibri" w:hAnsi="Calibri"/>
        </w:rPr>
        <w:t>Iruñean, 2020ko urriaren 8an</w:t>
      </w:r>
    </w:p>
    <w:p w:rsidR="00326E4A" w:rsidRDefault="00696546" w:rsidP="00DA3CB2">
      <w:pPr>
        <w:ind w:left="-993"/>
        <w:jc w:val="center"/>
        <w:rPr>
          <w:rFonts w:ascii="Calibri" w:hAnsi="Calibri"/>
        </w:rPr>
      </w:pPr>
      <w:r>
        <w:rPr>
          <w:rFonts w:ascii="Calibri" w:hAnsi="Calibri"/>
        </w:rPr>
        <w:t xml:space="preserve">Lehendakaritzako, Berdintasuneko, Funtzio Publikoko eta Barneko kontseilaria: Javier </w:t>
      </w:r>
      <w:proofErr w:type="spellStart"/>
      <w:r>
        <w:rPr>
          <w:rFonts w:ascii="Calibri" w:hAnsi="Calibri"/>
        </w:rPr>
        <w:t>Remírez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Apesteguía</w:t>
      </w:r>
      <w:bookmarkEnd w:id="0"/>
      <w:proofErr w:type="spellEnd"/>
    </w:p>
    <w:sectPr w:rsidR="00326E4A" w:rsidSect="00BA015D">
      <w:headerReference w:type="default" r:id="rId12"/>
      <w:headerReference w:type="first" r:id="rId13"/>
      <w:pgSz w:w="11906" w:h="16838"/>
      <w:pgMar w:top="1797" w:right="991" w:bottom="709" w:left="255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F4F" w:rsidRDefault="00240F4F" w:rsidP="000B134F">
      <w:r>
        <w:separator/>
      </w:r>
    </w:p>
  </w:endnote>
  <w:endnote w:type="continuationSeparator" w:id="0">
    <w:p w:rsidR="00240F4F" w:rsidRDefault="00240F4F" w:rsidP="000B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F4F" w:rsidRDefault="00240F4F" w:rsidP="000B134F">
      <w:r>
        <w:separator/>
      </w:r>
    </w:p>
  </w:footnote>
  <w:footnote w:type="continuationSeparator" w:id="0">
    <w:p w:rsidR="00240F4F" w:rsidRDefault="00240F4F" w:rsidP="000B1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4F" w:rsidRPr="007250F0" w:rsidRDefault="000B134F" w:rsidP="000B134F">
    <w:pPr>
      <w:pStyle w:val="Encabezado"/>
      <w:jc w:val="right"/>
    </w:pPr>
    <w:r>
      <w:t xml:space="preserve">            </w:t>
    </w:r>
  </w:p>
  <w:p w:rsidR="000B134F" w:rsidRPr="000B134F" w:rsidRDefault="000B134F" w:rsidP="000B134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4F" w:rsidRPr="007250F0" w:rsidRDefault="000B134F" w:rsidP="000B134F">
    <w:pPr>
      <w:pStyle w:val="Encabezado"/>
    </w:pPr>
    <w:r>
      <w:t xml:space="preserve">            </w:t>
    </w:r>
  </w:p>
  <w:p w:rsidR="000B134F" w:rsidRPr="000B134F" w:rsidRDefault="000B134F" w:rsidP="000B134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D04"/>
    <w:multiLevelType w:val="hybridMultilevel"/>
    <w:tmpl w:val="D96E09C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B48A5"/>
    <w:multiLevelType w:val="hybridMultilevel"/>
    <w:tmpl w:val="6C72E606"/>
    <w:lvl w:ilvl="0" w:tplc="0C0A0017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">
    <w:nsid w:val="1026425B"/>
    <w:multiLevelType w:val="multilevel"/>
    <w:tmpl w:val="DA80EA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941DB8"/>
    <w:multiLevelType w:val="hybridMultilevel"/>
    <w:tmpl w:val="88021C6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87354AA"/>
    <w:multiLevelType w:val="hybridMultilevel"/>
    <w:tmpl w:val="AE209380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C7B6A97"/>
    <w:multiLevelType w:val="hybridMultilevel"/>
    <w:tmpl w:val="FB12AA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79735C"/>
    <w:multiLevelType w:val="hybridMultilevel"/>
    <w:tmpl w:val="C2722D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75130"/>
    <w:multiLevelType w:val="hybridMultilevel"/>
    <w:tmpl w:val="C5F4D7A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A720E1D"/>
    <w:multiLevelType w:val="hybridMultilevel"/>
    <w:tmpl w:val="583A385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60052F9"/>
    <w:multiLevelType w:val="hybridMultilevel"/>
    <w:tmpl w:val="DA80EAD8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0D10C3"/>
    <w:multiLevelType w:val="hybridMultilevel"/>
    <w:tmpl w:val="24B4928E"/>
    <w:lvl w:ilvl="0" w:tplc="3062745A">
      <w:numFmt w:val="bullet"/>
      <w:lvlText w:val="-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BA452D"/>
    <w:multiLevelType w:val="hybridMultilevel"/>
    <w:tmpl w:val="45D67B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6"/>
  </w:num>
  <w:num w:numId="10">
    <w:abstractNumId w:val="10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CA"/>
    <w:rsid w:val="0000725D"/>
    <w:rsid w:val="0001759F"/>
    <w:rsid w:val="0003454B"/>
    <w:rsid w:val="00047B9A"/>
    <w:rsid w:val="0005378A"/>
    <w:rsid w:val="000876D4"/>
    <w:rsid w:val="000A2FA0"/>
    <w:rsid w:val="000B134F"/>
    <w:rsid w:val="000D5295"/>
    <w:rsid w:val="000E7EF2"/>
    <w:rsid w:val="000F12C9"/>
    <w:rsid w:val="00126429"/>
    <w:rsid w:val="001C1A73"/>
    <w:rsid w:val="001D1C0A"/>
    <w:rsid w:val="001D73D3"/>
    <w:rsid w:val="001E25DC"/>
    <w:rsid w:val="002004B0"/>
    <w:rsid w:val="00216CFB"/>
    <w:rsid w:val="002177DF"/>
    <w:rsid w:val="00240F4F"/>
    <w:rsid w:val="00245B54"/>
    <w:rsid w:val="00292A07"/>
    <w:rsid w:val="002B29A4"/>
    <w:rsid w:val="002B51E9"/>
    <w:rsid w:val="003041DD"/>
    <w:rsid w:val="00326E4A"/>
    <w:rsid w:val="0033390A"/>
    <w:rsid w:val="00341E17"/>
    <w:rsid w:val="00355DE5"/>
    <w:rsid w:val="003609EC"/>
    <w:rsid w:val="00373DE7"/>
    <w:rsid w:val="003814B0"/>
    <w:rsid w:val="003877E8"/>
    <w:rsid w:val="003A7EB6"/>
    <w:rsid w:val="003C17B3"/>
    <w:rsid w:val="003D0E76"/>
    <w:rsid w:val="00432C1C"/>
    <w:rsid w:val="00455182"/>
    <w:rsid w:val="004B107D"/>
    <w:rsid w:val="004D5FF0"/>
    <w:rsid w:val="004D6D95"/>
    <w:rsid w:val="0050323B"/>
    <w:rsid w:val="00541F19"/>
    <w:rsid w:val="005435D3"/>
    <w:rsid w:val="00566003"/>
    <w:rsid w:val="005831A0"/>
    <w:rsid w:val="005A3546"/>
    <w:rsid w:val="005C0DC6"/>
    <w:rsid w:val="005F191F"/>
    <w:rsid w:val="006135E1"/>
    <w:rsid w:val="006349E0"/>
    <w:rsid w:val="00661FE2"/>
    <w:rsid w:val="006666BB"/>
    <w:rsid w:val="006724ED"/>
    <w:rsid w:val="00690D6B"/>
    <w:rsid w:val="00696546"/>
    <w:rsid w:val="00696A16"/>
    <w:rsid w:val="006B0616"/>
    <w:rsid w:val="006B2DD1"/>
    <w:rsid w:val="006B3948"/>
    <w:rsid w:val="006E4AD4"/>
    <w:rsid w:val="00722161"/>
    <w:rsid w:val="00756BB1"/>
    <w:rsid w:val="00765141"/>
    <w:rsid w:val="00780EDC"/>
    <w:rsid w:val="007817BA"/>
    <w:rsid w:val="007902A0"/>
    <w:rsid w:val="007B14CA"/>
    <w:rsid w:val="007D36B2"/>
    <w:rsid w:val="007D43FD"/>
    <w:rsid w:val="007F3D90"/>
    <w:rsid w:val="007F560B"/>
    <w:rsid w:val="00811023"/>
    <w:rsid w:val="00823E6B"/>
    <w:rsid w:val="00831810"/>
    <w:rsid w:val="008471A9"/>
    <w:rsid w:val="00847F4C"/>
    <w:rsid w:val="008B35E6"/>
    <w:rsid w:val="008D568B"/>
    <w:rsid w:val="008D6C7F"/>
    <w:rsid w:val="008F4004"/>
    <w:rsid w:val="00906935"/>
    <w:rsid w:val="00916137"/>
    <w:rsid w:val="009440CF"/>
    <w:rsid w:val="0096065E"/>
    <w:rsid w:val="00981F80"/>
    <w:rsid w:val="009E24D4"/>
    <w:rsid w:val="009E4607"/>
    <w:rsid w:val="00A220B1"/>
    <w:rsid w:val="00A32052"/>
    <w:rsid w:val="00A44753"/>
    <w:rsid w:val="00A60CFD"/>
    <w:rsid w:val="00A71248"/>
    <w:rsid w:val="00A87ECA"/>
    <w:rsid w:val="00AD0922"/>
    <w:rsid w:val="00AD52D8"/>
    <w:rsid w:val="00AE0C4D"/>
    <w:rsid w:val="00AE79AE"/>
    <w:rsid w:val="00B27FCD"/>
    <w:rsid w:val="00B318A1"/>
    <w:rsid w:val="00B445FE"/>
    <w:rsid w:val="00B72778"/>
    <w:rsid w:val="00B90DAD"/>
    <w:rsid w:val="00BA015D"/>
    <w:rsid w:val="00BA0228"/>
    <w:rsid w:val="00BA1BA0"/>
    <w:rsid w:val="00BB1DD8"/>
    <w:rsid w:val="00BC35D6"/>
    <w:rsid w:val="00BD6121"/>
    <w:rsid w:val="00C0289A"/>
    <w:rsid w:val="00C349D2"/>
    <w:rsid w:val="00C34AE0"/>
    <w:rsid w:val="00C46BC9"/>
    <w:rsid w:val="00C46C8A"/>
    <w:rsid w:val="00C65F52"/>
    <w:rsid w:val="00C7155A"/>
    <w:rsid w:val="00C86F88"/>
    <w:rsid w:val="00CA3A3D"/>
    <w:rsid w:val="00CA3EC7"/>
    <w:rsid w:val="00CB5DD5"/>
    <w:rsid w:val="00CC1292"/>
    <w:rsid w:val="00CD01FF"/>
    <w:rsid w:val="00CF307D"/>
    <w:rsid w:val="00CF7CA4"/>
    <w:rsid w:val="00D1535B"/>
    <w:rsid w:val="00D26212"/>
    <w:rsid w:val="00D30D7D"/>
    <w:rsid w:val="00D73CD1"/>
    <w:rsid w:val="00D77542"/>
    <w:rsid w:val="00D95CF3"/>
    <w:rsid w:val="00DA3CB2"/>
    <w:rsid w:val="00DB0557"/>
    <w:rsid w:val="00DC7DA5"/>
    <w:rsid w:val="00DD01F5"/>
    <w:rsid w:val="00E2133E"/>
    <w:rsid w:val="00E540D8"/>
    <w:rsid w:val="00E6699A"/>
    <w:rsid w:val="00E740DE"/>
    <w:rsid w:val="00EA4A6D"/>
    <w:rsid w:val="00EB72C6"/>
    <w:rsid w:val="00ED08AF"/>
    <w:rsid w:val="00EE7FBE"/>
    <w:rsid w:val="00EF0D89"/>
    <w:rsid w:val="00EF4912"/>
    <w:rsid w:val="00F102E1"/>
    <w:rsid w:val="00F11125"/>
    <w:rsid w:val="00F15A34"/>
    <w:rsid w:val="00F2130F"/>
    <w:rsid w:val="00F3339F"/>
    <w:rsid w:val="00F82F26"/>
    <w:rsid w:val="00FA4B27"/>
    <w:rsid w:val="00FB1FA5"/>
    <w:rsid w:val="00FB5F59"/>
    <w:rsid w:val="00F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angradetindependiente">
    <w:name w:val="Sangra de t. independiente"/>
    <w:basedOn w:val="Normal"/>
    <w:rsid w:val="007B14CA"/>
    <w:pPr>
      <w:spacing w:after="240" w:line="360" w:lineRule="auto"/>
      <w:ind w:firstLine="709"/>
      <w:jc w:val="both"/>
    </w:pPr>
    <w:rPr>
      <w:rFonts w:ascii="Arial" w:hAnsi="Arial"/>
      <w:sz w:val="22"/>
      <w:szCs w:val="20"/>
    </w:rPr>
  </w:style>
  <w:style w:type="paragraph" w:styleId="Textodeglobo">
    <w:name w:val="Balloon Text"/>
    <w:basedOn w:val="Normal"/>
    <w:semiHidden/>
    <w:rsid w:val="007B14C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B72C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TextoindependienteCar">
    <w:name w:val="Texto independiente Car"/>
    <w:link w:val="Textoindependiente"/>
    <w:rsid w:val="00EB72C6"/>
    <w:rPr>
      <w:lang w:val="eu-ES"/>
    </w:rPr>
  </w:style>
  <w:style w:type="paragraph" w:styleId="Encabezado">
    <w:name w:val="header"/>
    <w:basedOn w:val="Normal"/>
    <w:link w:val="EncabezadoCar"/>
    <w:rsid w:val="000B13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B134F"/>
    <w:rPr>
      <w:sz w:val="24"/>
      <w:szCs w:val="24"/>
    </w:rPr>
  </w:style>
  <w:style w:type="paragraph" w:styleId="Piedepgina">
    <w:name w:val="footer"/>
    <w:basedOn w:val="Normal"/>
    <w:link w:val="PiedepginaCar"/>
    <w:rsid w:val="000B13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B134F"/>
    <w:rPr>
      <w:sz w:val="24"/>
      <w:szCs w:val="24"/>
    </w:rPr>
  </w:style>
  <w:style w:type="paragraph" w:customStyle="1" w:styleId="Default">
    <w:name w:val="Default"/>
    <w:rsid w:val="001C1A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3609EC"/>
    <w:rPr>
      <w:color w:val="0000FF"/>
      <w:u w:val="single"/>
    </w:rPr>
  </w:style>
  <w:style w:type="character" w:customStyle="1" w:styleId="st1">
    <w:name w:val="st1"/>
    <w:rsid w:val="00E66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angradetindependiente">
    <w:name w:val="Sangra de t. independiente"/>
    <w:basedOn w:val="Normal"/>
    <w:rsid w:val="007B14CA"/>
    <w:pPr>
      <w:spacing w:after="240" w:line="360" w:lineRule="auto"/>
      <w:ind w:firstLine="709"/>
      <w:jc w:val="both"/>
    </w:pPr>
    <w:rPr>
      <w:rFonts w:ascii="Arial" w:hAnsi="Arial"/>
      <w:sz w:val="22"/>
      <w:szCs w:val="20"/>
    </w:rPr>
  </w:style>
  <w:style w:type="paragraph" w:styleId="Textodeglobo">
    <w:name w:val="Balloon Text"/>
    <w:basedOn w:val="Normal"/>
    <w:semiHidden/>
    <w:rsid w:val="007B14C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B72C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TextoindependienteCar">
    <w:name w:val="Texto independiente Car"/>
    <w:link w:val="Textoindependiente"/>
    <w:rsid w:val="00EB72C6"/>
    <w:rPr>
      <w:lang w:val="eu-ES"/>
    </w:rPr>
  </w:style>
  <w:style w:type="paragraph" w:styleId="Encabezado">
    <w:name w:val="header"/>
    <w:basedOn w:val="Normal"/>
    <w:link w:val="EncabezadoCar"/>
    <w:rsid w:val="000B13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B134F"/>
    <w:rPr>
      <w:sz w:val="24"/>
      <w:szCs w:val="24"/>
    </w:rPr>
  </w:style>
  <w:style w:type="paragraph" w:styleId="Piedepgina">
    <w:name w:val="footer"/>
    <w:basedOn w:val="Normal"/>
    <w:link w:val="PiedepginaCar"/>
    <w:rsid w:val="000B13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B134F"/>
    <w:rPr>
      <w:sz w:val="24"/>
      <w:szCs w:val="24"/>
    </w:rPr>
  </w:style>
  <w:style w:type="paragraph" w:customStyle="1" w:styleId="Default">
    <w:name w:val="Default"/>
    <w:rsid w:val="001C1A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3609EC"/>
    <w:rPr>
      <w:color w:val="0000FF"/>
      <w:u w:val="single"/>
    </w:rPr>
  </w:style>
  <w:style w:type="character" w:customStyle="1" w:styleId="st1">
    <w:name w:val="st1"/>
    <w:rsid w:val="00E66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ais.enaire.es/AIP/AIPS/AMDT_323_2020_AIRAC_16_2019/AIP/aip/enr/enr5/LE_ENR_5_1_en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Redirection('LE0000019668_Vigent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D759A-2247-4B17-AB46-E142F4B9C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contestación a la petición de información realizada por el Ilmo</vt:lpstr>
    </vt:vector>
  </TitlesOfParts>
  <Company>Gobierno de Navarra</Company>
  <LinksUpToDate>false</LinksUpToDate>
  <CharactersWithSpaces>3705</CharactersWithSpaces>
  <SharedDoc>false</SharedDoc>
  <HLinks>
    <vt:vector size="12" baseType="variant">
      <vt:variant>
        <vt:i4>7602267</vt:i4>
      </vt:variant>
      <vt:variant>
        <vt:i4>3</vt:i4>
      </vt:variant>
      <vt:variant>
        <vt:i4>0</vt:i4>
      </vt:variant>
      <vt:variant>
        <vt:i4>5</vt:i4>
      </vt:variant>
      <vt:variant>
        <vt:lpwstr>https://ais.enaire.es/AIP/AIPS/AMDT_323_2020_AIRAC_16_2019/AIP/aip/enr/enr5/LE_ENR_5_1_en.pdf</vt:lpwstr>
      </vt:variant>
      <vt:variant>
        <vt:lpwstr/>
      </vt:variant>
      <vt:variant>
        <vt:i4>3539034</vt:i4>
      </vt:variant>
      <vt:variant>
        <vt:i4>0</vt:i4>
      </vt:variant>
      <vt:variant>
        <vt:i4>0</vt:i4>
      </vt:variant>
      <vt:variant>
        <vt:i4>5</vt:i4>
      </vt:variant>
      <vt:variant>
        <vt:lpwstr>javascript:Redirection('LE0000019668_Vigente.HTML</vt:lpwstr>
      </vt:variant>
      <vt:variant>
        <vt:lpwstr>I271')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contestación a la petición de información realizada por el Ilmo</dc:title>
  <dc:creator>X032834</dc:creator>
  <cp:lastModifiedBy>Iñaki De Santiago</cp:lastModifiedBy>
  <cp:revision>2</cp:revision>
  <cp:lastPrinted>2019-10-01T12:10:00Z</cp:lastPrinted>
  <dcterms:created xsi:type="dcterms:W3CDTF">2020-10-28T11:05:00Z</dcterms:created>
  <dcterms:modified xsi:type="dcterms:W3CDTF">2020-10-28T11:05:00Z</dcterms:modified>
</cp:coreProperties>
</file>