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34" w:rsidRPr="00275D65" w:rsidRDefault="00EB72C6" w:rsidP="00275D65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</w:t>
      </w:r>
      <w:r w:rsidR="00F15A34" w:rsidRPr="00047B9A">
        <w:rPr>
          <w:rFonts w:ascii="Calibri" w:hAnsi="Calibri"/>
        </w:rPr>
        <w:t xml:space="preserve">n </w:t>
      </w:r>
      <w:r w:rsidR="00916137" w:rsidRPr="00047B9A">
        <w:rPr>
          <w:rFonts w:ascii="Calibri" w:hAnsi="Calibri"/>
        </w:rPr>
        <w:t>rela</w:t>
      </w:r>
      <w:r w:rsidR="003D0E76">
        <w:rPr>
          <w:rFonts w:ascii="Calibri" w:hAnsi="Calibri"/>
        </w:rPr>
        <w:t>ción con</w:t>
      </w:r>
      <w:r w:rsidR="004B107D" w:rsidRPr="00047B9A">
        <w:rPr>
          <w:rFonts w:ascii="Calibri" w:hAnsi="Calibri"/>
        </w:rPr>
        <w:t xml:space="preserve"> la </w:t>
      </w:r>
      <w:r w:rsidR="00275D65">
        <w:rPr>
          <w:rFonts w:ascii="Calibri" w:hAnsi="Calibri"/>
        </w:rPr>
        <w:t>pregunta</w:t>
      </w:r>
      <w:r w:rsidR="00275D65" w:rsidRPr="00047B9A">
        <w:rPr>
          <w:rFonts w:ascii="Calibri" w:hAnsi="Calibri"/>
        </w:rPr>
        <w:t xml:space="preserve"> </w:t>
      </w:r>
      <w:r w:rsidR="00275D65">
        <w:rPr>
          <w:rFonts w:ascii="Calibri" w:hAnsi="Calibri"/>
        </w:rPr>
        <w:t>e</w:t>
      </w:r>
      <w:r w:rsidR="00275D65" w:rsidRPr="00047B9A">
        <w:rPr>
          <w:rFonts w:ascii="Calibri" w:hAnsi="Calibri"/>
        </w:rPr>
        <w:t xml:space="preserve">scrita </w:t>
      </w:r>
      <w:r w:rsidR="004B107D" w:rsidRPr="00047B9A">
        <w:rPr>
          <w:rFonts w:ascii="Calibri" w:hAnsi="Calibri"/>
        </w:rPr>
        <w:t>(</w:t>
      </w:r>
      <w:r w:rsidR="00E540D8" w:rsidRPr="00047B9A">
        <w:rPr>
          <w:rFonts w:ascii="Calibri" w:hAnsi="Calibri"/>
        </w:rPr>
        <w:t>PE</w:t>
      </w:r>
      <w:r w:rsidR="006B3948" w:rsidRPr="00047B9A">
        <w:rPr>
          <w:rFonts w:ascii="Calibri" w:hAnsi="Calibri"/>
        </w:rPr>
        <w:t>S</w:t>
      </w:r>
      <w:r w:rsidR="004B107D" w:rsidRPr="00047B9A">
        <w:rPr>
          <w:rFonts w:ascii="Calibri" w:hAnsi="Calibri"/>
        </w:rPr>
        <w:t>-</w:t>
      </w:r>
      <w:r w:rsidR="001C1A73" w:rsidRPr="00047B9A">
        <w:rPr>
          <w:rFonts w:ascii="Calibri" w:hAnsi="Calibri"/>
        </w:rPr>
        <w:t>0</w:t>
      </w:r>
      <w:r w:rsidR="006B3948" w:rsidRPr="00047B9A">
        <w:rPr>
          <w:rFonts w:ascii="Calibri" w:hAnsi="Calibri"/>
        </w:rPr>
        <w:t>0</w:t>
      </w:r>
      <w:r w:rsidR="00B318A1">
        <w:rPr>
          <w:rFonts w:ascii="Calibri" w:hAnsi="Calibri"/>
        </w:rPr>
        <w:t>1</w:t>
      </w:r>
      <w:r w:rsidR="008A0B5F">
        <w:rPr>
          <w:rFonts w:ascii="Calibri" w:hAnsi="Calibri"/>
        </w:rPr>
        <w:t>74</w:t>
      </w:r>
      <w:r w:rsidR="00916137" w:rsidRPr="00047B9A">
        <w:rPr>
          <w:rFonts w:ascii="Calibri" w:hAnsi="Calibri"/>
        </w:rPr>
        <w:t>)</w:t>
      </w:r>
      <w:r w:rsidR="003D0E76">
        <w:rPr>
          <w:rFonts w:ascii="Calibri" w:hAnsi="Calibri"/>
        </w:rPr>
        <w:t xml:space="preserve"> </w:t>
      </w:r>
      <w:r w:rsidR="00B318A1">
        <w:rPr>
          <w:rFonts w:ascii="Calibri" w:hAnsi="Calibri"/>
        </w:rPr>
        <w:t xml:space="preserve">realizada por </w:t>
      </w:r>
      <w:r w:rsidR="003D0E76">
        <w:rPr>
          <w:rFonts w:ascii="Calibri" w:hAnsi="Calibri"/>
        </w:rPr>
        <w:t xml:space="preserve">el </w:t>
      </w:r>
      <w:r w:rsidR="00B318A1">
        <w:rPr>
          <w:rFonts w:ascii="Calibri" w:hAnsi="Calibri"/>
        </w:rPr>
        <w:t>Ilm</w:t>
      </w:r>
      <w:r w:rsidR="003D0E76">
        <w:rPr>
          <w:rFonts w:ascii="Calibri" w:hAnsi="Calibri"/>
        </w:rPr>
        <w:t>o</w:t>
      </w:r>
      <w:r w:rsidR="00B318A1">
        <w:rPr>
          <w:rFonts w:ascii="Calibri" w:hAnsi="Calibri"/>
        </w:rPr>
        <w:t xml:space="preserve">. </w:t>
      </w:r>
      <w:r w:rsidR="003D0E76">
        <w:rPr>
          <w:rFonts w:ascii="Calibri" w:hAnsi="Calibri"/>
        </w:rPr>
        <w:t>Sr</w:t>
      </w:r>
      <w:r w:rsidR="00B318A1">
        <w:rPr>
          <w:rFonts w:ascii="Calibri" w:hAnsi="Calibri"/>
        </w:rPr>
        <w:t xml:space="preserve">. </w:t>
      </w:r>
      <w:r w:rsidR="003D0E76">
        <w:rPr>
          <w:rFonts w:ascii="Calibri" w:hAnsi="Calibri"/>
        </w:rPr>
        <w:t>D.</w:t>
      </w:r>
      <w:r w:rsidR="001C1A73" w:rsidRPr="00047B9A">
        <w:rPr>
          <w:rFonts w:ascii="Calibri" w:hAnsi="Calibri"/>
        </w:rPr>
        <w:t xml:space="preserve"> </w:t>
      </w:r>
      <w:r w:rsidR="00B318A1">
        <w:rPr>
          <w:rFonts w:ascii="Calibri" w:hAnsi="Calibri"/>
        </w:rPr>
        <w:t>Adolfo Aráiz Flamarique</w:t>
      </w:r>
      <w:r w:rsidR="00811023" w:rsidRPr="00047B9A">
        <w:rPr>
          <w:rFonts w:ascii="Calibri" w:hAnsi="Calibri"/>
        </w:rPr>
        <w:t xml:space="preserve">, </w:t>
      </w:r>
      <w:r w:rsidR="003D0E76">
        <w:rPr>
          <w:rFonts w:ascii="Calibri" w:hAnsi="Calibri"/>
        </w:rPr>
        <w:t>P</w:t>
      </w:r>
      <w:r w:rsidR="0033390A" w:rsidRPr="00047B9A">
        <w:rPr>
          <w:rFonts w:ascii="Calibri" w:hAnsi="Calibri"/>
        </w:rPr>
        <w:t>arlamentari</w:t>
      </w:r>
      <w:r w:rsidR="003D0E76">
        <w:rPr>
          <w:rFonts w:ascii="Calibri" w:hAnsi="Calibri"/>
        </w:rPr>
        <w:t>o</w:t>
      </w:r>
      <w:r w:rsidR="00F15A34" w:rsidRPr="00047B9A">
        <w:rPr>
          <w:rFonts w:ascii="Calibri" w:hAnsi="Calibri"/>
        </w:rPr>
        <w:t xml:space="preserve"> </w:t>
      </w:r>
      <w:r w:rsidR="003D0E76">
        <w:rPr>
          <w:rFonts w:ascii="Calibri" w:hAnsi="Calibri"/>
        </w:rPr>
        <w:t>F</w:t>
      </w:r>
      <w:r w:rsidR="00F15A34" w:rsidRPr="00047B9A">
        <w:rPr>
          <w:rFonts w:ascii="Calibri" w:hAnsi="Calibri"/>
        </w:rPr>
        <w:t xml:space="preserve">oral </w:t>
      </w:r>
      <w:r w:rsidR="0033390A" w:rsidRPr="00047B9A">
        <w:rPr>
          <w:rFonts w:ascii="Calibri" w:hAnsi="Calibri"/>
        </w:rPr>
        <w:t>adscrit</w:t>
      </w:r>
      <w:r w:rsidR="003D0E76">
        <w:rPr>
          <w:rFonts w:ascii="Calibri" w:hAnsi="Calibri"/>
        </w:rPr>
        <w:t>o</w:t>
      </w:r>
      <w:r w:rsidRPr="00047B9A">
        <w:rPr>
          <w:rFonts w:ascii="Calibri" w:hAnsi="Calibri"/>
        </w:rPr>
        <w:t xml:space="preserve"> al </w:t>
      </w:r>
      <w:r w:rsidR="003D0E76">
        <w:rPr>
          <w:rFonts w:ascii="Calibri" w:hAnsi="Calibri"/>
        </w:rPr>
        <w:t>G</w:t>
      </w:r>
      <w:r w:rsidR="00D26212" w:rsidRPr="00047B9A">
        <w:rPr>
          <w:rFonts w:ascii="Calibri" w:hAnsi="Calibri"/>
        </w:rPr>
        <w:t xml:space="preserve">rupo </w:t>
      </w:r>
      <w:r w:rsidR="003D0E76">
        <w:rPr>
          <w:rFonts w:ascii="Calibri" w:hAnsi="Calibri"/>
        </w:rPr>
        <w:t>P</w:t>
      </w:r>
      <w:r w:rsidRPr="00047B9A">
        <w:rPr>
          <w:rFonts w:ascii="Calibri" w:hAnsi="Calibri"/>
        </w:rPr>
        <w:t xml:space="preserve">arlamentario de </w:t>
      </w:r>
      <w:r w:rsidR="00B318A1">
        <w:rPr>
          <w:rFonts w:ascii="Calibri" w:hAnsi="Calibri"/>
        </w:rPr>
        <w:t>EH Bildu Nafarroa</w:t>
      </w:r>
      <w:r w:rsidR="002177DF" w:rsidRPr="00047B9A">
        <w:rPr>
          <w:rFonts w:ascii="Calibri" w:hAnsi="Calibri"/>
        </w:rPr>
        <w:t xml:space="preserve">, </w:t>
      </w:r>
      <w:r w:rsidR="004B107D" w:rsidRPr="00047B9A">
        <w:rPr>
          <w:rFonts w:ascii="Calibri" w:hAnsi="Calibri"/>
        </w:rPr>
        <w:t>en la que se solicita al Gobierno de Navarra la siguiente información</w:t>
      </w:r>
      <w:r w:rsidR="00F15A34" w:rsidRPr="00047B9A">
        <w:rPr>
          <w:rFonts w:ascii="Calibri" w:hAnsi="Calibri"/>
        </w:rPr>
        <w:t>:</w:t>
      </w:r>
    </w:p>
    <w:p w:rsidR="008A0B5F" w:rsidRPr="008A0B5F" w:rsidRDefault="008A0B5F" w:rsidP="008A0B5F">
      <w:pPr>
        <w:spacing w:line="360" w:lineRule="auto"/>
        <w:ind w:left="-993"/>
        <w:jc w:val="both"/>
        <w:rPr>
          <w:rFonts w:ascii="Calibri" w:hAnsi="Calibri" w:cs="Arial"/>
          <w:b/>
          <w:lang w:val="es-ES_tradnl"/>
        </w:rPr>
      </w:pPr>
      <w:r w:rsidRPr="008A0B5F">
        <w:rPr>
          <w:rFonts w:ascii="Calibri" w:hAnsi="Calibri" w:cs="Arial"/>
          <w:b/>
          <w:lang w:val="es-ES_tradnl"/>
        </w:rPr>
        <w:t xml:space="preserve">¿Qué inejecuciónes de gasto prevé el Departamento de Presidencia, Igualdad, Función Pública e Interior, con expresión de la partida y del importe en cada una de ellas, en los Presupuestos del año 2020? </w:t>
      </w:r>
    </w:p>
    <w:p w:rsidR="00B318A1" w:rsidRPr="008A0B5F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</w:rPr>
      </w:pPr>
    </w:p>
    <w:p w:rsidR="000A2FA0" w:rsidRDefault="008A0B5F" w:rsidP="008A0B5F">
      <w:pPr>
        <w:spacing w:line="360" w:lineRule="auto"/>
        <w:ind w:left="-993"/>
        <w:jc w:val="both"/>
        <w:rPr>
          <w:rFonts w:ascii="Calibri" w:hAnsi="Calibri" w:cs="Arial"/>
          <w:lang w:val="es-ES_tradnl"/>
        </w:rPr>
      </w:pPr>
      <w:r>
        <w:rPr>
          <w:rFonts w:ascii="Calibri" w:hAnsi="Calibri" w:cs="Arial"/>
          <w:lang w:val="es-ES_tradnl"/>
        </w:rPr>
        <w:t xml:space="preserve">Desde el Departamento de Presidencia, Igualdad, Función Pública e Interior se adjunta el siguiente documento: </w:t>
      </w:r>
      <w:r w:rsidRPr="008A0B5F">
        <w:rPr>
          <w:rFonts w:ascii="Calibri" w:hAnsi="Calibri" w:cs="Arial"/>
          <w:lang w:val="es-ES_tradnl"/>
        </w:rPr>
        <w:t>Departamento PIFPI_Inejecución 2020</w:t>
      </w:r>
      <w:r>
        <w:rPr>
          <w:rFonts w:ascii="Calibri" w:hAnsi="Calibri" w:cs="Arial"/>
          <w:lang w:val="es-ES_tradnl"/>
        </w:rPr>
        <w:t xml:space="preserve"> (Hoja Excel)</w:t>
      </w:r>
    </w:p>
    <w:p w:rsidR="008A0B5F" w:rsidRDefault="008A0B5F" w:rsidP="00DD01F5">
      <w:pPr>
        <w:spacing w:line="360" w:lineRule="auto"/>
        <w:ind w:left="-993"/>
        <w:jc w:val="both"/>
        <w:rPr>
          <w:rFonts w:ascii="Calibri" w:hAnsi="Calibri"/>
        </w:rPr>
      </w:pPr>
    </w:p>
    <w:p w:rsidR="00292A07" w:rsidRPr="00047B9A" w:rsidRDefault="00292A07" w:rsidP="00DD01F5">
      <w:pPr>
        <w:spacing w:line="360" w:lineRule="auto"/>
        <w:ind w:left="-993"/>
        <w:jc w:val="both"/>
        <w:rPr>
          <w:rFonts w:ascii="Calibri" w:hAnsi="Calibri"/>
        </w:rPr>
      </w:pPr>
      <w:r w:rsidRPr="00047B9A">
        <w:rPr>
          <w:rFonts w:ascii="Calibri" w:hAnsi="Calibri"/>
        </w:rPr>
        <w:t>Es cuanto tengo el honor de informar en cumplimiento de lo dispuesto en el artículo 1</w:t>
      </w:r>
      <w:r w:rsidR="006724ED">
        <w:rPr>
          <w:rFonts w:ascii="Calibri" w:hAnsi="Calibri"/>
        </w:rPr>
        <w:t>9</w:t>
      </w:r>
      <w:r w:rsidRPr="00047B9A">
        <w:rPr>
          <w:rFonts w:ascii="Calibri" w:hAnsi="Calibri"/>
        </w:rPr>
        <w:t>4 del Reglamento del Parlamento de Navarra.</w:t>
      </w:r>
    </w:p>
    <w:p w:rsidR="00DD01F5" w:rsidRDefault="00DD01F5" w:rsidP="00DA3CB2">
      <w:pPr>
        <w:ind w:left="-993"/>
        <w:jc w:val="center"/>
        <w:rPr>
          <w:rFonts w:ascii="Calibri" w:hAnsi="Calibri" w:cs="Arial"/>
          <w:lang w:val="es-ES_tradnl"/>
        </w:rPr>
      </w:pPr>
    </w:p>
    <w:p w:rsidR="00DD01F5" w:rsidRPr="00047B9A" w:rsidRDefault="00DD01F5" w:rsidP="00DA3CB2">
      <w:pPr>
        <w:ind w:left="-993"/>
        <w:jc w:val="center"/>
        <w:rPr>
          <w:rFonts w:ascii="Calibri" w:hAnsi="Calibri" w:cs="Arial"/>
          <w:lang w:val="es-ES_tradnl"/>
        </w:rPr>
      </w:pPr>
    </w:p>
    <w:p w:rsidR="001C1A73" w:rsidRDefault="001C1A73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 xml:space="preserve">Pamplona-Iruñea, </w:t>
      </w:r>
      <w:r w:rsidR="008A0B5F">
        <w:rPr>
          <w:rFonts w:ascii="Calibri" w:hAnsi="Calibri"/>
        </w:rPr>
        <w:t>2</w:t>
      </w:r>
      <w:r w:rsidR="005A3546" w:rsidRPr="005A3546">
        <w:rPr>
          <w:rFonts w:ascii="Calibri" w:hAnsi="Calibri"/>
        </w:rPr>
        <w:t xml:space="preserve"> </w:t>
      </w:r>
      <w:r w:rsidRPr="005A3546">
        <w:rPr>
          <w:rFonts w:ascii="Calibri" w:hAnsi="Calibri"/>
        </w:rPr>
        <w:t xml:space="preserve">de </w:t>
      </w:r>
      <w:r w:rsidR="00765141" w:rsidRPr="005A3546">
        <w:rPr>
          <w:rFonts w:ascii="Calibri" w:hAnsi="Calibri"/>
        </w:rPr>
        <w:t xml:space="preserve">octubre </w:t>
      </w:r>
      <w:r w:rsidRPr="005A3546">
        <w:rPr>
          <w:rFonts w:ascii="Calibri" w:hAnsi="Calibri"/>
        </w:rPr>
        <w:t>de</w:t>
      </w:r>
      <w:r w:rsidRPr="00047B9A">
        <w:rPr>
          <w:rFonts w:ascii="Calibri" w:hAnsi="Calibri"/>
        </w:rPr>
        <w:t xml:space="preserve"> 20</w:t>
      </w:r>
      <w:r w:rsidR="00B318A1">
        <w:rPr>
          <w:rFonts w:ascii="Calibri" w:hAnsi="Calibri"/>
        </w:rPr>
        <w:t>20</w:t>
      </w:r>
    </w:p>
    <w:p w:rsidR="000A2FA0" w:rsidRPr="00047B9A" w:rsidRDefault="000A2FA0" w:rsidP="00DA3CB2">
      <w:pPr>
        <w:ind w:left="-993"/>
        <w:jc w:val="center"/>
        <w:rPr>
          <w:rFonts w:ascii="Calibri" w:hAnsi="Calibri"/>
        </w:rPr>
      </w:pPr>
    </w:p>
    <w:p w:rsidR="001C1A73" w:rsidRPr="008D568B" w:rsidRDefault="00275D65" w:rsidP="00DA3CB2">
      <w:pPr>
        <w:ind w:left="-993"/>
        <w:jc w:val="center"/>
        <w:rPr>
          <w:rFonts w:ascii="Calibri" w:hAnsi="Calibri"/>
        </w:rPr>
      </w:pPr>
      <w:r w:rsidRPr="00047B9A">
        <w:rPr>
          <w:rFonts w:ascii="Calibri" w:hAnsi="Calibri"/>
        </w:rPr>
        <w:t xml:space="preserve">El Consejero de </w:t>
      </w:r>
      <w:r>
        <w:rPr>
          <w:rFonts w:ascii="Calibri" w:hAnsi="Calibri" w:cs="Arial"/>
          <w:lang w:val="es-ES_tradnl"/>
        </w:rPr>
        <w:t>Presidencia, Igualdad, Función Pública e Interior</w:t>
      </w:r>
      <w:r>
        <w:rPr>
          <w:rFonts w:ascii="Calibri" w:hAnsi="Calibri"/>
        </w:rPr>
        <w:t xml:space="preserve">: </w:t>
      </w:r>
      <w:r w:rsidR="001C1A73" w:rsidRPr="008D568B">
        <w:rPr>
          <w:rFonts w:ascii="Calibri" w:hAnsi="Calibri"/>
        </w:rPr>
        <w:t xml:space="preserve">Javier </w:t>
      </w:r>
      <w:proofErr w:type="spellStart"/>
      <w:r w:rsidR="001C1A73" w:rsidRPr="008D568B">
        <w:rPr>
          <w:rFonts w:ascii="Calibri" w:hAnsi="Calibri"/>
        </w:rPr>
        <w:t>Remírez</w:t>
      </w:r>
      <w:proofErr w:type="spellEnd"/>
      <w:r w:rsidR="001C1A73" w:rsidRPr="008D568B">
        <w:rPr>
          <w:rFonts w:ascii="Calibri" w:hAnsi="Calibri"/>
        </w:rPr>
        <w:t xml:space="preserve"> </w:t>
      </w:r>
      <w:proofErr w:type="spellStart"/>
      <w:r w:rsidR="001C1A73" w:rsidRPr="008D568B">
        <w:rPr>
          <w:rFonts w:ascii="Calibri" w:hAnsi="Calibri"/>
        </w:rPr>
        <w:t>Apesteguía</w:t>
      </w:r>
      <w:proofErr w:type="spellEnd"/>
    </w:p>
    <w:p w:rsidR="00ED4088" w:rsidRDefault="00ED4088" w:rsidP="00DA3CB2">
      <w:pPr>
        <w:ind w:left="-993"/>
        <w:jc w:val="both"/>
        <w:rPr>
          <w:rFonts w:ascii="Calibri" w:hAnsi="Calibri"/>
        </w:rPr>
        <w:sectPr w:rsidR="00ED4088" w:rsidSect="00275D65">
          <w:headerReference w:type="default" r:id="rId9"/>
          <w:headerReference w:type="first" r:id="rId10"/>
          <w:pgSz w:w="11906" w:h="16838"/>
          <w:pgMar w:top="1418" w:right="991" w:bottom="709" w:left="2552" w:header="708" w:footer="708" w:gutter="0"/>
          <w:cols w:space="708"/>
          <w:titlePg/>
          <w:docGrid w:linePitch="360"/>
        </w:sectPr>
      </w:pPr>
    </w:p>
    <w:tbl>
      <w:tblPr>
        <w:tblW w:w="1374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983"/>
        <w:gridCol w:w="992"/>
        <w:gridCol w:w="1003"/>
        <w:gridCol w:w="896"/>
        <w:gridCol w:w="4039"/>
        <w:gridCol w:w="1276"/>
        <w:gridCol w:w="1276"/>
        <w:gridCol w:w="1275"/>
      </w:tblGrid>
      <w:tr w:rsidR="00ED4088" w:rsidRPr="00ED4088" w:rsidTr="00ED4088">
        <w:trPr>
          <w:trHeight w:val="31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4088">
              <w:rPr>
                <w:rFonts w:ascii="Arial" w:hAnsi="Arial" w:cs="Arial"/>
                <w:color w:val="000000"/>
                <w:sz w:val="16"/>
                <w:szCs w:val="16"/>
              </w:rPr>
              <w:t>1.391.395,00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4088">
              <w:rPr>
                <w:rFonts w:ascii="Arial" w:hAnsi="Arial" w:cs="Arial"/>
                <w:color w:val="000000"/>
                <w:sz w:val="16"/>
                <w:szCs w:val="16"/>
              </w:rPr>
              <w:t>1.391.395,00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4088">
              <w:rPr>
                <w:rFonts w:ascii="Arial" w:hAnsi="Arial" w:cs="Arial"/>
                <w:color w:val="000000"/>
                <w:sz w:val="16"/>
                <w:szCs w:val="16"/>
              </w:rPr>
              <w:t>279.668,29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POEF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Orgánico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Económico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Funcional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Crédito inicial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Consolidado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4088">
              <w:rPr>
                <w:rFonts w:ascii="Arial" w:hAnsi="Arial" w:cs="Arial"/>
                <w:b/>
                <w:bCs/>
                <w:sz w:val="16"/>
                <w:szCs w:val="16"/>
              </w:rPr>
              <w:t>Inejecución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010005017006094921103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010005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01700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6094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921103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Interoperabilidad informática Consejo Transparencia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010005017206094924902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010005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01720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6094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924902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Diseño de presupuestos participativos y formación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080002082002600232300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08200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232300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Equipos atención integral violencia de género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389.039,00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389.039,00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35.933,94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080001081004609232200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4609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232200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Transferencias a entidades locales para impulso de políticas de igualdad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586.000,00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586.000,00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40.963,81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080001081004809232200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08100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4809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232200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Transferencias para becas y proyectos de investigación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38.566,00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38.566,00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38.566,00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090002091102269232107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09110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2269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232107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Observatorio Joven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ED4088" w:rsidRPr="00ED4088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090002091202269232104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09120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2269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232104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Programas de fomento: arte joven, solidaridad, consumo y otros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72.790,00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72.790,00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ED4088" w:rsidRPr="00ED4088" w:rsidTr="00ED4088">
        <w:trPr>
          <w:trHeight w:val="315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090002091204819232100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09120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4819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232100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(E) Subvenciones de programas de asociaciones juveniles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140.000,00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ED4088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4088">
              <w:rPr>
                <w:rFonts w:ascii="Arial" w:hAnsi="Arial" w:cs="Arial"/>
                <w:sz w:val="16"/>
                <w:szCs w:val="16"/>
              </w:rPr>
              <w:t>68.204,54</w:t>
            </w:r>
          </w:p>
        </w:tc>
      </w:tr>
    </w:tbl>
    <w:p w:rsidR="001C1A73" w:rsidRPr="008D568B" w:rsidRDefault="001C1A73" w:rsidP="00DA3CB2">
      <w:pPr>
        <w:ind w:left="-993"/>
        <w:jc w:val="both"/>
        <w:rPr>
          <w:rFonts w:ascii="Calibri" w:hAnsi="Calibri"/>
        </w:rPr>
      </w:pPr>
      <w:bookmarkStart w:id="0" w:name="_GoBack"/>
      <w:bookmarkEnd w:id="0"/>
    </w:p>
    <w:sectPr w:rsidR="001C1A73" w:rsidRPr="008D568B" w:rsidSect="00ED4088">
      <w:pgSz w:w="16838" w:h="11906" w:orient="landscape"/>
      <w:pgMar w:top="2552" w:right="1418" w:bottom="99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C3" w:rsidRDefault="00DB40C3" w:rsidP="000B134F">
      <w:r>
        <w:separator/>
      </w:r>
    </w:p>
  </w:endnote>
  <w:endnote w:type="continuationSeparator" w:id="0">
    <w:p w:rsidR="00DB40C3" w:rsidRDefault="00DB40C3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C3" w:rsidRDefault="00DB40C3" w:rsidP="000B134F">
      <w:r>
        <w:separator/>
      </w:r>
    </w:p>
  </w:footnote>
  <w:footnote w:type="continuationSeparator" w:id="0">
    <w:p w:rsidR="00DB40C3" w:rsidRDefault="00DB40C3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4C683E" w:rsidP="000B134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2D9C207" wp14:editId="66F555E4">
          <wp:simplePos x="0" y="0"/>
          <wp:positionH relativeFrom="page">
            <wp:posOffset>130175</wp:posOffset>
          </wp:positionH>
          <wp:positionV relativeFrom="page">
            <wp:posOffset>152400</wp:posOffset>
          </wp:positionV>
          <wp:extent cx="7560945" cy="1803400"/>
          <wp:effectExtent l="0" t="0" r="1905" b="6350"/>
          <wp:wrapNone/>
          <wp:docPr id="10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34F"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0725D"/>
    <w:rsid w:val="0001759F"/>
    <w:rsid w:val="0003454B"/>
    <w:rsid w:val="00047B9A"/>
    <w:rsid w:val="0005378A"/>
    <w:rsid w:val="000876D4"/>
    <w:rsid w:val="000A2FA0"/>
    <w:rsid w:val="000B134F"/>
    <w:rsid w:val="000D5295"/>
    <w:rsid w:val="000E7EF2"/>
    <w:rsid w:val="000F12C9"/>
    <w:rsid w:val="00126429"/>
    <w:rsid w:val="001C1A73"/>
    <w:rsid w:val="001E25DC"/>
    <w:rsid w:val="002004B0"/>
    <w:rsid w:val="00216CFB"/>
    <w:rsid w:val="002177DF"/>
    <w:rsid w:val="00245B54"/>
    <w:rsid w:val="00275D65"/>
    <w:rsid w:val="00292A07"/>
    <w:rsid w:val="002B29A4"/>
    <w:rsid w:val="002B51E9"/>
    <w:rsid w:val="003041DD"/>
    <w:rsid w:val="0033390A"/>
    <w:rsid w:val="00341E17"/>
    <w:rsid w:val="00355DE5"/>
    <w:rsid w:val="003609EC"/>
    <w:rsid w:val="00373DE7"/>
    <w:rsid w:val="003814B0"/>
    <w:rsid w:val="003877E8"/>
    <w:rsid w:val="003A7EB6"/>
    <w:rsid w:val="003C17B3"/>
    <w:rsid w:val="003D0E76"/>
    <w:rsid w:val="00432C1C"/>
    <w:rsid w:val="00455182"/>
    <w:rsid w:val="004B107D"/>
    <w:rsid w:val="004C683E"/>
    <w:rsid w:val="004D5FF0"/>
    <w:rsid w:val="004D6D95"/>
    <w:rsid w:val="0050323B"/>
    <w:rsid w:val="00541F19"/>
    <w:rsid w:val="005435D3"/>
    <w:rsid w:val="00566003"/>
    <w:rsid w:val="005831A0"/>
    <w:rsid w:val="005A3546"/>
    <w:rsid w:val="005C0DC6"/>
    <w:rsid w:val="005F191F"/>
    <w:rsid w:val="006135E1"/>
    <w:rsid w:val="006349E0"/>
    <w:rsid w:val="006459BF"/>
    <w:rsid w:val="00661FE2"/>
    <w:rsid w:val="006666BB"/>
    <w:rsid w:val="006724ED"/>
    <w:rsid w:val="00690D6B"/>
    <w:rsid w:val="006B0616"/>
    <w:rsid w:val="006B2DD1"/>
    <w:rsid w:val="006B3948"/>
    <w:rsid w:val="006E4AD4"/>
    <w:rsid w:val="00722161"/>
    <w:rsid w:val="00756BB1"/>
    <w:rsid w:val="00765141"/>
    <w:rsid w:val="00780EDC"/>
    <w:rsid w:val="007817BA"/>
    <w:rsid w:val="007902A0"/>
    <w:rsid w:val="007B14CA"/>
    <w:rsid w:val="007D36B2"/>
    <w:rsid w:val="007D43FD"/>
    <w:rsid w:val="007F3D90"/>
    <w:rsid w:val="00811023"/>
    <w:rsid w:val="00823E6B"/>
    <w:rsid w:val="00831810"/>
    <w:rsid w:val="008471A9"/>
    <w:rsid w:val="00847F4C"/>
    <w:rsid w:val="008A0B5F"/>
    <w:rsid w:val="008B35E6"/>
    <w:rsid w:val="008D568B"/>
    <w:rsid w:val="008D6C7F"/>
    <w:rsid w:val="008F4004"/>
    <w:rsid w:val="00906935"/>
    <w:rsid w:val="00916137"/>
    <w:rsid w:val="009440CF"/>
    <w:rsid w:val="0096065E"/>
    <w:rsid w:val="00981F80"/>
    <w:rsid w:val="009E24D4"/>
    <w:rsid w:val="009E4607"/>
    <w:rsid w:val="00A220B1"/>
    <w:rsid w:val="00A32052"/>
    <w:rsid w:val="00A44753"/>
    <w:rsid w:val="00A60CFD"/>
    <w:rsid w:val="00A71248"/>
    <w:rsid w:val="00A87ECA"/>
    <w:rsid w:val="00AD0922"/>
    <w:rsid w:val="00AD52D8"/>
    <w:rsid w:val="00AE0C4D"/>
    <w:rsid w:val="00AE79AE"/>
    <w:rsid w:val="00B27FCD"/>
    <w:rsid w:val="00B318A1"/>
    <w:rsid w:val="00B445FE"/>
    <w:rsid w:val="00B72778"/>
    <w:rsid w:val="00B90DAD"/>
    <w:rsid w:val="00BA015D"/>
    <w:rsid w:val="00BA0228"/>
    <w:rsid w:val="00BA1BA0"/>
    <w:rsid w:val="00BB1DD8"/>
    <w:rsid w:val="00BC35D6"/>
    <w:rsid w:val="00BD6121"/>
    <w:rsid w:val="00C0289A"/>
    <w:rsid w:val="00C349D2"/>
    <w:rsid w:val="00C34AE0"/>
    <w:rsid w:val="00C46BC9"/>
    <w:rsid w:val="00C46C8A"/>
    <w:rsid w:val="00C65F52"/>
    <w:rsid w:val="00C7155A"/>
    <w:rsid w:val="00C86F88"/>
    <w:rsid w:val="00CA3A3D"/>
    <w:rsid w:val="00CA3EC7"/>
    <w:rsid w:val="00CB5DD5"/>
    <w:rsid w:val="00CC1292"/>
    <w:rsid w:val="00CD01FF"/>
    <w:rsid w:val="00CF307D"/>
    <w:rsid w:val="00CF7CA4"/>
    <w:rsid w:val="00D1535B"/>
    <w:rsid w:val="00D26212"/>
    <w:rsid w:val="00D30D7D"/>
    <w:rsid w:val="00D73CD1"/>
    <w:rsid w:val="00D77542"/>
    <w:rsid w:val="00D95CF3"/>
    <w:rsid w:val="00DA3CB2"/>
    <w:rsid w:val="00DB0557"/>
    <w:rsid w:val="00DB40C3"/>
    <w:rsid w:val="00DC7DA5"/>
    <w:rsid w:val="00DD01F5"/>
    <w:rsid w:val="00E2133E"/>
    <w:rsid w:val="00E540D8"/>
    <w:rsid w:val="00E6699A"/>
    <w:rsid w:val="00E740DE"/>
    <w:rsid w:val="00EA4A6D"/>
    <w:rsid w:val="00EB72C6"/>
    <w:rsid w:val="00ED08AF"/>
    <w:rsid w:val="00ED4088"/>
    <w:rsid w:val="00EE7FBE"/>
    <w:rsid w:val="00EF0D89"/>
    <w:rsid w:val="00EF4912"/>
    <w:rsid w:val="00F102E1"/>
    <w:rsid w:val="00F11125"/>
    <w:rsid w:val="00F15A34"/>
    <w:rsid w:val="00F2130F"/>
    <w:rsid w:val="00F3339F"/>
    <w:rsid w:val="00F579F8"/>
    <w:rsid w:val="00F82F26"/>
    <w:rsid w:val="00FA4B27"/>
    <w:rsid w:val="00FB5F5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7819-81A9-4B99-8A12-82D3AD62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5</cp:revision>
  <cp:lastPrinted>2019-10-01T12:10:00Z</cp:lastPrinted>
  <dcterms:created xsi:type="dcterms:W3CDTF">2020-10-02T13:17:00Z</dcterms:created>
  <dcterms:modified xsi:type="dcterms:W3CDTF">2020-10-02T13:22:00Z</dcterms:modified>
</cp:coreProperties>
</file>