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3" w:rsidRDefault="00CC4263" w:rsidP="00453A73">
      <w:pPr>
        <w:spacing w:line="360" w:lineRule="auto"/>
        <w:ind w:left="426"/>
        <w:jc w:val="both"/>
        <w:rPr>
          <w:rFonts w:ascii="Arial" w:hAnsi="Arial" w:cs="Arial"/>
          <w:sz w:val="24"/>
          <w:szCs w:val="24"/>
        </w:rPr>
      </w:pPr>
      <w:bookmarkStart w:id="0" w:name="_GoBack"/>
      <w:r>
        <w:rPr>
          <w:rFonts w:ascii="Arial" w:hAnsi="Arial"/>
          <w:sz w:val="24"/>
          <w:szCs w:val="24"/>
        </w:rPr>
        <w:t>Urriaren 2a</w:t>
      </w:r>
    </w:p>
    <w:p w:rsidR="00CC4263" w:rsidRDefault="00D150AC" w:rsidP="00D150AC">
      <w:pPr>
        <w:spacing w:line="360" w:lineRule="auto"/>
        <w:ind w:left="426"/>
        <w:jc w:val="both"/>
        <w:rPr>
          <w:rFonts w:ascii="Arial" w:hAnsi="Arial" w:cs="Arial"/>
          <w:sz w:val="24"/>
          <w:szCs w:val="24"/>
        </w:rPr>
      </w:pPr>
      <w:r>
        <w:rPr>
          <w:rFonts w:ascii="Arial" w:hAnsi="Arial"/>
          <w:sz w:val="24"/>
          <w:szCs w:val="24"/>
        </w:rPr>
        <w:t xml:space="preserve">EH Bildu talde parlamentarioari atxikitako foru parlamentari Adolfo Araiz </w:t>
      </w:r>
      <w:proofErr w:type="spellStart"/>
      <w:r>
        <w:rPr>
          <w:rFonts w:ascii="Arial" w:hAnsi="Arial"/>
          <w:sz w:val="24"/>
          <w:szCs w:val="24"/>
        </w:rPr>
        <w:t>Flamarique</w:t>
      </w:r>
      <w:proofErr w:type="spellEnd"/>
      <w:r>
        <w:rPr>
          <w:rFonts w:ascii="Arial" w:hAnsi="Arial"/>
          <w:sz w:val="24"/>
          <w:szCs w:val="24"/>
        </w:rPr>
        <w:t xml:space="preserve"> jaunak idatziz erantzuteko galdera egin du (10-20/PES-00175). Hona hemen Nafarroako Gobernuko Lurralde Kohesiorako kontseilariak horri buruz ematen dion erantzuna. </w:t>
      </w:r>
    </w:p>
    <w:p w:rsidR="00CC4263" w:rsidRDefault="0034106C" w:rsidP="00453A73">
      <w:pPr>
        <w:spacing w:line="360" w:lineRule="auto"/>
        <w:ind w:left="426"/>
        <w:jc w:val="both"/>
        <w:rPr>
          <w:rFonts w:ascii="Arial" w:hAnsi="Arial" w:cs="Arial"/>
          <w:b/>
          <w:sz w:val="24"/>
          <w:szCs w:val="24"/>
        </w:rPr>
      </w:pPr>
      <w:r>
        <w:rPr>
          <w:rFonts w:ascii="Arial" w:hAnsi="Arial"/>
          <w:b/>
          <w:sz w:val="24"/>
          <w:szCs w:val="24"/>
        </w:rPr>
        <w:t>2020ko aurrekontuetan gastuen zein exekuzio-ez aurreikusten ditu Lurralde Kohesiorako Departamentuak? Horietako bakoitzaren partida eta zenbatekoa adieraztea nahi dugu.</w:t>
      </w:r>
    </w:p>
    <w:p w:rsidR="00CC4263" w:rsidRDefault="002843BA" w:rsidP="0034106C">
      <w:pPr>
        <w:spacing w:line="360" w:lineRule="auto"/>
        <w:ind w:left="426"/>
        <w:jc w:val="both"/>
        <w:rPr>
          <w:rFonts w:ascii="Arial" w:hAnsi="Arial" w:cs="Arial"/>
          <w:sz w:val="24"/>
          <w:szCs w:val="24"/>
        </w:rPr>
      </w:pPr>
      <w:r>
        <w:rPr>
          <w:rFonts w:ascii="Arial" w:hAnsi="Arial"/>
          <w:sz w:val="24"/>
          <w:szCs w:val="24"/>
        </w:rPr>
        <w:t>Eskatutako informazioa erantsi dizudan dokumentuan bidaltzen dizut. Laburbilduz, Lurralde Kohesiorako Departamentuaren arabera, 2020ko irailaren 28an, aurrekontu finkatuaren % 3,5 ez da gauzatu.</w:t>
      </w:r>
    </w:p>
    <w:p w:rsidR="00CC4263" w:rsidRDefault="0034106C" w:rsidP="005C14E9">
      <w:pPr>
        <w:spacing w:line="360" w:lineRule="auto"/>
        <w:ind w:left="426"/>
        <w:jc w:val="both"/>
        <w:rPr>
          <w:rFonts w:ascii="Arial" w:hAnsi="Arial" w:cs="Arial"/>
          <w:sz w:val="24"/>
          <w:szCs w:val="24"/>
        </w:rPr>
      </w:pPr>
      <w:r>
        <w:rPr>
          <w:rFonts w:ascii="Arial" w:hAnsi="Arial"/>
          <w:sz w:val="24"/>
          <w:szCs w:val="24"/>
        </w:rPr>
        <w:t>Jakinarazi behar da exekuzioen zenbatekoaren ia erdia Tokiko Azpiegituren Planari dagokiola: 7,4 milioi euro dira. Azpimarratu behar da hasiera batean 17,5 milioiko aurrekontua izan zuela Toki Azpiegituren Planak; hala ere, ekitaldian zehar aurrekontua handitu egin da, 25,6 milioira iritsi arte. Departamentuaren aurreikuspena 18,2 milioi euro exekutatzea da. Hala ere, 7,4 milioi euro horiek lehendik hitzartutako gastua dira. Halaber, jakinarazi behar da Toki Azpiegituren Planaren exekuzio-ez horietako batzuk COVID-19aren epidemiaren agerpenagatik izan daitezkeela. Hala ere, Toki Administrazioaren eta Despopulazioaren Zuzendaritza Nagusia ez dago eragin hori zein izan litekeen kuantifikatzeko moduan, Toki Azpiegituren Planaren dinamikaren beraren ondorioz.</w:t>
      </w:r>
    </w:p>
    <w:p w:rsidR="00CC4263" w:rsidRDefault="0034106C" w:rsidP="0034106C">
      <w:pPr>
        <w:spacing w:line="360" w:lineRule="auto"/>
        <w:ind w:left="426"/>
        <w:jc w:val="both"/>
        <w:rPr>
          <w:rFonts w:ascii="Arial" w:hAnsi="Arial" w:cs="Arial"/>
          <w:sz w:val="24"/>
          <w:szCs w:val="24"/>
        </w:rPr>
      </w:pPr>
      <w:r>
        <w:rPr>
          <w:rFonts w:ascii="Arial" w:hAnsi="Arial"/>
          <w:sz w:val="24"/>
          <w:szCs w:val="24"/>
        </w:rPr>
        <w:t xml:space="preserve">Exekuzio-ezaren beste zati garrantzitsu bat kanonen partidetan dago, eta 6,4 milioi euro egiten du. A-12 eta A-21 autobien kanonen kasuan, aurrekontua egiteko unean egindako zenbatespenen eta 2019ko </w:t>
      </w:r>
      <w:proofErr w:type="spellStart"/>
      <w:r>
        <w:rPr>
          <w:rFonts w:ascii="Arial" w:hAnsi="Arial"/>
          <w:sz w:val="24"/>
          <w:szCs w:val="24"/>
        </w:rPr>
        <w:t>KPIaren</w:t>
      </w:r>
      <w:proofErr w:type="spellEnd"/>
      <w:r>
        <w:rPr>
          <w:rFonts w:ascii="Arial" w:hAnsi="Arial"/>
          <w:sz w:val="24"/>
          <w:szCs w:val="24"/>
        </w:rPr>
        <w:t xml:space="preserve"> eta trafikoaren benetako datuen arteko aldearen ondorio da. Horren emaitza da Nafarroako Gobernuak kostu txikiagoa eta aurrezpena izanen dituela. Nafarroako Ubidearen 1. faseko handitzearen kanonetan, honako hau da aldea: urte anitzeko gastua baimentzeko gobernu-akordioan ezarritako zenbatekoa </w:t>
      </w:r>
      <w:proofErr w:type="spellStart"/>
      <w:r>
        <w:rPr>
          <w:rFonts w:ascii="Arial" w:hAnsi="Arial"/>
          <w:sz w:val="24"/>
          <w:szCs w:val="24"/>
        </w:rPr>
        <w:t>aurresuposatzen</w:t>
      </w:r>
      <w:proofErr w:type="spellEnd"/>
      <w:r>
        <w:rPr>
          <w:rFonts w:ascii="Arial" w:hAnsi="Arial"/>
          <w:sz w:val="24"/>
          <w:szCs w:val="24"/>
        </w:rPr>
        <w:t xml:space="preserve"> da, eta horrek kostu teorikoa jasotzen du; partidan, berriz, gastu erreala ordaintzen da.</w:t>
      </w:r>
    </w:p>
    <w:p w:rsidR="00CC4263" w:rsidRDefault="0034106C" w:rsidP="0034106C">
      <w:pPr>
        <w:spacing w:line="360" w:lineRule="auto"/>
        <w:ind w:left="426"/>
        <w:jc w:val="both"/>
        <w:rPr>
          <w:rFonts w:ascii="Arial" w:hAnsi="Arial" w:cs="Arial"/>
          <w:sz w:val="24"/>
          <w:szCs w:val="24"/>
        </w:rPr>
      </w:pPr>
      <w:r>
        <w:rPr>
          <w:rFonts w:ascii="Arial" w:hAnsi="Arial"/>
          <w:sz w:val="24"/>
          <w:szCs w:val="24"/>
        </w:rPr>
        <w:t xml:space="preserve">Halaber, Tafallako saihesbideari dagokionez, aipatu beharra dago  922.311 euro ez direla exekutatu. Kopuru hori bat dator aldaketa posibleetarako erreserbaren zatiarekin, Kontratuei buruzko Foru Legean ezarritako mugaren barruan, zeina </w:t>
      </w:r>
      <w:r>
        <w:rPr>
          <w:rFonts w:ascii="Arial" w:hAnsi="Arial"/>
          <w:sz w:val="24"/>
          <w:szCs w:val="24"/>
        </w:rPr>
        <w:lastRenderedPageBreak/>
        <w:t xml:space="preserve">ez baita erabili, eta, beraz, kostu txikiagoa eta aurrezpena baitakarkio Nafarroako Gobernuari. </w:t>
      </w:r>
    </w:p>
    <w:p w:rsidR="00CC4263" w:rsidRDefault="0034106C" w:rsidP="0034106C">
      <w:pPr>
        <w:spacing w:line="360" w:lineRule="auto"/>
        <w:ind w:left="426"/>
        <w:jc w:val="both"/>
        <w:rPr>
          <w:rFonts w:ascii="Arial" w:hAnsi="Arial" w:cs="Arial"/>
          <w:sz w:val="24"/>
          <w:szCs w:val="24"/>
        </w:rPr>
      </w:pPr>
      <w:r>
        <w:rPr>
          <w:rFonts w:ascii="Arial" w:hAnsi="Arial"/>
          <w:sz w:val="24"/>
          <w:szCs w:val="24"/>
        </w:rPr>
        <w:t xml:space="preserve">Azkenik, Belateko eta Almandozko tunelak bikoizteko proiektua </w:t>
      </w:r>
      <w:proofErr w:type="spellStart"/>
      <w:r>
        <w:rPr>
          <w:rFonts w:ascii="Arial" w:hAnsi="Arial"/>
          <w:sz w:val="24"/>
          <w:szCs w:val="24"/>
        </w:rPr>
        <w:t>lizitatzeko</w:t>
      </w:r>
      <w:proofErr w:type="spellEnd"/>
      <w:r>
        <w:rPr>
          <w:rFonts w:ascii="Arial" w:hAnsi="Arial"/>
          <w:sz w:val="24"/>
          <w:szCs w:val="24"/>
        </w:rPr>
        <w:t xml:space="preserve"> azterlan eta proiektuen partida ere aipatu beharra dago, kasu horretan COVID-19aren krisiak zuzenean eragin baitio. Hasiera batean, 2020an 750.000 euroko gastua aurreikusten zen, eta 2021ean 750.000 eurokoa, baina epeen atzerapenarekin, 2021ean eta 2022an izanen direla aurreikusten da. Hala eta guztiz ere, horrek ez du eraginik Belateko eta Almandozko tunelak bikoizteko proiektua idazteko lanetan; izan ere, 2020ko irailaren 30ean </w:t>
      </w:r>
      <w:proofErr w:type="spellStart"/>
      <w:r>
        <w:rPr>
          <w:rFonts w:ascii="Arial" w:hAnsi="Arial"/>
          <w:sz w:val="24"/>
          <w:szCs w:val="24"/>
        </w:rPr>
        <w:t>Geocontrol</w:t>
      </w:r>
      <w:proofErr w:type="spellEnd"/>
      <w:r>
        <w:rPr>
          <w:rFonts w:ascii="Arial" w:hAnsi="Arial"/>
          <w:sz w:val="24"/>
          <w:szCs w:val="24"/>
        </w:rPr>
        <w:t xml:space="preserve"> SA eta PJS </w:t>
      </w:r>
      <w:proofErr w:type="spellStart"/>
      <w:r>
        <w:rPr>
          <w:rFonts w:ascii="Arial" w:hAnsi="Arial"/>
          <w:sz w:val="24"/>
          <w:szCs w:val="24"/>
        </w:rPr>
        <w:t>Proyectos</w:t>
      </w:r>
      <w:proofErr w:type="spellEnd"/>
      <w:r>
        <w:rPr>
          <w:rFonts w:ascii="Arial" w:hAnsi="Arial"/>
          <w:sz w:val="24"/>
          <w:szCs w:val="24"/>
        </w:rPr>
        <w:t xml:space="preserve">, </w:t>
      </w:r>
      <w:proofErr w:type="spellStart"/>
      <w:r>
        <w:rPr>
          <w:rFonts w:ascii="Arial" w:hAnsi="Arial"/>
          <w:sz w:val="24"/>
          <w:szCs w:val="24"/>
        </w:rPr>
        <w:t>Estudios</w:t>
      </w:r>
      <w:proofErr w:type="spellEnd"/>
      <w:r>
        <w:rPr>
          <w:rFonts w:ascii="Arial" w:hAnsi="Arial"/>
          <w:sz w:val="24"/>
          <w:szCs w:val="24"/>
        </w:rPr>
        <w:t xml:space="preserve"> y </w:t>
      </w:r>
      <w:proofErr w:type="spellStart"/>
      <w:r>
        <w:rPr>
          <w:rFonts w:ascii="Arial" w:hAnsi="Arial"/>
          <w:sz w:val="24"/>
          <w:szCs w:val="24"/>
        </w:rPr>
        <w:t>Servicios</w:t>
      </w:r>
      <w:proofErr w:type="spellEnd"/>
      <w:r>
        <w:rPr>
          <w:rFonts w:ascii="Arial" w:hAnsi="Arial"/>
          <w:sz w:val="24"/>
          <w:szCs w:val="24"/>
        </w:rPr>
        <w:t xml:space="preserve"> </w:t>
      </w:r>
      <w:proofErr w:type="spellStart"/>
      <w:r>
        <w:rPr>
          <w:rFonts w:ascii="Arial" w:hAnsi="Arial"/>
          <w:sz w:val="24"/>
          <w:szCs w:val="24"/>
        </w:rPr>
        <w:t>Técnicos</w:t>
      </w:r>
      <w:proofErr w:type="spellEnd"/>
      <w:r>
        <w:rPr>
          <w:rFonts w:ascii="Arial" w:hAnsi="Arial"/>
          <w:sz w:val="24"/>
          <w:szCs w:val="24"/>
        </w:rPr>
        <w:t xml:space="preserve"> de Navarra SA enpresei esleitu zitzaizkien. (SERTECNA</w:t>
      </w:r>
      <w:proofErr w:type="spellStart"/>
      <w:r>
        <w:rPr>
          <w:rFonts w:ascii="Arial" w:hAnsi="Arial"/>
          <w:sz w:val="24"/>
          <w:szCs w:val="24"/>
        </w:rPr>
        <w:t>).</w:t>
      </w:r>
      <w:proofErr w:type="spellEnd"/>
      <w:r>
        <w:rPr>
          <w:rFonts w:ascii="Arial" w:hAnsi="Arial"/>
          <w:sz w:val="24"/>
          <w:szCs w:val="24"/>
        </w:rPr>
        <w:t xml:space="preserve">  </w:t>
      </w:r>
    </w:p>
    <w:p w:rsidR="00CC4263" w:rsidRDefault="00453A73" w:rsidP="00453A73">
      <w:pPr>
        <w:spacing w:line="360" w:lineRule="auto"/>
        <w:ind w:left="426"/>
        <w:jc w:val="both"/>
        <w:rPr>
          <w:rFonts w:ascii="Arial" w:hAnsi="Arial" w:cs="Arial"/>
          <w:sz w:val="24"/>
          <w:szCs w:val="24"/>
        </w:rPr>
      </w:pPr>
      <w:r>
        <w:rPr>
          <w:rFonts w:ascii="Arial" w:hAnsi="Arial"/>
          <w:sz w:val="24"/>
          <w:szCs w:val="24"/>
        </w:rPr>
        <w:t>Hori jakinarazten dizut Nafarroako Parlamentuaren Erregelamenduaren 194. artikuluan xedatutakoa betetzeko.</w:t>
      </w:r>
    </w:p>
    <w:p w:rsidR="00CC4263" w:rsidRDefault="00B60C30" w:rsidP="00B60C30">
      <w:pPr>
        <w:spacing w:line="360" w:lineRule="auto"/>
        <w:jc w:val="center"/>
        <w:rPr>
          <w:rFonts w:ascii="Arial" w:hAnsi="Arial" w:cs="Arial"/>
          <w:sz w:val="24"/>
          <w:szCs w:val="24"/>
        </w:rPr>
      </w:pPr>
      <w:r>
        <w:rPr>
          <w:rFonts w:ascii="Arial" w:hAnsi="Arial"/>
          <w:sz w:val="24"/>
          <w:szCs w:val="24"/>
        </w:rPr>
        <w:t>Iruñean, 2020ko urriaren 1ean</w:t>
      </w:r>
    </w:p>
    <w:p w:rsidR="00CC4263" w:rsidRDefault="00CC4263" w:rsidP="00CC4263">
      <w:pPr>
        <w:spacing w:line="360" w:lineRule="auto"/>
        <w:jc w:val="center"/>
        <w:rPr>
          <w:rFonts w:ascii="Arial" w:hAnsi="Arial" w:cs="Arial"/>
          <w:sz w:val="24"/>
          <w:szCs w:val="24"/>
        </w:rPr>
      </w:pPr>
      <w:r>
        <w:rPr>
          <w:rFonts w:ascii="Arial" w:hAnsi="Arial"/>
          <w:sz w:val="24"/>
          <w:szCs w:val="24"/>
        </w:rPr>
        <w:t xml:space="preserve">Lurralde Kohesiorako kontseilaria: Bernardo </w:t>
      </w:r>
      <w:proofErr w:type="spellStart"/>
      <w:r>
        <w:rPr>
          <w:rFonts w:ascii="Arial" w:hAnsi="Arial"/>
          <w:sz w:val="24"/>
          <w:szCs w:val="24"/>
        </w:rPr>
        <w:t>Ciriza</w:t>
      </w:r>
      <w:proofErr w:type="spellEnd"/>
      <w:r>
        <w:rPr>
          <w:rFonts w:ascii="Arial" w:hAnsi="Arial"/>
          <w:sz w:val="24"/>
          <w:szCs w:val="24"/>
        </w:rPr>
        <w:t xml:space="preserve"> Pérez</w:t>
      </w:r>
    </w:p>
    <w:p w:rsidR="00CC4263" w:rsidRDefault="00CC4263" w:rsidP="00DB144D">
      <w:pPr>
        <w:ind w:left="-284"/>
        <w:jc w:val="both"/>
        <w:rPr>
          <w:rFonts w:ascii="Calibri" w:hAnsi="Calibri"/>
          <w:sz w:val="24"/>
          <w:szCs w:val="24"/>
        </w:rPr>
      </w:pPr>
    </w:p>
    <w:p w:rsidR="00CC4263" w:rsidRDefault="00CC4263" w:rsidP="009E202F">
      <w:pPr>
        <w:rPr>
          <w:szCs w:val="24"/>
          <w:lang w:val="es-ES_tradnl"/>
        </w:rPr>
        <w:sectPr w:rsidR="00CC4263" w:rsidSect="00CC4263">
          <w:headerReference w:type="default" r:id="rId8"/>
          <w:headerReference w:type="first" r:id="rId9"/>
          <w:footerReference w:type="first" r:id="rId10"/>
          <w:pgSz w:w="11906" w:h="16838" w:code="9"/>
          <w:pgMar w:top="1702" w:right="1418" w:bottom="1418" w:left="1418" w:header="851" w:footer="709" w:gutter="0"/>
          <w:paperSrc w:first="1"/>
          <w:cols w:space="708"/>
          <w:docGrid w:linePitch="360"/>
        </w:sectPr>
      </w:pPr>
    </w:p>
    <w:tbl>
      <w:tblPr>
        <w:tblW w:w="15176" w:type="dxa"/>
        <w:tblInd w:w="-356" w:type="dxa"/>
        <w:tblCellMar>
          <w:left w:w="70" w:type="dxa"/>
          <w:right w:w="70" w:type="dxa"/>
        </w:tblCellMar>
        <w:tblLook w:val="04A0" w:firstRow="1" w:lastRow="0" w:firstColumn="1" w:lastColumn="0" w:noHBand="0" w:noVBand="1"/>
      </w:tblPr>
      <w:tblGrid>
        <w:gridCol w:w="2694"/>
        <w:gridCol w:w="1058"/>
        <w:gridCol w:w="1106"/>
        <w:gridCol w:w="1303"/>
        <w:gridCol w:w="1233"/>
        <w:gridCol w:w="3990"/>
        <w:gridCol w:w="1533"/>
        <w:gridCol w:w="1533"/>
        <w:gridCol w:w="1422"/>
      </w:tblGrid>
      <w:tr w:rsidR="00090A9C" w:rsidRPr="006F757E" w:rsidTr="00090A9C">
        <w:trPr>
          <w:trHeight w:val="300"/>
        </w:trPr>
        <w:tc>
          <w:tcPr>
            <w:tcW w:w="2694" w:type="dxa"/>
            <w:tcBorders>
              <w:bottom w:val="single" w:sz="4" w:space="0" w:color="auto"/>
              <w:right w:val="single" w:sz="4" w:space="0" w:color="auto"/>
            </w:tcBorders>
            <w:shd w:val="clear" w:color="auto" w:fill="auto"/>
            <w:noWrap/>
            <w:vAlign w:val="bottom"/>
          </w:tcPr>
          <w:p w:rsidR="00090A9C" w:rsidRPr="006F757E" w:rsidRDefault="00090A9C" w:rsidP="00C979A4">
            <w:pPr>
              <w:rPr>
                <w:rFonts w:asciiTheme="minorHAnsi" w:hAnsiTheme="minorHAnsi"/>
                <w:b/>
                <w:bCs/>
              </w:rPr>
            </w:pPr>
          </w:p>
        </w:tc>
        <w:tc>
          <w:tcPr>
            <w:tcW w:w="1058" w:type="dxa"/>
            <w:tcBorders>
              <w:left w:val="nil"/>
              <w:bottom w:val="single" w:sz="4" w:space="0" w:color="auto"/>
              <w:right w:val="single" w:sz="4" w:space="0" w:color="auto"/>
            </w:tcBorders>
            <w:shd w:val="clear" w:color="auto" w:fill="auto"/>
            <w:noWrap/>
            <w:vAlign w:val="bottom"/>
          </w:tcPr>
          <w:p w:rsidR="00090A9C" w:rsidRPr="006F757E" w:rsidRDefault="00090A9C" w:rsidP="00C979A4">
            <w:pPr>
              <w:rPr>
                <w:rFonts w:asciiTheme="minorHAnsi" w:hAnsiTheme="minorHAnsi"/>
                <w:b/>
                <w:bCs/>
              </w:rPr>
            </w:pPr>
          </w:p>
        </w:tc>
        <w:tc>
          <w:tcPr>
            <w:tcW w:w="974"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147"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051"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3990"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p>
        </w:tc>
        <w:tc>
          <w:tcPr>
            <w:tcW w:w="1403"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sz w:val="22"/>
                <w:szCs w:val="22"/>
              </w:rPr>
              <w:t>130.949.185,00</w:t>
            </w:r>
          </w:p>
        </w:tc>
        <w:tc>
          <w:tcPr>
            <w:tcW w:w="1520" w:type="dxa"/>
            <w:tcBorders>
              <w:left w:val="nil"/>
              <w:bottom w:val="single" w:sz="4" w:space="0" w:color="auto"/>
              <w:right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sz w:val="22"/>
                <w:szCs w:val="22"/>
              </w:rPr>
              <w:t>154.309.167,82</w:t>
            </w:r>
          </w:p>
        </w:tc>
        <w:tc>
          <w:tcPr>
            <w:tcW w:w="1339" w:type="dxa"/>
            <w:tcBorders>
              <w:left w:val="nil"/>
              <w:bottom w:val="single" w:sz="4" w:space="0" w:color="auto"/>
            </w:tcBorders>
            <w:shd w:val="clear" w:color="auto" w:fill="auto"/>
            <w:noWrap/>
            <w:vAlign w:val="bottom"/>
          </w:tcPr>
          <w:p w:rsidR="00090A9C" w:rsidRPr="006F757E" w:rsidRDefault="00090A9C" w:rsidP="00C979A4">
            <w:pPr>
              <w:jc w:val="center"/>
              <w:rPr>
                <w:rFonts w:asciiTheme="minorHAnsi" w:hAnsiTheme="minorHAnsi"/>
                <w:b/>
                <w:bCs/>
              </w:rPr>
            </w:pPr>
            <w:r>
              <w:rPr>
                <w:rFonts w:ascii="Calibri" w:hAnsi="Calibri"/>
                <w:sz w:val="22"/>
                <w:szCs w:val="22"/>
              </w:rPr>
              <w:t>16.102.731,04</w:t>
            </w:r>
          </w:p>
        </w:tc>
      </w:tr>
      <w:tr w:rsidR="00CC4263" w:rsidRPr="006F757E" w:rsidTr="00090A9C">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b/>
                <w:bCs/>
              </w:rPr>
            </w:pPr>
            <w:r>
              <w:rPr>
                <w:rFonts w:asciiTheme="minorHAnsi" w:hAnsiTheme="minorHAnsi"/>
                <w:b/>
                <w:bCs/>
              </w:rPr>
              <w:t>POEF</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b/>
                <w:bCs/>
              </w:rPr>
            </w:pPr>
            <w:r>
              <w:rPr>
                <w:rFonts w:asciiTheme="minorHAnsi" w:hAnsiTheme="minorHAnsi"/>
                <w:b/>
                <w:bCs/>
              </w:rPr>
              <w:t>Programa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Organikoa</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Ekonomikoa</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Funtzionala</w:t>
            </w:r>
          </w:p>
        </w:tc>
        <w:tc>
          <w:tcPr>
            <w:tcW w:w="3990"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Izena</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Hasierako kreditua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Bateratua</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CC4263" w:rsidRPr="006F757E" w:rsidRDefault="00CC4263" w:rsidP="00C979A4">
            <w:pPr>
              <w:jc w:val="center"/>
              <w:rPr>
                <w:rFonts w:asciiTheme="minorHAnsi" w:hAnsiTheme="minorHAnsi"/>
                <w:b/>
                <w:bCs/>
              </w:rPr>
            </w:pPr>
            <w:r>
              <w:rPr>
                <w:rFonts w:asciiTheme="minorHAnsi" w:hAnsiTheme="minorHAnsi"/>
                <w:b/>
                <w:bCs/>
              </w:rPr>
              <w:t>Ez-betetzea</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210001 21100 2276 495100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2276</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495100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Lurralde Informazioko Sistemetarako lanak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53.000,00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53.000,00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210001 21100 4609 942302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942302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Toki-erakundeentzako </w:t>
            </w:r>
            <w:proofErr w:type="spellStart"/>
            <w:r>
              <w:rPr>
                <w:rFonts w:asciiTheme="minorHAnsi" w:hAnsiTheme="minorHAnsi"/>
                <w:color w:val="000000"/>
              </w:rPr>
              <w:t>dirulaguntzak</w:t>
            </w:r>
            <w:proofErr w:type="spellEnd"/>
            <w:r>
              <w:rPr>
                <w:rFonts w:asciiTheme="minorHAnsi" w:hAnsiTheme="minorHAnsi"/>
                <w:color w:val="000000"/>
              </w:rPr>
              <w:t>, administrazio elektronikoaren ezarpena sustatzeko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210001 21300 6092 942300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(E) </w:t>
            </w:r>
            <w:proofErr w:type="spellStart"/>
            <w:r>
              <w:rPr>
                <w:rFonts w:asciiTheme="minorHAnsi" w:hAnsiTheme="minorHAnsi"/>
                <w:color w:val="000000"/>
              </w:rPr>
              <w:t>GANi</w:t>
            </w:r>
            <w:proofErr w:type="spellEnd"/>
            <w:r>
              <w:rPr>
                <w:rFonts w:asciiTheme="minorHAnsi" w:hAnsiTheme="minorHAnsi"/>
                <w:color w:val="000000"/>
              </w:rPr>
              <w:t xml:space="preserve"> egindako enkargua, hiriguneetan uholdeak prebenitzeko planak egiteko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210001 21100 7609 912200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912200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Pr>
                <w:rFonts w:asciiTheme="minorHAnsi" w:hAnsiTheme="minorHAnsi"/>
                <w:color w:val="000000"/>
              </w:rPr>
              <w:t>Los</w:t>
            </w:r>
            <w:proofErr w:type="spellEnd"/>
            <w:r>
              <w:rPr>
                <w:rFonts w:asciiTheme="minorHAnsi" w:hAnsiTheme="minorHAnsi"/>
                <w:color w:val="000000"/>
              </w:rPr>
              <w:t xml:space="preserve"> Arcos eraikineko lanak subsidiarioki egitea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235.000,00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211001 21200 4600 942104</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942104</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Udalbatzako kideek udalei emandako konpentsazioa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6.100.000,00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6.063.234,84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81.501,28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211000 21300 7600 261600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Libreki erabakitzekoa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61.250,00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2.182.487,90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23.832,12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211000 21300 7600 261603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COVID-19a. Tokiko ekonomia bultzatzeko inbertsioetarako kapital-transferentzien aparteko funtsa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13.500.000,00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0,91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211000 21300 7600 456104</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456104</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Uraren goi-hornidurarako plan zuzendaria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363.333,99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7.257,40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211000 21300 7600 456106</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456106</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Uraren goi-hornidura </w:t>
            </w:r>
            <w:proofErr w:type="spellStart"/>
            <w:r>
              <w:rPr>
                <w:rFonts w:asciiTheme="minorHAnsi" w:hAnsiTheme="minorHAnsi"/>
                <w:color w:val="000000"/>
              </w:rPr>
              <w:t>I.P</w:t>
            </w:r>
            <w:proofErr w:type="spellEnd"/>
            <w:r>
              <w:rPr>
                <w:rFonts w:asciiTheme="minorHAnsi" w:hAnsiTheme="minorHAnsi"/>
                <w:color w:val="000000"/>
              </w:rPr>
              <w:t>.</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3.032.140,00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3.486.279,24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1.529.219,74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211000 21300 7600 456203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456203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Hiri hondakin solidoen tratamendua </w:t>
            </w:r>
            <w:proofErr w:type="spellStart"/>
            <w:r>
              <w:rPr>
                <w:rFonts w:asciiTheme="minorHAnsi" w:hAnsiTheme="minorHAnsi"/>
                <w:color w:val="000000"/>
              </w:rPr>
              <w:t>I.P</w:t>
            </w:r>
            <w:proofErr w:type="spellEnd"/>
            <w:r>
              <w:rPr>
                <w:rFonts w:asciiTheme="minorHAnsi" w:hAnsiTheme="minorHAnsi"/>
                <w:color w:val="000000"/>
              </w:rPr>
              <w:t>.</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3.084.367,00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3.459.167,49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2.019.404,83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211000 21300 7600 467900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467900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Belaunaldi berriko banda zabaleko sarbide-sareak </w:t>
            </w:r>
            <w:proofErr w:type="spellStart"/>
            <w:r>
              <w:rPr>
                <w:rFonts w:asciiTheme="minorHAnsi" w:hAnsiTheme="minorHAnsi"/>
                <w:color w:val="000000"/>
              </w:rPr>
              <w:t>I.P</w:t>
            </w:r>
            <w:proofErr w:type="spellEnd"/>
            <w:r>
              <w:rPr>
                <w:rFonts w:asciiTheme="minorHAnsi" w:hAnsiTheme="minorHAnsi"/>
                <w:color w:val="000000"/>
              </w:rPr>
              <w:t>.</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927.359,00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1.168.177,85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383.528,24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211000 21300 7600 942400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Toki inbertsiorako plan berezia (2011-2012)</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31.943,09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915,92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211000 21300 7600 942405</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942405</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Inbertsio planerako azterlanak egiteko </w:t>
            </w:r>
            <w:proofErr w:type="spellStart"/>
            <w:r>
              <w:rPr>
                <w:rFonts w:asciiTheme="minorHAnsi" w:hAnsiTheme="minorHAnsi"/>
                <w:color w:val="000000"/>
              </w:rPr>
              <w:t>I.P</w:t>
            </w:r>
            <w:proofErr w:type="spellEnd"/>
            <w:r>
              <w:rPr>
                <w:rFonts w:asciiTheme="minorHAnsi" w:hAnsiTheme="minorHAnsi"/>
                <w:color w:val="000000"/>
              </w:rPr>
              <w:t>.</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211000 21310 7600 261602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Zeharbideen urbanizazioa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211000 21310 7600 261608</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261608</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Zoladurak eta sareak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4.471.695,00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5.857.121,41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1.397.162,85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211000 21310 7600 261609</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261609</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Zoladurak sarerik gabe</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161.298,00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748.102,81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321.058,70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211000 21310 7600 261610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261610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Azpiegiturak eta zuzkidurak araudiari egokitzea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1.201.068,00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1.678.236,44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604.934,38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211000 21310 7600 456103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456103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Hornidurarako, saneamendurako eta euri-uretarako tokiko sareak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3.507.089,00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4.925.566,61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702.808,62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211000 21310 7600 459103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459103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Argiteria publikoa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507.450,00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872.119,66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330.770,10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 21310 7600 45A202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7600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45A202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Bizitokietarako bideak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546.234,00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846.399,99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110.614,66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210001 21100 4609 942300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942300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Tokiko tributuetako hobarien ondoriozko konpentsazioa toki </w:t>
            </w:r>
            <w:proofErr w:type="spellStart"/>
            <w:r>
              <w:rPr>
                <w:rFonts w:asciiTheme="minorHAnsi" w:hAnsiTheme="minorHAnsi"/>
                <w:color w:val="000000"/>
              </w:rPr>
              <w:t>enteei</w:t>
            </w:r>
            <w:proofErr w:type="spellEnd"/>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1.160.000,00-</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220000 22200 2120 453300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220000</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2120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Eraikinen kontserbazioa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30.000,00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220003 22210 2289 453300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22210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2289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453300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Gatza, txintxorra eta beste hornidura laguntzaile batzuk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140.000,00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140.000,00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220003 22200 2090 453200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2090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Pr>
                <w:rFonts w:asciiTheme="minorHAnsi" w:hAnsiTheme="minorHAnsi"/>
                <w:color w:val="000000"/>
              </w:rPr>
              <w:t>Iruñea-Logroño</w:t>
            </w:r>
            <w:proofErr w:type="spellEnd"/>
            <w:r>
              <w:rPr>
                <w:rFonts w:asciiTheme="minorHAnsi" w:hAnsiTheme="minorHAnsi"/>
                <w:color w:val="000000"/>
              </w:rPr>
              <w:t xml:space="preserve"> arteko A-12 autobiaren kanona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1.076.781,16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220003 22200 2090 453202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2090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A-21 </w:t>
            </w:r>
            <w:proofErr w:type="spellStart"/>
            <w:r>
              <w:rPr>
                <w:rFonts w:asciiTheme="minorHAnsi" w:hAnsiTheme="minorHAnsi"/>
                <w:color w:val="000000"/>
              </w:rPr>
              <w:t>Pirinioko</w:t>
            </w:r>
            <w:proofErr w:type="spellEnd"/>
            <w:r>
              <w:rPr>
                <w:rFonts w:asciiTheme="minorHAnsi" w:hAnsiTheme="minorHAnsi"/>
                <w:color w:val="000000"/>
              </w:rPr>
              <w:t xml:space="preserve"> Autobiaren kanona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19.600.000,00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19.382.472,30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383.713,30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220004 22100 4700 452100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4700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Nafarroako Ubideko ureztaketen kanona. Handitzearen 1. fasea.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12.579.330,00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12.579.330,00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4.930.378,45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220003 22230 6010 453303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220003</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22230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453303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Tuneletako instalazioen berritzea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220001 22360 6010 453200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22360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Zundaketa-lanak egitea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88.460,67-</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220002 22100 6010 453210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220002</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453210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Tafallako saihesbidea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7.346.390,00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7.346.390,00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922.311,24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220002 22100 6010 453211</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220002</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6010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453211</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N-121-A errepidea 2+1 errepide bihurtzeko jarduketak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307.001,21-</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220001 22310 6091 453200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6091</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453200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Azterlanak eta proiektuak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1.190.370,00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1.190.370,00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598.374,63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220001 22320 6092 495100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22320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495100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TRACASA Instrumentali egindako enkargua. Kartografia egin eta eguneratzea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550.000,00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51.205,02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220001 22360 6091 451100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22360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6091</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451100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Eraikuntzaren arloko segurtasuna: azterlanak eta jarraipena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242.545,00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242.545,00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78.189,32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220004 22100 6092 452100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Nafarroako Ubidearen Handitzerako azpiegiturak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200.000,00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200.000,00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200.000,00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220004 22100 6094 452100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6094</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Programa informatikoak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120.065,00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120.065,00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120.065,00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220004 22100 4400 452100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220004</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22100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4400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452100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 xml:space="preserve">(E) Transferentzia arrunta </w:t>
            </w:r>
            <w:proofErr w:type="spellStart"/>
            <w:r>
              <w:rPr>
                <w:rFonts w:asciiTheme="minorHAnsi" w:hAnsiTheme="minorHAnsi"/>
                <w:color w:val="000000"/>
              </w:rPr>
              <w:t>INTIAri</w:t>
            </w:r>
            <w:proofErr w:type="spellEnd"/>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659.990,00-</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rPr>
            </w:pPr>
            <w:r>
              <w:rPr>
                <w:rFonts w:asciiTheme="minorHAnsi" w:hAnsiTheme="minorHAnsi"/>
              </w:rPr>
              <w:t>220001 22310 6092 453100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22310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6092</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(E) Trenbide-azpiegiturak hobetzeko azterlanak</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45.010,00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45.010,00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45.010,00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230001 23130 2160 453400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23130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2160</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Modernizazio-sistema mantentzea. INDRA.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275.000,00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275.000,00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175.000,00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230001 23130 2273 453400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23130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2273</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453400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Garraioa modernizatzeko proiektua. Proiektuaren kudeaketarako laguntza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115.000,00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115.000,00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115.000,00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230001 23200 2276 451402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23200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2276</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451402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Pr>
                <w:rFonts w:asciiTheme="minorHAnsi" w:hAnsiTheme="minorHAnsi"/>
                <w:color w:val="000000"/>
              </w:rPr>
              <w:t>NASUVINSArentzako</w:t>
            </w:r>
            <w:proofErr w:type="spellEnd"/>
            <w:r>
              <w:rPr>
                <w:rFonts w:asciiTheme="minorHAnsi" w:hAnsiTheme="minorHAnsi"/>
                <w:color w:val="000000"/>
              </w:rPr>
              <w:t xml:space="preserve"> enkargua. Mugikortasuna, logistika eta garraioa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60.000,00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30.000,00 </w:t>
            </w:r>
          </w:p>
        </w:tc>
      </w:tr>
      <w:tr w:rsidR="00CC4263" w:rsidRPr="006F757E" w:rsidTr="00BF616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230001 23120 4609 441100</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441100</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Pr>
                <w:rFonts w:asciiTheme="minorHAnsi" w:hAnsiTheme="minorHAnsi"/>
                <w:color w:val="000000"/>
              </w:rPr>
              <w:t>Iruñerriko</w:t>
            </w:r>
            <w:proofErr w:type="spellEnd"/>
            <w:r>
              <w:rPr>
                <w:rFonts w:asciiTheme="minorHAnsi" w:hAnsiTheme="minorHAnsi"/>
                <w:color w:val="000000"/>
              </w:rPr>
              <w:t xml:space="preserve"> garraio publikorako ekarpena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11.580.475,00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11.580.475,00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378.815,85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230001 23120 4609 441103</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4609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441103</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proofErr w:type="spellStart"/>
            <w:r>
              <w:rPr>
                <w:rFonts w:asciiTheme="minorHAnsi" w:hAnsiTheme="minorHAnsi"/>
                <w:color w:val="000000"/>
              </w:rPr>
              <w:t>Iruñerriko</w:t>
            </w:r>
            <w:proofErr w:type="spellEnd"/>
            <w:r>
              <w:rPr>
                <w:rFonts w:asciiTheme="minorHAnsi" w:hAnsiTheme="minorHAnsi"/>
                <w:color w:val="000000"/>
              </w:rPr>
              <w:t xml:space="preserve"> Mankomunitatearekiko hitzarmena, espetxerako garraiorako</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50.000,00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27.887,20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27.887,20 </w:t>
            </w:r>
          </w:p>
        </w:tc>
      </w:tr>
      <w:tr w:rsidR="00CC4263" w:rsidRPr="006F757E" w:rsidTr="00BF6168">
        <w:trPr>
          <w:trHeight w:val="28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230001 23120 4709 441102</w:t>
            </w:r>
          </w:p>
        </w:tc>
        <w:tc>
          <w:tcPr>
            <w:tcW w:w="1058"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230001</w:t>
            </w:r>
          </w:p>
        </w:tc>
        <w:tc>
          <w:tcPr>
            <w:tcW w:w="974"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23120</w:t>
            </w:r>
          </w:p>
        </w:tc>
        <w:tc>
          <w:tcPr>
            <w:tcW w:w="1147"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4709</w:t>
            </w:r>
          </w:p>
        </w:tc>
        <w:tc>
          <w:tcPr>
            <w:tcW w:w="1051"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441102</w:t>
            </w:r>
          </w:p>
        </w:tc>
        <w:tc>
          <w:tcPr>
            <w:tcW w:w="3990" w:type="dxa"/>
            <w:tcBorders>
              <w:top w:val="nil"/>
              <w:left w:val="nil"/>
              <w:bottom w:val="nil"/>
              <w:right w:val="single" w:sz="4" w:space="0" w:color="auto"/>
            </w:tcBorders>
            <w:shd w:val="clear" w:color="auto" w:fill="auto"/>
            <w:noWrap/>
            <w:vAlign w:val="bottom"/>
            <w:hideMark/>
          </w:tcPr>
          <w:p w:rsidR="00CC4263" w:rsidRPr="006F757E" w:rsidRDefault="00CC4263" w:rsidP="00C979A4">
            <w:pPr>
              <w:rPr>
                <w:rFonts w:asciiTheme="minorHAnsi" w:hAnsiTheme="minorHAnsi"/>
                <w:color w:val="000000"/>
              </w:rPr>
            </w:pPr>
            <w:r>
              <w:rPr>
                <w:rFonts w:asciiTheme="minorHAnsi" w:hAnsiTheme="minorHAnsi"/>
                <w:color w:val="000000"/>
              </w:rPr>
              <w:t>COVID-19a. Bidaiarien garraio-zerbitzuak mantentzeko laguntza</w:t>
            </w:r>
          </w:p>
        </w:tc>
        <w:tc>
          <w:tcPr>
            <w:tcW w:w="1403"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0,00 </w:t>
            </w:r>
          </w:p>
        </w:tc>
        <w:tc>
          <w:tcPr>
            <w:tcW w:w="1520"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2.024.422,00 </w:t>
            </w:r>
          </w:p>
        </w:tc>
        <w:tc>
          <w:tcPr>
            <w:tcW w:w="1339" w:type="dxa"/>
            <w:tcBorders>
              <w:top w:val="nil"/>
              <w:left w:val="nil"/>
              <w:bottom w:val="nil"/>
              <w:right w:val="single" w:sz="4" w:space="0" w:color="auto"/>
            </w:tcBorders>
            <w:shd w:val="clear" w:color="auto" w:fill="auto"/>
            <w:noWrap/>
            <w:vAlign w:val="bottom"/>
            <w:hideMark/>
          </w:tcPr>
          <w:p w:rsidR="00CC4263" w:rsidRPr="006F757E" w:rsidRDefault="00CC4263" w:rsidP="00C979A4">
            <w:pPr>
              <w:jc w:val="right"/>
              <w:rPr>
                <w:rFonts w:asciiTheme="minorHAnsi" w:hAnsiTheme="minorHAnsi"/>
                <w:color w:val="000000"/>
              </w:rPr>
            </w:pPr>
            <w:r>
              <w:rPr>
                <w:rFonts w:asciiTheme="minorHAnsi" w:hAnsiTheme="minorHAnsi"/>
                <w:color w:val="000000"/>
              </w:rPr>
              <w:t xml:space="preserve">624.422,00 </w:t>
            </w:r>
          </w:p>
        </w:tc>
      </w:tr>
      <w:bookmarkEnd w:id="0"/>
    </w:tbl>
    <w:p w:rsidR="00A2145B" w:rsidRPr="009E202F" w:rsidRDefault="00A2145B" w:rsidP="009E202F">
      <w:pPr>
        <w:rPr>
          <w:szCs w:val="24"/>
          <w:lang w:val="es-ES_tradnl"/>
        </w:rPr>
      </w:pPr>
    </w:p>
    <w:sectPr w:rsidR="00A2145B" w:rsidRPr="009E202F" w:rsidSect="00BF6168">
      <w:pgSz w:w="16838" w:h="11906" w:orient="landscape" w:code="9"/>
      <w:pgMar w:top="1135" w:right="1702"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04" w:rsidRDefault="00AF3104">
      <w:r>
        <w:separator/>
      </w:r>
    </w:p>
  </w:endnote>
  <w:endnote w:type="continuationSeparator" w:id="0">
    <w:p w:rsidR="00AF3104" w:rsidRDefault="00AF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FA28DC" w:rsidP="00A2145B">
    <w:pPr>
      <w:pStyle w:val="Piedepgina"/>
      <w:jc w:val="right"/>
      <w:rPr>
        <w:rFonts w:ascii="Courier New" w:hAnsi="Courier New" w:cs="Courier New"/>
        <w:sz w:val="18"/>
        <w:szCs w:val="18"/>
      </w:rPr>
    </w:pPr>
    <w:r w:rsidRPr="00A2145B">
      <w:rPr>
        <w:rStyle w:val="Nmerodepgina"/>
        <w:rFonts w:ascii="Courier New" w:hAnsi="Courier New" w:cs="Courier New"/>
        <w:sz w:val="18"/>
        <w:szCs w:val="18"/>
      </w:rPr>
      <w:fldChar w:fldCharType="begin"/>
    </w:r>
    <w:r w:rsidR="00A2145B"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B60C30">
      <w:rPr>
        <w:rStyle w:val="Nmerodepgina"/>
        <w:rFonts w:ascii="Courier New" w:hAnsi="Courier New" w:cs="Courier New"/>
        <w:sz w:val="18"/>
        <w:szCs w:val="18"/>
      </w:rPr>
      <w:t>1</w:t>
    </w:r>
    <w:r w:rsidRPr="00A2145B">
      <w:rPr>
        <w:rStyle w:val="Nmerodepgina"/>
        <w:rFonts w:ascii="Courier New" w:hAnsi="Courier New" w:cs="Courier New"/>
        <w:sz w:val="18"/>
        <w:szCs w:val="18"/>
      </w:rPr>
      <w:fldChar w:fldCharType="end"/>
    </w:r>
    <w:r w:rsidR="00A2145B">
      <w:t>. 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04" w:rsidRDefault="00AF3104">
      <w:r>
        <w:separator/>
      </w:r>
    </w:p>
  </w:footnote>
  <w:footnote w:type="continuationSeparator" w:id="0">
    <w:p w:rsidR="00AF3104" w:rsidRDefault="00AF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lang w:val="es-ES"/>
      </w:rPr>
      <w:drawing>
        <wp:anchor distT="0" distB="0" distL="114300" distR="114300" simplePos="0" relativeHeight="251657216" behindDoc="0" locked="0" layoutInCell="1" allowOverlap="1" wp14:anchorId="268269F5" wp14:editId="7427A282">
          <wp:simplePos x="0" y="0"/>
          <wp:positionH relativeFrom="page">
            <wp:align>left</wp:align>
          </wp:positionH>
          <wp:positionV relativeFrom="page">
            <wp:align>top</wp:align>
          </wp:positionV>
          <wp:extent cx="7569186" cy="1803058"/>
          <wp:effectExtent l="25400" t="0" r="14" b="0"/>
          <wp:wrapNone/>
          <wp:docPr id="2" name="Imagen 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0F37"/>
    <w:rsid w:val="000729E0"/>
    <w:rsid w:val="00090A9C"/>
    <w:rsid w:val="0009463A"/>
    <w:rsid w:val="000A1B73"/>
    <w:rsid w:val="000B64A1"/>
    <w:rsid w:val="000B66B8"/>
    <w:rsid w:val="00192C26"/>
    <w:rsid w:val="001E46D1"/>
    <w:rsid w:val="002168BE"/>
    <w:rsid w:val="00237978"/>
    <w:rsid w:val="00277C9A"/>
    <w:rsid w:val="002843BA"/>
    <w:rsid w:val="00291E79"/>
    <w:rsid w:val="002C5077"/>
    <w:rsid w:val="002F0A3B"/>
    <w:rsid w:val="0034106C"/>
    <w:rsid w:val="00355B58"/>
    <w:rsid w:val="0038365D"/>
    <w:rsid w:val="003F1206"/>
    <w:rsid w:val="004031A8"/>
    <w:rsid w:val="00426486"/>
    <w:rsid w:val="00453A73"/>
    <w:rsid w:val="00475FFA"/>
    <w:rsid w:val="004A0341"/>
    <w:rsid w:val="004C58DB"/>
    <w:rsid w:val="004F041D"/>
    <w:rsid w:val="004F4088"/>
    <w:rsid w:val="005031E3"/>
    <w:rsid w:val="00524782"/>
    <w:rsid w:val="005367EB"/>
    <w:rsid w:val="00560A6B"/>
    <w:rsid w:val="00597336"/>
    <w:rsid w:val="005B095B"/>
    <w:rsid w:val="005C14E9"/>
    <w:rsid w:val="00610AAA"/>
    <w:rsid w:val="00647F75"/>
    <w:rsid w:val="006755C0"/>
    <w:rsid w:val="006764C1"/>
    <w:rsid w:val="00696F6F"/>
    <w:rsid w:val="006A5952"/>
    <w:rsid w:val="006C0A38"/>
    <w:rsid w:val="0072622D"/>
    <w:rsid w:val="00780CA4"/>
    <w:rsid w:val="00793F61"/>
    <w:rsid w:val="007E640E"/>
    <w:rsid w:val="007F791E"/>
    <w:rsid w:val="00832136"/>
    <w:rsid w:val="00834F7A"/>
    <w:rsid w:val="00841669"/>
    <w:rsid w:val="0086775D"/>
    <w:rsid w:val="009226EF"/>
    <w:rsid w:val="009603A5"/>
    <w:rsid w:val="0096171C"/>
    <w:rsid w:val="00994342"/>
    <w:rsid w:val="009D73FA"/>
    <w:rsid w:val="009E0B2C"/>
    <w:rsid w:val="009E202F"/>
    <w:rsid w:val="009E381E"/>
    <w:rsid w:val="00A117E7"/>
    <w:rsid w:val="00A2145B"/>
    <w:rsid w:val="00A57E0A"/>
    <w:rsid w:val="00AF3104"/>
    <w:rsid w:val="00B17CCC"/>
    <w:rsid w:val="00B46857"/>
    <w:rsid w:val="00B605A4"/>
    <w:rsid w:val="00B60C30"/>
    <w:rsid w:val="00BD6A02"/>
    <w:rsid w:val="00BF6168"/>
    <w:rsid w:val="00C7645D"/>
    <w:rsid w:val="00CA2943"/>
    <w:rsid w:val="00CC186C"/>
    <w:rsid w:val="00CC4263"/>
    <w:rsid w:val="00D150AC"/>
    <w:rsid w:val="00D27CE0"/>
    <w:rsid w:val="00D95E60"/>
    <w:rsid w:val="00DA6D6E"/>
    <w:rsid w:val="00DB144D"/>
    <w:rsid w:val="00DF6784"/>
    <w:rsid w:val="00E21BF7"/>
    <w:rsid w:val="00E549D7"/>
    <w:rsid w:val="00ED5CA9"/>
    <w:rsid w:val="00EE5207"/>
    <w:rsid w:val="00F323EB"/>
    <w:rsid w:val="00F37BED"/>
    <w:rsid w:val="00FA28DC"/>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1728646350">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2</cp:revision>
  <cp:lastPrinted>2020-09-29T11:04:00Z</cp:lastPrinted>
  <dcterms:created xsi:type="dcterms:W3CDTF">2020-10-28T10:47:00Z</dcterms:created>
  <dcterms:modified xsi:type="dcterms:W3CDTF">2020-10-28T10:47:00Z</dcterms:modified>
</cp:coreProperties>
</file>