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Carlos Pérez-Nievas López de Goicoechea jaunak egindako galderaren erantzuna, Foru Diputazioak emana, Rozalejoko Markesaren jauregiaren okupazio ilegalari buruzkoa. Galdera 2019ko azaroaren 28ko 43. Nafarroako Parlamentuko Aldizkari Ofizialean argitaratu zen.</w:t>
      </w:r>
    </w:p>
    <w:p>
      <w:pPr>
        <w:pStyle w:val="0"/>
        <w:suppressAutoHyphens w:val="false"/>
        <w:rPr>
          <w:rStyle w:val="1"/>
        </w:rPr>
      </w:pPr>
      <w:r>
        <w:rPr>
          <w:rStyle w:val="1"/>
        </w:rPr>
        <w:t xml:space="preserve">Iruñean, 2019ko abenduaren 24an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Carlos Pérez-Nievas jaunak idatzizko galdera egin du (PES-00164). Hona horri buruz erantzun beharrekoa: Nafarroako Gobernuak ez du geroztik gaiari buruzko inongo ekimenik abiarazi.</w:t>
      </w:r>
    </w:p>
    <w:p>
      <w:pPr>
        <w:pStyle w:val="0"/>
        <w:suppressAutoHyphens w:val="false"/>
        <w:rPr>
          <w:rStyle w:val="1"/>
        </w:rPr>
      </w:pPr>
      <w:r>
        <w:rPr>
          <w:rStyle w:val="1"/>
        </w:rPr>
        <w:t xml:space="preserve">Galdera parlamentario horren aurrean, azpimarratu behar dugu Aholkularitza Juridikoaren Zerbitzuak gai honetan eta beste edozeinetan egindako jarduketen helburua soil-soilik dela Nafarroako Foru Komunitateko Administrazioaren interesak defendatzea, eskura dituen frogabide guztiak erabiliz.</w:t>
      </w:r>
    </w:p>
    <w:p>
      <w:pPr>
        <w:pStyle w:val="0"/>
        <w:suppressAutoHyphens w:val="false"/>
        <w:rPr>
          <w:rStyle w:val="1"/>
        </w:rPr>
      </w:pPr>
      <w:r>
        <w:rPr>
          <w:rStyle w:val="1"/>
        </w:rPr>
        <w:t xml:space="preserve">Prozeduran parte hartu zuen aholkulari juridikoak Ondare Zerbitzuak eta Foruzaingoak eman zizkioten froga guztiak aurkeztu zituen, hargatik eragotzi gabe polizia horrek polizia judizial gisa zuzenean epaitegira bidali zituenak.</w:t>
      </w:r>
    </w:p>
    <w:p>
      <w:pPr>
        <w:pStyle w:val="0"/>
        <w:suppressAutoHyphens w:val="false"/>
        <w:rPr>
          <w:rStyle w:val="1"/>
        </w:rPr>
      </w:pPr>
      <w:r>
        <w:rPr>
          <w:rStyle w:val="1"/>
        </w:rPr>
        <w:t xml:space="preserve">Foruzaingoko agenteen zitazioari dagokionez, aipatzekoa da aholkulari juridikoak ahozko ikustaldiari edo epaiketari begira agiri gisa aurkeztutako atestatuen eta txostenen egileei egin ziela zitazioa.</w:t>
      </w:r>
    </w:p>
    <w:p>
      <w:pPr>
        <w:pStyle w:val="0"/>
        <w:suppressAutoHyphens w:val="false"/>
        <w:rPr>
          <w:rStyle w:val="1"/>
        </w:rPr>
      </w:pPr>
      <w:r>
        <w:rPr>
          <w:rStyle w:val="1"/>
        </w:rPr>
        <w:t xml:space="preserve">Horrela, txostenetan parte hartu zuten honako agente hauei egin zitzaien zitazioa:</w:t>
      </w:r>
    </w:p>
    <w:p>
      <w:pPr>
        <w:pStyle w:val="0"/>
        <w:suppressAutoHyphens w:val="false"/>
        <w:rPr>
          <w:rStyle w:val="1"/>
        </w:rPr>
      </w:pPr>
      <w:r>
        <w:rPr>
          <w:rStyle w:val="1"/>
        </w:rPr>
        <w:t xml:space="preserve">• </w:t>
        <w:t xml:space="preserve">�</w:t>
        <w:t xml:space="preserve">544. lanbide-identifikazioko zenbakia duen agentea.</w:t>
      </w:r>
    </w:p>
    <w:p>
      <w:pPr>
        <w:pStyle w:val="0"/>
        <w:suppressAutoHyphens w:val="false"/>
        <w:rPr>
          <w:rStyle w:val="1"/>
        </w:rPr>
      </w:pPr>
      <w:r>
        <w:rPr>
          <w:rStyle w:val="1"/>
        </w:rPr>
        <w:t xml:space="preserve">• </w:t>
        <w:t xml:space="preserve">�</w:t>
        <w:t xml:space="preserve">305. lanbide-identifikazioko zenbakia duen agentea.</w:t>
      </w:r>
    </w:p>
    <w:p>
      <w:pPr>
        <w:pStyle w:val="0"/>
        <w:suppressAutoHyphens w:val="false"/>
        <w:rPr>
          <w:rStyle w:val="1"/>
        </w:rPr>
      </w:pPr>
      <w:r>
        <w:rPr>
          <w:rStyle w:val="1"/>
        </w:rPr>
        <w:t xml:space="preserve">• </w:t>
        <w:t xml:space="preserve">�</w:t>
        <w:t xml:space="preserve">325. lanbide-identifikazioko zenbakia duen agentea.</w:t>
      </w:r>
    </w:p>
    <w:p>
      <w:pPr>
        <w:pStyle w:val="0"/>
        <w:suppressAutoHyphens w:val="false"/>
        <w:rPr>
          <w:rStyle w:val="1"/>
        </w:rPr>
      </w:pPr>
      <w:r>
        <w:rPr>
          <w:rStyle w:val="1"/>
        </w:rPr>
        <w:t xml:space="preserve">• </w:t>
        <w:t xml:space="preserve">�</w:t>
        <w:t xml:space="preserve">255. lanbide-identifikazioko zenbakia duen agentea.</w:t>
      </w:r>
    </w:p>
    <w:p>
      <w:pPr>
        <w:pStyle w:val="0"/>
        <w:suppressAutoHyphens w:val="false"/>
        <w:rPr>
          <w:rStyle w:val="1"/>
        </w:rPr>
      </w:pPr>
      <w:r>
        <w:rPr>
          <w:rStyle w:val="1"/>
        </w:rPr>
        <w:t xml:space="preserve">• </w:t>
        <w:t xml:space="preserve">�</w:t>
        <w:t xml:space="preserve">302. lanbide-identifikazioko zenbakia duen agentea.</w:t>
      </w:r>
    </w:p>
    <w:p>
      <w:pPr>
        <w:pStyle w:val="0"/>
        <w:suppressAutoHyphens w:val="false"/>
        <w:rPr>
          <w:rStyle w:val="1"/>
        </w:rPr>
      </w:pPr>
      <w:r>
        <w:rPr>
          <w:rStyle w:val="1"/>
        </w:rPr>
        <w:t xml:space="preserve">• </w:t>
        <w:t xml:space="preserve">�</w:t>
        <w:t xml:space="preserve">274. lanbide-identifikazioko zenbakia duen agentea.</w:t>
      </w:r>
    </w:p>
    <w:p>
      <w:pPr>
        <w:pStyle w:val="0"/>
        <w:suppressAutoHyphens w:val="false"/>
        <w:rPr>
          <w:rStyle w:val="1"/>
        </w:rPr>
      </w:pPr>
      <w:r>
        <w:rPr>
          <w:rStyle w:val="1"/>
        </w:rPr>
        <w:t xml:space="preserve">Foruzaingoak egindako eginbideei dagokienez, laburbildu behar da 2018ko abuztuaren 17an Rozalejoko markesaren jauregia husten parte hartu zuten agente instruktoreek higiezinean zeuden pertsonak identifikatu zituztela, eta ondoren aipatzen diren agiri eta datuak hartu zitzaizkiela, beren filiazioa behar bezala egiaztatze aldera: nortasun-agiri nazionala, izen-abizenak, jaiotza-data, bizilekuko helbidea —kalea, ataria, solairua eta herria adierazita—, bai eta dispositiboan esku hartu zuten Foruzaingoko agenteek lokalizatu zituztenean eraikineko zein tokitan zeuden ere.</w:t>
      </w:r>
    </w:p>
    <w:p>
      <w:pPr>
        <w:pStyle w:val="0"/>
        <w:suppressAutoHyphens w:val="false"/>
        <w:rPr>
          <w:rStyle w:val="1"/>
        </w:rPr>
      </w:pPr>
      <w:r>
        <w:rPr>
          <w:rStyle w:val="1"/>
        </w:rPr>
        <w:t xml:space="preserve">Eraikinean zegoen pertsona bakoitzaren bizilekuari buruzko datuei dagokienez, okupazioaren aurreko helbideari buruzkoak direla adierazi behar da. Instrukzio-agenteak uste zuen erabilitako formula egokia zela gerora pertsona haiek aurkitu ahal izateko eta egin zitezkeen zitazio judizialak modu egokian egin ahal izateko, eraikinean zeuden guztiak ateratzera eta higiezineko sarrera guztiak hormaz ixtera zihoazelako, Instrukzioko 4. Epaitegiaren agindua betez. Izan ere, filiazio hori egokia izan zen, zeren eta zitazio guztiak egin ahal izan zitzaizkien ikertutako pertsona guztiei.</w:t>
      </w:r>
    </w:p>
    <w:p>
      <w:pPr>
        <w:pStyle w:val="0"/>
        <w:suppressAutoHyphens w:val="false"/>
        <w:rPr>
          <w:rStyle w:val="1"/>
        </w:rPr>
      </w:pPr>
      <w:r>
        <w:rPr>
          <w:rStyle w:val="1"/>
        </w:rPr>
        <w:t xml:space="preserve">Zure idazkian adierazi duzunez, epaiak aipatzen du oker jaso zela eraikinaren helbidea, baina baieztapen hori ez da egia; izan ere, epaiak aipatzen duena da okupatutako eraikina ez den beste bizileku bat jaso zela, eta hori, lehenago argitu den bezala, logikoa da, pertsonen dokumentu ofizialetako filiazio-datuak hartu baitziren ondoren haiek aurkitu ahal izateko. Pertsona horien bizilekua jasotzea ez da jarduketa okerra izan, eta ez du zerikusirik izan auziaren amaieran, zuk zure idazkian aipatzen duzuna gorabehera.</w:t>
      </w:r>
    </w:p>
    <w:p>
      <w:pPr>
        <w:pStyle w:val="0"/>
        <w:suppressAutoHyphens w:val="false"/>
        <w:rPr>
          <w:rStyle w:val="1"/>
        </w:rPr>
      </w:pPr>
      <w:r>
        <w:rPr>
          <w:rStyle w:val="1"/>
        </w:rPr>
        <w:t xml:space="preserve">Absoluzio-epaia ikusita, Foruzaingoak Ikerketa Kriminalaren Arloko unitateek egin beharreko jarduketak berrikusi ditu, Auzitegi Gorenaren jurisprudentziara egokitzeko, bai beharrezko froga-elementuei dagokienez, bai Zigor Kodearen 245. artikuluan aurreikusitako delituaren funtsezko elementuak betetzeari dagokionez ere.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