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7D7925" w:rsidRDefault="00E97702" w:rsidP="008C26AE">
      <w:pPr>
        <w:pStyle w:val="EstiloPortada"/>
        <w:spacing w:before="180" w:after="240"/>
        <w:ind w:left="3249" w:right="-57"/>
        <w:rPr>
          <w:rFonts w:ascii="Arial" w:hAnsi="Arial" w:cs="Arial"/>
          <w:sz w:val="36"/>
          <w:szCs w:val="36"/>
        </w:rPr>
      </w:pPr>
      <w:r>
        <w:rPr>
          <w:rFonts w:ascii="Arial" w:hAnsi="Arial" w:cs="Arial"/>
          <w:noProof/>
          <w:color w:val="808080"/>
          <w:sz w:val="36"/>
          <w:szCs w:val="36"/>
          <w:lang w:val="es-ES" w:eastAsia="es-ES" w:bidi="ar-SA"/>
        </w:rPr>
        <mc:AlternateContent>
          <mc:Choice Requires="wps">
            <w:drawing>
              <wp:anchor distT="0" distB="0" distL="114300" distR="114300" simplePos="0" relativeHeight="251657728" behindDoc="0" locked="0" layoutInCell="1" allowOverlap="1" wp14:anchorId="6EC7328B" wp14:editId="6AEB025E">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6596E" w:rsidRPr="003A7956" w:rsidRDefault="0056596E" w:rsidP="002C7026">
                            <w:pPr>
                              <w:spacing w:after="0"/>
                              <w:ind w:firstLine="0"/>
                              <w:jc w:val="center"/>
                              <w:rPr>
                                <w:sz w:val="18"/>
                                <w:szCs w:val="18"/>
                              </w:rPr>
                            </w:pPr>
                            <w:r>
                              <w:rPr>
                                <w:sz w:val="18"/>
                              </w:rPr>
                              <w:t>CAMARA DE</w:t>
                            </w:r>
                          </w:p>
                          <w:p w:rsidR="0056596E" w:rsidRPr="003A7956" w:rsidRDefault="0056596E" w:rsidP="002C7026">
                            <w:pPr>
                              <w:spacing w:after="0"/>
                              <w:ind w:firstLine="0"/>
                              <w:jc w:val="center"/>
                              <w:rPr>
                                <w:sz w:val="18"/>
                                <w:szCs w:val="18"/>
                              </w:rPr>
                            </w:pPr>
                            <w:r>
                              <w:rPr>
                                <w:sz w:val="18"/>
                              </w:rPr>
                              <w:t>COMPTOS</w:t>
                            </w:r>
                          </w:p>
                          <w:p w:rsidR="0056596E" w:rsidRPr="003A7956" w:rsidRDefault="0056596E" w:rsidP="002C7026">
                            <w:pPr>
                              <w:spacing w:after="0"/>
                              <w:ind w:firstLine="0"/>
                              <w:jc w:val="center"/>
                              <w:rPr>
                                <w:sz w:val="18"/>
                                <w:szCs w:val="18"/>
                              </w:rPr>
                            </w:pPr>
                            <w:r>
                              <w:rPr>
                                <w:sz w:val="18"/>
                              </w:rPr>
                              <w:t>DE NAVARRA</w:t>
                            </w:r>
                          </w:p>
                          <w:p w:rsidR="0056596E" w:rsidRPr="003A7956" w:rsidRDefault="0056596E" w:rsidP="002C7026">
                            <w:pPr>
                              <w:spacing w:after="0"/>
                              <w:ind w:firstLine="0"/>
                              <w:jc w:val="center"/>
                              <w:rPr>
                                <w:color w:val="808080"/>
                                <w:sz w:val="18"/>
                                <w:szCs w:val="18"/>
                              </w:rPr>
                            </w:pPr>
                            <w:r>
                              <w:rPr>
                                <w:color w:val="808080"/>
                                <w:sz w:val="18"/>
                              </w:rPr>
                              <w:t>NAFARROAKO</w:t>
                            </w:r>
                          </w:p>
                          <w:p w:rsidR="0056596E" w:rsidRPr="003A7956" w:rsidRDefault="0056596E" w:rsidP="002C7026">
                            <w:pPr>
                              <w:spacing w:after="0"/>
                              <w:ind w:firstLine="0"/>
                              <w:jc w:val="center"/>
                              <w:rPr>
                                <w:color w:val="808080"/>
                                <w:sz w:val="18"/>
                                <w:szCs w:val="18"/>
                              </w:rPr>
                            </w:pPr>
                            <w:r>
                              <w:rPr>
                                <w:color w:val="808080"/>
                                <w:sz w:val="18"/>
                              </w:rPr>
                              <w:t>KONTUEN</w:t>
                            </w:r>
                          </w:p>
                          <w:p w:rsidR="0056596E" w:rsidRPr="003A7956" w:rsidRDefault="0056596E"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6596E" w:rsidRPr="003A7956" w:rsidRDefault="0056596E" w:rsidP="002C7026">
                      <w:pPr>
                        <w:spacing w:after="0"/>
                        <w:ind w:firstLine="0"/>
                        <w:jc w:val="center"/>
                        <w:rPr>
                          <w:sz w:val="18"/>
                          <w:szCs w:val="18"/>
                        </w:rPr>
                      </w:pPr>
                      <w:r>
                        <w:rPr>
                          <w:sz w:val="18"/>
                        </w:rPr>
                        <w:t>CAMARA DE</w:t>
                      </w:r>
                    </w:p>
                    <w:p w:rsidR="0056596E" w:rsidRPr="003A7956" w:rsidRDefault="0056596E" w:rsidP="002C7026">
                      <w:pPr>
                        <w:spacing w:after="0"/>
                        <w:ind w:firstLine="0"/>
                        <w:jc w:val="center"/>
                        <w:rPr>
                          <w:sz w:val="18"/>
                          <w:szCs w:val="18"/>
                        </w:rPr>
                      </w:pPr>
                      <w:r>
                        <w:rPr>
                          <w:sz w:val="18"/>
                        </w:rPr>
                        <w:t>COMPTOS</w:t>
                      </w:r>
                    </w:p>
                    <w:p w:rsidR="0056596E" w:rsidRPr="003A7956" w:rsidRDefault="0056596E" w:rsidP="002C7026">
                      <w:pPr>
                        <w:spacing w:after="0"/>
                        <w:ind w:firstLine="0"/>
                        <w:jc w:val="center"/>
                        <w:rPr>
                          <w:sz w:val="18"/>
                          <w:szCs w:val="18"/>
                        </w:rPr>
                      </w:pPr>
                      <w:r>
                        <w:rPr>
                          <w:sz w:val="18"/>
                        </w:rPr>
                        <w:t>DE NAVARRA</w:t>
                      </w:r>
                    </w:p>
                    <w:p w:rsidR="0056596E" w:rsidRPr="003A7956" w:rsidRDefault="0056596E" w:rsidP="002C7026">
                      <w:pPr>
                        <w:spacing w:after="0"/>
                        <w:ind w:firstLine="0"/>
                        <w:jc w:val="center"/>
                        <w:rPr>
                          <w:color w:val="808080"/>
                          <w:sz w:val="18"/>
                          <w:szCs w:val="18"/>
                        </w:rPr>
                      </w:pPr>
                      <w:r>
                        <w:rPr>
                          <w:color w:val="808080"/>
                          <w:sz w:val="18"/>
                        </w:rPr>
                        <w:t>NAFARROAKO</w:t>
                      </w:r>
                    </w:p>
                    <w:p w:rsidR="0056596E" w:rsidRPr="003A7956" w:rsidRDefault="0056596E" w:rsidP="002C7026">
                      <w:pPr>
                        <w:spacing w:after="0"/>
                        <w:ind w:firstLine="0"/>
                        <w:jc w:val="center"/>
                        <w:rPr>
                          <w:color w:val="808080"/>
                          <w:sz w:val="18"/>
                          <w:szCs w:val="18"/>
                        </w:rPr>
                      </w:pPr>
                      <w:r>
                        <w:rPr>
                          <w:color w:val="808080"/>
                          <w:sz w:val="18"/>
                        </w:rPr>
                        <w:t>KONTUEN</w:t>
                      </w:r>
                    </w:p>
                    <w:p w:rsidR="0056596E" w:rsidRPr="003A7956" w:rsidRDefault="0056596E" w:rsidP="002C7026">
                      <w:pPr>
                        <w:spacing w:after="0"/>
                        <w:ind w:firstLine="0"/>
                        <w:jc w:val="center"/>
                        <w:rPr>
                          <w:color w:val="808080"/>
                          <w:sz w:val="18"/>
                          <w:szCs w:val="18"/>
                        </w:rPr>
                      </w:pPr>
                      <w:r>
                        <w:rPr>
                          <w:color w:val="808080"/>
                          <w:sz w:val="18"/>
                        </w:rPr>
                        <w:t>GANBERA</w:t>
                      </w:r>
                    </w:p>
                  </w:txbxContent>
                </v:textbox>
              </v:shape>
            </w:pict>
          </mc:Fallback>
        </mc:AlternateContent>
      </w:r>
    </w:p>
    <w:p w:rsidR="00680F2D" w:rsidRPr="008C26AE" w:rsidRDefault="00680F2D" w:rsidP="0084452B">
      <w:pPr>
        <w:pStyle w:val="portada"/>
        <w:spacing w:before="120"/>
        <w:ind w:left="3220" w:right="-451"/>
        <w:jc w:val="left"/>
        <w:rPr>
          <w:b/>
          <w:sz w:val="40"/>
          <w:szCs w:val="40"/>
        </w:rPr>
      </w:pPr>
      <w:r>
        <w:rPr>
          <w:rFonts w:ascii="Times New Roman" w:hAnsi="Times New Roman"/>
          <w:b/>
          <w:sz w:val="44"/>
        </w:rPr>
        <w:t>Iberdrolaren akzioen salero</w:t>
      </w:r>
      <w:r>
        <w:rPr>
          <w:rFonts w:ascii="Times New Roman" w:hAnsi="Times New Roman"/>
          <w:b/>
          <w:sz w:val="44"/>
        </w:rPr>
        <w:t>s</w:t>
      </w:r>
      <w:r>
        <w:rPr>
          <w:rFonts w:ascii="Times New Roman" w:hAnsi="Times New Roman"/>
          <w:b/>
          <w:sz w:val="44"/>
        </w:rPr>
        <w:t>keta-eragiketaren emaitzak (</w:t>
      </w:r>
      <w:r>
        <w:rPr>
          <w:rFonts w:ascii="Times New Roman" w:hAnsi="Times New Roman"/>
          <w:b/>
          <w:sz w:val="40"/>
        </w:rPr>
        <w:t>2005-2014)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6944BB" w:rsidRDefault="006944BB" w:rsidP="00891D73">
      <w:pPr>
        <w:pStyle w:val="texto"/>
      </w:pPr>
    </w:p>
    <w:p w:rsidR="006944BB" w:rsidRDefault="006944BB" w:rsidP="00891D73">
      <w:pPr>
        <w:pStyle w:val="texto"/>
      </w:pPr>
    </w:p>
    <w:p w:rsidR="006944BB" w:rsidRDefault="006944BB"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5D6A9B" w:rsidRPr="00204979" w:rsidRDefault="005D6A9B" w:rsidP="00891D73">
      <w:pPr>
        <w:pStyle w:val="texto"/>
      </w:pPr>
    </w:p>
    <w:p w:rsidR="00926E7B" w:rsidRDefault="00926E7B" w:rsidP="009936FC">
      <w:pPr>
        <w:pStyle w:val="Fechaportada"/>
      </w:pPr>
    </w:p>
    <w:p w:rsidR="00716463" w:rsidRPr="001D4F09" w:rsidRDefault="00F128AC" w:rsidP="009936FC">
      <w:pPr>
        <w:pStyle w:val="Fechaportada"/>
      </w:pPr>
      <w:r>
        <w:t>2016ko urtarrila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6944BB" w:rsidRPr="00556B3B" w:rsidRDefault="006944BB" w:rsidP="006944BB">
      <w:pPr>
        <w:pStyle w:val="texto"/>
        <w:ind w:right="-307"/>
        <w:jc w:val="right"/>
        <w:rPr>
          <w:rFonts w:ascii="Arial" w:hAnsi="Arial" w:cs="Arial"/>
        </w:rPr>
      </w:pPr>
      <w:r>
        <w:rPr>
          <w:rFonts w:ascii="Arial" w:hAnsi="Arial"/>
          <w:i/>
          <w:smallCaps/>
          <w:sz w:val="16"/>
        </w:rPr>
        <w:t>Orrialdea</w:t>
      </w:r>
    </w:p>
    <w:p w:rsidR="0084452B" w:rsidRDefault="0088634D">
      <w:pPr>
        <w:pStyle w:val="TDC1"/>
        <w:rPr>
          <w:rFonts w:asciiTheme="minorHAnsi" w:eastAsiaTheme="minorEastAsia" w:hAnsiTheme="minorHAnsi" w:cstheme="minorBidi"/>
          <w:smallCaps w:val="0"/>
          <w:noProof/>
          <w:szCs w:val="22"/>
          <w:lang w:val="es-ES" w:eastAsia="es-ES" w:bidi="ar-SA"/>
        </w:rPr>
      </w:pPr>
      <w:r w:rsidRPr="00DC27E9">
        <w:rPr>
          <w:highlight w:val="yellow"/>
        </w:rPr>
        <w:fldChar w:fldCharType="begin"/>
      </w:r>
      <w:r w:rsidR="006944BB" w:rsidRPr="00DC27E9">
        <w:rPr>
          <w:highlight w:val="yellow"/>
        </w:rPr>
        <w:instrText xml:space="preserve"> TOC \h \z \t "atitulo1;1;atitulo2;2" </w:instrText>
      </w:r>
      <w:r w:rsidRPr="00DC27E9">
        <w:rPr>
          <w:highlight w:val="yellow"/>
        </w:rPr>
        <w:fldChar w:fldCharType="separate"/>
      </w:r>
      <w:hyperlink w:anchor="_Toc446489686" w:history="1">
        <w:r w:rsidR="0084452B" w:rsidRPr="00B0489F">
          <w:rPr>
            <w:rStyle w:val="Hipervnculo"/>
            <w:noProof/>
          </w:rPr>
          <w:t>I. Sarrera</w:t>
        </w:r>
        <w:r w:rsidR="0084452B">
          <w:rPr>
            <w:noProof/>
            <w:webHidden/>
          </w:rPr>
          <w:tab/>
        </w:r>
        <w:r w:rsidR="0084452B">
          <w:rPr>
            <w:noProof/>
            <w:webHidden/>
          </w:rPr>
          <w:fldChar w:fldCharType="begin"/>
        </w:r>
        <w:r w:rsidR="0084452B">
          <w:rPr>
            <w:noProof/>
            <w:webHidden/>
          </w:rPr>
          <w:instrText xml:space="preserve"> PAGEREF _Toc446489686 \h </w:instrText>
        </w:r>
        <w:r w:rsidR="0084452B">
          <w:rPr>
            <w:noProof/>
            <w:webHidden/>
          </w:rPr>
        </w:r>
        <w:r w:rsidR="0084452B">
          <w:rPr>
            <w:noProof/>
            <w:webHidden/>
          </w:rPr>
          <w:fldChar w:fldCharType="separate"/>
        </w:r>
        <w:r w:rsidR="0084452B">
          <w:rPr>
            <w:noProof/>
            <w:webHidden/>
          </w:rPr>
          <w:t>3</w:t>
        </w:r>
        <w:r w:rsidR="0084452B">
          <w:rPr>
            <w:noProof/>
            <w:webHidden/>
          </w:rPr>
          <w:fldChar w:fldCharType="end"/>
        </w:r>
      </w:hyperlink>
    </w:p>
    <w:p w:rsidR="0084452B" w:rsidRDefault="0084452B">
      <w:pPr>
        <w:pStyle w:val="TDC1"/>
        <w:rPr>
          <w:rFonts w:asciiTheme="minorHAnsi" w:eastAsiaTheme="minorEastAsia" w:hAnsiTheme="minorHAnsi" w:cstheme="minorBidi"/>
          <w:smallCaps w:val="0"/>
          <w:noProof/>
          <w:szCs w:val="22"/>
          <w:lang w:val="es-ES" w:eastAsia="es-ES" w:bidi="ar-SA"/>
        </w:rPr>
      </w:pPr>
      <w:hyperlink w:anchor="_Toc446489687" w:history="1">
        <w:r w:rsidRPr="00B0489F">
          <w:rPr>
            <w:rStyle w:val="Hipervnculo"/>
            <w:noProof/>
          </w:rPr>
          <w:t>II. Iberdrola SAren akzioen salerosketa-eragiketa</w:t>
        </w:r>
        <w:r>
          <w:rPr>
            <w:noProof/>
            <w:webHidden/>
          </w:rPr>
          <w:tab/>
        </w:r>
        <w:r>
          <w:rPr>
            <w:noProof/>
            <w:webHidden/>
          </w:rPr>
          <w:fldChar w:fldCharType="begin"/>
        </w:r>
        <w:r>
          <w:rPr>
            <w:noProof/>
            <w:webHidden/>
          </w:rPr>
          <w:instrText xml:space="preserve"> PAGEREF _Toc446489687 \h </w:instrText>
        </w:r>
        <w:r>
          <w:rPr>
            <w:noProof/>
            <w:webHidden/>
          </w:rPr>
        </w:r>
        <w:r>
          <w:rPr>
            <w:noProof/>
            <w:webHidden/>
          </w:rPr>
          <w:fldChar w:fldCharType="separate"/>
        </w:r>
        <w:r>
          <w:rPr>
            <w:noProof/>
            <w:webHidden/>
          </w:rPr>
          <w:t>5</w:t>
        </w:r>
        <w:r>
          <w:rPr>
            <w:noProof/>
            <w:webHidden/>
          </w:rPr>
          <w:fldChar w:fldCharType="end"/>
        </w:r>
      </w:hyperlink>
    </w:p>
    <w:p w:rsidR="0084452B" w:rsidRDefault="0084452B">
      <w:pPr>
        <w:pStyle w:val="TDC1"/>
        <w:rPr>
          <w:rFonts w:asciiTheme="minorHAnsi" w:eastAsiaTheme="minorEastAsia" w:hAnsiTheme="minorHAnsi" w:cstheme="minorBidi"/>
          <w:smallCaps w:val="0"/>
          <w:noProof/>
          <w:szCs w:val="22"/>
          <w:lang w:val="es-ES" w:eastAsia="es-ES" w:bidi="ar-SA"/>
        </w:rPr>
      </w:pPr>
      <w:hyperlink w:anchor="_Toc446489688" w:history="1">
        <w:r w:rsidRPr="00B0489F">
          <w:rPr>
            <w:rStyle w:val="Hipervnculo"/>
            <w:noProof/>
          </w:rPr>
          <w:t>III. Helburua eta norainokoa</w:t>
        </w:r>
        <w:r>
          <w:rPr>
            <w:noProof/>
            <w:webHidden/>
          </w:rPr>
          <w:tab/>
        </w:r>
        <w:r>
          <w:rPr>
            <w:noProof/>
            <w:webHidden/>
          </w:rPr>
          <w:fldChar w:fldCharType="begin"/>
        </w:r>
        <w:r>
          <w:rPr>
            <w:noProof/>
            <w:webHidden/>
          </w:rPr>
          <w:instrText xml:space="preserve"> PAGEREF _Toc446489688 \h </w:instrText>
        </w:r>
        <w:r>
          <w:rPr>
            <w:noProof/>
            <w:webHidden/>
          </w:rPr>
        </w:r>
        <w:r>
          <w:rPr>
            <w:noProof/>
            <w:webHidden/>
          </w:rPr>
          <w:fldChar w:fldCharType="separate"/>
        </w:r>
        <w:r>
          <w:rPr>
            <w:noProof/>
            <w:webHidden/>
          </w:rPr>
          <w:t>10</w:t>
        </w:r>
        <w:r>
          <w:rPr>
            <w:noProof/>
            <w:webHidden/>
          </w:rPr>
          <w:fldChar w:fldCharType="end"/>
        </w:r>
      </w:hyperlink>
    </w:p>
    <w:p w:rsidR="0084452B" w:rsidRDefault="0084452B">
      <w:pPr>
        <w:pStyle w:val="TDC1"/>
        <w:rPr>
          <w:rFonts w:asciiTheme="minorHAnsi" w:eastAsiaTheme="minorEastAsia" w:hAnsiTheme="minorHAnsi" w:cstheme="minorBidi"/>
          <w:smallCaps w:val="0"/>
          <w:noProof/>
          <w:szCs w:val="22"/>
          <w:lang w:val="es-ES" w:eastAsia="es-ES" w:bidi="ar-SA"/>
        </w:rPr>
      </w:pPr>
      <w:hyperlink w:anchor="_Toc446489689" w:history="1">
        <w:r w:rsidRPr="00B0489F">
          <w:rPr>
            <w:rStyle w:val="Hipervnculo"/>
            <w:noProof/>
          </w:rPr>
          <w:t>IV. Konklusioak eta gomendioak</w:t>
        </w:r>
        <w:r>
          <w:rPr>
            <w:noProof/>
            <w:webHidden/>
          </w:rPr>
          <w:tab/>
        </w:r>
        <w:r>
          <w:rPr>
            <w:noProof/>
            <w:webHidden/>
          </w:rPr>
          <w:fldChar w:fldCharType="begin"/>
        </w:r>
        <w:r>
          <w:rPr>
            <w:noProof/>
            <w:webHidden/>
          </w:rPr>
          <w:instrText xml:space="preserve"> PAGEREF _Toc446489689 \h </w:instrText>
        </w:r>
        <w:r>
          <w:rPr>
            <w:noProof/>
            <w:webHidden/>
          </w:rPr>
        </w:r>
        <w:r>
          <w:rPr>
            <w:noProof/>
            <w:webHidden/>
          </w:rPr>
          <w:fldChar w:fldCharType="separate"/>
        </w:r>
        <w:r>
          <w:rPr>
            <w:noProof/>
            <w:webHidden/>
          </w:rPr>
          <w:t>13</w:t>
        </w:r>
        <w:r>
          <w:rPr>
            <w:noProof/>
            <w:webHidden/>
          </w:rPr>
          <w:fldChar w:fldCharType="end"/>
        </w:r>
      </w:hyperlink>
    </w:p>
    <w:p w:rsidR="0084452B" w:rsidRDefault="0084452B">
      <w:pPr>
        <w:pStyle w:val="TDC2"/>
        <w:rPr>
          <w:rFonts w:asciiTheme="minorHAnsi" w:eastAsiaTheme="minorEastAsia" w:hAnsiTheme="minorHAnsi" w:cstheme="minorBidi"/>
          <w:noProof/>
          <w:szCs w:val="22"/>
          <w:lang w:val="es-ES" w:eastAsia="es-ES" w:bidi="ar-SA"/>
        </w:rPr>
      </w:pPr>
      <w:hyperlink w:anchor="_Toc446489690" w:history="1">
        <w:r w:rsidRPr="00B0489F">
          <w:rPr>
            <w:rStyle w:val="Hipervnculo"/>
            <w:noProof/>
          </w:rPr>
          <w:t>IV.1 Finantza-emaitza</w:t>
        </w:r>
        <w:r>
          <w:rPr>
            <w:noProof/>
            <w:webHidden/>
          </w:rPr>
          <w:tab/>
        </w:r>
        <w:r>
          <w:rPr>
            <w:noProof/>
            <w:webHidden/>
          </w:rPr>
          <w:fldChar w:fldCharType="begin"/>
        </w:r>
        <w:r>
          <w:rPr>
            <w:noProof/>
            <w:webHidden/>
          </w:rPr>
          <w:instrText xml:space="preserve"> PAGEREF _Toc446489690 \h </w:instrText>
        </w:r>
        <w:r>
          <w:rPr>
            <w:noProof/>
            <w:webHidden/>
          </w:rPr>
        </w:r>
        <w:r>
          <w:rPr>
            <w:noProof/>
            <w:webHidden/>
          </w:rPr>
          <w:fldChar w:fldCharType="separate"/>
        </w:r>
        <w:r>
          <w:rPr>
            <w:noProof/>
            <w:webHidden/>
          </w:rPr>
          <w:t>13</w:t>
        </w:r>
        <w:r>
          <w:rPr>
            <w:noProof/>
            <w:webHidden/>
          </w:rPr>
          <w:fldChar w:fldCharType="end"/>
        </w:r>
      </w:hyperlink>
    </w:p>
    <w:p w:rsidR="0084452B" w:rsidRDefault="0084452B">
      <w:pPr>
        <w:pStyle w:val="TDC2"/>
        <w:rPr>
          <w:rFonts w:asciiTheme="minorHAnsi" w:eastAsiaTheme="minorEastAsia" w:hAnsiTheme="minorHAnsi" w:cstheme="minorBidi"/>
          <w:noProof/>
          <w:szCs w:val="22"/>
          <w:lang w:val="es-ES" w:eastAsia="es-ES" w:bidi="ar-SA"/>
        </w:rPr>
      </w:pPr>
      <w:hyperlink w:anchor="_Toc446489691" w:history="1">
        <w:r w:rsidRPr="00B0489F">
          <w:rPr>
            <w:rStyle w:val="Hipervnculo"/>
            <w:noProof/>
          </w:rPr>
          <w:t>IV.2. Errentagarritasuna</w:t>
        </w:r>
        <w:r>
          <w:rPr>
            <w:noProof/>
            <w:webHidden/>
          </w:rPr>
          <w:tab/>
        </w:r>
        <w:r>
          <w:rPr>
            <w:noProof/>
            <w:webHidden/>
          </w:rPr>
          <w:fldChar w:fldCharType="begin"/>
        </w:r>
        <w:r>
          <w:rPr>
            <w:noProof/>
            <w:webHidden/>
          </w:rPr>
          <w:instrText xml:space="preserve"> PAGEREF _Toc446489691 \h </w:instrText>
        </w:r>
        <w:r>
          <w:rPr>
            <w:noProof/>
            <w:webHidden/>
          </w:rPr>
        </w:r>
        <w:r>
          <w:rPr>
            <w:noProof/>
            <w:webHidden/>
          </w:rPr>
          <w:fldChar w:fldCharType="separate"/>
        </w:r>
        <w:r>
          <w:rPr>
            <w:noProof/>
            <w:webHidden/>
          </w:rPr>
          <w:t>13</w:t>
        </w:r>
        <w:r>
          <w:rPr>
            <w:noProof/>
            <w:webHidden/>
          </w:rPr>
          <w:fldChar w:fldCharType="end"/>
        </w:r>
      </w:hyperlink>
    </w:p>
    <w:p w:rsidR="0084452B" w:rsidRDefault="0084452B">
      <w:pPr>
        <w:pStyle w:val="TDC1"/>
        <w:rPr>
          <w:rFonts w:asciiTheme="minorHAnsi" w:eastAsiaTheme="minorEastAsia" w:hAnsiTheme="minorHAnsi" w:cstheme="minorBidi"/>
          <w:smallCaps w:val="0"/>
          <w:noProof/>
          <w:szCs w:val="22"/>
          <w:lang w:val="es-ES" w:eastAsia="es-ES" w:bidi="ar-SA"/>
        </w:rPr>
      </w:pPr>
      <w:hyperlink w:anchor="_Toc446489692" w:history="1">
        <w:r w:rsidRPr="00B0489F">
          <w:rPr>
            <w:rStyle w:val="Hipervnculo"/>
            <w:noProof/>
          </w:rPr>
          <w:t>Eranskinak</w:t>
        </w:r>
        <w:r>
          <w:rPr>
            <w:noProof/>
            <w:webHidden/>
          </w:rPr>
          <w:tab/>
        </w:r>
        <w:r>
          <w:rPr>
            <w:noProof/>
            <w:webHidden/>
          </w:rPr>
          <w:fldChar w:fldCharType="begin"/>
        </w:r>
        <w:r>
          <w:rPr>
            <w:noProof/>
            <w:webHidden/>
          </w:rPr>
          <w:instrText xml:space="preserve"> PAGEREF _Toc446489692 \h </w:instrText>
        </w:r>
        <w:r>
          <w:rPr>
            <w:noProof/>
            <w:webHidden/>
          </w:rPr>
        </w:r>
        <w:r>
          <w:rPr>
            <w:noProof/>
            <w:webHidden/>
          </w:rPr>
          <w:fldChar w:fldCharType="separate"/>
        </w:r>
        <w:r>
          <w:rPr>
            <w:noProof/>
            <w:webHidden/>
          </w:rPr>
          <w:t>16</w:t>
        </w:r>
        <w:r>
          <w:rPr>
            <w:noProof/>
            <w:webHidden/>
          </w:rPr>
          <w:fldChar w:fldCharType="end"/>
        </w:r>
      </w:hyperlink>
    </w:p>
    <w:p w:rsidR="0084452B" w:rsidRDefault="0084452B">
      <w:pPr>
        <w:pStyle w:val="TDC2"/>
        <w:rPr>
          <w:rFonts w:asciiTheme="minorHAnsi" w:eastAsiaTheme="minorEastAsia" w:hAnsiTheme="minorHAnsi" w:cstheme="minorBidi"/>
          <w:noProof/>
          <w:szCs w:val="22"/>
          <w:lang w:val="es-ES" w:eastAsia="es-ES" w:bidi="ar-SA"/>
        </w:rPr>
      </w:pPr>
      <w:hyperlink w:anchor="_Toc446489693" w:history="1">
        <w:r w:rsidRPr="00B0489F">
          <w:rPr>
            <w:rStyle w:val="Hipervnculo"/>
            <w:noProof/>
          </w:rPr>
          <w:t>1. eranskina: Diru-sarrerak</w:t>
        </w:r>
        <w:r>
          <w:rPr>
            <w:noProof/>
            <w:webHidden/>
          </w:rPr>
          <w:tab/>
        </w:r>
        <w:r>
          <w:rPr>
            <w:noProof/>
            <w:webHidden/>
          </w:rPr>
          <w:fldChar w:fldCharType="begin"/>
        </w:r>
        <w:r>
          <w:rPr>
            <w:noProof/>
            <w:webHidden/>
          </w:rPr>
          <w:instrText xml:space="preserve"> PAGEREF _Toc446489693 \h </w:instrText>
        </w:r>
        <w:r>
          <w:rPr>
            <w:noProof/>
            <w:webHidden/>
          </w:rPr>
        </w:r>
        <w:r>
          <w:rPr>
            <w:noProof/>
            <w:webHidden/>
          </w:rPr>
          <w:fldChar w:fldCharType="separate"/>
        </w:r>
        <w:r>
          <w:rPr>
            <w:noProof/>
            <w:webHidden/>
          </w:rPr>
          <w:t>17</w:t>
        </w:r>
        <w:r>
          <w:rPr>
            <w:noProof/>
            <w:webHidden/>
          </w:rPr>
          <w:fldChar w:fldCharType="end"/>
        </w:r>
      </w:hyperlink>
    </w:p>
    <w:p w:rsidR="0084452B" w:rsidRDefault="0084452B">
      <w:pPr>
        <w:pStyle w:val="TDC2"/>
        <w:rPr>
          <w:rFonts w:asciiTheme="minorHAnsi" w:eastAsiaTheme="minorEastAsia" w:hAnsiTheme="minorHAnsi" w:cstheme="minorBidi"/>
          <w:noProof/>
          <w:szCs w:val="22"/>
          <w:lang w:val="es-ES" w:eastAsia="es-ES" w:bidi="ar-SA"/>
        </w:rPr>
      </w:pPr>
      <w:hyperlink w:anchor="_Toc446489694" w:history="1">
        <w:r w:rsidRPr="00B0489F">
          <w:rPr>
            <w:rStyle w:val="Hipervnculo"/>
            <w:noProof/>
          </w:rPr>
          <w:t>2. eranskina: Gastuak</w:t>
        </w:r>
        <w:r>
          <w:rPr>
            <w:noProof/>
            <w:webHidden/>
          </w:rPr>
          <w:tab/>
        </w:r>
        <w:r>
          <w:rPr>
            <w:noProof/>
            <w:webHidden/>
          </w:rPr>
          <w:fldChar w:fldCharType="begin"/>
        </w:r>
        <w:r>
          <w:rPr>
            <w:noProof/>
            <w:webHidden/>
          </w:rPr>
          <w:instrText xml:space="preserve"> PAGEREF _Toc446489694 \h </w:instrText>
        </w:r>
        <w:r>
          <w:rPr>
            <w:noProof/>
            <w:webHidden/>
          </w:rPr>
        </w:r>
        <w:r>
          <w:rPr>
            <w:noProof/>
            <w:webHidden/>
          </w:rPr>
          <w:fldChar w:fldCharType="separate"/>
        </w:r>
        <w:r>
          <w:rPr>
            <w:noProof/>
            <w:webHidden/>
          </w:rPr>
          <w:t>20</w:t>
        </w:r>
        <w:r>
          <w:rPr>
            <w:noProof/>
            <w:webHidden/>
          </w:rPr>
          <w:fldChar w:fldCharType="end"/>
        </w:r>
      </w:hyperlink>
    </w:p>
    <w:p w:rsidR="0084452B" w:rsidRDefault="0084452B">
      <w:pPr>
        <w:pStyle w:val="TDC2"/>
        <w:rPr>
          <w:rFonts w:asciiTheme="minorHAnsi" w:eastAsiaTheme="minorEastAsia" w:hAnsiTheme="minorHAnsi" w:cstheme="minorBidi"/>
          <w:noProof/>
          <w:szCs w:val="22"/>
          <w:lang w:val="es-ES" w:eastAsia="es-ES" w:bidi="ar-SA"/>
        </w:rPr>
      </w:pPr>
      <w:hyperlink w:anchor="_Toc446489695" w:history="1">
        <w:r w:rsidRPr="00B0489F">
          <w:rPr>
            <w:rStyle w:val="Hipervnculo"/>
            <w:noProof/>
          </w:rPr>
          <w:t>3. eranskina: Iberdrolaren akzioen estaldura-operazioari lotutako zorraren interesak</w:t>
        </w:r>
        <w:r>
          <w:rPr>
            <w:noProof/>
            <w:webHidden/>
          </w:rPr>
          <w:tab/>
        </w:r>
        <w:r>
          <w:rPr>
            <w:noProof/>
            <w:webHidden/>
          </w:rPr>
          <w:fldChar w:fldCharType="begin"/>
        </w:r>
        <w:r>
          <w:rPr>
            <w:noProof/>
            <w:webHidden/>
          </w:rPr>
          <w:instrText xml:space="preserve"> PAGEREF _Toc446489695 \h </w:instrText>
        </w:r>
        <w:r>
          <w:rPr>
            <w:noProof/>
            <w:webHidden/>
          </w:rPr>
        </w:r>
        <w:r>
          <w:rPr>
            <w:noProof/>
            <w:webHidden/>
          </w:rPr>
          <w:fldChar w:fldCharType="separate"/>
        </w:r>
        <w:r>
          <w:rPr>
            <w:noProof/>
            <w:webHidden/>
          </w:rPr>
          <w:t>22</w:t>
        </w:r>
        <w:r>
          <w:rPr>
            <w:noProof/>
            <w:webHidden/>
          </w:rPr>
          <w:fldChar w:fldCharType="end"/>
        </w:r>
      </w:hyperlink>
    </w:p>
    <w:p w:rsidR="0084452B" w:rsidRDefault="0084452B">
      <w:pPr>
        <w:pStyle w:val="TDC1"/>
        <w:rPr>
          <w:rFonts w:asciiTheme="minorHAnsi" w:eastAsiaTheme="minorEastAsia" w:hAnsiTheme="minorHAnsi" w:cstheme="minorBidi"/>
          <w:smallCaps w:val="0"/>
          <w:noProof/>
          <w:szCs w:val="22"/>
          <w:lang w:val="es-ES" w:eastAsia="es-ES" w:bidi="ar-SA"/>
        </w:rPr>
      </w:pPr>
      <w:hyperlink w:anchor="_Toc446489696" w:history="1">
        <w:r w:rsidRPr="00B0489F">
          <w:rPr>
            <w:rStyle w:val="Hipervnculo"/>
            <w:rFonts w:ascii="Arial (W1)" w:hAnsi="Arial (W1)"/>
            <w:noProof/>
            <w:spacing w:val="-2"/>
          </w:rPr>
          <w:t>Behin-behineko txostenari aurkeztutako alegazioak</w:t>
        </w:r>
        <w:r>
          <w:rPr>
            <w:noProof/>
            <w:webHidden/>
          </w:rPr>
          <w:tab/>
        </w:r>
        <w:r>
          <w:rPr>
            <w:noProof/>
            <w:webHidden/>
          </w:rPr>
          <w:fldChar w:fldCharType="begin"/>
        </w:r>
        <w:r>
          <w:rPr>
            <w:noProof/>
            <w:webHidden/>
          </w:rPr>
          <w:instrText xml:space="preserve"> PAGEREF _Toc446489696 \h </w:instrText>
        </w:r>
        <w:r>
          <w:rPr>
            <w:noProof/>
            <w:webHidden/>
          </w:rPr>
        </w:r>
        <w:r>
          <w:rPr>
            <w:noProof/>
            <w:webHidden/>
          </w:rPr>
          <w:fldChar w:fldCharType="separate"/>
        </w:r>
        <w:r>
          <w:rPr>
            <w:noProof/>
            <w:webHidden/>
          </w:rPr>
          <w:t>26</w:t>
        </w:r>
        <w:r>
          <w:rPr>
            <w:noProof/>
            <w:webHidden/>
          </w:rPr>
          <w:fldChar w:fldCharType="end"/>
        </w:r>
      </w:hyperlink>
    </w:p>
    <w:p w:rsidR="0084452B" w:rsidRDefault="0084452B">
      <w:pPr>
        <w:pStyle w:val="TDC1"/>
        <w:rPr>
          <w:rFonts w:asciiTheme="minorHAnsi" w:eastAsiaTheme="minorEastAsia" w:hAnsiTheme="minorHAnsi" w:cstheme="minorBidi"/>
          <w:smallCaps w:val="0"/>
          <w:noProof/>
          <w:szCs w:val="22"/>
          <w:lang w:val="es-ES" w:eastAsia="es-ES" w:bidi="ar-SA"/>
        </w:rPr>
      </w:pPr>
      <w:hyperlink w:anchor="_Toc446489697" w:history="1">
        <w:r w:rsidRPr="00B0489F">
          <w:rPr>
            <w:rStyle w:val="Hipervnculo"/>
            <w:noProof/>
          </w:rPr>
          <w:t>Aurkeztutako alegazioei Kontuen Ganberak emandako erantzuna</w:t>
        </w:r>
        <w:r>
          <w:rPr>
            <w:noProof/>
            <w:webHidden/>
          </w:rPr>
          <w:tab/>
        </w:r>
        <w:r>
          <w:rPr>
            <w:noProof/>
            <w:webHidden/>
          </w:rPr>
          <w:fldChar w:fldCharType="begin"/>
        </w:r>
        <w:r>
          <w:rPr>
            <w:noProof/>
            <w:webHidden/>
          </w:rPr>
          <w:instrText xml:space="preserve"> PAGEREF _Toc446489697 \h </w:instrText>
        </w:r>
        <w:r>
          <w:rPr>
            <w:noProof/>
            <w:webHidden/>
          </w:rPr>
        </w:r>
        <w:r>
          <w:rPr>
            <w:noProof/>
            <w:webHidden/>
          </w:rPr>
          <w:fldChar w:fldCharType="separate"/>
        </w:r>
        <w:r>
          <w:rPr>
            <w:noProof/>
            <w:webHidden/>
          </w:rPr>
          <w:t>29</w:t>
        </w:r>
        <w:r>
          <w:rPr>
            <w:noProof/>
            <w:webHidden/>
          </w:rPr>
          <w:fldChar w:fldCharType="end"/>
        </w:r>
      </w:hyperlink>
    </w:p>
    <w:p w:rsidR="00A43DD2" w:rsidRDefault="0088634D">
      <w:pPr>
        <w:pStyle w:val="texto"/>
      </w:pPr>
      <w:r w:rsidRPr="00DC27E9">
        <w:rPr>
          <w:highlight w:val="yellow"/>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bookmarkStart w:id="0" w:name="_GoBack"/>
      <w:bookmarkEnd w:id="0"/>
    </w:p>
    <w:p w:rsidR="006944BB" w:rsidRPr="00F43938" w:rsidRDefault="006944BB" w:rsidP="006944BB">
      <w:pPr>
        <w:pStyle w:val="atitulo1"/>
      </w:pPr>
      <w:bookmarkStart w:id="1" w:name="_Toc400951991"/>
      <w:bookmarkStart w:id="2" w:name="_Toc441141962"/>
      <w:bookmarkStart w:id="3" w:name="_Toc164561538"/>
      <w:bookmarkStart w:id="4" w:name="_Toc446489686"/>
      <w:r>
        <w:lastRenderedPageBreak/>
        <w:t>I. Sarrera</w:t>
      </w:r>
      <w:bookmarkEnd w:id="1"/>
      <w:bookmarkEnd w:id="2"/>
      <w:bookmarkEnd w:id="4"/>
      <w:r>
        <w:t xml:space="preserve"> </w:t>
      </w:r>
    </w:p>
    <w:p w:rsidR="006944BB" w:rsidRPr="00E81B25" w:rsidRDefault="006944BB" w:rsidP="00BF1ACA">
      <w:pPr>
        <w:pStyle w:val="texto"/>
      </w:pPr>
      <w:r>
        <w:t>Kontuen Ganberak 2015eko Urteko Programan gehitu zuen Sodena SL sozi</w:t>
      </w:r>
      <w:r>
        <w:t>e</w:t>
      </w:r>
      <w:r>
        <w:t>tate publikoak Iberdrolaren akzioen gainean gauzatutako salerosketa-eragiketaren emaitzei buruzko fiskalizazio-lana.</w:t>
      </w:r>
    </w:p>
    <w:p w:rsidR="006944BB" w:rsidRDefault="006944BB" w:rsidP="00BF1ACA">
      <w:pPr>
        <w:pStyle w:val="texto"/>
      </w:pPr>
      <w:r>
        <w:t xml:space="preserve">Auditoriako teknikari batek eta auditore batek osatutako taldeak egin du lan hau, Kontuen Ganberako zerbitzu juridiko, informatiko eta administratiboen laguntzarekin. </w:t>
      </w:r>
    </w:p>
    <w:p w:rsidR="009518C3" w:rsidRPr="00E81B25" w:rsidRDefault="009518C3" w:rsidP="00BF1ACA">
      <w:pPr>
        <w:pStyle w:val="texto"/>
      </w:pPr>
      <w:r>
        <w:t>Txostenak lau atal ditu, sarrera hau barne, bai eta hiru eranskin ere. Bigarren atalean Iberdrolaren akzioei lotutako eragiketa guztiak deskribatzen ditugu, 2005eko otsailean erosi zirenetik 2014ko urrian saldu arte. Hirugarren atalean lanaren helburuak eta irismena adierazten dira; laugarrenean, berriz, konklus</w:t>
      </w:r>
      <w:r>
        <w:t>i</w:t>
      </w:r>
      <w:r>
        <w:t>oak eta gomendioak. Amaitzeko, aztertu den eragiketari lotutako gastuen eta diru-sarreren fluxu guztiak zehazten dira eranskinetan, haien data, zenbateko nominala, kapitalizazio-faktorea eta 2014ko urriaren 31ko zenbateko kapital</w:t>
      </w:r>
      <w:r>
        <w:t>i</w:t>
      </w:r>
      <w:r>
        <w:t>zatua adierazita.</w:t>
      </w:r>
    </w:p>
    <w:p w:rsidR="006944BB" w:rsidRDefault="006944BB" w:rsidP="00BF1ACA">
      <w:pPr>
        <w:pStyle w:val="texto"/>
      </w:pPr>
      <w:r>
        <w:t>Eskertu nahi dugu Sodena SLko langileek lan hau egitean emandako lagu</w:t>
      </w:r>
      <w:r>
        <w:t>n</w:t>
      </w:r>
      <w:r>
        <w:t>tza.</w:t>
      </w:r>
    </w:p>
    <w:p w:rsidR="0056596E" w:rsidRDefault="00B538B9" w:rsidP="00BF1ACA">
      <w:pPr>
        <w:pStyle w:val="texto"/>
      </w:pPr>
      <w:r>
        <w:t>Nafarroako Comptos Ganbera arautzen duen 19/1984 Foru Legearen 11. a</w:t>
      </w:r>
      <w:r>
        <w:t>r</w:t>
      </w:r>
      <w:r>
        <w:t>tikuluan ezarritakoaren arabera, lan honen emaitzak honako karguetan zihard</w:t>
      </w:r>
      <w:r>
        <w:t>u</w:t>
      </w:r>
      <w:r>
        <w:t>ten pertsonei jakinarazi zitzaizkien, alegazioak aurkez zitzaten:</w:t>
      </w:r>
    </w:p>
    <w:p w:rsidR="0056596E" w:rsidRPr="00587B66" w:rsidRDefault="0056596E"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2005eko lehendakariorde eta Ekonomia eta Ogasuneko kontseilaria.</w:t>
      </w:r>
    </w:p>
    <w:p w:rsidR="0056596E" w:rsidRPr="00587B66" w:rsidRDefault="0056596E"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Sodenako Administrazio Kontseiluko 2005eko buru eta Industria eta Te</w:t>
      </w:r>
      <w:r>
        <w:t>k</w:t>
      </w:r>
      <w:r>
        <w:t>nologia, Merkataritza eta Lan kontseilaria.</w:t>
      </w:r>
    </w:p>
    <w:p w:rsidR="0056596E" w:rsidRPr="00587B66" w:rsidRDefault="0056596E"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Sodenako 2005eko zuzendari nagusia.</w:t>
      </w:r>
    </w:p>
    <w:p w:rsidR="005F21A6" w:rsidRPr="00587B66" w:rsidRDefault="005F21A6"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Sodenako Administrazio Kontseiluko 2014ko buru eta Ekonomia, Ogasun, Industria eta Enpleguko kontseilaria.</w:t>
      </w:r>
    </w:p>
    <w:p w:rsidR="005F21A6" w:rsidRPr="00587B66" w:rsidRDefault="005F21A6"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Sodenako 2014ko zuzendari nagusia.</w:t>
      </w:r>
    </w:p>
    <w:p w:rsidR="005F21A6" w:rsidRPr="00587B66" w:rsidRDefault="005449B7"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Sodenako Administrazio Kontseiluko 2015eko buru eta Garapen Ekonom</w:t>
      </w:r>
      <w:r>
        <w:t>i</w:t>
      </w:r>
      <w:r>
        <w:t>korako kontseilaria.</w:t>
      </w:r>
    </w:p>
    <w:p w:rsidR="005449B7" w:rsidRPr="00587B66" w:rsidRDefault="005449B7"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Sodenako 2015eko zuzendari nagusia.</w:t>
      </w:r>
    </w:p>
    <w:p w:rsidR="005449B7" w:rsidRPr="00587B66" w:rsidRDefault="005449B7" w:rsidP="00BF1AC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Enpresa Korporazio Publikoko finantza eta kontrol zuzendaria.</w:t>
      </w:r>
    </w:p>
    <w:p w:rsidR="006944BB" w:rsidRDefault="00B538B9" w:rsidP="00BF1ACA">
      <w:pPr>
        <w:pStyle w:val="texto"/>
      </w:pPr>
      <w:r>
        <w:t>Kontuen Ganberak ezarritako epearen barnean alegazioak aurkeztu dituzte Sodenako 2005eko zuzendari nagusiak, Sodenako Administrazio Kontseiluko 2015eko buru eta Garapen Ekonomikorako kontseilariak eta Nafarroako E</w:t>
      </w:r>
      <w:r>
        <w:t>n</w:t>
      </w:r>
      <w:r>
        <w:t>presa Korporazio Publikoko finantza eta kontrol zuzendariak.</w:t>
      </w:r>
    </w:p>
    <w:p w:rsidR="00A32CE0" w:rsidRPr="00DC27E9" w:rsidRDefault="00A32CE0" w:rsidP="00BF1ACA">
      <w:pPr>
        <w:pStyle w:val="texto"/>
        <w:rPr>
          <w:sz w:val="22"/>
          <w:szCs w:val="22"/>
          <w:highlight w:val="cyan"/>
        </w:rPr>
      </w:pPr>
      <w:r>
        <w:lastRenderedPageBreak/>
        <w:t>Nafarroako Enpresa Korporazio Publikoko finantza eta kontrol zuzendariak aurkeztu dituen alegazioak behin betiko txostenera gehitu dira. Hori dela eta, ez dira transkribatu. Txosten horren testuan beren-beregi adierazi da alegazio h</w:t>
      </w:r>
      <w:r>
        <w:t>o</w:t>
      </w:r>
      <w:r>
        <w:t>rien arabera aldatu den paragrafoa.</w:t>
      </w:r>
    </w:p>
    <w:p w:rsidR="006944BB" w:rsidRPr="00F43938" w:rsidRDefault="006944BB" w:rsidP="00F43938">
      <w:pPr>
        <w:pStyle w:val="atitulo1"/>
      </w:pPr>
      <w:r>
        <w:br w:type="page"/>
      </w:r>
      <w:bookmarkStart w:id="5" w:name="_Toc441141963"/>
      <w:bookmarkStart w:id="6" w:name="_Toc253057724"/>
      <w:bookmarkStart w:id="7" w:name="_Toc290377608"/>
      <w:bookmarkStart w:id="8" w:name="_Toc433028633"/>
      <w:bookmarkStart w:id="9" w:name="_Toc400951992"/>
      <w:bookmarkStart w:id="10" w:name="_Toc253057720"/>
      <w:bookmarkStart w:id="11" w:name="_Toc290377609"/>
      <w:bookmarkStart w:id="12" w:name="_Toc433028628"/>
      <w:bookmarkStart w:id="13" w:name="_Toc446489687"/>
      <w:r>
        <w:lastRenderedPageBreak/>
        <w:t>II. Iberdrola SAren akzioen salerosketa-eragiketa</w:t>
      </w:r>
      <w:bookmarkEnd w:id="5"/>
      <w:bookmarkEnd w:id="13"/>
      <w:r>
        <w:t xml:space="preserve"> </w:t>
      </w:r>
    </w:p>
    <w:p w:rsidR="006944BB" w:rsidRPr="00927ACF" w:rsidRDefault="006944BB" w:rsidP="00926B02">
      <w:pPr>
        <w:pStyle w:val="texto"/>
        <w:spacing w:before="240" w:after="200"/>
        <w:ind w:firstLine="0"/>
        <w:rPr>
          <w:rFonts w:ascii="Arial" w:hAnsi="Arial" w:cs="Arial"/>
          <w:sz w:val="25"/>
          <w:szCs w:val="25"/>
        </w:rPr>
      </w:pPr>
      <w:bookmarkStart w:id="14" w:name="_Toc433028629"/>
      <w:r>
        <w:rPr>
          <w:rFonts w:ascii="Arial" w:hAnsi="Arial"/>
          <w:sz w:val="25"/>
        </w:rPr>
        <w:t>Erosketa</w:t>
      </w:r>
      <w:bookmarkEnd w:id="14"/>
    </w:p>
    <w:p w:rsidR="006944BB" w:rsidRDefault="006944BB" w:rsidP="00F7545E">
      <w:pPr>
        <w:pStyle w:val="texto"/>
      </w:pPr>
      <w:r>
        <w:t>2005eko otsailaren 10ean, Sociedad de Desarrollo de Navarra-k (Sodena SL) Iberdrola enpresaren kapital sozialaren % 1, hau da, 9.015.492 akzio, erosi zuen, 173.556.238 euroko zenbatekoan.</w:t>
      </w:r>
    </w:p>
    <w:p w:rsidR="00D2750B" w:rsidRPr="00E81B25" w:rsidRDefault="00D2750B" w:rsidP="00F7545E">
      <w:pPr>
        <w:pStyle w:val="texto"/>
      </w:pPr>
      <w:r>
        <w:t>Nafarroako Gobernuko 2005eko lehendakariorde eta Ekonomia eta Ogas</w:t>
      </w:r>
      <w:r>
        <w:t>u</w:t>
      </w:r>
      <w:r>
        <w:t>neko kontseilariak Sodenako lehendakariari eskatu zion eragiketa gauzatzeko ekintzak abiarazteko, eta 2005eko otsailaren 8an bidalitako gutun batean adi</w:t>
      </w:r>
      <w:r>
        <w:t>e</w:t>
      </w:r>
      <w:r>
        <w:t>razi zuen Iberdrola aukera onena zela, energia-merkatuan inbertsio publiko e</w:t>
      </w:r>
      <w:r>
        <w:t>s</w:t>
      </w:r>
      <w:r>
        <w:t>trategiko bat egiteko aproposena zelako, “balizko etekin ekonomiko edo sekt</w:t>
      </w:r>
      <w:r>
        <w:t>o</w:t>
      </w:r>
      <w:r>
        <w:t>rialak kontuan hartzeaz gain, merkatuaren egonkortasuna, oraingo eta etorkiz</w:t>
      </w:r>
      <w:r>
        <w:t>u</w:t>
      </w:r>
      <w:r>
        <w:t>neko eskuragarritasunaren bermea eta zerbitzuaren balioa eta funtsezko kalit</w:t>
      </w:r>
      <w:r>
        <w:t>a</w:t>
      </w:r>
      <w:r>
        <w:t xml:space="preserve">tea bilatuta”. </w:t>
      </w:r>
    </w:p>
    <w:p w:rsidR="006944BB" w:rsidRPr="00E81B25" w:rsidRDefault="006944BB" w:rsidP="00F7545E">
      <w:pPr>
        <w:pStyle w:val="texto"/>
      </w:pPr>
      <w:r>
        <w:t>Sodenaren helburu soziala honako hau da, besteak beste: Nafarroan inberts</w:t>
      </w:r>
      <w:r>
        <w:t>i</w:t>
      </w:r>
      <w:r>
        <w:t>oak sustatzea enpresen kapitalean –gutxienez % 5ean eta gehienez % 45ean– parte hartuz 10 urteko gehieneko epean. Muga horiek guztiak alda daitezke, salbuespenezko kasuetan, Nafarroako Gobernuaren onespenarekin.</w:t>
      </w:r>
    </w:p>
    <w:p w:rsidR="006944BB" w:rsidRPr="00E81B25" w:rsidRDefault="006944BB" w:rsidP="006944BB">
      <w:pPr>
        <w:pStyle w:val="texto"/>
      </w:pPr>
      <w:r>
        <w:t>2005eko martxoaren 14an Nafarroako Gobernuak baimendu zuen Iberdrol</w:t>
      </w:r>
      <w:r>
        <w:t>a</w:t>
      </w:r>
      <w:r>
        <w:t>ren kapitalaren barnean % 1eko partaidetza hartzea denbora mugagabean, eta eragiketa estrategikotzat jo zuen.</w:t>
      </w:r>
    </w:p>
    <w:p w:rsidR="006944BB" w:rsidRPr="00927ACF" w:rsidRDefault="00ED31E9" w:rsidP="00926B02">
      <w:pPr>
        <w:pStyle w:val="texto"/>
        <w:spacing w:before="240" w:after="200"/>
        <w:ind w:firstLine="0"/>
        <w:rPr>
          <w:rFonts w:ascii="Arial" w:hAnsi="Arial" w:cs="Arial"/>
          <w:sz w:val="25"/>
          <w:szCs w:val="25"/>
        </w:rPr>
      </w:pPr>
      <w:r>
        <w:rPr>
          <w:rFonts w:ascii="Arial" w:hAnsi="Arial"/>
          <w:sz w:val="25"/>
        </w:rPr>
        <w:t xml:space="preserve">Eragiketaren estaldura </w:t>
      </w:r>
    </w:p>
    <w:p w:rsidR="00ED5FC0" w:rsidRDefault="006944BB" w:rsidP="006944BB">
      <w:pPr>
        <w:pStyle w:val="texto"/>
      </w:pPr>
      <w:r>
        <w:t>2005eko maiatzaren 26an, Sodenak akzioen erosketa-balioaren estaldura-operazio bat kontratatu zuen finantza entitate batekin, honako baldintza hauei jarraikiz:</w:t>
      </w:r>
    </w:p>
    <w:p w:rsidR="00ED5FC0" w:rsidRDefault="00ED5FC0" w:rsidP="00ED5FC0">
      <w:pPr>
        <w:pStyle w:val="texto"/>
        <w:numPr>
          <w:ilvl w:val="0"/>
          <w:numId w:val="20"/>
        </w:numPr>
        <w:tabs>
          <w:tab w:val="clear" w:pos="2835"/>
          <w:tab w:val="center" w:pos="567"/>
        </w:tabs>
        <w:ind w:left="0" w:firstLine="284"/>
      </w:pPr>
      <w:r>
        <w:t>Sodenak 9.015.492 salmenta-opzio europar (put) erosi zizkion finantza e</w:t>
      </w:r>
      <w:r>
        <w:t>n</w:t>
      </w:r>
      <w:r>
        <w:t>titateari 19,25 euroan –opzioaren kontratuan hitzarturiko prezioa–, eta epemuga 2007ko maiatzaren 18an ezarri zen.</w:t>
      </w:r>
    </w:p>
    <w:p w:rsidR="00ED5FC0" w:rsidRDefault="00ED5FC0" w:rsidP="00ED5FC0">
      <w:pPr>
        <w:pStyle w:val="texto"/>
        <w:numPr>
          <w:ilvl w:val="0"/>
          <w:numId w:val="20"/>
        </w:numPr>
        <w:tabs>
          <w:tab w:val="clear" w:pos="2835"/>
          <w:tab w:val="center" w:pos="567"/>
        </w:tabs>
        <w:ind w:left="0" w:firstLine="284"/>
      </w:pPr>
      <w:r>
        <w:t>Sodenak 5.011.712 erosketa-opzio europar (call) saldu zizkion finantza entitateari  20,67 euroan –opzioaren kontratuan hitzarturiko prezioa–, eta ep</w:t>
      </w:r>
      <w:r>
        <w:t>e</w:t>
      </w:r>
      <w:r>
        <w:t>muga 2007ko maiatzaren 18an ezarri zen.</w:t>
      </w:r>
    </w:p>
    <w:p w:rsidR="00ED5FC0" w:rsidRPr="00ED5FC0" w:rsidRDefault="00ED5FC0" w:rsidP="00ED5FC0">
      <w:pPr>
        <w:pStyle w:val="texto"/>
      </w:pPr>
      <w:r>
        <w:t>Ezarri zen put nahiz call opzioen likidazioa aktiboaren eskualdatze fisiko</w:t>
      </w:r>
      <w:r>
        <w:t>a</w:t>
      </w:r>
      <w:r>
        <w:t>ren bidez edota diferentzien ondoriozko likidazioaren bidez eginen zela, Sod</w:t>
      </w:r>
      <w:r>
        <w:t>e</w:t>
      </w:r>
      <w:r>
        <w:t>nak zer zehazten zuen.</w:t>
      </w:r>
    </w:p>
    <w:p w:rsidR="00ED5FC0" w:rsidRPr="00ED5FC0" w:rsidRDefault="00ED5FC0" w:rsidP="00ED5FC0">
      <w:pPr>
        <w:pStyle w:val="texto"/>
      </w:pPr>
      <w:r>
        <w:t>2007ko maiatzaren 18an, alegia, opzioen epemuga betetzean, Iberdrolaren akzioen kotizazioa 19,25 eurotik gorakoa zen, eta, horrenbestez, Sodenak ez zuen baliatu salmenta-opzioa.</w:t>
      </w:r>
    </w:p>
    <w:p w:rsidR="00ED5FC0" w:rsidRPr="00ED5FC0" w:rsidRDefault="00ED5FC0" w:rsidP="00ED5FC0">
      <w:pPr>
        <w:pStyle w:val="texto"/>
      </w:pPr>
      <w:r>
        <w:lastRenderedPageBreak/>
        <w:t>Aldiz, kotizazio-prezioa 20,67 eurotik gorakoa zenez, finantza entitateak bere erosketa-opzioa baliatu zuen.</w:t>
      </w:r>
    </w:p>
    <w:p w:rsidR="00ED5FC0" w:rsidRDefault="00ED5FC0" w:rsidP="00ED5FC0">
      <w:pPr>
        <w:pStyle w:val="texto"/>
      </w:pPr>
      <w:r>
        <w:t xml:space="preserve">2007ko martxoaren 28an, Sodenako Administrazio Kontseiluak erabaki zuen akzioak ez saltzea eta call opzioak likidatzea, diferentziaren eskualdatzearen bidez. </w:t>
      </w:r>
    </w:p>
    <w:p w:rsidR="00ED5FC0" w:rsidRDefault="00A12E99" w:rsidP="00ED5FC0">
      <w:pPr>
        <w:pStyle w:val="texto"/>
      </w:pPr>
      <w:r>
        <w:t>2007ko maiatzaren 21ean, Sodenak 90.956.308,16 euro ordaindu zizkion f</w:t>
      </w:r>
      <w:r>
        <w:t>i</w:t>
      </w:r>
      <w:r>
        <w:t>nantza entitateari likidazioagatik. Zenbateko hori 5.011.712 akziori zegokion, 18,14875 euroko prezioan, eta da, hain zuzen, akzioek epemugaren aurreko 10 egun baliodunetan izandako batez besteko prezio osoaren (38,82) eta opzioaren epemugako prezioaren (20,67) arteko aldea.</w:t>
      </w:r>
    </w:p>
    <w:p w:rsidR="006944BB" w:rsidRPr="00E81B25" w:rsidRDefault="006944BB" w:rsidP="00ED5FC0">
      <w:pPr>
        <w:pStyle w:val="texto"/>
      </w:pPr>
      <w:r>
        <w:t>Beraz, 9.015.492 akzioen erosketa-kostu osoa 264.512.546 eurokoa izan zen, estaldura-operazioa kontuan hartuta.</w:t>
      </w:r>
    </w:p>
    <w:p w:rsidR="006944BB" w:rsidRPr="00927ACF" w:rsidRDefault="006944BB" w:rsidP="00F7545E">
      <w:pPr>
        <w:pStyle w:val="texto"/>
        <w:spacing w:before="240" w:after="200"/>
        <w:ind w:firstLine="0"/>
        <w:rPr>
          <w:rFonts w:ascii="Arial" w:hAnsi="Arial" w:cs="Arial"/>
          <w:sz w:val="25"/>
          <w:szCs w:val="25"/>
        </w:rPr>
      </w:pPr>
      <w:r>
        <w:rPr>
          <w:rFonts w:ascii="Arial" w:hAnsi="Arial"/>
          <w:sz w:val="25"/>
        </w:rPr>
        <w:t xml:space="preserve">Finantzaketa </w:t>
      </w:r>
    </w:p>
    <w:p w:rsidR="006944BB" w:rsidRPr="00E81B25" w:rsidRDefault="006944BB" w:rsidP="004476D8">
      <w:pPr>
        <w:pStyle w:val="texto"/>
        <w:numPr>
          <w:ilvl w:val="0"/>
          <w:numId w:val="22"/>
        </w:numPr>
        <w:tabs>
          <w:tab w:val="clear" w:pos="2835"/>
          <w:tab w:val="clear" w:pos="3969"/>
          <w:tab w:val="center" w:pos="0"/>
          <w:tab w:val="center" w:pos="284"/>
        </w:tabs>
        <w:ind w:left="0" w:firstLine="0"/>
      </w:pPr>
      <w:r>
        <w:t>Akzioen erosketa Sodenarenak ziren eta Corporación Hidroeléctrica de N</w:t>
      </w:r>
      <w:r>
        <w:t>a</w:t>
      </w:r>
      <w:r>
        <w:t>varra SA (CEHN) enpresako partaidetza saltzetik ondorioztatzen ziren funts b</w:t>
      </w:r>
      <w:r>
        <w:t>e</w:t>
      </w:r>
      <w:r>
        <w:t>rekien bidez finantzatu zen.</w:t>
      </w:r>
    </w:p>
    <w:p w:rsidR="006944BB" w:rsidRPr="00E81B25" w:rsidRDefault="006944BB" w:rsidP="00E81B25">
      <w:pPr>
        <w:pStyle w:val="texto"/>
      </w:pPr>
      <w:r>
        <w:t>2003an Sodenak CEHNko bere partaidetzaren % 13,46 saldu zuen; 1.190.821 euroan erosi zuen, eta 80.096.199 euroan, berriz, saldu, 78.905.378 euroko etekina lortuta.</w:t>
      </w:r>
    </w:p>
    <w:p w:rsidR="006944BB" w:rsidRPr="00E81B25" w:rsidRDefault="006944BB" w:rsidP="00E81B25">
      <w:pPr>
        <w:pStyle w:val="texto"/>
      </w:pPr>
      <w:r>
        <w:t>2004aren amaieran, Sodenak CEHNn zeukan partaidetzaren gainerakoa saldu zuen (ehuneko 39,58). Guztira 48.109.906 euroko kostuarekin eskuratua zuen, eta 307.147.901 euroan saldu zuen, 259.037.995 euroko etekina lortuta. Ga</w:t>
      </w:r>
      <w:r>
        <w:t>i</w:t>
      </w:r>
      <w:r>
        <w:t>nera, prezio gehigarri batzuk kobratu zituen CEHNren etekinak zirela-eta m</w:t>
      </w:r>
      <w:r>
        <w:t>u</w:t>
      </w:r>
      <w:r>
        <w:t xml:space="preserve">garri batzuetara iritsi zelako, 2006an eta 2007an: 14.624.900 euro izan ziren, hain zuzen. </w:t>
      </w:r>
    </w:p>
    <w:p w:rsidR="006944BB" w:rsidRPr="00E81B25" w:rsidRDefault="006944BB" w:rsidP="00E81B25">
      <w:pPr>
        <w:pStyle w:val="texto"/>
      </w:pPr>
      <w:r>
        <w:t>Sodenak Corporación Hidroeléctrica de Navarra SA enpresan zeukan parta</w:t>
      </w:r>
      <w:r>
        <w:t>i</w:t>
      </w:r>
      <w:r>
        <w:t>detza salduz guztira lortu zuen etekina 352.568.274 eurokoa izan zen. Emaitza horien kargura Sodena SAk 150 milioi euroko dibidenduak banatu zituen  2003an eta 2004an.</w:t>
      </w:r>
    </w:p>
    <w:p w:rsidR="00C246B4" w:rsidRPr="00E81B25" w:rsidRDefault="006944BB" w:rsidP="004476D8">
      <w:pPr>
        <w:pStyle w:val="texto"/>
        <w:numPr>
          <w:ilvl w:val="0"/>
          <w:numId w:val="22"/>
        </w:numPr>
        <w:tabs>
          <w:tab w:val="clear" w:pos="2835"/>
          <w:tab w:val="clear" w:pos="3969"/>
          <w:tab w:val="center" w:pos="0"/>
          <w:tab w:val="center" w:pos="284"/>
        </w:tabs>
        <w:ind w:left="0" w:firstLine="0"/>
      </w:pPr>
      <w:r>
        <w:t>Iberdrolaren akzioen estaldura-operazioaren likidazioa akzioen bahituradun 120 milioi euroko kreditu sindikatuaren bidez finantzatu zen; kreditu hori S</w:t>
      </w:r>
      <w:r>
        <w:t>o</w:t>
      </w:r>
      <w:r>
        <w:t>denak hitzartu zuen 2005eko maiatzaren 26an, sei hilabeteko euriborra gehi % 0,375eko diferentziala erreferentzia gisa dituen interes-tasa aldakorrean. Kreditu hori kontratatu zen, Sodenaren inbertsio-gaitasuna bermatzeko.</w:t>
      </w:r>
    </w:p>
    <w:p w:rsidR="006944BB" w:rsidRPr="00E81B25" w:rsidRDefault="006944BB" w:rsidP="006944BB">
      <w:pPr>
        <w:pStyle w:val="texto"/>
      </w:pPr>
      <w:r>
        <w:t>2008ko maiatzean, Sodenak 120 milioi euroko kreditu-lerroa kitatu zuen, eta aldi berean Iberdrolaren akzioen bahituradun sei kreditu-kontu kontratatu z</w:t>
      </w:r>
      <w:r>
        <w:t>i</w:t>
      </w:r>
      <w:r>
        <w:t>tuen, hiru hilabeteko euriborra gehi % 0,35 eta 0,50 arteko diferentziala (fina</w:t>
      </w:r>
      <w:r>
        <w:t>n</w:t>
      </w:r>
      <w:r>
        <w:lastRenderedPageBreak/>
        <w:t>tza entitatearen arabera) erreferentzia gisa zituen interes-tasa aldakorrean, 140 milioi euroko baterako erabilera-muga ezarrita.</w:t>
      </w:r>
    </w:p>
    <w:p w:rsidR="006944BB" w:rsidRPr="00E81B25" w:rsidRDefault="006944BB" w:rsidP="00F7545E">
      <w:pPr>
        <w:pStyle w:val="texto"/>
      </w:pPr>
      <w:r>
        <w:t>2014ko martxoaren 18an, Sodena SLk 165 milioi euroko birfinantzaketarako esparru-akordioa sinatu zuen bost finantza entitaterekin.</w:t>
      </w:r>
    </w:p>
    <w:p w:rsidR="006944BB" w:rsidRDefault="0068362F" w:rsidP="00F7545E">
      <w:pPr>
        <w:pStyle w:val="texto"/>
      </w:pPr>
      <w:r>
        <w:t>2014ko martxoaren 27an, Nafarroako Enpresa Korporazio Publikoa SAU e</w:t>
      </w:r>
      <w:r>
        <w:t>n</w:t>
      </w:r>
      <w:r>
        <w:t>presa publikoak kapitala handitu zuen Sodenan 30 milioi euroko zenbatekoan, Sodenak bost finantza entitateekin zeukan zorraren zati bat amortizatzeko a</w:t>
      </w:r>
      <w:r>
        <w:t>s</w:t>
      </w:r>
      <w:r>
        <w:t>moz. 30 milioi euro amortizatu ondoren geratzen zen 135 milioi euroko zenb</w:t>
      </w:r>
      <w:r>
        <w:t>a</w:t>
      </w:r>
      <w:r>
        <w:t>teko birfinantzatua honako bi kontratu hauetan egituratu zen:</w:t>
      </w:r>
    </w:p>
    <w:p w:rsidR="006944BB" w:rsidRPr="00BE76B0"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102,5 milioi euroko mailegua, bullet motakoa (epemugan); 2017ko abe</w:t>
      </w:r>
      <w:r>
        <w:t>n</w:t>
      </w:r>
      <w:r>
        <w:t>duaren 31ko epemuga eta % 1,952 eta 2,196 arteko interes-tasa finkoa zituen.</w:t>
      </w:r>
    </w:p>
    <w:p w:rsidR="006944BB" w:rsidRPr="00BE76B0"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32,5 milioi euroko mailegua, 2014ko abenduaren 31ko epemuga zuena eta 2017ko abenduaren 31ra arte urteko aldietan berriztatzen ahal zena 12 hilab</w:t>
      </w:r>
      <w:r>
        <w:t>e</w:t>
      </w:r>
      <w:r>
        <w:t>teko euriborra gehi oinarrizko 375 puntuko diferentziala erreferentzia gisa d</w:t>
      </w:r>
      <w:r>
        <w:t>i</w:t>
      </w:r>
      <w:r>
        <w:t>tuen interes-tasan.</w:t>
      </w:r>
    </w:p>
    <w:p w:rsidR="006944BB" w:rsidRPr="00E81B25" w:rsidRDefault="006944BB" w:rsidP="00F7545E">
      <w:pPr>
        <w:pStyle w:val="texto"/>
      </w:pPr>
      <w:r>
        <w:t>Sodenaren zorraren birfinantzaketak honako berme hauek zeuzkan:</w:t>
      </w:r>
    </w:p>
    <w:p w:rsidR="006944BB" w:rsidRPr="00BE76B0"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Sodenaren titulartasunekoak ziren Iberdrolaren akzioak pignoratzea.</w:t>
      </w:r>
    </w:p>
    <w:p w:rsidR="006944BB" w:rsidRDefault="006944BB" w:rsidP="00F7545E">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Nafarroako Gobernuak egindako konpromiso-gutuna.</w:t>
      </w:r>
    </w:p>
    <w:p w:rsidR="006944BB" w:rsidRPr="00927ACF" w:rsidRDefault="006944BB" w:rsidP="00926B02">
      <w:pPr>
        <w:pStyle w:val="texto"/>
        <w:spacing w:before="240" w:after="200"/>
        <w:ind w:firstLine="0"/>
        <w:rPr>
          <w:rFonts w:ascii="Arial" w:hAnsi="Arial" w:cs="Arial"/>
          <w:sz w:val="25"/>
          <w:szCs w:val="25"/>
        </w:rPr>
      </w:pPr>
      <w:bookmarkStart w:id="15" w:name="_Toc433028631"/>
      <w:r>
        <w:rPr>
          <w:rFonts w:ascii="Arial" w:hAnsi="Arial"/>
          <w:sz w:val="25"/>
        </w:rPr>
        <w:t>Akzioen salmenta</w:t>
      </w:r>
      <w:bookmarkEnd w:id="15"/>
    </w:p>
    <w:p w:rsidR="009518C3" w:rsidRPr="00E81B25" w:rsidRDefault="009518C3" w:rsidP="00F7545E">
      <w:pPr>
        <w:pStyle w:val="texto"/>
      </w:pPr>
      <w:r>
        <w:t>2007ko urriaren 8an, Iberdrolak akzioen bikoizketa (split) gauzatu zuen, o</w:t>
      </w:r>
      <w:r>
        <w:t>n</w:t>
      </w:r>
      <w:r>
        <w:t>doko proportzioan: une hartako titulu bakoitzarengatik lau titulu berri. Horr</w:t>
      </w:r>
      <w:r>
        <w:t>e</w:t>
      </w:r>
      <w:r>
        <w:t>kin, akzioen balio nominala 3 eurotik 0,75era murriztu zuen. Eragiketa horren ondoren, Sodenak 36.061.968 akzio zituen, 0,75 euroko balio nominala zeuk</w:t>
      </w:r>
      <w:r>
        <w:t>a</w:t>
      </w:r>
      <w:r>
        <w:t xml:space="preserve">tenak, inolako kostu gehigarririk gabe. </w:t>
      </w:r>
    </w:p>
    <w:p w:rsidR="00FA5D62" w:rsidRDefault="00FA5D62" w:rsidP="00F7545E">
      <w:pPr>
        <w:pStyle w:val="texto"/>
        <w:numPr>
          <w:ilvl w:val="0"/>
          <w:numId w:val="23"/>
        </w:numPr>
        <w:tabs>
          <w:tab w:val="clear" w:pos="2835"/>
          <w:tab w:val="clear" w:pos="3969"/>
          <w:tab w:val="center" w:pos="0"/>
          <w:tab w:val="center" w:pos="284"/>
        </w:tabs>
        <w:ind w:left="0" w:firstLine="0"/>
      </w:pPr>
      <w:r>
        <w:t>Akzioak ematea, Sodenaren kapitala murrizteko</w:t>
      </w:r>
    </w:p>
    <w:p w:rsidR="00D20D29" w:rsidRPr="00FA5D62" w:rsidRDefault="00D20D29" w:rsidP="00926B02">
      <w:pPr>
        <w:pStyle w:val="texto"/>
        <w:spacing w:after="260"/>
      </w:pPr>
      <w:r>
        <w:t>2007ko abenduaren 31n, Sodenaren kapitalaren osaketa eta jabeak honako hauek ziren:</w:t>
      </w:r>
    </w:p>
    <w:tbl>
      <w:tblPr>
        <w:tblW w:w="0" w:type="auto"/>
        <w:jc w:val="center"/>
        <w:tblLayout w:type="fixed"/>
        <w:tblCellMar>
          <w:left w:w="70" w:type="dxa"/>
          <w:right w:w="70" w:type="dxa"/>
        </w:tblCellMar>
        <w:tblLook w:val="04A0" w:firstRow="1" w:lastRow="0" w:firstColumn="1" w:lastColumn="0" w:noHBand="0" w:noVBand="1"/>
      </w:tblPr>
      <w:tblGrid>
        <w:gridCol w:w="3230"/>
        <w:gridCol w:w="5610"/>
      </w:tblGrid>
      <w:tr w:rsidR="00D20D29" w:rsidTr="00AF632F">
        <w:trPr>
          <w:trHeight w:val="312"/>
          <w:jc w:val="center"/>
        </w:trPr>
        <w:tc>
          <w:tcPr>
            <w:tcW w:w="3230" w:type="dxa"/>
            <w:tcBorders>
              <w:top w:val="single" w:sz="4" w:space="0" w:color="auto"/>
              <w:left w:val="nil"/>
              <w:bottom w:val="single" w:sz="4" w:space="0" w:color="auto"/>
              <w:right w:val="nil"/>
            </w:tcBorders>
            <w:shd w:val="clear" w:color="auto" w:fill="8DB3E2" w:themeFill="text2" w:themeFillTint="66"/>
            <w:vAlign w:val="center"/>
            <w:hideMark/>
          </w:tcPr>
          <w:p w:rsidR="00D20D29" w:rsidRDefault="00D20D29">
            <w:pPr>
              <w:pStyle w:val="cuadroCabe"/>
              <w:jc w:val="left"/>
            </w:pPr>
            <w:r>
              <w:t>Kapitala</w:t>
            </w:r>
          </w:p>
        </w:tc>
        <w:tc>
          <w:tcPr>
            <w:tcW w:w="5610" w:type="dxa"/>
            <w:tcBorders>
              <w:top w:val="single" w:sz="4" w:space="0" w:color="auto"/>
              <w:left w:val="nil"/>
              <w:bottom w:val="single" w:sz="4" w:space="0" w:color="auto"/>
              <w:right w:val="nil"/>
            </w:tcBorders>
            <w:shd w:val="clear" w:color="auto" w:fill="8DB3E2" w:themeFill="text2" w:themeFillTint="66"/>
            <w:noWrap/>
            <w:vAlign w:val="center"/>
            <w:hideMark/>
          </w:tcPr>
          <w:p w:rsidR="00D20D29" w:rsidRDefault="00D20D29">
            <w:pPr>
              <w:pStyle w:val="cuadroCabe"/>
              <w:jc w:val="right"/>
            </w:pPr>
            <w:r>
              <w:t>2007</w:t>
            </w:r>
          </w:p>
        </w:tc>
      </w:tr>
      <w:tr w:rsidR="00D20D29" w:rsidTr="00AF632F">
        <w:trPr>
          <w:trHeight w:val="260"/>
          <w:jc w:val="center"/>
        </w:trPr>
        <w:tc>
          <w:tcPr>
            <w:tcW w:w="3230" w:type="dxa"/>
            <w:tcBorders>
              <w:top w:val="single" w:sz="4" w:space="0" w:color="auto"/>
              <w:left w:val="nil"/>
              <w:bottom w:val="single" w:sz="2" w:space="0" w:color="auto"/>
              <w:right w:val="nil"/>
            </w:tcBorders>
            <w:vAlign w:val="center"/>
            <w:hideMark/>
          </w:tcPr>
          <w:p w:rsidR="00D20D29" w:rsidRDefault="00D20D29">
            <w:pPr>
              <w:pStyle w:val="cuatexto"/>
              <w:jc w:val="left"/>
            </w:pPr>
            <w:r>
              <w:t>Nafarroako Gobernua</w:t>
            </w:r>
          </w:p>
        </w:tc>
        <w:tc>
          <w:tcPr>
            <w:tcW w:w="5610" w:type="dxa"/>
            <w:tcBorders>
              <w:top w:val="single" w:sz="4" w:space="0" w:color="auto"/>
              <w:left w:val="nil"/>
              <w:bottom w:val="single" w:sz="2" w:space="0" w:color="auto"/>
              <w:right w:val="nil"/>
            </w:tcBorders>
            <w:noWrap/>
            <w:vAlign w:val="center"/>
            <w:hideMark/>
          </w:tcPr>
          <w:p w:rsidR="00D20D29" w:rsidRDefault="00D20D29">
            <w:pPr>
              <w:pStyle w:val="cuatexto"/>
              <w:jc w:val="right"/>
            </w:pPr>
            <w:r>
              <w:t>% 65,42</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TME 2001 Corpcan SL (1)</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 20</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Nafinco, S.A.</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 14,58</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Kapitala, guztira</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18.223.522</w:t>
            </w:r>
          </w:p>
        </w:tc>
      </w:tr>
      <w:tr w:rsidR="00D20D29" w:rsidTr="00AF632F">
        <w:trPr>
          <w:trHeight w:val="260"/>
          <w:jc w:val="center"/>
        </w:trPr>
        <w:tc>
          <w:tcPr>
            <w:tcW w:w="3230" w:type="dxa"/>
            <w:tcBorders>
              <w:top w:val="single" w:sz="2" w:space="0" w:color="auto"/>
              <w:left w:val="nil"/>
              <w:bottom w:val="single" w:sz="2" w:space="0" w:color="auto"/>
              <w:right w:val="nil"/>
            </w:tcBorders>
            <w:vAlign w:val="center"/>
            <w:hideMark/>
          </w:tcPr>
          <w:p w:rsidR="00D20D29" w:rsidRDefault="00D20D29">
            <w:pPr>
              <w:pStyle w:val="cuatexto"/>
              <w:jc w:val="left"/>
            </w:pPr>
            <w:r>
              <w:t>Akzioen kopurua</w:t>
            </w:r>
          </w:p>
        </w:tc>
        <w:tc>
          <w:tcPr>
            <w:tcW w:w="5610" w:type="dxa"/>
            <w:tcBorders>
              <w:top w:val="single" w:sz="2" w:space="0" w:color="auto"/>
              <w:left w:val="nil"/>
              <w:bottom w:val="single" w:sz="2" w:space="0" w:color="auto"/>
              <w:right w:val="nil"/>
            </w:tcBorders>
            <w:noWrap/>
            <w:vAlign w:val="center"/>
            <w:hideMark/>
          </w:tcPr>
          <w:p w:rsidR="00D20D29" w:rsidRDefault="00D20D29">
            <w:pPr>
              <w:pStyle w:val="cuatexto"/>
              <w:jc w:val="right"/>
            </w:pPr>
            <w:r>
              <w:t>303.220</w:t>
            </w:r>
          </w:p>
        </w:tc>
      </w:tr>
      <w:tr w:rsidR="00D20D29" w:rsidTr="00AF632F">
        <w:trPr>
          <w:trHeight w:val="260"/>
          <w:jc w:val="center"/>
        </w:trPr>
        <w:tc>
          <w:tcPr>
            <w:tcW w:w="3230" w:type="dxa"/>
            <w:tcBorders>
              <w:top w:val="single" w:sz="2" w:space="0" w:color="auto"/>
              <w:left w:val="nil"/>
              <w:bottom w:val="single" w:sz="4" w:space="0" w:color="auto"/>
              <w:right w:val="nil"/>
            </w:tcBorders>
            <w:vAlign w:val="center"/>
            <w:hideMark/>
          </w:tcPr>
          <w:p w:rsidR="00D20D29" w:rsidRDefault="00D20D29">
            <w:pPr>
              <w:pStyle w:val="cuatexto"/>
              <w:jc w:val="left"/>
            </w:pPr>
            <w:r>
              <w:t>Balio nominala</w:t>
            </w:r>
          </w:p>
        </w:tc>
        <w:tc>
          <w:tcPr>
            <w:tcW w:w="5610" w:type="dxa"/>
            <w:tcBorders>
              <w:top w:val="single" w:sz="2" w:space="0" w:color="auto"/>
              <w:left w:val="nil"/>
              <w:bottom w:val="single" w:sz="4" w:space="0" w:color="auto"/>
              <w:right w:val="nil"/>
            </w:tcBorders>
            <w:noWrap/>
            <w:vAlign w:val="center"/>
            <w:hideMark/>
          </w:tcPr>
          <w:p w:rsidR="00D20D29" w:rsidRDefault="00D20D29">
            <w:pPr>
              <w:pStyle w:val="cuatexto"/>
              <w:jc w:val="right"/>
            </w:pPr>
            <w:r>
              <w:t>60,1</w:t>
            </w:r>
          </w:p>
        </w:tc>
      </w:tr>
    </w:tbl>
    <w:p w:rsidR="00D20D29" w:rsidRPr="00926B02" w:rsidRDefault="00D20D29" w:rsidP="00926B02">
      <w:pPr>
        <w:pStyle w:val="texto"/>
        <w:tabs>
          <w:tab w:val="left" w:pos="480"/>
          <w:tab w:val="num" w:pos="1361"/>
          <w:tab w:val="num" w:pos="1920"/>
          <w:tab w:val="num" w:pos="1948"/>
        </w:tabs>
        <w:spacing w:before="160" w:after="260"/>
        <w:ind w:left="45" w:firstLine="0"/>
        <w:rPr>
          <w:rFonts w:ascii="Arial Narrow" w:hAnsi="Arial Narrow"/>
          <w:sz w:val="19"/>
          <w:szCs w:val="19"/>
        </w:rPr>
      </w:pPr>
      <w:r>
        <w:rPr>
          <w:rFonts w:ascii="Arial Narrow" w:hAnsi="Arial Narrow"/>
          <w:sz w:val="19"/>
        </w:rPr>
        <w:t>(1) Akziodun bakarra Grupo Corporativo Empresarial de la Caja de Ahorros y Monte de Piedad de Navarra zen.</w:t>
      </w:r>
    </w:p>
    <w:p w:rsidR="006944BB" w:rsidRPr="00E81B25" w:rsidRDefault="00540AA4" w:rsidP="00F7545E">
      <w:pPr>
        <w:pStyle w:val="texto"/>
      </w:pPr>
      <w:r>
        <w:lastRenderedPageBreak/>
        <w:t>TME 2001 Corpcan SLk Sodenaren kapitalean zeukan partaidetza % 20tik % 2,44ra murrizteko asmoz, 2008ko martxoaren 12an Sodenak bere kapital s</w:t>
      </w:r>
      <w:r>
        <w:t>o</w:t>
      </w:r>
      <w:r>
        <w:t>ziala murriztu, eta akziodun horri Iberdrolaren 7.212.394 akzio eman zizkion 10,04 euroko kotizazio-prezioan, baita akzioei lotutako 20.636.460 euroko z</w:t>
      </w:r>
      <w:r>
        <w:t>o</w:t>
      </w:r>
      <w:r>
        <w:t>rra ere. Zorra honela kalkulatu zen: finantza entitateak Sodenaren kapitalean zeukan partaidetza-ehunekoa aplikatu zitzaion akzioen estaldura-operazioaren likidazioa finantzatzeko erabilitako 90.956.308 euroko kredituari, eta zenb</w:t>
      </w:r>
      <w:r>
        <w:t>a</w:t>
      </w:r>
      <w:r>
        <w:t xml:space="preserve">teko horri gehitu zitzaizkion bai sortutako interesak bai kapitala murriztu zen egunera arte kobratu ez zen dibidendu inplizitua. </w:t>
      </w:r>
    </w:p>
    <w:p w:rsidR="006944BB" w:rsidRPr="00E81B25" w:rsidRDefault="006944BB" w:rsidP="00F7545E">
      <w:pPr>
        <w:pStyle w:val="texto"/>
      </w:pPr>
      <w:r>
        <w:t>Sodenaren kapitala 3,28 milioi euro murriztu zen: 18,22 milioi eurotik 14,94 milioi eurora. Eta akzioak sozietate publikoaren erreserben kontura eman ziren, erreserba horiek 28,99 milioi euro murriztu zirela: 190,06 milioi eurotik 161,07 milioi eurora.</w:t>
      </w:r>
    </w:p>
    <w:p w:rsidR="006944BB" w:rsidRPr="00E81B25" w:rsidRDefault="006944BB" w:rsidP="00F7545E">
      <w:pPr>
        <w:pStyle w:val="texto"/>
      </w:pPr>
      <w:r>
        <w:t>Horrenbestez, 2008ko martxoaren 12tik aurrera, Sodenak Iberdrolaren 28.849.574 akzio zeuzkan.</w:t>
      </w:r>
    </w:p>
    <w:p w:rsidR="006944BB" w:rsidRPr="00E81B25" w:rsidRDefault="006944BB" w:rsidP="00926B02">
      <w:pPr>
        <w:pStyle w:val="texto"/>
        <w:spacing w:after="260"/>
      </w:pPr>
      <w:bookmarkStart w:id="16" w:name="_Toc433028630"/>
      <w:r>
        <w:t>Hurrengo koadroan jasotzen da akzioen prezioaren bilakaera, ekitaldi bako</w:t>
      </w:r>
      <w:r>
        <w:t>i</w:t>
      </w:r>
      <w:r>
        <w:t>tzaren amaieran.</w:t>
      </w:r>
    </w:p>
    <w:tbl>
      <w:tblPr>
        <w:tblW w:w="8903" w:type="dxa"/>
        <w:jc w:val="center"/>
        <w:tblLayout w:type="fixed"/>
        <w:tblCellMar>
          <w:left w:w="70" w:type="dxa"/>
          <w:right w:w="70" w:type="dxa"/>
        </w:tblCellMar>
        <w:tblLook w:val="04A0" w:firstRow="1" w:lastRow="0" w:firstColumn="1" w:lastColumn="0" w:noHBand="0" w:noVBand="1"/>
      </w:tblPr>
      <w:tblGrid>
        <w:gridCol w:w="1089"/>
        <w:gridCol w:w="1067"/>
        <w:gridCol w:w="1128"/>
        <w:gridCol w:w="1026"/>
        <w:gridCol w:w="1164"/>
        <w:gridCol w:w="1189"/>
        <w:gridCol w:w="1232"/>
        <w:gridCol w:w="1008"/>
      </w:tblGrid>
      <w:tr w:rsidR="00B30C77" w:rsidRPr="00F02536" w:rsidTr="00C96355">
        <w:trPr>
          <w:trHeight w:val="255"/>
          <w:jc w:val="center"/>
        </w:trPr>
        <w:tc>
          <w:tcPr>
            <w:tcW w:w="1089"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F02536">
            <w:pPr>
              <w:pStyle w:val="cuadroCabe"/>
              <w:jc w:val="left"/>
              <w:rPr>
                <w:rFonts w:cs="Arial"/>
                <w:sz w:val="16"/>
                <w:szCs w:val="16"/>
              </w:rPr>
            </w:pPr>
            <w:r>
              <w:rPr>
                <w:sz w:val="16"/>
              </w:rPr>
              <w:t>Urtea</w:t>
            </w:r>
          </w:p>
        </w:tc>
        <w:tc>
          <w:tcPr>
            <w:tcW w:w="1067" w:type="dxa"/>
            <w:tcBorders>
              <w:top w:val="single" w:sz="4" w:space="0" w:color="auto"/>
              <w:left w:val="nil"/>
              <w:bottom w:val="single" w:sz="4" w:space="0" w:color="auto"/>
              <w:right w:val="nil"/>
            </w:tcBorders>
            <w:shd w:val="clear" w:color="auto" w:fill="8DB3E2" w:themeFill="text2" w:themeFillTint="66"/>
            <w:vAlign w:val="center"/>
          </w:tcPr>
          <w:p w:rsidR="00B30C77" w:rsidRDefault="00B30C77" w:rsidP="00B30C77">
            <w:pPr>
              <w:pStyle w:val="cuadroCabe"/>
              <w:jc w:val="right"/>
              <w:rPr>
                <w:rFonts w:cs="Arial"/>
                <w:sz w:val="16"/>
                <w:szCs w:val="16"/>
              </w:rPr>
            </w:pPr>
            <w:r>
              <w:rPr>
                <w:sz w:val="16"/>
              </w:rPr>
              <w:t>Akzio</w:t>
            </w:r>
          </w:p>
          <w:p w:rsidR="00B30C77" w:rsidRPr="00F02536" w:rsidRDefault="00B30C77" w:rsidP="00B30C77">
            <w:pPr>
              <w:pStyle w:val="cuadroCabe"/>
              <w:jc w:val="right"/>
              <w:rPr>
                <w:rFonts w:cs="Arial"/>
                <w:sz w:val="16"/>
                <w:szCs w:val="16"/>
              </w:rPr>
            </w:pPr>
            <w:r>
              <w:rPr>
                <w:sz w:val="16"/>
              </w:rPr>
              <w:t>kop.</w:t>
            </w:r>
          </w:p>
        </w:tc>
        <w:tc>
          <w:tcPr>
            <w:tcW w:w="1128" w:type="dxa"/>
            <w:tcBorders>
              <w:top w:val="single" w:sz="4" w:space="0" w:color="auto"/>
              <w:left w:val="nil"/>
              <w:bottom w:val="single" w:sz="4" w:space="0" w:color="auto"/>
              <w:right w:val="nil"/>
            </w:tcBorders>
            <w:shd w:val="clear" w:color="auto" w:fill="8DB3E2" w:themeFill="text2" w:themeFillTint="66"/>
            <w:vAlign w:val="center"/>
          </w:tcPr>
          <w:p w:rsidR="00B30C77" w:rsidRDefault="00B30C77" w:rsidP="00B30C77">
            <w:pPr>
              <w:pStyle w:val="cuadroCabe"/>
              <w:jc w:val="right"/>
              <w:rPr>
                <w:rFonts w:cs="Arial"/>
                <w:sz w:val="16"/>
                <w:szCs w:val="16"/>
              </w:rPr>
            </w:pPr>
            <w:r>
              <w:rPr>
                <w:sz w:val="16"/>
              </w:rPr>
              <w:t>Erosketa-kostua,</w:t>
            </w:r>
          </w:p>
          <w:p w:rsidR="00B30C77" w:rsidRPr="00F02536" w:rsidRDefault="00B30C77" w:rsidP="00B30C77">
            <w:pPr>
              <w:pStyle w:val="cuadroCabe"/>
              <w:jc w:val="right"/>
              <w:rPr>
                <w:rFonts w:cs="Arial"/>
                <w:sz w:val="16"/>
                <w:szCs w:val="16"/>
              </w:rPr>
            </w:pPr>
            <w:r>
              <w:rPr>
                <w:sz w:val="16"/>
              </w:rPr>
              <w:t>guztira</w:t>
            </w:r>
          </w:p>
        </w:tc>
        <w:tc>
          <w:tcPr>
            <w:tcW w:w="1026"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sz w:val="16"/>
              </w:rPr>
              <w:t>Asegurua</w:t>
            </w:r>
          </w:p>
        </w:tc>
        <w:tc>
          <w:tcPr>
            <w:tcW w:w="1164"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sz w:val="16"/>
              </w:rPr>
              <w:t>Kostua, gu</w:t>
            </w:r>
            <w:r>
              <w:rPr>
                <w:sz w:val="16"/>
              </w:rPr>
              <w:t>z</w:t>
            </w:r>
            <w:r>
              <w:rPr>
                <w:sz w:val="16"/>
              </w:rPr>
              <w:t>tira</w:t>
            </w:r>
          </w:p>
        </w:tc>
        <w:tc>
          <w:tcPr>
            <w:tcW w:w="1189" w:type="dxa"/>
            <w:tcBorders>
              <w:top w:val="single" w:sz="4" w:space="0" w:color="auto"/>
              <w:left w:val="nil"/>
              <w:bottom w:val="single" w:sz="4" w:space="0" w:color="auto"/>
              <w:right w:val="nil"/>
            </w:tcBorders>
            <w:shd w:val="clear" w:color="auto" w:fill="8DB3E2" w:themeFill="text2" w:themeFillTint="66"/>
            <w:vAlign w:val="center"/>
          </w:tcPr>
          <w:p w:rsidR="00B30C77" w:rsidRDefault="00B30C77" w:rsidP="00B30C77">
            <w:pPr>
              <w:pStyle w:val="cuadroCabe"/>
              <w:jc w:val="right"/>
              <w:rPr>
                <w:rFonts w:cs="Arial"/>
                <w:sz w:val="16"/>
                <w:szCs w:val="16"/>
              </w:rPr>
            </w:pPr>
            <w:r>
              <w:rPr>
                <w:sz w:val="16"/>
              </w:rPr>
              <w:t>Akzioko ko</w:t>
            </w:r>
            <w:r>
              <w:rPr>
                <w:sz w:val="16"/>
              </w:rPr>
              <w:t>s</w:t>
            </w:r>
            <w:r>
              <w:rPr>
                <w:sz w:val="16"/>
              </w:rPr>
              <w:t>tua,</w:t>
            </w:r>
          </w:p>
          <w:p w:rsidR="00B30C77" w:rsidRPr="00F02536" w:rsidRDefault="00B30C77" w:rsidP="00CD437C">
            <w:pPr>
              <w:pStyle w:val="cuadroCabe"/>
              <w:jc w:val="right"/>
              <w:rPr>
                <w:rFonts w:cs="Arial"/>
                <w:sz w:val="16"/>
                <w:szCs w:val="16"/>
              </w:rPr>
            </w:pPr>
            <w:r>
              <w:rPr>
                <w:sz w:val="16"/>
              </w:rPr>
              <w:t>guztira</w:t>
            </w:r>
          </w:p>
        </w:tc>
        <w:tc>
          <w:tcPr>
            <w:tcW w:w="1232"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sz w:val="16"/>
              </w:rPr>
              <w:t>Akzio bako</w:t>
            </w:r>
            <w:r>
              <w:rPr>
                <w:sz w:val="16"/>
              </w:rPr>
              <w:t>i</w:t>
            </w:r>
            <w:r>
              <w:rPr>
                <w:sz w:val="16"/>
              </w:rPr>
              <w:t>tzaren me</w:t>
            </w:r>
            <w:r>
              <w:rPr>
                <w:sz w:val="16"/>
              </w:rPr>
              <w:t>r</w:t>
            </w:r>
            <w:r>
              <w:rPr>
                <w:sz w:val="16"/>
              </w:rPr>
              <w:t>katu-prezioa</w:t>
            </w:r>
          </w:p>
        </w:tc>
        <w:tc>
          <w:tcPr>
            <w:tcW w:w="1008" w:type="dxa"/>
            <w:tcBorders>
              <w:top w:val="single" w:sz="4" w:space="0" w:color="auto"/>
              <w:left w:val="nil"/>
              <w:bottom w:val="single" w:sz="4" w:space="0" w:color="auto"/>
              <w:right w:val="nil"/>
            </w:tcBorders>
            <w:shd w:val="clear" w:color="auto" w:fill="8DB3E2" w:themeFill="text2" w:themeFillTint="66"/>
            <w:vAlign w:val="center"/>
          </w:tcPr>
          <w:p w:rsidR="00B30C77" w:rsidRPr="00F02536" w:rsidRDefault="00B30C77" w:rsidP="00B30C77">
            <w:pPr>
              <w:pStyle w:val="cuadroCabe"/>
              <w:jc w:val="right"/>
              <w:rPr>
                <w:rFonts w:cs="Arial"/>
                <w:sz w:val="16"/>
                <w:szCs w:val="16"/>
              </w:rPr>
            </w:pPr>
            <w:r>
              <w:rPr>
                <w:sz w:val="16"/>
              </w:rPr>
              <w:t>Andeatzea</w:t>
            </w:r>
          </w:p>
        </w:tc>
      </w:tr>
      <w:tr w:rsidR="00B30C77" w:rsidRPr="00F02536" w:rsidTr="00C96355">
        <w:trPr>
          <w:trHeight w:val="255"/>
          <w:jc w:val="center"/>
        </w:trPr>
        <w:tc>
          <w:tcPr>
            <w:tcW w:w="1089"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2005</w:t>
            </w:r>
          </w:p>
        </w:tc>
        <w:tc>
          <w:tcPr>
            <w:tcW w:w="1067"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9.015.492</w:t>
            </w:r>
          </w:p>
        </w:tc>
        <w:tc>
          <w:tcPr>
            <w:tcW w:w="1128"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173.556.238</w:t>
            </w:r>
          </w:p>
        </w:tc>
        <w:tc>
          <w:tcPr>
            <w:tcW w:w="1026"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173.556.238</w:t>
            </w:r>
          </w:p>
        </w:tc>
        <w:tc>
          <w:tcPr>
            <w:tcW w:w="1189"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19,25</w:t>
            </w:r>
          </w:p>
        </w:tc>
        <w:tc>
          <w:tcPr>
            <w:tcW w:w="1232"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23,09</w:t>
            </w:r>
          </w:p>
        </w:tc>
        <w:tc>
          <w:tcPr>
            <w:tcW w:w="1008" w:type="dxa"/>
            <w:tcBorders>
              <w:top w:val="single" w:sz="4"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2006</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9.015.492</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173.556.238</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173.556.238</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19.25</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33.12</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2007 (1)</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36.061.968</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173.556.238</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90.956.308</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264.512.546</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10,4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2008 (2)</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-18.191.263</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6.54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22.933.820</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2009</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6.67</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-3.750.445</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2010</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5.74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26.830.104</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2011</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4.84</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25.993.466</w:t>
            </w:r>
          </w:p>
        </w:tc>
      </w:tr>
      <w:tr w:rsidR="00B30C77" w:rsidRPr="00F02536" w:rsidTr="00C96355">
        <w:trPr>
          <w:trHeight w:val="255"/>
          <w:jc w:val="center"/>
        </w:trPr>
        <w:tc>
          <w:tcPr>
            <w:tcW w:w="10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2012</w:t>
            </w:r>
          </w:p>
        </w:tc>
        <w:tc>
          <w:tcPr>
            <w:tcW w:w="1067"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28.849.574</w:t>
            </w:r>
          </w:p>
        </w:tc>
        <w:tc>
          <w:tcPr>
            <w:tcW w:w="112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138.844.989</w:t>
            </w:r>
          </w:p>
        </w:tc>
        <w:tc>
          <w:tcPr>
            <w:tcW w:w="1026"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211.610.034</w:t>
            </w:r>
          </w:p>
        </w:tc>
        <w:tc>
          <w:tcPr>
            <w:tcW w:w="1189"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4.20</w:t>
            </w:r>
          </w:p>
        </w:tc>
        <w:tc>
          <w:tcPr>
            <w:tcW w:w="1008" w:type="dxa"/>
            <w:tcBorders>
              <w:top w:val="single" w:sz="2" w:space="0" w:color="auto"/>
              <w:left w:val="nil"/>
              <w:bottom w:val="single" w:sz="2"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18.579.126</w:t>
            </w:r>
          </w:p>
        </w:tc>
      </w:tr>
      <w:tr w:rsidR="00B30C77" w:rsidRPr="00F02536" w:rsidTr="00C96355">
        <w:trPr>
          <w:trHeight w:val="255"/>
          <w:jc w:val="center"/>
        </w:trPr>
        <w:tc>
          <w:tcPr>
            <w:tcW w:w="1089"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F02536">
            <w:pPr>
              <w:pStyle w:val="cuatexto"/>
              <w:jc w:val="left"/>
              <w:rPr>
                <w:sz w:val="18"/>
                <w:szCs w:val="18"/>
              </w:rPr>
            </w:pPr>
            <w:r>
              <w:rPr>
                <w:sz w:val="18"/>
              </w:rPr>
              <w:t>2013</w:t>
            </w:r>
          </w:p>
        </w:tc>
        <w:tc>
          <w:tcPr>
            <w:tcW w:w="1067"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28.849.574</w:t>
            </w:r>
          </w:p>
        </w:tc>
        <w:tc>
          <w:tcPr>
            <w:tcW w:w="1128"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138.844.989</w:t>
            </w:r>
          </w:p>
        </w:tc>
        <w:tc>
          <w:tcPr>
            <w:tcW w:w="1026"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 </w:t>
            </w:r>
          </w:p>
        </w:tc>
        <w:tc>
          <w:tcPr>
            <w:tcW w:w="1164"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211.610.034</w:t>
            </w:r>
          </w:p>
        </w:tc>
        <w:tc>
          <w:tcPr>
            <w:tcW w:w="1189"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7,33</w:t>
            </w:r>
          </w:p>
        </w:tc>
        <w:tc>
          <w:tcPr>
            <w:tcW w:w="1232"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4,63</w:t>
            </w:r>
          </w:p>
        </w:tc>
        <w:tc>
          <w:tcPr>
            <w:tcW w:w="1008" w:type="dxa"/>
            <w:tcBorders>
              <w:top w:val="single" w:sz="2" w:space="0" w:color="auto"/>
              <w:left w:val="nil"/>
              <w:bottom w:val="single" w:sz="4" w:space="0" w:color="auto"/>
              <w:right w:val="nil"/>
            </w:tcBorders>
            <w:shd w:val="clear" w:color="auto" w:fill="auto"/>
            <w:vAlign w:val="center"/>
            <w:hideMark/>
          </w:tcPr>
          <w:p w:rsidR="006944BB" w:rsidRPr="00F02536" w:rsidRDefault="006944BB" w:rsidP="00B30C77">
            <w:pPr>
              <w:pStyle w:val="cuatexto"/>
              <w:jc w:val="right"/>
              <w:rPr>
                <w:sz w:val="18"/>
                <w:szCs w:val="18"/>
              </w:rPr>
            </w:pPr>
            <w:r>
              <w:rPr>
                <w:sz w:val="18"/>
              </w:rPr>
              <w:t>-12.693.812</w:t>
            </w:r>
          </w:p>
        </w:tc>
      </w:tr>
      <w:tr w:rsidR="00F02536" w:rsidRPr="00F02536" w:rsidTr="00C96355">
        <w:trPr>
          <w:trHeight w:val="312"/>
          <w:jc w:val="center"/>
        </w:trPr>
        <w:tc>
          <w:tcPr>
            <w:tcW w:w="1089"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F02536">
            <w:pPr>
              <w:pStyle w:val="cuadroCabe"/>
              <w:jc w:val="left"/>
              <w:rPr>
                <w:rFonts w:cs="Arial"/>
                <w:sz w:val="16"/>
                <w:szCs w:val="16"/>
              </w:rPr>
            </w:pPr>
            <w:r>
              <w:rPr>
                <w:sz w:val="16"/>
              </w:rPr>
              <w:t xml:space="preserve">Guztira </w:t>
            </w:r>
          </w:p>
        </w:tc>
        <w:tc>
          <w:tcPr>
            <w:tcW w:w="1067"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 </w:t>
            </w:r>
          </w:p>
        </w:tc>
        <w:tc>
          <w:tcPr>
            <w:tcW w:w="1128"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 </w:t>
            </w:r>
          </w:p>
        </w:tc>
        <w:tc>
          <w:tcPr>
            <w:tcW w:w="1026"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 </w:t>
            </w:r>
          </w:p>
        </w:tc>
        <w:tc>
          <w:tcPr>
            <w:tcW w:w="1164"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211.610.034</w:t>
            </w:r>
          </w:p>
        </w:tc>
        <w:tc>
          <w:tcPr>
            <w:tcW w:w="1189"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 </w:t>
            </w:r>
          </w:p>
        </w:tc>
        <w:tc>
          <w:tcPr>
            <w:tcW w:w="1232"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 </w:t>
            </w:r>
          </w:p>
        </w:tc>
        <w:tc>
          <w:tcPr>
            <w:tcW w:w="1008" w:type="dxa"/>
            <w:tcBorders>
              <w:top w:val="single" w:sz="4" w:space="0" w:color="auto"/>
              <w:left w:val="nil"/>
              <w:bottom w:val="single" w:sz="4" w:space="0" w:color="auto"/>
              <w:right w:val="nil"/>
            </w:tcBorders>
            <w:shd w:val="clear" w:color="auto" w:fill="8DB3E2" w:themeFill="text2" w:themeFillTint="66"/>
            <w:vAlign w:val="center"/>
            <w:hideMark/>
          </w:tcPr>
          <w:p w:rsidR="006944BB" w:rsidRPr="00F02536" w:rsidRDefault="006944BB" w:rsidP="00B30C77">
            <w:pPr>
              <w:pStyle w:val="cuadroCabe"/>
              <w:jc w:val="right"/>
              <w:rPr>
                <w:rFonts w:cs="Arial"/>
                <w:sz w:val="16"/>
                <w:szCs w:val="16"/>
              </w:rPr>
            </w:pPr>
            <w:r>
              <w:rPr>
                <w:sz w:val="16"/>
              </w:rPr>
              <w:t>77.892.259</w:t>
            </w:r>
          </w:p>
        </w:tc>
      </w:tr>
    </w:tbl>
    <w:p w:rsidR="006944BB" w:rsidRPr="00484284" w:rsidRDefault="00C51D73" w:rsidP="00926B02">
      <w:pPr>
        <w:pStyle w:val="texto"/>
        <w:tabs>
          <w:tab w:val="clear" w:pos="2835"/>
          <w:tab w:val="clear" w:pos="3969"/>
          <w:tab w:val="clear" w:pos="5103"/>
          <w:tab w:val="clear" w:pos="6237"/>
          <w:tab w:val="clear" w:pos="7371"/>
        </w:tabs>
        <w:spacing w:before="160" w:after="80"/>
        <w:ind w:left="-40" w:firstLine="0"/>
        <w:rPr>
          <w:rFonts w:ascii="Arial Narrow" w:eastAsia="Calibri" w:hAnsi="Arial Narrow"/>
          <w:sz w:val="19"/>
          <w:szCs w:val="19"/>
        </w:rPr>
      </w:pPr>
      <w:r>
        <w:rPr>
          <w:rFonts w:ascii="Arial Narrow" w:hAnsi="Arial Narrow"/>
          <w:sz w:val="19"/>
        </w:rPr>
        <w:t>(1) Iberdrolaren akzio batengatik lau akzioko splita</w:t>
      </w:r>
    </w:p>
    <w:p w:rsidR="006944BB" w:rsidRPr="00484284" w:rsidRDefault="00C51D73" w:rsidP="00F7545E">
      <w:pPr>
        <w:pStyle w:val="texto"/>
        <w:tabs>
          <w:tab w:val="clear" w:pos="2835"/>
          <w:tab w:val="clear" w:pos="3969"/>
          <w:tab w:val="clear" w:pos="5103"/>
          <w:tab w:val="clear" w:pos="6237"/>
          <w:tab w:val="clear" w:pos="7371"/>
        </w:tabs>
        <w:spacing w:before="40" w:after="300"/>
        <w:ind w:left="-40" w:firstLine="0"/>
        <w:rPr>
          <w:rFonts w:ascii="Arial Narrow" w:eastAsia="Calibri" w:hAnsi="Arial Narrow"/>
          <w:sz w:val="19"/>
          <w:szCs w:val="19"/>
        </w:rPr>
      </w:pPr>
      <w:r>
        <w:rPr>
          <w:rFonts w:ascii="Arial Narrow" w:hAnsi="Arial Narrow"/>
          <w:sz w:val="19"/>
        </w:rPr>
        <w:t>(2) Sodenaren kapitala murriztea TME 2001 Corpcan SLri Iberdrolaren akzioak eta estaldura-operazioari lotutako zorra emanez.</w:t>
      </w:r>
    </w:p>
    <w:bookmarkEnd w:id="16"/>
    <w:p w:rsidR="00FA5D62" w:rsidRDefault="00FA5D62" w:rsidP="00F7545E">
      <w:pPr>
        <w:pStyle w:val="texto"/>
        <w:numPr>
          <w:ilvl w:val="0"/>
          <w:numId w:val="23"/>
        </w:numPr>
        <w:tabs>
          <w:tab w:val="clear" w:pos="2835"/>
          <w:tab w:val="clear" w:pos="3969"/>
          <w:tab w:val="center" w:pos="0"/>
          <w:tab w:val="center" w:pos="284"/>
        </w:tabs>
        <w:ind w:left="0" w:firstLine="0"/>
      </w:pPr>
      <w:r>
        <w:t>Akzioen salmenta</w:t>
      </w:r>
    </w:p>
    <w:p w:rsidR="005302D8" w:rsidRDefault="006944BB" w:rsidP="00F7545E">
      <w:pPr>
        <w:pStyle w:val="texto"/>
      </w:pPr>
      <w:r>
        <w:t>2014an, apiriletik urrira bitartean, hain zuzen, txosten honen 1. eranskinean agertzen den bezala, Sodenak Iberdrolaren akzio guztiak saldu zituen, 28.849.574 akzio, hain zuzen, 154.375.068 euroko zenbateko gordin osoan. H</w:t>
      </w:r>
      <w:r>
        <w:t>o</w:t>
      </w:r>
      <w:r>
        <w:t>rrek 5,35 euroko batez besteko prezio gordina dakar akzioko, prezio hori ero</w:t>
      </w:r>
      <w:r>
        <w:t>s</w:t>
      </w:r>
      <w:r>
        <w:t xml:space="preserve">keta-kostua (7,33 euro, estaldura barne) baino txikiagoa dela. </w:t>
      </w:r>
    </w:p>
    <w:p w:rsidR="006944BB" w:rsidRPr="00E81B25" w:rsidRDefault="006944BB" w:rsidP="00F7545E">
      <w:pPr>
        <w:pStyle w:val="texto"/>
      </w:pPr>
      <w:r>
        <w:t xml:space="preserve">Akzioen salmentan lortutako diru-sarreren bidez Sodena SLk zorraren 135 milioi euro kitatu zituen. </w:t>
      </w:r>
    </w:p>
    <w:p w:rsidR="006944BB" w:rsidRDefault="006944BB" w:rsidP="00F7545E">
      <w:pPr>
        <w:pStyle w:val="texto"/>
      </w:pPr>
      <w:r>
        <w:lastRenderedPageBreak/>
        <w:t>Sodenaren zorra birfinantzatzeko baldintzetako bat hauxe zen: Sodenak Iberdrolaren akzioak saldu behar zituen birfinantzatzeko hitzarmena berarekin sinatu zuten finantza entitateen bidez, baldin eta akzioak ezarri zen kotizazio-prezioa baino garestiagoak baziren. Hala ere, Sodenak akzioak saltzen ahal z</w:t>
      </w:r>
      <w:r>
        <w:t>i</w:t>
      </w:r>
      <w:r>
        <w:t>tuen, kotizazio-prezioa aldez aurretik ezarritako tarteetara heldu baino lehen. Nolanahi ere, salmentaren ondorioz lortutako zenbatekoa zorra kitatzeko erabili behar zen. Sodenak akzioen % 60 saldu zuen, zorra birfinantzatzeko hitzarm</w:t>
      </w:r>
      <w:r>
        <w:t>e</w:t>
      </w:r>
      <w:r>
        <w:t>nean finantza entitateekin hitzartutakoaren arabera. 5,50 euroko prezio gord</w:t>
      </w:r>
      <w:r>
        <w:t>i</w:t>
      </w:r>
      <w:r>
        <w:t>nean saldu ziren akzioen gainerako % 40, nahiz eta prezio hori hitzarmenean adostutako 6 eta 6,75 euro artekoa baino merkeagoa izan.</w:t>
      </w:r>
      <w:r>
        <w:rPr>
          <w:rStyle w:val="Refdenotaalpie"/>
        </w:rPr>
        <w:footnoteReference w:id="1"/>
      </w:r>
    </w:p>
    <w:p w:rsidR="00254602" w:rsidRDefault="00254602" w:rsidP="00F7545E">
      <w:pPr>
        <w:pStyle w:val="texto"/>
      </w:pPr>
      <w:r>
        <w:t>Horri dagokionez, Sodenako Administrazio Kontseiluak 2014ko urriaren 23an egin bileran, haren buruak honako hau proposatu zuen: “Ikusita Iberdrol</w:t>
      </w:r>
      <w:r>
        <w:t>a</w:t>
      </w:r>
      <w:r>
        <w:t>ren akzioen uneko kotizazioa, akzioko 5,50 euro ingurukoa dena, eta soziet</w:t>
      </w:r>
      <w:r>
        <w:t>a</w:t>
      </w:r>
      <w:r>
        <w:t>teak bere garaian erositako akzio guztien % 40 salduko direla kontuan hartuta, egokitzat jotzen dut akzio horiek berehala saltzea”.</w:t>
      </w:r>
    </w:p>
    <w:p w:rsidR="00254602" w:rsidRDefault="00254602" w:rsidP="00F7545E">
      <w:pPr>
        <w:pStyle w:val="texto"/>
      </w:pPr>
      <w:r>
        <w:t>Sodenako zuzendari kudeatzailearen ustez, ez zen komenigarria proposamen hori onartzea ikuspuntu ekonomikotik, eta honako hau adierazi zuen: “Akzio horien dibidendukako errentagarritasuna askoz handiagoa da akzio horiek sa</w:t>
      </w:r>
      <w:r>
        <w:t>l</w:t>
      </w:r>
      <w:r>
        <w:t>duta kitatu nahi den finantzaketaren kostua baino”.</w:t>
      </w:r>
    </w:p>
    <w:p w:rsidR="00254602" w:rsidRDefault="00254602" w:rsidP="00F7545E">
      <w:pPr>
        <w:pStyle w:val="texto"/>
      </w:pPr>
      <w:r>
        <w:t>Aholkulari guztiek bat egin zuten buruak gainerako akzio guztiak bestere</w:t>
      </w:r>
      <w:r>
        <w:t>n</w:t>
      </w:r>
      <w:r>
        <w:t>tzeko egin zuen proposamenarekin.</w:t>
      </w:r>
    </w:p>
    <w:p w:rsidR="006944BB" w:rsidRPr="00E81B25" w:rsidRDefault="006944BB" w:rsidP="00AA672F">
      <w:pPr>
        <w:pStyle w:val="texto"/>
        <w:spacing w:after="260"/>
      </w:pPr>
      <w:r>
        <w:t>Ezarritako akzio-portzentajea edo kopurua saltzeko betebeharra kotizazio-prezio hauetatik aurrera hasten zen:</w:t>
      </w:r>
    </w:p>
    <w:tbl>
      <w:tblPr>
        <w:tblW w:w="8739" w:type="dxa"/>
        <w:jc w:val="center"/>
        <w:tblCellMar>
          <w:left w:w="70" w:type="dxa"/>
          <w:right w:w="70" w:type="dxa"/>
        </w:tblCellMar>
        <w:tblLook w:val="04A0" w:firstRow="1" w:lastRow="0" w:firstColumn="1" w:lastColumn="0" w:noHBand="0" w:noVBand="1"/>
      </w:tblPr>
      <w:tblGrid>
        <w:gridCol w:w="2863"/>
        <w:gridCol w:w="2235"/>
        <w:gridCol w:w="3641"/>
      </w:tblGrid>
      <w:tr w:rsidR="006944BB" w:rsidRPr="00B944F7" w:rsidTr="004B7FDA">
        <w:trPr>
          <w:trHeight w:val="340"/>
          <w:jc w:val="center"/>
        </w:trPr>
        <w:tc>
          <w:tcPr>
            <w:tcW w:w="2863" w:type="dxa"/>
            <w:tcBorders>
              <w:top w:val="single" w:sz="4" w:space="0" w:color="auto"/>
              <w:left w:val="nil"/>
              <w:bottom w:val="single" w:sz="4" w:space="0" w:color="auto"/>
              <w:right w:val="nil"/>
            </w:tcBorders>
            <w:shd w:val="clear" w:color="auto" w:fill="8DB3E2" w:themeFill="text2" w:themeFillTint="66"/>
            <w:vAlign w:val="center"/>
          </w:tcPr>
          <w:p w:rsidR="006944BB" w:rsidRPr="00DA4CD3" w:rsidRDefault="006944BB" w:rsidP="00E84C6E">
            <w:pPr>
              <w:pStyle w:val="cuadroCabe"/>
              <w:tabs>
                <w:tab w:val="clear" w:pos="2835"/>
              </w:tabs>
              <w:ind w:left="-557" w:right="833"/>
              <w:jc w:val="center"/>
            </w:pPr>
            <w:r>
              <w:t>Akzioen %</w:t>
            </w:r>
          </w:p>
        </w:tc>
        <w:tc>
          <w:tcPr>
            <w:tcW w:w="2235" w:type="dxa"/>
            <w:tcBorders>
              <w:top w:val="single" w:sz="4" w:space="0" w:color="auto"/>
              <w:left w:val="nil"/>
              <w:bottom w:val="single" w:sz="4" w:space="0" w:color="auto"/>
              <w:right w:val="nil"/>
            </w:tcBorders>
            <w:shd w:val="clear" w:color="auto" w:fill="8DB3E2" w:themeFill="text2" w:themeFillTint="66"/>
            <w:vAlign w:val="center"/>
          </w:tcPr>
          <w:p w:rsidR="006944BB" w:rsidRPr="00DA4CD3" w:rsidRDefault="006944BB" w:rsidP="00AA672F">
            <w:pPr>
              <w:pStyle w:val="cuadroCabe"/>
              <w:ind w:right="125"/>
              <w:jc w:val="right"/>
            </w:pPr>
            <w:r>
              <w:t xml:space="preserve">Akzioen kop. </w:t>
            </w:r>
          </w:p>
        </w:tc>
        <w:tc>
          <w:tcPr>
            <w:tcW w:w="3641" w:type="dxa"/>
            <w:tcBorders>
              <w:top w:val="single" w:sz="4" w:space="0" w:color="auto"/>
              <w:left w:val="nil"/>
              <w:bottom w:val="single" w:sz="4" w:space="0" w:color="auto"/>
              <w:right w:val="nil"/>
            </w:tcBorders>
            <w:shd w:val="clear" w:color="auto" w:fill="8DB3E2" w:themeFill="text2" w:themeFillTint="66"/>
            <w:vAlign w:val="center"/>
          </w:tcPr>
          <w:p w:rsidR="00AA672F" w:rsidRDefault="006944BB" w:rsidP="00E84C6E">
            <w:pPr>
              <w:pStyle w:val="cuadroCabe"/>
              <w:ind w:right="13"/>
              <w:jc w:val="right"/>
            </w:pPr>
            <w:r>
              <w:t xml:space="preserve">Kotizazio-balio </w:t>
            </w:r>
          </w:p>
          <w:p w:rsidR="006944BB" w:rsidRPr="00DA4CD3" w:rsidRDefault="006944BB" w:rsidP="00E84C6E">
            <w:pPr>
              <w:pStyle w:val="cuadroCabe"/>
              <w:ind w:right="13"/>
              <w:jc w:val="right"/>
            </w:pPr>
            <w:r>
              <w:t>hau edo handiagoa</w:t>
            </w:r>
          </w:p>
        </w:tc>
      </w:tr>
      <w:tr w:rsidR="006944BB" w:rsidRPr="00DA4CD3" w:rsidTr="004B7FDA">
        <w:trPr>
          <w:trHeight w:val="255"/>
          <w:jc w:val="center"/>
        </w:trPr>
        <w:tc>
          <w:tcPr>
            <w:tcW w:w="2863" w:type="dxa"/>
            <w:tcBorders>
              <w:top w:val="single" w:sz="4"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20</w:t>
            </w:r>
          </w:p>
        </w:tc>
        <w:tc>
          <w:tcPr>
            <w:tcW w:w="2235" w:type="dxa"/>
            <w:tcBorders>
              <w:top w:val="single" w:sz="4"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5.769.915</w:t>
            </w:r>
          </w:p>
        </w:tc>
        <w:tc>
          <w:tcPr>
            <w:tcW w:w="3641" w:type="dxa"/>
            <w:tcBorders>
              <w:top w:val="single" w:sz="4"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4,813</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5,00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5,25</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5,50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5,75</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6,00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6,25</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6,50</w:t>
            </w:r>
          </w:p>
        </w:tc>
      </w:tr>
      <w:tr w:rsidR="006944BB" w:rsidRPr="00DA4CD3" w:rsidTr="004B7FDA">
        <w:trPr>
          <w:trHeight w:val="255"/>
          <w:jc w:val="center"/>
        </w:trPr>
        <w:tc>
          <w:tcPr>
            <w:tcW w:w="2863"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t>10</w:t>
            </w:r>
          </w:p>
        </w:tc>
        <w:tc>
          <w:tcPr>
            <w:tcW w:w="2235" w:type="dxa"/>
            <w:tcBorders>
              <w:top w:val="single" w:sz="2" w:space="0" w:color="auto"/>
              <w:left w:val="nil"/>
              <w:bottom w:val="single" w:sz="2" w:space="0" w:color="auto"/>
              <w:right w:val="nil"/>
            </w:tcBorders>
            <w:shd w:val="clear" w:color="auto" w:fill="auto"/>
            <w:vAlign w:val="center"/>
          </w:tcPr>
          <w:p w:rsidR="006944BB" w:rsidRPr="00DA4CD3" w:rsidRDefault="006944BB" w:rsidP="00AA672F">
            <w:pPr>
              <w:pStyle w:val="cuatexto"/>
              <w:ind w:right="125"/>
              <w:jc w:val="right"/>
              <w:rPr>
                <w:szCs w:val="20"/>
              </w:rPr>
            </w:pPr>
            <w:r>
              <w:t>2.884.957</w:t>
            </w:r>
          </w:p>
        </w:tc>
        <w:tc>
          <w:tcPr>
            <w:tcW w:w="3641" w:type="dxa"/>
            <w:tcBorders>
              <w:top w:val="single" w:sz="2" w:space="0" w:color="auto"/>
              <w:left w:val="nil"/>
              <w:bottom w:val="single" w:sz="2" w:space="0" w:color="auto"/>
              <w:right w:val="nil"/>
            </w:tcBorders>
            <w:shd w:val="clear" w:color="auto" w:fill="auto"/>
            <w:vAlign w:val="center"/>
          </w:tcPr>
          <w:p w:rsidR="006944BB" w:rsidRPr="00DA4CD3" w:rsidRDefault="006944BB" w:rsidP="00E84C6E">
            <w:pPr>
              <w:pStyle w:val="cuatexto"/>
              <w:ind w:right="13"/>
              <w:jc w:val="right"/>
              <w:rPr>
                <w:szCs w:val="20"/>
              </w:rPr>
            </w:pPr>
            <w:r>
              <w:t>6,75</w:t>
            </w:r>
          </w:p>
        </w:tc>
      </w:tr>
      <w:tr w:rsidR="006944BB" w:rsidRPr="00DA4CD3" w:rsidTr="004B7FDA">
        <w:trPr>
          <w:trHeight w:val="255"/>
          <w:jc w:val="center"/>
        </w:trPr>
        <w:tc>
          <w:tcPr>
            <w:tcW w:w="2863" w:type="dxa"/>
            <w:tcBorders>
              <w:top w:val="single" w:sz="2" w:space="0" w:color="auto"/>
              <w:left w:val="nil"/>
              <w:bottom w:val="single" w:sz="4" w:space="0" w:color="auto"/>
              <w:right w:val="nil"/>
            </w:tcBorders>
            <w:shd w:val="clear" w:color="auto" w:fill="auto"/>
            <w:vAlign w:val="center"/>
          </w:tcPr>
          <w:p w:rsidR="006944BB" w:rsidRPr="00DA4CD3" w:rsidRDefault="006944BB" w:rsidP="00E84C6E">
            <w:pPr>
              <w:pStyle w:val="cuatexto"/>
              <w:tabs>
                <w:tab w:val="clear" w:pos="2835"/>
              </w:tabs>
              <w:ind w:left="-557" w:right="1600"/>
              <w:jc w:val="right"/>
              <w:rPr>
                <w:szCs w:val="20"/>
              </w:rPr>
            </w:pPr>
            <w:r w:rsidRPr="00DA4CD3">
              <w:rPr>
                <w:szCs w:val="20"/>
              </w:rPr>
              <w:fldChar w:fldCharType="begin"/>
            </w:r>
            <w:r w:rsidRPr="00DA4CD3">
              <w:rPr>
                <w:szCs w:val="20"/>
              </w:rPr>
              <w:instrText xml:space="preserve"> =SUM(ABOVE) </w:instrText>
            </w:r>
            <w:r w:rsidRPr="00DA4CD3">
              <w:rPr>
                <w:szCs w:val="20"/>
              </w:rPr>
              <w:fldChar w:fldCharType="separate"/>
            </w:r>
            <w:r w:rsidRPr="00DA4CD3">
              <w:rPr>
                <w:szCs w:val="20"/>
              </w:rPr>
              <w:t>100</w:t>
            </w:r>
            <w:r w:rsidRPr="00DA4CD3">
              <w:rPr>
                <w:szCs w:val="20"/>
              </w:rPr>
              <w:fldChar w:fldCharType="end"/>
            </w:r>
          </w:p>
        </w:tc>
        <w:tc>
          <w:tcPr>
            <w:tcW w:w="2235" w:type="dxa"/>
            <w:tcBorders>
              <w:top w:val="single" w:sz="2" w:space="0" w:color="auto"/>
              <w:left w:val="nil"/>
              <w:bottom w:val="single" w:sz="4" w:space="0" w:color="auto"/>
              <w:right w:val="nil"/>
            </w:tcBorders>
            <w:shd w:val="clear" w:color="auto" w:fill="auto"/>
            <w:vAlign w:val="center"/>
          </w:tcPr>
          <w:p w:rsidR="006944BB" w:rsidRPr="00DA4CD3" w:rsidRDefault="006944BB" w:rsidP="00AA672F">
            <w:pPr>
              <w:pStyle w:val="cuatexto"/>
              <w:ind w:right="125"/>
              <w:jc w:val="right"/>
              <w:rPr>
                <w:szCs w:val="20"/>
              </w:rPr>
            </w:pPr>
            <w:r w:rsidRPr="00DA4CD3">
              <w:rPr>
                <w:szCs w:val="20"/>
              </w:rPr>
              <w:fldChar w:fldCharType="begin"/>
            </w:r>
            <w:r w:rsidRPr="00DA4CD3">
              <w:rPr>
                <w:szCs w:val="20"/>
              </w:rPr>
              <w:instrText xml:space="preserve"> =SUM(ABOVE) </w:instrText>
            </w:r>
            <w:r w:rsidRPr="00DA4CD3">
              <w:rPr>
                <w:szCs w:val="20"/>
              </w:rPr>
              <w:fldChar w:fldCharType="separate"/>
            </w:r>
            <w:r w:rsidRPr="00DA4CD3">
              <w:rPr>
                <w:szCs w:val="20"/>
              </w:rPr>
              <w:t>28.849.57</w:t>
            </w:r>
            <w:r w:rsidRPr="00DA4CD3">
              <w:rPr>
                <w:szCs w:val="20"/>
              </w:rPr>
              <w:fldChar w:fldCharType="end"/>
            </w:r>
            <w:r>
              <w:t>4</w:t>
            </w:r>
          </w:p>
        </w:tc>
        <w:tc>
          <w:tcPr>
            <w:tcW w:w="3641" w:type="dxa"/>
            <w:tcBorders>
              <w:top w:val="single" w:sz="2" w:space="0" w:color="auto"/>
              <w:left w:val="nil"/>
              <w:bottom w:val="single" w:sz="4" w:space="0" w:color="auto"/>
              <w:right w:val="nil"/>
            </w:tcBorders>
            <w:shd w:val="clear" w:color="auto" w:fill="auto"/>
            <w:vAlign w:val="center"/>
          </w:tcPr>
          <w:p w:rsidR="006944BB" w:rsidRPr="00DA4CD3" w:rsidRDefault="006944BB" w:rsidP="00E84C6E">
            <w:pPr>
              <w:pStyle w:val="cuatexto"/>
              <w:ind w:right="13"/>
              <w:jc w:val="right"/>
              <w:rPr>
                <w:szCs w:val="20"/>
              </w:rPr>
            </w:pPr>
          </w:p>
        </w:tc>
      </w:tr>
    </w:tbl>
    <w:p w:rsidR="00B604C2" w:rsidRDefault="00B604C2" w:rsidP="006944BB">
      <w:pPr>
        <w:pStyle w:val="atitulo1"/>
      </w:pPr>
      <w:r>
        <w:br w:type="page"/>
      </w:r>
    </w:p>
    <w:p w:rsidR="006944BB" w:rsidRPr="00F43938" w:rsidRDefault="006944BB" w:rsidP="006944BB">
      <w:pPr>
        <w:pStyle w:val="atitulo1"/>
      </w:pPr>
      <w:bookmarkStart w:id="17" w:name="_Toc441141964"/>
      <w:bookmarkStart w:id="18" w:name="_Toc446489688"/>
      <w:r>
        <w:lastRenderedPageBreak/>
        <w:t xml:space="preserve">III. Helburua </w:t>
      </w:r>
      <w:bookmarkEnd w:id="6"/>
      <w:bookmarkEnd w:id="7"/>
      <w:r>
        <w:t>eta norainokoa</w:t>
      </w:r>
      <w:bookmarkEnd w:id="8"/>
      <w:bookmarkEnd w:id="17"/>
      <w:bookmarkEnd w:id="18"/>
    </w:p>
    <w:p w:rsidR="006944BB" w:rsidRPr="00E81B25" w:rsidRDefault="006944BB" w:rsidP="006944BB">
      <w:pPr>
        <w:pStyle w:val="texto"/>
      </w:pPr>
      <w:r>
        <w:t>Fiskalizazioaren helburua da Sodenak Iberdrolaren akzioen gaineko salero</w:t>
      </w:r>
      <w:r>
        <w:t>s</w:t>
      </w:r>
      <w:r>
        <w:t>keta-eragiketan eskuratu zituen emaitza eta errentagarritasuna kalkulatzea.</w:t>
      </w:r>
    </w:p>
    <w:p w:rsidR="006944BB" w:rsidRDefault="006944BB" w:rsidP="006944BB">
      <w:pPr>
        <w:pStyle w:val="texto"/>
      </w:pPr>
      <w:r>
        <w:t>Lanaren norainokoak 2005-2014 aldia barne hartzen du, hau da, akzioak erosi zirenetik horiek saldu ziren arte.</w:t>
      </w:r>
    </w:p>
    <w:p w:rsidR="003169E3" w:rsidRPr="00E81B25" w:rsidRDefault="003169E3" w:rsidP="003169E3">
      <w:pPr>
        <w:pStyle w:val="texto"/>
      </w:pPr>
      <w:r>
        <w:t>Fiskalizazioa honako hauei jarraituz egin da: alde batetik, Espainiako Est</w:t>
      </w:r>
      <w:r>
        <w:t>a</w:t>
      </w:r>
      <w:r>
        <w:t>tuko Kanpo Kontroleko Organo Publikoak Koordinatzeko Batzordeak onets</w:t>
      </w:r>
      <w:r>
        <w:t>i</w:t>
      </w:r>
      <w:r>
        <w:t>tako sektore publikoaren auditoriari buruzko printzipioak eta arauak; eta, beste aldetik, Kanpo Kontroleko Erakunde Publikoek onetsitako sektore publikoaren fiskalizazio-printzipio nagusiei buruzko ISSAI-ES 100 arauak. Gainera, lanaren helburuak betetzeko beharrezkotzat jo diren hautaprobak edo prozedurak apl</w:t>
      </w:r>
      <w:r>
        <w:t>i</w:t>
      </w:r>
      <w:r>
        <w:t>katu dira.</w:t>
      </w:r>
    </w:p>
    <w:p w:rsidR="000B5868" w:rsidRPr="00744B30" w:rsidRDefault="00744B30" w:rsidP="00744B30">
      <w:pPr>
        <w:pStyle w:val="texto"/>
      </w:pPr>
      <w:r>
        <w:t xml:space="preserve">1. Finantza-emaitza kalkulatzeko erabili den metodologia honako hau izan da:  </w:t>
      </w:r>
    </w:p>
    <w:p w:rsidR="006944BB" w:rsidRPr="000B5868" w:rsidRDefault="006944BB" w:rsidP="000B586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t>Honako finantza-fluxu garbi hauek aintzat hartu dira eragiketari zuzenean lotuta: erosketa-kostua, estaldura-kostua, zaintza-gastuak, kobratutako dib</w:t>
      </w:r>
      <w:r>
        <w:t>i</w:t>
      </w:r>
      <w:r>
        <w:t>dendu garbiak, dibidenduei aplikatu zaizkien eta Sozietateen gaineko Zergaren bidez berreskuratu diren atxikipenak, Sodenaren kapitala murriztea Iberdrol</w:t>
      </w:r>
      <w:r>
        <w:t>a</w:t>
      </w:r>
      <w:r>
        <w:t>ren akzioak emanez, salmentaren diru-sarrera garbiak, eta akzioen prezioaren estaldura-operazioaren finantzaketari aplikatutako kredituaren finantza-zama. Ez dira kontuan hartu ez azterturiko eragiketa finantzatzeko erabili den zorr</w:t>
      </w:r>
      <w:r>
        <w:t>a</w:t>
      </w:r>
      <w:r>
        <w:t>ren ondoriozko diru-sarrerak ez horren amortizazioak.</w:t>
      </w:r>
    </w:p>
    <w:p w:rsidR="006944BB" w:rsidRPr="00C96355" w:rsidRDefault="006944BB" w:rsidP="00C9635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t>Halaber, ez da kontuan hartu aukera-kostua, akzioak saltzeko zenbatekoa beste jarduketa publiko batzuetan inbertituz eskuratu ahalko ziren onura ek</w:t>
      </w:r>
      <w:r>
        <w:t>o</w:t>
      </w:r>
      <w:r>
        <w:t>nomikoei edo sozialei dagokiena.</w:t>
      </w:r>
    </w:p>
    <w:p w:rsidR="000B5868" w:rsidRPr="000B5868" w:rsidRDefault="000B5868" w:rsidP="000B586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t>Akzioak emanez kapitala murrizteko eragiketa diru-sarrera gisa gehitu da, akzioak gauzatze-egunean kotizazio-prezioaren arabera saltzeak ekarri duena, hain zuzen.</w:t>
      </w:r>
    </w:p>
    <w:p w:rsidR="006944BB" w:rsidRPr="000B5868" w:rsidRDefault="006944BB" w:rsidP="000B586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t>2005ean itundutako 120 milioi euroko kredituari dagokionez, 2007ko maiatzean erabilitako 90.956.308 euroko finantza-zama egotzi da, akzioen e</w:t>
      </w:r>
      <w:r>
        <w:t>s</w:t>
      </w:r>
      <w:r>
        <w:t xml:space="preserve">taldura-operazioa likidatzeko; eta 70.319.848 euroko finantza-zama, berriz, 2008ko martxotik (hau da, Sodenak kapitala murriztu zuenean), Iberdrolaren akzioak eta horiei lotutako kreditua emanez. </w:t>
      </w:r>
    </w:p>
    <w:p w:rsidR="006944BB" w:rsidRPr="00E81B25" w:rsidRDefault="006944BB" w:rsidP="006944BB">
      <w:pPr>
        <w:pStyle w:val="texto"/>
      </w:pPr>
      <w:r>
        <w:t>2008ko martxotik 2014ko martxoaren 31ra bitartean, 70.319.848 euroko kr</w:t>
      </w:r>
      <w:r>
        <w:t>e</w:t>
      </w:r>
      <w:r>
        <w:t>dituaren finantza-zama kalkulatu da aurreko ekitaldian likidatutako kapitala eta interesak batzetik etorritako zenbatekoaren gainean, interes horiek handitu eg</w:t>
      </w:r>
      <w:r>
        <w:t>i</w:t>
      </w:r>
      <w:r>
        <w:t>ten baitzuten erabiltzen zen kreditua. Interesak likidatzeko aldi bakoitzean int</w:t>
      </w:r>
      <w:r>
        <w:t>e</w:t>
      </w:r>
      <w:r>
        <w:lastRenderedPageBreak/>
        <w:t xml:space="preserve">resa eta diferentziala aplikatu dira, biak haztatuak, sei finantza entitateetako bakoitzarekin hitzartutako zor bolumenaren arabera.  </w:t>
      </w:r>
    </w:p>
    <w:p w:rsidR="006944BB" w:rsidRPr="00E81B25" w:rsidRDefault="006944BB" w:rsidP="00D537FD">
      <w:pPr>
        <w:pStyle w:val="texto"/>
      </w:pPr>
      <w:r>
        <w:t>Zorra 2014ko apirilaren 1ean birfinantzatu zen, eta egun horretatik aurrera egotzi da finantza entitate bakoitzarekin adostutako interesa.</w:t>
      </w:r>
    </w:p>
    <w:p w:rsidR="006944BB" w:rsidRDefault="006944BB" w:rsidP="00921BB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t>Bai inflazioaren eragina desagerrarazteko bai aldi ezberdinetan likidatu d</w:t>
      </w:r>
      <w:r>
        <w:t>i</w:t>
      </w:r>
      <w:r>
        <w:t>ren  magnitudeen erosahalmena homogeneizatzeko, Iberdrolaren akzioei lot</w:t>
      </w:r>
      <w:r>
        <w:t>u</w:t>
      </w:r>
      <w:r>
        <w:t xml:space="preserve">tako gastu eta diru-sarrera guztiak kapitalizatu dira, txosten honen eranskinean zehaztutakoak, likidatu ondoko hiletik 2014ko urriaren 31ra arte (egun horretan saldu baitzen akzioen azken paketea) metatutako KPIaren arabera. </w:t>
      </w:r>
    </w:p>
    <w:p w:rsidR="006E2A1A" w:rsidRDefault="006E2A1A" w:rsidP="006E2A1A">
      <w:pPr>
        <w:pStyle w:val="texto"/>
      </w:pPr>
      <w:r>
        <w:t>Beraz, geroko data batean eragiketa batek duen zenbatekoa kalkulatzeko erabilitako kapitalizazio-faktorea eragiketaren ondoko hiletik 2014ko urriaren 31ra bitartean metatutako KPIa izan da.</w:t>
      </w:r>
    </w:p>
    <w:p w:rsidR="006944BB" w:rsidRDefault="006944BB" w:rsidP="006944BB">
      <w:pPr>
        <w:pStyle w:val="texto"/>
      </w:pPr>
      <w:r>
        <w:t>Halaber, 2014ko urriaren 31n dibidenduen gainean egindako atxikipenak eguneratu dira, Sozietateen gaineko Zergaren likidazioan berreskuratuko dir</w:t>
      </w:r>
      <w:r>
        <w:t>e</w:t>
      </w:r>
      <w:r>
        <w:t>nak 2015ean eta 2016an. Atxikipenak berreskuratu aurreko data bateko balioa kalkulatzeko gaurkotze-faktorea 2014ko urriaren 31tik atxikipenak berreskur</w:t>
      </w:r>
      <w:r>
        <w:t>a</w:t>
      </w:r>
      <w:r>
        <w:t xml:space="preserve">tzen diren egunera bitartean metatu den KPIa izan da. </w:t>
      </w:r>
    </w:p>
    <w:p w:rsidR="00527FA9" w:rsidRDefault="00527FA9" w:rsidP="00527FA9">
      <w:pPr>
        <w:pStyle w:val="texto"/>
      </w:pPr>
      <w:r>
        <w:t>KPIaren datua lortu da Estatistikako Institutu Nazionalak Nafarroako Foru Komunitaterako eta indize horrek edozein bi aldiren artean daukan aldakuntzari buruz argitaratu duen informaziotik.</w:t>
      </w:r>
    </w:p>
    <w:p w:rsidR="00921BB6" w:rsidRPr="00E81B25" w:rsidRDefault="00921BB6" w:rsidP="006944BB">
      <w:pPr>
        <w:pStyle w:val="texto"/>
      </w:pPr>
      <w:r>
        <w:t>Eragiketaren finantza-emaitza eragiketa horretako diru-sarreren eta gastuen arteko aldearen arabera kalkulatu da; bi kontzeptu horiek balio erreal edo euro konstanteetan adierazi dira, hau da, inflazioa deskontatuta, 2014ko urriaren 31n.</w:t>
      </w:r>
    </w:p>
    <w:p w:rsidR="00D805F6" w:rsidRPr="007A4233" w:rsidRDefault="00D805F6" w:rsidP="007A4233">
      <w:pPr>
        <w:pStyle w:val="texto"/>
      </w:pPr>
      <w:r>
        <w:t>2. Inbertsioaren Barneko Errentagarritasun Tasa kalkulatzeko erabili den m</w:t>
      </w:r>
      <w:r>
        <w:t>e</w:t>
      </w:r>
      <w:r>
        <w:t>todologia honako hau izan da:</w:t>
      </w:r>
    </w:p>
    <w:p w:rsidR="00D907E0" w:rsidRDefault="009D0D3A" w:rsidP="00921BB6">
      <w:pPr>
        <w:pStyle w:val="texto"/>
      </w:pPr>
      <w:r>
        <w:t>Proiektu baten Barneko Errentagarritasun Tasa (BET) honela definitzen da: inbertsio baten balio eguneratua zero izatea eragiten duen deskontu mota, azte</w:t>
      </w:r>
      <w:r>
        <w:t>r</w:t>
      </w:r>
      <w:r>
        <w:t>tzen den aldian diru-sarreren eta ordainketen fluxuak berdinduta. Haren kalk</w:t>
      </w:r>
      <w:r>
        <w:t>u</w:t>
      </w:r>
      <w:r>
        <w:t>luan ez ohi da sartu inbertsioaren finantzaketari lotutako zorraren finantza-zama, haren bideragarritasuna ez dadin egon erabiltzen diren finantzaketa-iturrien mende.</w:t>
      </w:r>
    </w:p>
    <w:p w:rsidR="00D907E0" w:rsidRDefault="00C96355" w:rsidP="00921BB6">
      <w:pPr>
        <w:pStyle w:val="texto"/>
      </w:pPr>
      <w:r>
        <w:t>Irizpide hori kontuan hartuta, BET kalkulatu dugu Iberdrolaren akzioei lot</w:t>
      </w:r>
      <w:r>
        <w:t>u</w:t>
      </w:r>
      <w:r>
        <w:t>tako gastuen eta diru-sarreren fluxu guztiak egotziz, honako hau izan ezik: a</w:t>
      </w:r>
      <w:r>
        <w:t>k</w:t>
      </w:r>
      <w:r>
        <w:t>zioen balioaren estaldura-operazioaren likidazioa finantzatzeko erabilitako z</w:t>
      </w:r>
      <w:r>
        <w:t>o</w:t>
      </w:r>
      <w:r>
        <w:t>rraren finantza-zama.</w:t>
      </w:r>
    </w:p>
    <w:p w:rsidR="00D907E0" w:rsidRDefault="00B604C2" w:rsidP="00921BB6">
      <w:pPr>
        <w:pStyle w:val="texto"/>
      </w:pPr>
      <w:r>
        <w:t>Eragiketa horretan finantza-gastuek daukaten garrantzia ikusita, errentagarr</w:t>
      </w:r>
      <w:r>
        <w:t>i</w:t>
      </w:r>
      <w:r>
        <w:t>tasun-tasa kalkulatu dugu kontuan harturik akzioen balioaren estaldura-</w:t>
      </w:r>
      <w:r>
        <w:lastRenderedPageBreak/>
        <w:t>operazioaren likidazioa finantzatzeko erabilitako zorraren finantza-zama; baina erabilitako zenbatekoen ondoriozko diru-sarrerak eta zor horren amortizazio</w:t>
      </w:r>
      <w:r>
        <w:t>a</w:t>
      </w:r>
      <w:r>
        <w:t>ren ondoriozko ordainketak ez, ordea.</w:t>
      </w:r>
    </w:p>
    <w:p w:rsidR="002334ED" w:rsidRDefault="00D907E0" w:rsidP="00921BB6">
      <w:pPr>
        <w:pStyle w:val="texto"/>
      </w:pPr>
      <w:r>
        <w:t xml:space="preserve">Bi kasuetan akzioen salerosketaren eragiketari lotutako gastuen eta diru-sarreren  likidazio-eguneko fluxuak kontuan hartu dira. </w:t>
      </w:r>
    </w:p>
    <w:p w:rsidR="006944BB" w:rsidRPr="00044428" w:rsidRDefault="006944BB" w:rsidP="006944BB">
      <w:pPr>
        <w:pStyle w:val="atitulo1"/>
      </w:pPr>
      <w:r>
        <w:br w:type="page"/>
      </w:r>
      <w:bookmarkStart w:id="19" w:name="_Toc400951999"/>
      <w:bookmarkStart w:id="20" w:name="_Toc441141965"/>
      <w:bookmarkStart w:id="21" w:name="_Toc446489689"/>
      <w:bookmarkEnd w:id="9"/>
      <w:bookmarkEnd w:id="10"/>
      <w:bookmarkEnd w:id="11"/>
      <w:bookmarkEnd w:id="12"/>
      <w:r>
        <w:lastRenderedPageBreak/>
        <w:t xml:space="preserve">IV. </w:t>
      </w:r>
      <w:bookmarkEnd w:id="19"/>
      <w:r>
        <w:t>Konklusioak eta gomendioak</w:t>
      </w:r>
      <w:bookmarkEnd w:id="20"/>
      <w:bookmarkEnd w:id="21"/>
    </w:p>
    <w:p w:rsidR="006944BB" w:rsidRPr="00712D03" w:rsidRDefault="006944BB" w:rsidP="006944BB">
      <w:pPr>
        <w:pStyle w:val="atitulo2"/>
        <w:spacing w:before="240"/>
      </w:pPr>
      <w:bookmarkStart w:id="22" w:name="_Toc441141966"/>
      <w:bookmarkStart w:id="23" w:name="_Toc446489690"/>
      <w:r>
        <w:t>IV.1 Finantza-emaitza</w:t>
      </w:r>
      <w:bookmarkEnd w:id="22"/>
      <w:bookmarkEnd w:id="23"/>
    </w:p>
    <w:p w:rsidR="006944BB" w:rsidRPr="00D537FD" w:rsidRDefault="006944BB" w:rsidP="00D537FD">
      <w:pPr>
        <w:pStyle w:val="texto"/>
        <w:spacing w:after="240"/>
      </w:pPr>
      <w:r>
        <w:t>Iberdrolaren akzioen salerosketa-eragiketari zuzenean lotuta dauden eta euro konstanteetan (hau da, finantza-fluxu guztiak 2014ko urriaren 31n kapitaliz</w:t>
      </w:r>
      <w:r>
        <w:t>a</w:t>
      </w:r>
      <w:r>
        <w:t>tuta aldi bakoitzeko KPI metatuaren arabera) adierazten diren diru-sarreren eta gastuen arteko alde gisa kalkulatzen den finantza-emaitza 19.653.412 euro n</w:t>
      </w:r>
      <w:r>
        <w:t>e</w:t>
      </w:r>
      <w:r>
        <w:t>gatibokoa izan zen, honako taula honetan agertzen den bezala.</w:t>
      </w:r>
    </w:p>
    <w:tbl>
      <w:tblPr>
        <w:tblW w:w="8816" w:type="dxa"/>
        <w:jc w:val="center"/>
        <w:tblCellMar>
          <w:left w:w="70" w:type="dxa"/>
          <w:right w:w="70" w:type="dxa"/>
        </w:tblCellMar>
        <w:tblLook w:val="04A0" w:firstRow="1" w:lastRow="0" w:firstColumn="1" w:lastColumn="0" w:noHBand="0" w:noVBand="1"/>
      </w:tblPr>
      <w:tblGrid>
        <w:gridCol w:w="5757"/>
        <w:gridCol w:w="3059"/>
      </w:tblGrid>
      <w:tr w:rsidR="006944BB" w:rsidRPr="00B944F7" w:rsidTr="00CB7D4E">
        <w:trPr>
          <w:trHeight w:val="312"/>
          <w:jc w:val="center"/>
        </w:trPr>
        <w:tc>
          <w:tcPr>
            <w:tcW w:w="5757" w:type="dxa"/>
            <w:tcBorders>
              <w:top w:val="single" w:sz="4" w:space="0" w:color="auto"/>
              <w:left w:val="nil"/>
              <w:bottom w:val="single" w:sz="4" w:space="0" w:color="auto"/>
              <w:right w:val="nil"/>
            </w:tcBorders>
            <w:shd w:val="clear" w:color="auto" w:fill="8DB3E2" w:themeFill="text2" w:themeFillTint="66"/>
            <w:vAlign w:val="center"/>
          </w:tcPr>
          <w:p w:rsidR="006944BB" w:rsidRPr="009E73DE" w:rsidRDefault="006944BB" w:rsidP="00CB7D4E">
            <w:pPr>
              <w:pStyle w:val="cuadroCabe"/>
              <w:jc w:val="left"/>
            </w:pPr>
            <w:r>
              <w:t>Kontzeptua</w:t>
            </w:r>
          </w:p>
        </w:tc>
        <w:tc>
          <w:tcPr>
            <w:tcW w:w="3059" w:type="dxa"/>
            <w:tcBorders>
              <w:top w:val="single" w:sz="4" w:space="0" w:color="auto"/>
              <w:left w:val="nil"/>
              <w:bottom w:val="single" w:sz="4" w:space="0" w:color="auto"/>
              <w:right w:val="nil"/>
            </w:tcBorders>
            <w:shd w:val="clear" w:color="auto" w:fill="8DB3E2" w:themeFill="text2" w:themeFillTint="66"/>
            <w:vAlign w:val="center"/>
          </w:tcPr>
          <w:p w:rsidR="00D543F9" w:rsidRDefault="006944BB" w:rsidP="00CB7D4E">
            <w:pPr>
              <w:pStyle w:val="cuadroCabe"/>
              <w:jc w:val="right"/>
            </w:pPr>
            <w:r>
              <w:t xml:space="preserve">Zenbateko kapitalizatua </w:t>
            </w:r>
          </w:p>
          <w:p w:rsidR="006944BB" w:rsidRPr="009E73DE" w:rsidRDefault="00D543F9" w:rsidP="00CB7D4E">
            <w:pPr>
              <w:pStyle w:val="cuadroCabe"/>
              <w:jc w:val="right"/>
            </w:pPr>
            <w:r>
              <w:t>2014/10/31n</w:t>
            </w:r>
          </w:p>
        </w:tc>
      </w:tr>
      <w:tr w:rsidR="006944BB" w:rsidRPr="009E73DE" w:rsidTr="00CB7D4E">
        <w:trPr>
          <w:trHeight w:val="227"/>
          <w:jc w:val="center"/>
        </w:trPr>
        <w:tc>
          <w:tcPr>
            <w:tcW w:w="5757" w:type="dxa"/>
            <w:tcBorders>
              <w:top w:val="single" w:sz="4"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t>Akzioen salmenta</w:t>
            </w:r>
          </w:p>
        </w:tc>
        <w:tc>
          <w:tcPr>
            <w:tcW w:w="3059" w:type="dxa"/>
            <w:tcBorders>
              <w:top w:val="single" w:sz="4"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t>153.389.273</w:t>
            </w:r>
          </w:p>
        </w:tc>
      </w:tr>
      <w:tr w:rsidR="006944BB" w:rsidRPr="009E73DE" w:rsidTr="00CB7D4E">
        <w:trPr>
          <w:trHeight w:val="227"/>
          <w:jc w:val="center"/>
        </w:trPr>
        <w:tc>
          <w:tcPr>
            <w:tcW w:w="5757" w:type="dxa"/>
            <w:tcBorders>
              <w:top w:val="single" w:sz="2"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t>Akzioak ematea kapitala murrizteko</w:t>
            </w:r>
          </w:p>
        </w:tc>
        <w:tc>
          <w:tcPr>
            <w:tcW w:w="3059" w:type="dxa"/>
            <w:tcBorders>
              <w:top w:val="single" w:sz="2"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t>78.422.664</w:t>
            </w:r>
          </w:p>
        </w:tc>
      </w:tr>
      <w:tr w:rsidR="006944BB" w:rsidRPr="009E73DE" w:rsidTr="00CB7D4E">
        <w:trPr>
          <w:trHeight w:val="227"/>
          <w:jc w:val="center"/>
        </w:trPr>
        <w:tc>
          <w:tcPr>
            <w:tcW w:w="5757" w:type="dxa"/>
            <w:tcBorders>
              <w:top w:val="single" w:sz="2" w:space="0" w:color="auto"/>
              <w:left w:val="nil"/>
              <w:bottom w:val="single" w:sz="4" w:space="0" w:color="auto"/>
              <w:right w:val="nil"/>
            </w:tcBorders>
            <w:shd w:val="clear" w:color="auto" w:fill="auto"/>
            <w:vAlign w:val="center"/>
          </w:tcPr>
          <w:p w:rsidR="006944BB" w:rsidRPr="009E73DE" w:rsidRDefault="006944BB" w:rsidP="00CB7D4E">
            <w:pPr>
              <w:pStyle w:val="cuatexto"/>
              <w:jc w:val="left"/>
              <w:rPr>
                <w:szCs w:val="20"/>
              </w:rPr>
            </w:pPr>
            <w:r>
              <w:t>Dibidenduak</w:t>
            </w:r>
          </w:p>
        </w:tc>
        <w:tc>
          <w:tcPr>
            <w:tcW w:w="3059" w:type="dxa"/>
            <w:tcBorders>
              <w:top w:val="single" w:sz="2" w:space="0" w:color="auto"/>
              <w:left w:val="nil"/>
              <w:bottom w:val="single" w:sz="4" w:space="0" w:color="auto"/>
              <w:right w:val="nil"/>
            </w:tcBorders>
            <w:shd w:val="clear" w:color="auto" w:fill="auto"/>
            <w:vAlign w:val="center"/>
          </w:tcPr>
          <w:p w:rsidR="006944BB" w:rsidRPr="009E73DE" w:rsidRDefault="000B3F12" w:rsidP="009E73DE">
            <w:pPr>
              <w:pStyle w:val="cuatexto"/>
              <w:jc w:val="right"/>
              <w:rPr>
                <w:szCs w:val="20"/>
              </w:rPr>
            </w:pPr>
            <w:r>
              <w:t>90.477.242</w:t>
            </w:r>
          </w:p>
        </w:tc>
      </w:tr>
      <w:tr w:rsidR="006944BB" w:rsidRPr="006C3D85" w:rsidTr="00CB7D4E">
        <w:trPr>
          <w:trHeight w:val="255"/>
          <w:jc w:val="center"/>
        </w:trPr>
        <w:tc>
          <w:tcPr>
            <w:tcW w:w="5757" w:type="dxa"/>
            <w:tcBorders>
              <w:top w:val="single" w:sz="4" w:space="0" w:color="auto"/>
              <w:left w:val="nil"/>
              <w:bottom w:val="single" w:sz="4" w:space="0" w:color="auto"/>
              <w:right w:val="nil"/>
            </w:tcBorders>
            <w:shd w:val="clear" w:color="auto" w:fill="auto"/>
            <w:vAlign w:val="center"/>
          </w:tcPr>
          <w:p w:rsidR="006944BB" w:rsidRPr="006C3D85" w:rsidRDefault="006944BB" w:rsidP="00CB7D4E">
            <w:pPr>
              <w:pStyle w:val="cuadroCabe"/>
              <w:jc w:val="left"/>
              <w:rPr>
                <w:i/>
              </w:rPr>
            </w:pPr>
            <w:r>
              <w:rPr>
                <w:i/>
              </w:rPr>
              <w:t>Diru-sarrerak, guztira</w:t>
            </w:r>
          </w:p>
        </w:tc>
        <w:tc>
          <w:tcPr>
            <w:tcW w:w="3059" w:type="dxa"/>
            <w:tcBorders>
              <w:top w:val="single" w:sz="4" w:space="0" w:color="auto"/>
              <w:left w:val="nil"/>
              <w:bottom w:val="single" w:sz="4" w:space="0" w:color="auto"/>
              <w:right w:val="nil"/>
            </w:tcBorders>
            <w:shd w:val="clear" w:color="auto" w:fill="auto"/>
            <w:vAlign w:val="center"/>
          </w:tcPr>
          <w:p w:rsidR="006944BB" w:rsidRPr="006C3D85" w:rsidRDefault="000B3F12" w:rsidP="000B3F12">
            <w:pPr>
              <w:pStyle w:val="cuadroCabe"/>
              <w:jc w:val="right"/>
              <w:rPr>
                <w:i/>
              </w:rPr>
            </w:pPr>
            <w:r>
              <w:rPr>
                <w:i/>
              </w:rPr>
              <w:t>322.289.178</w:t>
            </w:r>
          </w:p>
        </w:tc>
      </w:tr>
      <w:tr w:rsidR="006944BB" w:rsidRPr="009E73DE" w:rsidTr="00CB7D4E">
        <w:trPr>
          <w:trHeight w:val="227"/>
          <w:jc w:val="center"/>
        </w:trPr>
        <w:tc>
          <w:tcPr>
            <w:tcW w:w="5757" w:type="dxa"/>
            <w:tcBorders>
              <w:top w:val="single" w:sz="4"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t>Akzioen erosketa</w:t>
            </w:r>
          </w:p>
        </w:tc>
        <w:tc>
          <w:tcPr>
            <w:tcW w:w="3059" w:type="dxa"/>
            <w:tcBorders>
              <w:top w:val="single" w:sz="4"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t>209.655.935</w:t>
            </w:r>
          </w:p>
        </w:tc>
      </w:tr>
      <w:tr w:rsidR="006944BB" w:rsidRPr="009E73DE" w:rsidTr="00CB7D4E">
        <w:trPr>
          <w:trHeight w:val="227"/>
          <w:jc w:val="center"/>
        </w:trPr>
        <w:tc>
          <w:tcPr>
            <w:tcW w:w="5757" w:type="dxa"/>
            <w:tcBorders>
              <w:top w:val="single" w:sz="2" w:space="0" w:color="auto"/>
              <w:left w:val="nil"/>
              <w:bottom w:val="single" w:sz="2" w:space="0" w:color="auto"/>
              <w:right w:val="nil"/>
            </w:tcBorders>
            <w:shd w:val="clear" w:color="auto" w:fill="auto"/>
            <w:vAlign w:val="center"/>
          </w:tcPr>
          <w:p w:rsidR="006944BB" w:rsidRPr="009E73DE" w:rsidRDefault="00ED31E9" w:rsidP="00B35083">
            <w:pPr>
              <w:pStyle w:val="cuatexto"/>
              <w:jc w:val="left"/>
              <w:rPr>
                <w:szCs w:val="20"/>
              </w:rPr>
            </w:pPr>
            <w:r>
              <w:t>Akzioen erosketa-balioaren estaldura</w:t>
            </w:r>
          </w:p>
        </w:tc>
        <w:tc>
          <w:tcPr>
            <w:tcW w:w="3059" w:type="dxa"/>
            <w:tcBorders>
              <w:top w:val="single" w:sz="2"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t>111.053.139</w:t>
            </w:r>
          </w:p>
        </w:tc>
      </w:tr>
      <w:tr w:rsidR="006944BB" w:rsidRPr="009E73DE" w:rsidTr="00CB7D4E">
        <w:trPr>
          <w:trHeight w:val="227"/>
          <w:jc w:val="center"/>
        </w:trPr>
        <w:tc>
          <w:tcPr>
            <w:tcW w:w="5757" w:type="dxa"/>
            <w:tcBorders>
              <w:top w:val="single" w:sz="2" w:space="0" w:color="auto"/>
              <w:left w:val="nil"/>
              <w:bottom w:val="single" w:sz="2" w:space="0" w:color="auto"/>
              <w:right w:val="nil"/>
            </w:tcBorders>
            <w:shd w:val="clear" w:color="auto" w:fill="auto"/>
            <w:vAlign w:val="center"/>
          </w:tcPr>
          <w:p w:rsidR="006944BB" w:rsidRPr="009E73DE" w:rsidRDefault="006944BB" w:rsidP="00CB7D4E">
            <w:pPr>
              <w:pStyle w:val="cuatexto"/>
              <w:jc w:val="left"/>
              <w:rPr>
                <w:szCs w:val="20"/>
              </w:rPr>
            </w:pPr>
            <w:r>
              <w:t>Akzioen zaintza</w:t>
            </w:r>
          </w:p>
        </w:tc>
        <w:tc>
          <w:tcPr>
            <w:tcW w:w="3059" w:type="dxa"/>
            <w:tcBorders>
              <w:top w:val="single" w:sz="2" w:space="0" w:color="auto"/>
              <w:left w:val="nil"/>
              <w:bottom w:val="single" w:sz="2" w:space="0" w:color="auto"/>
              <w:right w:val="nil"/>
            </w:tcBorders>
            <w:shd w:val="clear" w:color="auto" w:fill="auto"/>
            <w:vAlign w:val="center"/>
          </w:tcPr>
          <w:p w:rsidR="006944BB" w:rsidRPr="009E73DE" w:rsidRDefault="006944BB" w:rsidP="009E73DE">
            <w:pPr>
              <w:pStyle w:val="cuatexto"/>
              <w:jc w:val="right"/>
              <w:rPr>
                <w:szCs w:val="20"/>
              </w:rPr>
            </w:pPr>
            <w:r>
              <w:t>216.502</w:t>
            </w:r>
          </w:p>
        </w:tc>
      </w:tr>
      <w:tr w:rsidR="006944BB" w:rsidRPr="009E73DE" w:rsidTr="00CB7D4E">
        <w:trPr>
          <w:trHeight w:val="227"/>
          <w:jc w:val="center"/>
        </w:trPr>
        <w:tc>
          <w:tcPr>
            <w:tcW w:w="5757" w:type="dxa"/>
            <w:tcBorders>
              <w:top w:val="single" w:sz="2" w:space="0" w:color="auto"/>
              <w:left w:val="nil"/>
              <w:bottom w:val="single" w:sz="4" w:space="0" w:color="auto"/>
              <w:right w:val="nil"/>
            </w:tcBorders>
            <w:shd w:val="clear" w:color="auto" w:fill="auto"/>
            <w:vAlign w:val="center"/>
          </w:tcPr>
          <w:p w:rsidR="006944BB" w:rsidRPr="009E73DE" w:rsidRDefault="006944BB" w:rsidP="00ED31E9">
            <w:pPr>
              <w:pStyle w:val="cuatexto"/>
              <w:jc w:val="left"/>
              <w:rPr>
                <w:szCs w:val="20"/>
              </w:rPr>
            </w:pPr>
            <w:r>
              <w:t>Estaldura-operazioari lotutako zorraren interesak</w:t>
            </w:r>
          </w:p>
        </w:tc>
        <w:tc>
          <w:tcPr>
            <w:tcW w:w="3059" w:type="dxa"/>
            <w:tcBorders>
              <w:top w:val="single" w:sz="2" w:space="0" w:color="auto"/>
              <w:left w:val="nil"/>
              <w:bottom w:val="single" w:sz="4" w:space="0" w:color="auto"/>
              <w:right w:val="nil"/>
            </w:tcBorders>
            <w:shd w:val="clear" w:color="auto" w:fill="auto"/>
            <w:vAlign w:val="center"/>
          </w:tcPr>
          <w:p w:rsidR="006944BB" w:rsidRPr="009E73DE" w:rsidRDefault="00390971" w:rsidP="009E73DE">
            <w:pPr>
              <w:pStyle w:val="cuatexto"/>
              <w:jc w:val="right"/>
              <w:rPr>
                <w:szCs w:val="20"/>
              </w:rPr>
            </w:pPr>
            <w:r>
              <w:t>21.017.014</w:t>
            </w:r>
          </w:p>
        </w:tc>
      </w:tr>
      <w:tr w:rsidR="006944BB" w:rsidRPr="006C3D85" w:rsidTr="00CB7D4E">
        <w:trPr>
          <w:trHeight w:val="255"/>
          <w:jc w:val="center"/>
        </w:trPr>
        <w:tc>
          <w:tcPr>
            <w:tcW w:w="5757" w:type="dxa"/>
            <w:tcBorders>
              <w:top w:val="single" w:sz="4" w:space="0" w:color="auto"/>
              <w:left w:val="nil"/>
              <w:bottom w:val="single" w:sz="4" w:space="0" w:color="auto"/>
              <w:right w:val="nil"/>
            </w:tcBorders>
            <w:shd w:val="clear" w:color="auto" w:fill="auto"/>
            <w:vAlign w:val="center"/>
          </w:tcPr>
          <w:p w:rsidR="006944BB" w:rsidRPr="006C3D85" w:rsidRDefault="006944BB" w:rsidP="00CB7D4E">
            <w:pPr>
              <w:pStyle w:val="cuadroCabe"/>
              <w:jc w:val="left"/>
              <w:rPr>
                <w:i/>
              </w:rPr>
            </w:pPr>
            <w:r>
              <w:rPr>
                <w:i/>
              </w:rPr>
              <w:t>Gastuak, guztira</w:t>
            </w:r>
          </w:p>
        </w:tc>
        <w:tc>
          <w:tcPr>
            <w:tcW w:w="3059" w:type="dxa"/>
            <w:tcBorders>
              <w:top w:val="single" w:sz="4" w:space="0" w:color="auto"/>
              <w:left w:val="nil"/>
              <w:bottom w:val="single" w:sz="4" w:space="0" w:color="auto"/>
              <w:right w:val="nil"/>
            </w:tcBorders>
            <w:shd w:val="clear" w:color="auto" w:fill="auto"/>
            <w:vAlign w:val="center"/>
          </w:tcPr>
          <w:p w:rsidR="006944BB" w:rsidRPr="006C3D85" w:rsidRDefault="00390971" w:rsidP="00390971">
            <w:pPr>
              <w:pStyle w:val="cuadroCabe"/>
              <w:jc w:val="right"/>
              <w:rPr>
                <w:i/>
              </w:rPr>
            </w:pPr>
            <w:r>
              <w:rPr>
                <w:i/>
              </w:rPr>
              <w:t>341.942.591</w:t>
            </w:r>
          </w:p>
        </w:tc>
      </w:tr>
      <w:tr w:rsidR="006944BB" w:rsidRPr="00044428" w:rsidTr="00CB7D4E">
        <w:trPr>
          <w:trHeight w:val="312"/>
          <w:jc w:val="center"/>
        </w:trPr>
        <w:tc>
          <w:tcPr>
            <w:tcW w:w="5757" w:type="dxa"/>
            <w:tcBorders>
              <w:top w:val="single" w:sz="4" w:space="0" w:color="auto"/>
              <w:left w:val="nil"/>
              <w:bottom w:val="single" w:sz="4" w:space="0" w:color="auto"/>
              <w:right w:val="nil"/>
            </w:tcBorders>
            <w:shd w:val="clear" w:color="auto" w:fill="8DB3E2" w:themeFill="text2" w:themeFillTint="66"/>
            <w:vAlign w:val="center"/>
          </w:tcPr>
          <w:p w:rsidR="006944BB" w:rsidRPr="009E73DE" w:rsidRDefault="006944BB" w:rsidP="00CB7D4E">
            <w:pPr>
              <w:pStyle w:val="cuadroCabe"/>
              <w:jc w:val="left"/>
            </w:pPr>
            <w:r>
              <w:t>Emaitza</w:t>
            </w:r>
          </w:p>
        </w:tc>
        <w:tc>
          <w:tcPr>
            <w:tcW w:w="3059" w:type="dxa"/>
            <w:tcBorders>
              <w:top w:val="single" w:sz="4" w:space="0" w:color="auto"/>
              <w:left w:val="nil"/>
              <w:bottom w:val="single" w:sz="4" w:space="0" w:color="auto"/>
              <w:right w:val="nil"/>
            </w:tcBorders>
            <w:shd w:val="clear" w:color="auto" w:fill="8DB3E2" w:themeFill="text2" w:themeFillTint="66"/>
            <w:vAlign w:val="center"/>
          </w:tcPr>
          <w:p w:rsidR="006944BB" w:rsidRPr="009E73DE" w:rsidRDefault="000B3F12" w:rsidP="009E73DE">
            <w:pPr>
              <w:pStyle w:val="cuadroCabe"/>
              <w:jc w:val="right"/>
            </w:pPr>
            <w:r>
              <w:t>-19.653.412</w:t>
            </w:r>
          </w:p>
        </w:tc>
      </w:tr>
    </w:tbl>
    <w:p w:rsidR="006944BB" w:rsidRPr="008D3B0E" w:rsidRDefault="006944BB" w:rsidP="00BF55EA">
      <w:pPr>
        <w:pStyle w:val="atitulo2"/>
        <w:spacing w:before="360"/>
      </w:pPr>
      <w:bookmarkStart w:id="24" w:name="_Toc441141967"/>
      <w:bookmarkStart w:id="25" w:name="_Toc446489691"/>
      <w:r>
        <w:t>IV.2. Errentagarritasuna</w:t>
      </w:r>
      <w:bookmarkEnd w:id="24"/>
      <w:bookmarkEnd w:id="25"/>
    </w:p>
    <w:p w:rsidR="00724C22" w:rsidRDefault="006944BB" w:rsidP="00BE00E8">
      <w:pPr>
        <w:pStyle w:val="texto"/>
        <w:numPr>
          <w:ilvl w:val="0"/>
          <w:numId w:val="24"/>
        </w:numPr>
        <w:tabs>
          <w:tab w:val="clear" w:pos="2835"/>
          <w:tab w:val="clear" w:pos="3969"/>
          <w:tab w:val="clear" w:pos="5103"/>
          <w:tab w:val="center" w:pos="0"/>
          <w:tab w:val="center" w:pos="284"/>
          <w:tab w:val="center" w:pos="709"/>
        </w:tabs>
        <w:spacing w:after="160"/>
        <w:ind w:left="0" w:firstLine="426"/>
      </w:pPr>
      <w:r>
        <w:t>Eragiketaren gastuak eta diru-sarreren fluxuak berdintzen dira, akzioak erosten direnetik horiek saldu bitartean, Iberdrolaren akzioetako inbertsioaren Barneko Errentagarritasun Tasarako. Tasa hori honako hau izan da:</w:t>
      </w:r>
    </w:p>
    <w:p w:rsidR="006944BB" w:rsidRPr="009A4D66" w:rsidRDefault="006944BB" w:rsidP="00BE00E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60"/>
        <w:ind w:left="0" w:firstLine="289"/>
        <w:rPr>
          <w:szCs w:val="26"/>
        </w:rPr>
      </w:pPr>
      <w:r>
        <w:t>% 1,04 urtean, inbertsioaren finantzaketari lotutako zorraren finantza-gastuak kontuan hartuta. Errentagarritasun hori 2005-2014 aldiko KPIa (% 1,96 urtean) baino txikiagoa izan zen.</w:t>
      </w:r>
    </w:p>
    <w:p w:rsidR="00B51C5F" w:rsidRDefault="00B51C5F" w:rsidP="00BE00E8">
      <w:pPr>
        <w:pStyle w:val="texto"/>
        <w:spacing w:after="160"/>
        <w:rPr>
          <w:szCs w:val="26"/>
        </w:rPr>
      </w:pPr>
      <w:r>
        <w:t>Urteko % 1,04ko errentagarritasun positiboa izan arren, azken finantza-emaitza negatiboa izan da, fluxuak kapitalizatzeko erabilitako indizea den KPIaren igoera handiagoa izan baita. Hau da, berrerositako zenbatekoak inbe</w:t>
      </w:r>
      <w:r>
        <w:t>r</w:t>
      </w:r>
      <w:r>
        <w:t>titutakoak baino handiagoak badira ere, horien erosahalmena txikiagoa da.</w:t>
      </w:r>
    </w:p>
    <w:p w:rsidR="00B51C5F" w:rsidRPr="00BB396D" w:rsidRDefault="00BB396D" w:rsidP="00BE00E8">
      <w:pPr>
        <w:pStyle w:val="texto"/>
        <w:numPr>
          <w:ilvl w:val="0"/>
          <w:numId w:val="24"/>
        </w:numPr>
        <w:tabs>
          <w:tab w:val="clear" w:pos="2835"/>
          <w:tab w:val="clear" w:pos="3969"/>
          <w:tab w:val="clear" w:pos="5103"/>
          <w:tab w:val="center" w:pos="0"/>
          <w:tab w:val="center" w:pos="284"/>
          <w:tab w:val="center" w:pos="709"/>
        </w:tabs>
        <w:spacing w:after="160"/>
        <w:ind w:left="0" w:firstLine="426"/>
      </w:pPr>
      <w:r>
        <w:t>Inbertsioaren finantzaketari lotutako zorraren finantza-gastuak kontuan hartu gabe, errentagarritasun-tasa % 2,21ekoa izan da urtean. Nahiz eta erre</w:t>
      </w:r>
      <w:r>
        <w:t>n</w:t>
      </w:r>
      <w:r>
        <w:t>tagarritasun hori 2005-2014 aldiko KPIa baino handiagoa den, txikiagoa da z</w:t>
      </w:r>
      <w:r>
        <w:t>o</w:t>
      </w:r>
      <w:r>
        <w:t>rrak 2007ko maiatzetik 2009ko maiatzera bitartean, 2011ko maiatzean eta 2014ko martxoaren 31n izan duen kostua baino, baita 2014ko apirilaren 1ean itundutako kredituen interes-tasa baino txikiagoa ere, txosten honen 3. eransk</w:t>
      </w:r>
      <w:r>
        <w:t>i</w:t>
      </w:r>
      <w:r>
        <w:t xml:space="preserve">nean ikusten denez. </w:t>
      </w:r>
    </w:p>
    <w:bookmarkEnd w:id="3"/>
    <w:p w:rsidR="009A4D66" w:rsidRDefault="009A4D66" w:rsidP="00F128AC">
      <w:pPr>
        <w:pStyle w:val="texto"/>
        <w:spacing w:after="240"/>
        <w:rPr>
          <w:rFonts w:ascii="Arial" w:hAnsi="Arial" w:cs="Arial"/>
          <w:sz w:val="25"/>
          <w:szCs w:val="25"/>
        </w:rPr>
      </w:pPr>
    </w:p>
    <w:p w:rsidR="006944BB" w:rsidRPr="00F90600" w:rsidRDefault="006944BB" w:rsidP="00F128AC">
      <w:pPr>
        <w:pStyle w:val="texto"/>
        <w:spacing w:after="240"/>
        <w:rPr>
          <w:rFonts w:ascii="Arial" w:hAnsi="Arial" w:cs="Arial"/>
          <w:sz w:val="25"/>
          <w:szCs w:val="25"/>
        </w:rPr>
      </w:pPr>
      <w:r>
        <w:rPr>
          <w:rFonts w:ascii="Arial" w:hAnsi="Arial"/>
          <w:sz w:val="25"/>
        </w:rPr>
        <w:lastRenderedPageBreak/>
        <w:t>Amaierako konklusioa</w:t>
      </w:r>
    </w:p>
    <w:p w:rsidR="008534C6" w:rsidRDefault="008F6E05" w:rsidP="00F128AC">
      <w:pPr>
        <w:pStyle w:val="texto"/>
        <w:spacing w:after="180"/>
      </w:pPr>
      <w:r>
        <w:t xml:space="preserve">Iberdrolaren akzioak erosteko prozedura Kontuen Ganberak fiskalizatu zuen, eta erakundeak 2007ko abenduan egindako txostenean adierazi zen. </w:t>
      </w:r>
    </w:p>
    <w:p w:rsidR="008F6E05" w:rsidRPr="008F6E05" w:rsidRDefault="008534C6" w:rsidP="00F128AC">
      <w:pPr>
        <w:pStyle w:val="texto"/>
        <w:spacing w:after="180"/>
      </w:pPr>
      <w:r>
        <w:t>Txosten horretan Ganberak ondorioztatu zuen Iberdrola SAren kapital sozi</w:t>
      </w:r>
      <w:r>
        <w:t>a</w:t>
      </w:r>
      <w:r>
        <w:t>lean % 1era arteko partaidetza izateko erabakia Nafarroako Gobernuak hartu zuela Foru Komunitaterako “interes estrategikoak” izeneko arrazoietan oinarr</w:t>
      </w:r>
      <w:r>
        <w:t>i</w:t>
      </w:r>
      <w:r>
        <w:t>tuta, eta Sodenak hori gauzatu zuen Gobernuak eskatuta, aldez aurretik gobe</w:t>
      </w:r>
      <w:r>
        <w:t>r</w:t>
      </w:r>
      <w:r>
        <w:t>nuak berak adierazi eta negoziatu bezala.</w:t>
      </w:r>
    </w:p>
    <w:p w:rsidR="008F6E05" w:rsidRDefault="008534C6" w:rsidP="00F128AC">
      <w:pPr>
        <w:pStyle w:val="texto"/>
        <w:spacing w:after="180"/>
      </w:pPr>
      <w:r>
        <w:t>Ganberak berezi eta ohiz kanpokotzat jo zuen eragiketa hori Sodenaren i</w:t>
      </w:r>
      <w:r>
        <w:t>n</w:t>
      </w:r>
      <w:r>
        <w:t>bertsio-politikaren barnean.</w:t>
      </w:r>
    </w:p>
    <w:p w:rsidR="008534C6" w:rsidRPr="008534C6" w:rsidRDefault="008F6E05" w:rsidP="00F128AC">
      <w:pPr>
        <w:pStyle w:val="texto"/>
        <w:spacing w:after="180"/>
        <w:rPr>
          <w:i/>
        </w:rPr>
      </w:pPr>
      <w:r>
        <w:t>Eragiketa estrategiko gisa eratu zen, eta bertan etekin ekonomikoa baino zerbait gehiago lortzea espero zen. Hala ere, ez da adierazi zein helburu estr</w:t>
      </w:r>
      <w:r>
        <w:t>a</w:t>
      </w:r>
      <w:r>
        <w:t>tegiko lortu zen Iberdrolaren akzioak salduz.  2007ko abenduan egindako txo</w:t>
      </w:r>
      <w:r>
        <w:t>s</w:t>
      </w:r>
      <w:r>
        <w:t xml:space="preserve">tenean Ganberak honako hau gomendatu zuen: </w:t>
      </w:r>
      <w:r>
        <w:rPr>
          <w:i/>
        </w:rPr>
        <w:t>Helburu estrategikoak azterketa ekonomikoetan oinarritu eta plan batean jaso behar dira, haiek lortzeko jard</w:t>
      </w:r>
      <w:r>
        <w:rPr>
          <w:i/>
        </w:rPr>
        <w:t>u</w:t>
      </w:r>
      <w:r>
        <w:rPr>
          <w:i/>
        </w:rPr>
        <w:t>era-ildo eta beharrezkoak diren baliabideekin batera. Halaber, helburuak z</w:t>
      </w:r>
      <w:r>
        <w:rPr>
          <w:i/>
        </w:rPr>
        <w:t>e</w:t>
      </w:r>
      <w:r>
        <w:rPr>
          <w:i/>
        </w:rPr>
        <w:t>haztu eta epe laburreko helburu operatiboekin lotu behar dira.</w:t>
      </w:r>
    </w:p>
    <w:p w:rsidR="008F6E05" w:rsidRPr="00E81B25" w:rsidRDefault="008F6E05" w:rsidP="00F128AC">
      <w:pPr>
        <w:pStyle w:val="texto"/>
        <w:spacing w:after="180"/>
      </w:pPr>
      <w:r>
        <w:t>Iberdrolaren akzioen % 20 erabili ziren Sodenaren kapitala murrizteko er</w:t>
      </w:r>
      <w:r>
        <w:t>a</w:t>
      </w:r>
      <w:r>
        <w:t>giketa bat TME 2001 Corpcan SL akziodunari gauzatan ordaintzeko.</w:t>
      </w:r>
    </w:p>
    <w:p w:rsidR="008F6E05" w:rsidRPr="00E81B25" w:rsidRDefault="008F6E05" w:rsidP="00F128AC">
      <w:pPr>
        <w:pStyle w:val="texto"/>
        <w:spacing w:after="180"/>
      </w:pPr>
      <w:r>
        <w:t xml:space="preserve"> Iberdrolaren akzioen % 80 Sodenaren finantza-zorra amortizatzeko saldu z</w:t>
      </w:r>
      <w:r>
        <w:t>i</w:t>
      </w:r>
      <w:r>
        <w:t>ren. Eta zor horren % 69 erabili zen Iberdrolaren akzioen estaldura-operazioaren likidazioa finantzatzeko.</w:t>
      </w:r>
    </w:p>
    <w:p w:rsidR="008F6E05" w:rsidRDefault="008F6E05" w:rsidP="000551D4">
      <w:pPr>
        <w:pStyle w:val="texto"/>
        <w:spacing w:after="180"/>
      </w:pPr>
      <w:r>
        <w:t>Iberdrolaren akzioetako inbertsioak % 1,04ko errentagarritasuna izan du u</w:t>
      </w:r>
      <w:r>
        <w:t>r</w:t>
      </w:r>
      <w:r>
        <w:t>tean, lotutako zorraren finantza-gastuak kontuan hartuta. Errentagarritasun h</w:t>
      </w:r>
      <w:r>
        <w:t>o</w:t>
      </w:r>
      <w:r>
        <w:t>rrek ez du ahalbidetu inbertsioaren gastuen erosahalmena berreskuratzea, 2005-2014 aldiko KPIa baino txikiagoa izan baita. Horrenbestez, 19,65 milioi euroko galera sortu da, euro konstante edo errealetan adierazita.</w:t>
      </w:r>
    </w:p>
    <w:p w:rsidR="000551D4" w:rsidRDefault="000551D4" w:rsidP="000551D4">
      <w:pPr>
        <w:pStyle w:val="texto"/>
        <w:spacing w:after="180"/>
      </w:pPr>
      <w:r>
        <w:t>Iberdrolaren akzioetako inbertsioa ez da errentagarria izan % 2,21etik edo % 1,04tik (aztertu den eragiketari lotutako zorraren finantza-zama kontuan ha</w:t>
      </w:r>
      <w:r>
        <w:t>r</w:t>
      </w:r>
      <w:r>
        <w:t>tuz gero) gorakoak diren itzulkin- edo errentagarritasun-tasetarako. Oro har, Sodenaren zorraren finantzaketa-kostua % 2,21eko errentagarritasun-tasa baino handiagoa izan da. Horrez gain, finantza-zama barne hartuta kalkulatu den % 1,04ko errentagarritasun-tasari dagokionez, errebalorizazioa ez da KPIaren baliokidea izan.</w:t>
      </w:r>
    </w:p>
    <w:p w:rsidR="000551D4" w:rsidRDefault="000551D4" w:rsidP="000551D4">
      <w:pPr>
        <w:pStyle w:val="texto"/>
        <w:spacing w:after="180"/>
      </w:pPr>
    </w:p>
    <w:p w:rsidR="006944BB" w:rsidRDefault="00D805F6" w:rsidP="00F128AC">
      <w:pPr>
        <w:pStyle w:val="texto"/>
        <w:spacing w:after="320"/>
        <w:rPr>
          <w:i/>
        </w:rPr>
      </w:pPr>
      <w:r>
        <w:rPr>
          <w:i/>
        </w:rPr>
        <w:t>Hona hemen gure gomendioa: funts publikoak erabiltzea administrazio p</w:t>
      </w:r>
      <w:r>
        <w:rPr>
          <w:i/>
        </w:rPr>
        <w:t>u</w:t>
      </w:r>
      <w:r>
        <w:rPr>
          <w:i/>
        </w:rPr>
        <w:t>bliko batek bete behar dituen helburuekin bat datozen errentagarritasun ek</w:t>
      </w:r>
      <w:r>
        <w:rPr>
          <w:i/>
        </w:rPr>
        <w:t>o</w:t>
      </w:r>
      <w:r>
        <w:rPr>
          <w:i/>
        </w:rPr>
        <w:lastRenderedPageBreak/>
        <w:t>nomiko eta sozialeko produkzio-inbertsioetarako eta/edo Sodena SLren egink</w:t>
      </w:r>
      <w:r>
        <w:rPr>
          <w:i/>
        </w:rPr>
        <w:t>i</w:t>
      </w:r>
      <w:r>
        <w:rPr>
          <w:i/>
        </w:rPr>
        <w:t>zunari oinarri ematen dioten enpresa-proiektu estrategikoetarako.</w:t>
      </w:r>
    </w:p>
    <w:p w:rsidR="00F128AC" w:rsidRDefault="00F128AC" w:rsidP="00F128AC">
      <w:pPr>
        <w:pStyle w:val="texto"/>
        <w:tabs>
          <w:tab w:val="clear" w:pos="2835"/>
          <w:tab w:val="clear" w:pos="3969"/>
          <w:tab w:val="clear" w:pos="5103"/>
          <w:tab w:val="clear" w:pos="6237"/>
          <w:tab w:val="clear" w:pos="7371"/>
        </w:tabs>
        <w:rPr>
          <w:rFonts w:cs="Arial"/>
        </w:rPr>
      </w:pPr>
      <w:r>
        <w:t>Txosten hau, indarrean dagoen araudiak ezarritako izapideak bete ondoren, Asunción Olaechea Estanga auditoreak proposatuta egin da, bera izan baita lan honen arduraduna.</w:t>
      </w:r>
    </w:p>
    <w:p w:rsidR="00F128AC" w:rsidRPr="00C40ABD" w:rsidRDefault="00F128AC" w:rsidP="00F128AC">
      <w:pPr>
        <w:spacing w:before="240" w:after="120"/>
        <w:ind w:firstLine="284"/>
        <w:jc w:val="center"/>
        <w:rPr>
          <w:sz w:val="26"/>
          <w:szCs w:val="26"/>
        </w:rPr>
      </w:pPr>
      <w:r>
        <w:rPr>
          <w:sz w:val="26"/>
        </w:rPr>
        <w:t xml:space="preserve">Iruñean, 2016ko urtarrilaren 21ean </w:t>
      </w:r>
    </w:p>
    <w:p w:rsidR="00F128AC" w:rsidRPr="00A56698" w:rsidRDefault="00F128AC" w:rsidP="00F128AC">
      <w:pPr>
        <w:spacing w:before="240" w:after="120"/>
        <w:ind w:firstLine="284"/>
        <w:jc w:val="center"/>
        <w:rPr>
          <w:sz w:val="26"/>
          <w:szCs w:val="26"/>
        </w:rPr>
      </w:pPr>
      <w:r>
        <w:rPr>
          <w:sz w:val="26"/>
        </w:rPr>
        <w:t>Lehendakaria: Helio Robleda Cabezas.</w:t>
      </w:r>
    </w:p>
    <w:p w:rsidR="006944BB" w:rsidRDefault="006944BB" w:rsidP="006944BB">
      <w:pPr>
        <w:pStyle w:val="texto"/>
      </w:pPr>
    </w:p>
    <w:p w:rsidR="006944BB" w:rsidRDefault="006944BB" w:rsidP="006944BB">
      <w:pPr>
        <w:pStyle w:val="texto"/>
      </w:pPr>
    </w:p>
    <w:p w:rsidR="006944BB" w:rsidRDefault="006944BB" w:rsidP="006944BB">
      <w:pPr>
        <w:pStyle w:val="texto"/>
      </w:pPr>
    </w:p>
    <w:p w:rsidR="00F128AC" w:rsidRPr="00F128AC" w:rsidRDefault="00F128AC" w:rsidP="00F128AC">
      <w:pPr>
        <w:pStyle w:val="texto"/>
      </w:pPr>
      <w:bookmarkStart w:id="26" w:name="_Toc353433551"/>
      <w:bookmarkStart w:id="27" w:name="_Toc354139921"/>
      <w:bookmarkStart w:id="28" w:name="_Toc388959957"/>
      <w:r>
        <w:br w:type="page"/>
      </w:r>
    </w:p>
    <w:p w:rsidR="005E0ADF" w:rsidRDefault="005E0ADF" w:rsidP="006944BB">
      <w:pPr>
        <w:pStyle w:val="atitulo1"/>
        <w:jc w:val="right"/>
        <w:rPr>
          <w:sz w:val="40"/>
          <w:szCs w:val="40"/>
        </w:rPr>
      </w:pPr>
    </w:p>
    <w:p w:rsidR="002D6193" w:rsidRDefault="002D6193" w:rsidP="006944BB">
      <w:pPr>
        <w:pStyle w:val="atitulo1"/>
        <w:jc w:val="right"/>
        <w:rPr>
          <w:sz w:val="40"/>
          <w:szCs w:val="40"/>
        </w:rPr>
      </w:pPr>
    </w:p>
    <w:p w:rsidR="002D6193" w:rsidRDefault="002D6193" w:rsidP="006944BB">
      <w:pPr>
        <w:pStyle w:val="atitulo1"/>
        <w:jc w:val="right"/>
        <w:rPr>
          <w:sz w:val="40"/>
          <w:szCs w:val="40"/>
        </w:rPr>
      </w:pPr>
    </w:p>
    <w:p w:rsidR="00F128AC" w:rsidRDefault="00F128AC" w:rsidP="006944BB">
      <w:pPr>
        <w:pStyle w:val="atitulo1"/>
        <w:jc w:val="right"/>
        <w:rPr>
          <w:sz w:val="40"/>
          <w:szCs w:val="40"/>
        </w:rPr>
      </w:pPr>
    </w:p>
    <w:p w:rsidR="006944BB" w:rsidRDefault="006944BB" w:rsidP="006944BB">
      <w:pPr>
        <w:pStyle w:val="atitulo1"/>
        <w:jc w:val="right"/>
        <w:rPr>
          <w:sz w:val="40"/>
          <w:szCs w:val="40"/>
        </w:rPr>
      </w:pPr>
      <w:bookmarkStart w:id="29" w:name="_Toc441141968"/>
      <w:bookmarkStart w:id="30" w:name="_Toc446489692"/>
      <w:r>
        <w:rPr>
          <w:sz w:val="40"/>
        </w:rPr>
        <w:t>Eranskina</w:t>
      </w:r>
      <w:bookmarkEnd w:id="26"/>
      <w:bookmarkEnd w:id="27"/>
      <w:r>
        <w:rPr>
          <w:sz w:val="40"/>
        </w:rPr>
        <w:t>k</w:t>
      </w:r>
      <w:bookmarkEnd w:id="28"/>
      <w:bookmarkEnd w:id="29"/>
      <w:bookmarkEnd w:id="30"/>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rsidP="006944BB">
      <w:pPr>
        <w:pStyle w:val="texto"/>
        <w:tabs>
          <w:tab w:val="clear" w:pos="2835"/>
          <w:tab w:val="clear" w:pos="3969"/>
          <w:tab w:val="clear" w:pos="5103"/>
          <w:tab w:val="clear" w:pos="6237"/>
          <w:tab w:val="clear" w:pos="7371"/>
        </w:tabs>
        <w:rPr>
          <w:rFonts w:eastAsia="Calibri"/>
        </w:rPr>
      </w:pPr>
    </w:p>
    <w:p w:rsidR="006944BB" w:rsidRDefault="006944BB">
      <w:pPr>
        <w:spacing w:after="0"/>
        <w:ind w:firstLine="0"/>
        <w:jc w:val="left"/>
        <w:rPr>
          <w:rFonts w:eastAsia="Calibri"/>
          <w:spacing w:val="6"/>
          <w:sz w:val="26"/>
          <w:szCs w:val="24"/>
        </w:rPr>
      </w:pPr>
      <w:r>
        <w:br w:type="page"/>
      </w:r>
    </w:p>
    <w:p w:rsidR="006944BB" w:rsidRPr="00F43938" w:rsidRDefault="006944BB" w:rsidP="00E96655">
      <w:pPr>
        <w:pStyle w:val="atitulo2"/>
        <w:spacing w:before="240" w:after="600"/>
      </w:pPr>
      <w:bookmarkStart w:id="31" w:name="_Toc399923718"/>
      <w:bookmarkStart w:id="32" w:name="_Toc441141969"/>
      <w:bookmarkStart w:id="33" w:name="_Toc446489693"/>
      <w:r>
        <w:lastRenderedPageBreak/>
        <w:t xml:space="preserve">1. eranskina: </w:t>
      </w:r>
      <w:bookmarkEnd w:id="31"/>
      <w:r>
        <w:t>Diru-sarrerak</w:t>
      </w:r>
      <w:bookmarkEnd w:id="32"/>
      <w:bookmarkEnd w:id="33"/>
      <w:r>
        <w:t xml:space="preserve"> </w:t>
      </w:r>
    </w:p>
    <w:p w:rsidR="006944BB" w:rsidRPr="00E96655" w:rsidRDefault="006944BB" w:rsidP="00E96655">
      <w:pPr>
        <w:spacing w:after="300"/>
        <w:ind w:left="567" w:firstLine="0"/>
        <w:jc w:val="center"/>
        <w:rPr>
          <w:rFonts w:ascii="Arial" w:hAnsi="Arial" w:cs="Arial"/>
        </w:rPr>
      </w:pPr>
      <w:r>
        <w:rPr>
          <w:rFonts w:ascii="Arial" w:hAnsi="Arial"/>
        </w:rPr>
        <w:t>Kapitala murriztea akzioak emanez</w:t>
      </w:r>
    </w:p>
    <w:tbl>
      <w:tblPr>
        <w:tblW w:w="882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726"/>
        <w:gridCol w:w="1448"/>
        <w:gridCol w:w="1946"/>
        <w:gridCol w:w="1702"/>
        <w:gridCol w:w="2002"/>
      </w:tblGrid>
      <w:tr w:rsidR="006944BB" w:rsidRPr="006B331E" w:rsidTr="009F2665">
        <w:trPr>
          <w:trHeight w:hRule="exact" w:val="727"/>
          <w:jc w:val="center"/>
        </w:trPr>
        <w:tc>
          <w:tcPr>
            <w:tcW w:w="1726" w:type="dxa"/>
            <w:shd w:val="clear" w:color="auto" w:fill="8DB3E2" w:themeFill="text2" w:themeFillTint="66"/>
            <w:vAlign w:val="center"/>
          </w:tcPr>
          <w:p w:rsidR="006944BB" w:rsidRPr="005E0ADF" w:rsidRDefault="006944BB" w:rsidP="005E0ADF">
            <w:pPr>
              <w:pStyle w:val="cuadroCabe"/>
              <w:jc w:val="left"/>
            </w:pPr>
            <w:r>
              <w:t>Data</w:t>
            </w:r>
          </w:p>
        </w:tc>
        <w:tc>
          <w:tcPr>
            <w:tcW w:w="1448" w:type="dxa"/>
            <w:shd w:val="clear" w:color="auto" w:fill="8DB3E2" w:themeFill="text2" w:themeFillTint="66"/>
            <w:vAlign w:val="center"/>
          </w:tcPr>
          <w:p w:rsidR="006944BB" w:rsidRPr="005E0ADF" w:rsidRDefault="006944BB" w:rsidP="005E0ADF">
            <w:pPr>
              <w:pStyle w:val="cuadroCabe"/>
              <w:jc w:val="right"/>
            </w:pPr>
            <w:r>
              <w:t>Emandako</w:t>
            </w:r>
          </w:p>
          <w:p w:rsidR="006944BB" w:rsidRPr="005E0ADF" w:rsidRDefault="006944BB" w:rsidP="005E0ADF">
            <w:pPr>
              <w:pStyle w:val="cuadroCabe"/>
              <w:jc w:val="right"/>
            </w:pPr>
            <w:r>
              <w:t>akzioen kop.</w:t>
            </w:r>
          </w:p>
        </w:tc>
        <w:tc>
          <w:tcPr>
            <w:tcW w:w="1946" w:type="dxa"/>
            <w:shd w:val="clear" w:color="auto" w:fill="8DB3E2" w:themeFill="text2" w:themeFillTint="66"/>
            <w:vAlign w:val="center"/>
          </w:tcPr>
          <w:p w:rsidR="006944BB" w:rsidRPr="005E0ADF" w:rsidRDefault="006944BB" w:rsidP="005E0ADF">
            <w:pPr>
              <w:pStyle w:val="cuadroCabe"/>
              <w:jc w:val="right"/>
            </w:pPr>
            <w:r>
              <w:t xml:space="preserve">Emandako </w:t>
            </w:r>
            <w:r>
              <w:br/>
              <w:t>akzioen balorazioa</w:t>
            </w:r>
          </w:p>
        </w:tc>
        <w:tc>
          <w:tcPr>
            <w:tcW w:w="1702" w:type="dxa"/>
            <w:shd w:val="clear" w:color="auto" w:fill="8DB3E2" w:themeFill="text2" w:themeFillTint="66"/>
            <w:vAlign w:val="center"/>
          </w:tcPr>
          <w:p w:rsidR="006944BB" w:rsidRPr="005E0ADF" w:rsidRDefault="006944BB" w:rsidP="005E0ADF">
            <w:pPr>
              <w:pStyle w:val="cuadroCabe"/>
              <w:jc w:val="right"/>
            </w:pPr>
            <w:r>
              <w:t>Kapitalizazio-faktorea(1)</w:t>
            </w:r>
          </w:p>
        </w:tc>
        <w:tc>
          <w:tcPr>
            <w:tcW w:w="2002" w:type="dxa"/>
            <w:shd w:val="clear" w:color="auto" w:fill="8DB3E2" w:themeFill="text2" w:themeFillTint="66"/>
            <w:vAlign w:val="center"/>
          </w:tcPr>
          <w:p w:rsidR="006944BB" w:rsidRPr="005E0ADF" w:rsidRDefault="006944BB" w:rsidP="005E0ADF">
            <w:pPr>
              <w:pStyle w:val="cuadroCabe"/>
              <w:jc w:val="right"/>
            </w:pPr>
            <w:r>
              <w:t>Diru-sarrera garbi kapitalizatuak 2014/10/31n</w:t>
            </w:r>
          </w:p>
        </w:tc>
      </w:tr>
      <w:tr w:rsidR="006944BB" w:rsidRPr="005E0ADF" w:rsidTr="009F2665">
        <w:trPr>
          <w:trHeight w:hRule="exact" w:val="284"/>
          <w:jc w:val="center"/>
        </w:trPr>
        <w:tc>
          <w:tcPr>
            <w:tcW w:w="1726" w:type="dxa"/>
            <w:vAlign w:val="center"/>
          </w:tcPr>
          <w:p w:rsidR="006944BB" w:rsidRPr="005E0ADF" w:rsidRDefault="006944BB" w:rsidP="005E0ADF">
            <w:pPr>
              <w:pStyle w:val="cuatexto"/>
              <w:jc w:val="left"/>
              <w:rPr>
                <w:szCs w:val="20"/>
              </w:rPr>
            </w:pPr>
            <w:r>
              <w:t>2008ko martxoa</w:t>
            </w:r>
          </w:p>
        </w:tc>
        <w:tc>
          <w:tcPr>
            <w:tcW w:w="1448" w:type="dxa"/>
            <w:vAlign w:val="center"/>
          </w:tcPr>
          <w:p w:rsidR="006944BB" w:rsidRPr="005E0ADF" w:rsidRDefault="006944BB" w:rsidP="005E0ADF">
            <w:pPr>
              <w:pStyle w:val="cuatexto"/>
              <w:jc w:val="right"/>
              <w:rPr>
                <w:szCs w:val="20"/>
              </w:rPr>
            </w:pPr>
            <w:r>
              <w:t>7.212.394</w:t>
            </w:r>
          </w:p>
        </w:tc>
        <w:tc>
          <w:tcPr>
            <w:tcW w:w="1946" w:type="dxa"/>
            <w:vAlign w:val="center"/>
          </w:tcPr>
          <w:p w:rsidR="006944BB" w:rsidRPr="005E0ADF" w:rsidRDefault="006944BB" w:rsidP="005E0ADF">
            <w:pPr>
              <w:pStyle w:val="cuatexto"/>
              <w:jc w:val="right"/>
              <w:rPr>
                <w:szCs w:val="20"/>
              </w:rPr>
            </w:pPr>
            <w:r>
              <w:t>72.412.432</w:t>
            </w:r>
          </w:p>
        </w:tc>
        <w:tc>
          <w:tcPr>
            <w:tcW w:w="1702" w:type="dxa"/>
            <w:vAlign w:val="center"/>
          </w:tcPr>
          <w:p w:rsidR="006944BB" w:rsidRPr="005E0ADF" w:rsidRDefault="006944BB" w:rsidP="005E0ADF">
            <w:pPr>
              <w:pStyle w:val="cuatexto"/>
              <w:jc w:val="right"/>
              <w:rPr>
                <w:szCs w:val="20"/>
              </w:rPr>
            </w:pPr>
            <w:r>
              <w:t>8,3</w:t>
            </w:r>
          </w:p>
        </w:tc>
        <w:tc>
          <w:tcPr>
            <w:tcW w:w="2002" w:type="dxa"/>
            <w:vAlign w:val="center"/>
          </w:tcPr>
          <w:p w:rsidR="006944BB" w:rsidRPr="005E0ADF" w:rsidRDefault="006944BB" w:rsidP="005E0ADF">
            <w:pPr>
              <w:pStyle w:val="cuatexto"/>
              <w:jc w:val="right"/>
              <w:rPr>
                <w:szCs w:val="20"/>
              </w:rPr>
            </w:pPr>
            <w:r>
              <w:t>78.422.664</w:t>
            </w:r>
          </w:p>
        </w:tc>
      </w:tr>
      <w:tr w:rsidR="006944BB" w:rsidRPr="00BD6126" w:rsidTr="009F2665">
        <w:trPr>
          <w:trHeight w:hRule="exact" w:val="312"/>
          <w:jc w:val="center"/>
        </w:trPr>
        <w:tc>
          <w:tcPr>
            <w:tcW w:w="1726" w:type="dxa"/>
            <w:shd w:val="clear" w:color="auto" w:fill="8DB3E2" w:themeFill="text2" w:themeFillTint="66"/>
            <w:vAlign w:val="center"/>
          </w:tcPr>
          <w:p w:rsidR="006944BB" w:rsidRPr="005E0ADF" w:rsidRDefault="006944BB" w:rsidP="005E0ADF">
            <w:pPr>
              <w:pStyle w:val="cuadroCabe"/>
              <w:jc w:val="left"/>
            </w:pPr>
            <w:r>
              <w:t>Guztira</w:t>
            </w:r>
          </w:p>
        </w:tc>
        <w:tc>
          <w:tcPr>
            <w:tcW w:w="1448" w:type="dxa"/>
            <w:shd w:val="clear" w:color="auto" w:fill="8DB3E2" w:themeFill="text2" w:themeFillTint="66"/>
            <w:vAlign w:val="center"/>
          </w:tcPr>
          <w:p w:rsidR="006944BB" w:rsidRPr="005E0ADF" w:rsidRDefault="006944BB" w:rsidP="005E0ADF">
            <w:pPr>
              <w:pStyle w:val="cuadroCabe"/>
              <w:jc w:val="right"/>
            </w:pPr>
          </w:p>
        </w:tc>
        <w:tc>
          <w:tcPr>
            <w:tcW w:w="1946" w:type="dxa"/>
            <w:shd w:val="clear" w:color="auto" w:fill="8DB3E2" w:themeFill="text2" w:themeFillTint="66"/>
            <w:vAlign w:val="center"/>
          </w:tcPr>
          <w:p w:rsidR="006944BB" w:rsidRPr="005E0ADF" w:rsidRDefault="006944BB" w:rsidP="005E0ADF">
            <w:pPr>
              <w:pStyle w:val="cuadroCabe"/>
              <w:jc w:val="right"/>
            </w:pPr>
          </w:p>
        </w:tc>
        <w:tc>
          <w:tcPr>
            <w:tcW w:w="1702" w:type="dxa"/>
            <w:shd w:val="clear" w:color="auto" w:fill="8DB3E2" w:themeFill="text2" w:themeFillTint="66"/>
            <w:vAlign w:val="center"/>
          </w:tcPr>
          <w:p w:rsidR="006944BB" w:rsidRPr="005E0ADF" w:rsidRDefault="006944BB" w:rsidP="005E0ADF">
            <w:pPr>
              <w:pStyle w:val="cuadroCabe"/>
              <w:jc w:val="right"/>
            </w:pPr>
          </w:p>
        </w:tc>
        <w:tc>
          <w:tcPr>
            <w:tcW w:w="2002" w:type="dxa"/>
            <w:shd w:val="clear" w:color="auto" w:fill="8DB3E2" w:themeFill="text2" w:themeFillTint="66"/>
            <w:vAlign w:val="center"/>
          </w:tcPr>
          <w:p w:rsidR="006944BB" w:rsidRPr="005E0ADF" w:rsidRDefault="006944BB" w:rsidP="005E0ADF">
            <w:pPr>
              <w:pStyle w:val="cuadroCabe"/>
              <w:jc w:val="right"/>
            </w:pPr>
            <w:r>
              <w:t>78.422.664</w:t>
            </w:r>
          </w:p>
        </w:tc>
      </w:tr>
    </w:tbl>
    <w:p w:rsidR="006944BB" w:rsidRPr="00593080" w:rsidRDefault="00593080" w:rsidP="00593080">
      <w:pPr>
        <w:pStyle w:val="texto"/>
        <w:tabs>
          <w:tab w:val="clear" w:pos="2835"/>
          <w:tab w:val="clear" w:pos="3969"/>
          <w:tab w:val="clear" w:pos="5103"/>
          <w:tab w:val="clear" w:pos="6237"/>
          <w:tab w:val="clear" w:pos="7371"/>
        </w:tabs>
        <w:spacing w:before="160" w:after="120"/>
        <w:ind w:firstLine="0"/>
        <w:rPr>
          <w:rFonts w:ascii="Arial Narrow" w:eastAsia="Calibri" w:hAnsi="Arial Narrow"/>
          <w:sz w:val="19"/>
          <w:szCs w:val="19"/>
        </w:rPr>
      </w:pPr>
      <w:r>
        <w:rPr>
          <w:rFonts w:ascii="Arial Narrow" w:hAnsi="Arial Narrow"/>
          <w:sz w:val="19"/>
        </w:rPr>
        <w:t>(1) Nafarroako KPIa, 2008ko apiriletik 2014ko urrira bitartean metatua</w:t>
      </w:r>
    </w:p>
    <w:p w:rsidR="009F2665" w:rsidRDefault="009F2665" w:rsidP="00E96655">
      <w:pPr>
        <w:spacing w:after="300"/>
        <w:ind w:left="567" w:firstLine="0"/>
        <w:jc w:val="center"/>
        <w:rPr>
          <w:rFonts w:ascii="Arial" w:hAnsi="Arial" w:cs="Arial"/>
        </w:rPr>
      </w:pPr>
    </w:p>
    <w:p w:rsidR="006944BB" w:rsidRPr="00E96655" w:rsidRDefault="006944BB" w:rsidP="00E96655">
      <w:pPr>
        <w:spacing w:after="300"/>
        <w:ind w:left="567" w:firstLine="0"/>
        <w:jc w:val="center"/>
        <w:rPr>
          <w:rFonts w:ascii="Arial" w:hAnsi="Arial" w:cs="Arial"/>
        </w:rPr>
      </w:pPr>
      <w:r>
        <w:rPr>
          <w:rFonts w:ascii="Arial" w:hAnsi="Arial"/>
        </w:rPr>
        <w:t>Akzioak saltzeagatiko diru-sarrerak</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2"/>
        <w:gridCol w:w="1445"/>
        <w:gridCol w:w="1134"/>
        <w:gridCol w:w="1276"/>
        <w:gridCol w:w="1306"/>
        <w:gridCol w:w="2153"/>
      </w:tblGrid>
      <w:tr w:rsidR="006944BB" w:rsidRPr="006B331E" w:rsidTr="003A4D8C">
        <w:trPr>
          <w:trHeight w:hRule="exact" w:val="510"/>
          <w:jc w:val="center"/>
        </w:trPr>
        <w:tc>
          <w:tcPr>
            <w:tcW w:w="1552"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left"/>
            </w:pPr>
            <w:r>
              <w:t>Data</w:t>
            </w:r>
          </w:p>
        </w:tc>
        <w:tc>
          <w:tcPr>
            <w:tcW w:w="1445"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t>Saldutako</w:t>
            </w:r>
          </w:p>
          <w:p w:rsidR="006944BB" w:rsidRPr="005E0ADF" w:rsidRDefault="006944BB" w:rsidP="00884477">
            <w:pPr>
              <w:pStyle w:val="cuadroCabe"/>
              <w:jc w:val="right"/>
            </w:pPr>
            <w:r>
              <w:t xml:space="preserve"> akzioen kop.</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t>Diru-sarrera</w:t>
            </w:r>
          </w:p>
          <w:p w:rsidR="006944BB" w:rsidRPr="005E0ADF" w:rsidRDefault="006944BB" w:rsidP="00884477">
            <w:pPr>
              <w:pStyle w:val="cuadroCabe"/>
              <w:jc w:val="right"/>
            </w:pPr>
            <w:r>
              <w:t xml:space="preserve"> gordinak </w:t>
            </w: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t xml:space="preserve">Diru-sarrera </w:t>
            </w:r>
          </w:p>
          <w:p w:rsidR="006944BB" w:rsidRPr="005E0ADF" w:rsidRDefault="009F2665" w:rsidP="00884477">
            <w:pPr>
              <w:pStyle w:val="cuadroCabe"/>
              <w:jc w:val="right"/>
            </w:pPr>
            <w:r>
              <w:t xml:space="preserve">garbiak(1) </w:t>
            </w:r>
          </w:p>
        </w:tc>
        <w:tc>
          <w:tcPr>
            <w:tcW w:w="130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t>Kapitaliz</w:t>
            </w:r>
            <w:r>
              <w:t>a</w:t>
            </w:r>
            <w:r>
              <w:t>zio-faktorea</w:t>
            </w:r>
          </w:p>
        </w:tc>
        <w:tc>
          <w:tcPr>
            <w:tcW w:w="2153"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t>Diru-sarrera garbi k</w:t>
            </w:r>
            <w:r>
              <w:t>a</w:t>
            </w:r>
            <w:r>
              <w:t>pitalizatuak 2014/10/31n</w:t>
            </w:r>
          </w:p>
        </w:tc>
      </w:tr>
      <w:tr w:rsidR="006944BB" w:rsidRPr="005E0ADF" w:rsidTr="003A4D8C">
        <w:trPr>
          <w:trHeight w:hRule="exact" w:val="255"/>
          <w:jc w:val="center"/>
        </w:trPr>
        <w:tc>
          <w:tcPr>
            <w:tcW w:w="1552" w:type="dxa"/>
            <w:tcBorders>
              <w:top w:val="single" w:sz="4" w:space="0" w:color="auto"/>
              <w:left w:val="nil"/>
              <w:bottom w:val="single" w:sz="2" w:space="0" w:color="auto"/>
              <w:right w:val="nil"/>
            </w:tcBorders>
            <w:vAlign w:val="center"/>
          </w:tcPr>
          <w:p w:rsidR="006944BB" w:rsidRPr="005E0ADF" w:rsidRDefault="006944BB" w:rsidP="00884477">
            <w:pPr>
              <w:pStyle w:val="cuatexto"/>
              <w:jc w:val="left"/>
              <w:rPr>
                <w:szCs w:val="20"/>
              </w:rPr>
            </w:pPr>
            <w:r>
              <w:t>2014ko apirila</w:t>
            </w:r>
          </w:p>
        </w:tc>
        <w:tc>
          <w:tcPr>
            <w:tcW w:w="1445"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t>7.088.751</w:t>
            </w:r>
          </w:p>
        </w:tc>
        <w:tc>
          <w:tcPr>
            <w:tcW w:w="1134"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t>35.314.223</w:t>
            </w:r>
          </w:p>
        </w:tc>
        <w:tc>
          <w:tcPr>
            <w:tcW w:w="1276"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t>35.034.669</w:t>
            </w:r>
          </w:p>
        </w:tc>
        <w:tc>
          <w:tcPr>
            <w:tcW w:w="1306"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t>-0,2</w:t>
            </w:r>
          </w:p>
        </w:tc>
        <w:tc>
          <w:tcPr>
            <w:tcW w:w="2153" w:type="dxa"/>
            <w:tcBorders>
              <w:top w:val="single" w:sz="4" w:space="0" w:color="auto"/>
              <w:left w:val="nil"/>
              <w:bottom w:val="single" w:sz="2" w:space="0" w:color="auto"/>
              <w:right w:val="nil"/>
            </w:tcBorders>
            <w:vAlign w:val="center"/>
          </w:tcPr>
          <w:p w:rsidR="006944BB" w:rsidRPr="005E0ADF" w:rsidRDefault="006944BB" w:rsidP="00884477">
            <w:pPr>
              <w:pStyle w:val="cuatexto"/>
              <w:jc w:val="right"/>
              <w:rPr>
                <w:szCs w:val="20"/>
              </w:rPr>
            </w:pPr>
            <w:r>
              <w:t>34.964.600</w:t>
            </w:r>
          </w:p>
        </w:tc>
      </w:tr>
      <w:tr w:rsidR="006944BB" w:rsidRPr="005E0ADF" w:rsidTr="003A4D8C">
        <w:trPr>
          <w:trHeight w:hRule="exact" w:val="255"/>
          <w:jc w:val="center"/>
        </w:trPr>
        <w:tc>
          <w:tcPr>
            <w:tcW w:w="1552" w:type="dxa"/>
            <w:tcBorders>
              <w:top w:val="single" w:sz="2" w:space="0" w:color="auto"/>
              <w:left w:val="nil"/>
              <w:bottom w:val="single" w:sz="2" w:space="0" w:color="auto"/>
              <w:right w:val="nil"/>
            </w:tcBorders>
            <w:vAlign w:val="center"/>
          </w:tcPr>
          <w:p w:rsidR="006944BB" w:rsidRPr="005E0ADF" w:rsidRDefault="006944BB" w:rsidP="00884477">
            <w:pPr>
              <w:pStyle w:val="cuatexto"/>
              <w:jc w:val="left"/>
              <w:rPr>
                <w:szCs w:val="20"/>
              </w:rPr>
            </w:pPr>
            <w:r>
              <w:t>2014ko maiatza</w:t>
            </w:r>
          </w:p>
        </w:tc>
        <w:tc>
          <w:tcPr>
            <w:tcW w:w="1445"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4.121.367</w:t>
            </w:r>
          </w:p>
        </w:tc>
        <w:tc>
          <w:tcPr>
            <w:tcW w:w="1134"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21.464.778</w:t>
            </w:r>
          </w:p>
        </w:tc>
        <w:tc>
          <w:tcPr>
            <w:tcW w:w="127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21.346.433</w:t>
            </w:r>
          </w:p>
        </w:tc>
        <w:tc>
          <w:tcPr>
            <w:tcW w:w="130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-0,4</w:t>
            </w:r>
          </w:p>
        </w:tc>
        <w:tc>
          <w:tcPr>
            <w:tcW w:w="2153"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21.261.047</w:t>
            </w:r>
          </w:p>
        </w:tc>
      </w:tr>
      <w:tr w:rsidR="006944BB" w:rsidRPr="005E0ADF" w:rsidTr="003A4D8C">
        <w:trPr>
          <w:trHeight w:hRule="exact" w:val="255"/>
          <w:jc w:val="center"/>
        </w:trPr>
        <w:tc>
          <w:tcPr>
            <w:tcW w:w="1552" w:type="dxa"/>
            <w:tcBorders>
              <w:top w:val="single" w:sz="2" w:space="0" w:color="auto"/>
              <w:left w:val="nil"/>
              <w:bottom w:val="single" w:sz="2" w:space="0" w:color="auto"/>
              <w:right w:val="nil"/>
            </w:tcBorders>
            <w:vAlign w:val="center"/>
          </w:tcPr>
          <w:p w:rsidR="006944BB" w:rsidRPr="005E0ADF" w:rsidRDefault="006944BB" w:rsidP="00884477">
            <w:pPr>
              <w:pStyle w:val="cuatexto"/>
              <w:jc w:val="left"/>
              <w:rPr>
                <w:szCs w:val="20"/>
              </w:rPr>
            </w:pPr>
            <w:r>
              <w:t>2014ko ekaina</w:t>
            </w:r>
          </w:p>
        </w:tc>
        <w:tc>
          <w:tcPr>
            <w:tcW w:w="1445"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3.214.665</w:t>
            </w:r>
          </w:p>
        </w:tc>
        <w:tc>
          <w:tcPr>
            <w:tcW w:w="1134"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17.620.379</w:t>
            </w:r>
          </w:p>
        </w:tc>
        <w:tc>
          <w:tcPr>
            <w:tcW w:w="127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17.521.063</w:t>
            </w:r>
          </w:p>
        </w:tc>
        <w:tc>
          <w:tcPr>
            <w:tcW w:w="130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0,4</w:t>
            </w:r>
          </w:p>
        </w:tc>
        <w:tc>
          <w:tcPr>
            <w:tcW w:w="2153"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17.591.147</w:t>
            </w:r>
          </w:p>
        </w:tc>
      </w:tr>
      <w:tr w:rsidR="006944BB" w:rsidRPr="005E0ADF" w:rsidTr="003A4D8C">
        <w:trPr>
          <w:trHeight w:hRule="exact" w:val="255"/>
          <w:jc w:val="center"/>
        </w:trPr>
        <w:tc>
          <w:tcPr>
            <w:tcW w:w="1552" w:type="dxa"/>
            <w:tcBorders>
              <w:top w:val="single" w:sz="2" w:space="0" w:color="auto"/>
              <w:left w:val="nil"/>
              <w:bottom w:val="single" w:sz="2" w:space="0" w:color="auto"/>
              <w:right w:val="nil"/>
            </w:tcBorders>
            <w:vAlign w:val="center"/>
          </w:tcPr>
          <w:p w:rsidR="006944BB" w:rsidRPr="005E0ADF" w:rsidRDefault="006944BB" w:rsidP="00884477">
            <w:pPr>
              <w:pStyle w:val="cuatexto"/>
              <w:jc w:val="left"/>
              <w:rPr>
                <w:szCs w:val="20"/>
              </w:rPr>
            </w:pPr>
            <w:r>
              <w:t>2014ko iraila</w:t>
            </w:r>
          </w:p>
        </w:tc>
        <w:tc>
          <w:tcPr>
            <w:tcW w:w="1445"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2.555.247</w:t>
            </w:r>
          </w:p>
        </w:tc>
        <w:tc>
          <w:tcPr>
            <w:tcW w:w="1134"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14.692.770</w:t>
            </w:r>
          </w:p>
        </w:tc>
        <w:tc>
          <w:tcPr>
            <w:tcW w:w="127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14.611.401</w:t>
            </w:r>
          </w:p>
        </w:tc>
        <w:tc>
          <w:tcPr>
            <w:tcW w:w="1306"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0,3</w:t>
            </w:r>
          </w:p>
        </w:tc>
        <w:tc>
          <w:tcPr>
            <w:tcW w:w="2153" w:type="dxa"/>
            <w:tcBorders>
              <w:top w:val="single" w:sz="2" w:space="0" w:color="auto"/>
              <w:left w:val="nil"/>
              <w:bottom w:val="single" w:sz="2" w:space="0" w:color="auto"/>
              <w:right w:val="nil"/>
            </w:tcBorders>
            <w:vAlign w:val="center"/>
          </w:tcPr>
          <w:p w:rsidR="006944BB" w:rsidRPr="005E0ADF" w:rsidRDefault="006944BB" w:rsidP="00884477">
            <w:pPr>
              <w:pStyle w:val="cuatexto"/>
              <w:jc w:val="right"/>
              <w:rPr>
                <w:szCs w:val="20"/>
              </w:rPr>
            </w:pPr>
            <w:r>
              <w:t>14.655.235</w:t>
            </w:r>
          </w:p>
        </w:tc>
      </w:tr>
      <w:tr w:rsidR="006944BB" w:rsidRPr="005E0ADF" w:rsidTr="003A4D8C">
        <w:trPr>
          <w:trHeight w:hRule="exact" w:val="255"/>
          <w:jc w:val="center"/>
        </w:trPr>
        <w:tc>
          <w:tcPr>
            <w:tcW w:w="1552" w:type="dxa"/>
            <w:tcBorders>
              <w:top w:val="single" w:sz="2" w:space="0" w:color="auto"/>
              <w:left w:val="nil"/>
              <w:bottom w:val="single" w:sz="4" w:space="0" w:color="auto"/>
              <w:right w:val="nil"/>
            </w:tcBorders>
            <w:vAlign w:val="center"/>
          </w:tcPr>
          <w:p w:rsidR="006944BB" w:rsidRPr="005E0ADF" w:rsidRDefault="006944BB" w:rsidP="00884477">
            <w:pPr>
              <w:pStyle w:val="cuatexto"/>
              <w:jc w:val="left"/>
              <w:rPr>
                <w:szCs w:val="20"/>
              </w:rPr>
            </w:pPr>
            <w:r>
              <w:t>2014ko urria</w:t>
            </w:r>
          </w:p>
        </w:tc>
        <w:tc>
          <w:tcPr>
            <w:tcW w:w="1445"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t>11.869.544</w:t>
            </w:r>
          </w:p>
        </w:tc>
        <w:tc>
          <w:tcPr>
            <w:tcW w:w="1134"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t>65.282.918</w:t>
            </w:r>
          </w:p>
        </w:tc>
        <w:tc>
          <w:tcPr>
            <w:tcW w:w="1276"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t>64.917.243</w:t>
            </w:r>
          </w:p>
        </w:tc>
        <w:tc>
          <w:tcPr>
            <w:tcW w:w="1306"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t>0</w:t>
            </w:r>
          </w:p>
        </w:tc>
        <w:tc>
          <w:tcPr>
            <w:tcW w:w="2153" w:type="dxa"/>
            <w:tcBorders>
              <w:top w:val="single" w:sz="2" w:space="0" w:color="auto"/>
              <w:left w:val="nil"/>
              <w:bottom w:val="single" w:sz="4" w:space="0" w:color="auto"/>
              <w:right w:val="nil"/>
            </w:tcBorders>
            <w:vAlign w:val="center"/>
          </w:tcPr>
          <w:p w:rsidR="006944BB" w:rsidRPr="005E0ADF" w:rsidRDefault="006944BB" w:rsidP="00884477">
            <w:pPr>
              <w:pStyle w:val="cuatexto"/>
              <w:jc w:val="right"/>
              <w:rPr>
                <w:szCs w:val="20"/>
              </w:rPr>
            </w:pPr>
            <w:r>
              <w:t>64.917.243</w:t>
            </w:r>
          </w:p>
        </w:tc>
      </w:tr>
      <w:tr w:rsidR="006944BB" w:rsidRPr="00684B5D" w:rsidTr="003A4D8C">
        <w:trPr>
          <w:trHeight w:hRule="exact" w:val="312"/>
          <w:jc w:val="center"/>
        </w:trPr>
        <w:tc>
          <w:tcPr>
            <w:tcW w:w="1552"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left"/>
            </w:pPr>
            <w:r>
              <w:t>Guztira</w:t>
            </w:r>
          </w:p>
        </w:tc>
        <w:tc>
          <w:tcPr>
            <w:tcW w:w="1445"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fldChar w:fldCharType="begin"/>
            </w:r>
            <w:r w:rsidRPr="005E0ADF">
              <w:instrText xml:space="preserve"> =SUM(ABOVE) </w:instrText>
            </w:r>
            <w:r w:rsidRPr="005E0ADF">
              <w:fldChar w:fldCharType="separate"/>
            </w:r>
            <w:r w:rsidRPr="005E0ADF">
              <w:t>28.849.574</w:t>
            </w:r>
            <w:r w:rsidRPr="005E0ADF">
              <w:fldChar w:fldCharType="end"/>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p>
        </w:tc>
        <w:tc>
          <w:tcPr>
            <w:tcW w:w="127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p>
        </w:tc>
        <w:tc>
          <w:tcPr>
            <w:tcW w:w="1306"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p>
        </w:tc>
        <w:tc>
          <w:tcPr>
            <w:tcW w:w="2153" w:type="dxa"/>
            <w:tcBorders>
              <w:top w:val="single" w:sz="4" w:space="0" w:color="auto"/>
              <w:left w:val="nil"/>
              <w:bottom w:val="single" w:sz="4" w:space="0" w:color="auto"/>
              <w:right w:val="nil"/>
            </w:tcBorders>
            <w:shd w:val="clear" w:color="auto" w:fill="8DB3E2" w:themeFill="text2" w:themeFillTint="66"/>
            <w:vAlign w:val="center"/>
          </w:tcPr>
          <w:p w:rsidR="006944BB" w:rsidRPr="005E0ADF" w:rsidRDefault="006944BB" w:rsidP="00884477">
            <w:pPr>
              <w:pStyle w:val="cuadroCabe"/>
              <w:jc w:val="right"/>
            </w:pPr>
            <w:r w:rsidRPr="005E0ADF">
              <w:fldChar w:fldCharType="begin"/>
            </w:r>
            <w:r w:rsidRPr="005E0ADF">
              <w:instrText xml:space="preserve"> =SUM(ABOVE) </w:instrText>
            </w:r>
            <w:r w:rsidRPr="005E0ADF">
              <w:fldChar w:fldCharType="separate"/>
            </w:r>
            <w:r w:rsidRPr="005E0ADF">
              <w:t>153.389.27</w:t>
            </w:r>
            <w:r w:rsidRPr="005E0ADF">
              <w:fldChar w:fldCharType="end"/>
            </w:r>
            <w:r>
              <w:t>3</w:t>
            </w:r>
          </w:p>
        </w:tc>
      </w:tr>
    </w:tbl>
    <w:p w:rsidR="006944BB" w:rsidRPr="00593080" w:rsidRDefault="00593080" w:rsidP="00593080">
      <w:pPr>
        <w:pStyle w:val="texto"/>
        <w:tabs>
          <w:tab w:val="clear" w:pos="2835"/>
          <w:tab w:val="clear" w:pos="3969"/>
          <w:tab w:val="clear" w:pos="5103"/>
          <w:tab w:val="clear" w:pos="6237"/>
          <w:tab w:val="clear" w:pos="7371"/>
        </w:tabs>
        <w:spacing w:before="160" w:after="120"/>
        <w:ind w:firstLine="0"/>
        <w:rPr>
          <w:rFonts w:ascii="Arial Narrow" w:eastAsia="Calibri" w:hAnsi="Arial Narrow"/>
          <w:sz w:val="19"/>
          <w:szCs w:val="19"/>
        </w:rPr>
      </w:pPr>
      <w:r>
        <w:rPr>
          <w:rFonts w:ascii="Arial Narrow" w:hAnsi="Arial Narrow"/>
          <w:sz w:val="19"/>
        </w:rPr>
        <w:t>(1) Komisioen, artekaritzen eta hainbat gasturen zenbateko garbiak</w:t>
      </w:r>
    </w:p>
    <w:p w:rsidR="00E96655" w:rsidRPr="009F2665" w:rsidRDefault="006944BB" w:rsidP="009F2665">
      <w:pPr>
        <w:pStyle w:val="atitulo2"/>
        <w:numPr>
          <w:ilvl w:val="0"/>
          <w:numId w:val="25"/>
        </w:numPr>
        <w:spacing w:before="240" w:after="320"/>
        <w:rPr>
          <w:rFonts w:cs="Arial"/>
          <w:bCs w:val="0"/>
          <w:iCs w:val="0"/>
          <w:color w:val="auto"/>
          <w:spacing w:val="0"/>
          <w:kern w:val="0"/>
          <w:sz w:val="20"/>
          <w:szCs w:val="20"/>
        </w:rPr>
      </w:pPr>
      <w:r>
        <w:br w:type="page"/>
      </w:r>
    </w:p>
    <w:p w:rsidR="00E96655" w:rsidRPr="00E96655" w:rsidRDefault="00E96655" w:rsidP="00E96655">
      <w:pPr>
        <w:spacing w:after="40"/>
        <w:ind w:left="567" w:firstLine="0"/>
        <w:jc w:val="center"/>
        <w:rPr>
          <w:sz w:val="8"/>
          <w:szCs w:val="8"/>
        </w:rPr>
      </w:pPr>
    </w:p>
    <w:p w:rsidR="006944BB" w:rsidRPr="00E96655" w:rsidRDefault="006944BB" w:rsidP="000E73CB">
      <w:pPr>
        <w:spacing w:after="300"/>
        <w:ind w:firstLine="0"/>
        <w:jc w:val="center"/>
        <w:rPr>
          <w:rFonts w:ascii="Arial" w:hAnsi="Arial" w:cs="Arial"/>
        </w:rPr>
      </w:pPr>
      <w:r>
        <w:rPr>
          <w:rFonts w:ascii="Arial" w:hAnsi="Arial"/>
        </w:rPr>
        <w:t>Dibidendukako diru-sarrera garbiak eta Sozietateen gaineko Zergan berreskuratu diren dibide</w:t>
      </w:r>
      <w:r>
        <w:rPr>
          <w:rFonts w:ascii="Arial" w:hAnsi="Arial"/>
        </w:rPr>
        <w:t>n</w:t>
      </w:r>
      <w:r>
        <w:rPr>
          <w:rFonts w:ascii="Arial" w:hAnsi="Arial"/>
        </w:rPr>
        <w:t>duaren gaineko atxikipenak</w:t>
      </w:r>
    </w:p>
    <w:tbl>
      <w:tblPr>
        <w:tblW w:w="8856" w:type="dxa"/>
        <w:jc w:val="center"/>
        <w:tblLayout w:type="fixed"/>
        <w:tblCellMar>
          <w:left w:w="70" w:type="dxa"/>
          <w:right w:w="70" w:type="dxa"/>
        </w:tblCellMar>
        <w:tblLook w:val="04A0" w:firstRow="1" w:lastRow="0" w:firstColumn="1" w:lastColumn="0" w:noHBand="0" w:noVBand="1"/>
      </w:tblPr>
      <w:tblGrid>
        <w:gridCol w:w="2961"/>
        <w:gridCol w:w="1329"/>
        <w:gridCol w:w="1113"/>
        <w:gridCol w:w="1407"/>
        <w:gridCol w:w="1904"/>
        <w:gridCol w:w="142"/>
      </w:tblGrid>
      <w:tr w:rsidR="006944BB" w:rsidRPr="000C7E08" w:rsidTr="00E1587C">
        <w:trPr>
          <w:trHeight w:val="300"/>
          <w:jc w:val="center"/>
        </w:trPr>
        <w:tc>
          <w:tcPr>
            <w:tcW w:w="296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7A4471">
            <w:pPr>
              <w:pStyle w:val="cuadroCabe"/>
              <w:jc w:val="left"/>
            </w:pPr>
            <w:r>
              <w:t>Kontzeptua</w:t>
            </w:r>
          </w:p>
        </w:tc>
        <w:tc>
          <w:tcPr>
            <w:tcW w:w="1329"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t>Kobrantza-</w:t>
            </w:r>
          </w:p>
          <w:p w:rsidR="006944BB" w:rsidRPr="007A4471" w:rsidRDefault="006944BB" w:rsidP="00E1587C">
            <w:pPr>
              <w:pStyle w:val="cuadroCabe"/>
              <w:jc w:val="right"/>
            </w:pPr>
            <w:r>
              <w:t>data</w:t>
            </w:r>
          </w:p>
        </w:tc>
        <w:tc>
          <w:tcPr>
            <w:tcW w:w="111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t>Dibidendu garbia</w:t>
            </w:r>
          </w:p>
        </w:tc>
        <w:tc>
          <w:tcPr>
            <w:tcW w:w="1407"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t>Kapitalizazio-</w:t>
            </w:r>
          </w:p>
          <w:p w:rsidR="006944BB" w:rsidRPr="007A4471" w:rsidRDefault="006944BB" w:rsidP="00E1587C">
            <w:pPr>
              <w:pStyle w:val="cuadroCabe"/>
              <w:jc w:val="right"/>
            </w:pPr>
            <w:r>
              <w:t xml:space="preserve"> faktorea</w:t>
            </w:r>
          </w:p>
        </w:tc>
        <w:tc>
          <w:tcPr>
            <w:tcW w:w="2046" w:type="dxa"/>
            <w:gridSpan w:val="2"/>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1587C">
            <w:pPr>
              <w:pStyle w:val="cuadroCabe"/>
              <w:jc w:val="right"/>
            </w:pPr>
            <w:r>
              <w:t>Dibidendu garbi kap</w:t>
            </w:r>
            <w:r>
              <w:t>i</w:t>
            </w:r>
            <w:r>
              <w:t>talizatua 2014/10/31n</w:t>
            </w:r>
          </w:p>
        </w:tc>
      </w:tr>
      <w:tr w:rsidR="006944BB" w:rsidRPr="007A4471" w:rsidTr="00D37FFC">
        <w:trPr>
          <w:gridAfter w:val="1"/>
          <w:wAfter w:w="142" w:type="dxa"/>
          <w:trHeight w:val="255"/>
          <w:jc w:val="center"/>
        </w:trPr>
        <w:tc>
          <w:tcPr>
            <w:tcW w:w="2961"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2004ko osagarria</w:t>
            </w:r>
          </w:p>
        </w:tc>
        <w:tc>
          <w:tcPr>
            <w:tcW w:w="1329"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2005/07/01</w:t>
            </w:r>
          </w:p>
        </w:tc>
        <w:tc>
          <w:tcPr>
            <w:tcW w:w="1113"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3.387.755</w:t>
            </w:r>
          </w:p>
        </w:tc>
        <w:tc>
          <w:tcPr>
            <w:tcW w:w="1407"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18,40</w:t>
            </w:r>
          </w:p>
        </w:tc>
        <w:tc>
          <w:tcPr>
            <w:tcW w:w="1904" w:type="dxa"/>
            <w:tcBorders>
              <w:top w:val="single" w:sz="4"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4.011.102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2005eko kontura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2006/01/02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2.812.383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17,20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3.296.113</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2005eko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2006/07/03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3.970.301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14,16</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4.532.495</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2006/10/18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597.839</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14,10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682.134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2006ko kontura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2007/01/02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3.326.717</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15,10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3.829.051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2007ko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2007/05/15</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147.854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165.301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2006ko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2007/07/02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4.383.873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12,50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4.931.857</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2007/11/28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1.196.944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9,30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1.308.260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Kontura 2007</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2008/01/02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3.400.644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10,30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3.750.910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2008ko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2008/05/21</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118.283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6,70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126.208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2007ko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2008/07/02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3.690.438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7,50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3.967.220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2008/11/12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1.725.024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8,00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1.863.026</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Kontura 2008</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2009/01/02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3.382.901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10,00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3.721.191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2009ko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2009/05/21</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118.283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8,00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127.746</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2008ko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2009/07/02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4.352.824</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8</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4.735.872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2009/10/28</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1.582.543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7,50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1.701.234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Kontura 2009</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2009/12/30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3.382.901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9,00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3.687.362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2010eko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2010/04/20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116.841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6,70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124.669</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2009ko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2010/07/02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4.691.188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6,80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5.010.189</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2010/11/04</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2.466.639</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4,60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2.580.104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Kontura 2010</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2010/12/22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3.411.751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5,80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3.609.632</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2011ko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2011/06/20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116.841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121.164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2010eko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2011/07/13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701.045</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3,80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727.684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2010eko dibidendu malgua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2011/08/01</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3.645.432</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3,60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3.776.668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Kontura 2011</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2012/01/10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4.183.188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4.317.050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2012/01/25</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1.725.081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1.780.283</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2011ko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2012/07/04</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683.735</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0,90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689.889</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2012ko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2012/07/13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113.956</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0,90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114.981</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2011ko dibidendu malgua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2012/07/23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4.861.619</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0,90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4.905.374</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E1587C" w:rsidP="007A4471">
            <w:pPr>
              <w:pStyle w:val="cuatexto"/>
              <w:jc w:val="left"/>
              <w:rPr>
                <w:szCs w:val="20"/>
              </w:rPr>
            </w:pPr>
            <w:r>
              <w:t xml:space="preserve">Kontura 2012 </w:t>
            </w:r>
            <w:r>
              <w:rPr>
                <w:sz w:val="18"/>
              </w:rPr>
              <w:t>(dibidendu malgua)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2013/01/10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4.178.243</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0,70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4.207.490</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2013/02/20</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1.046.951</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0,10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1.047.998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Batzar Nagusiaren 2013ko saria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2013/04/24</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117.418</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-0,30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117.066</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2012ko osagarria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2013/07/02</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704.507</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703.098</w:t>
            </w:r>
          </w:p>
        </w:tc>
      </w:tr>
      <w:tr w:rsidR="006944BB"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7A4471">
            <w:pPr>
              <w:pStyle w:val="cuatexto"/>
              <w:jc w:val="left"/>
              <w:rPr>
                <w:szCs w:val="20"/>
              </w:rPr>
            </w:pPr>
            <w:r>
              <w:t>2012ko dibidendu malgua</w:t>
            </w:r>
          </w:p>
        </w:tc>
        <w:tc>
          <w:tcPr>
            <w:tcW w:w="1329"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2013/07/03</w:t>
            </w:r>
          </w:p>
        </w:tc>
        <w:tc>
          <w:tcPr>
            <w:tcW w:w="1113"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3.750.445</w:t>
            </w:r>
          </w:p>
        </w:tc>
        <w:tc>
          <w:tcPr>
            <w:tcW w:w="1407"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-0,20</w:t>
            </w:r>
          </w:p>
        </w:tc>
        <w:tc>
          <w:tcPr>
            <w:tcW w:w="1904" w:type="dxa"/>
            <w:tcBorders>
              <w:top w:val="single" w:sz="2" w:space="0" w:color="auto"/>
              <w:left w:val="nil"/>
              <w:bottom w:val="single" w:sz="2" w:space="0" w:color="auto"/>
              <w:right w:val="nil"/>
            </w:tcBorders>
            <w:shd w:val="clear" w:color="auto" w:fill="auto"/>
            <w:noWrap/>
            <w:vAlign w:val="center"/>
            <w:hideMark/>
          </w:tcPr>
          <w:p w:rsidR="006944BB" w:rsidRPr="007A4471" w:rsidRDefault="006944BB" w:rsidP="00E1587C">
            <w:pPr>
              <w:pStyle w:val="cuatexto"/>
              <w:jc w:val="right"/>
              <w:rPr>
                <w:szCs w:val="20"/>
              </w:rPr>
            </w:pPr>
            <w:r>
              <w:t>3.742.944</w:t>
            </w:r>
          </w:p>
        </w:tc>
      </w:tr>
      <w:tr w:rsidR="00E1587C"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tcPr>
          <w:p w:rsidR="00E1587C" w:rsidRPr="007A4471" w:rsidRDefault="00E1587C" w:rsidP="00F42761">
            <w:pPr>
              <w:pStyle w:val="cuatexto"/>
              <w:jc w:val="left"/>
              <w:rPr>
                <w:szCs w:val="20"/>
              </w:rPr>
            </w:pPr>
            <w:r>
              <w:t xml:space="preserve">Kontura 2013 </w:t>
            </w:r>
            <w:r>
              <w:rPr>
                <w:sz w:val="18"/>
              </w:rPr>
              <w:t>(dibidendu malgua)</w:t>
            </w:r>
          </w:p>
        </w:tc>
        <w:tc>
          <w:tcPr>
            <w:tcW w:w="1329"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2014/01/13</w:t>
            </w:r>
          </w:p>
        </w:tc>
        <w:tc>
          <w:tcPr>
            <w:tcW w:w="1113"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3.784.240</w:t>
            </w:r>
          </w:p>
        </w:tc>
        <w:tc>
          <w:tcPr>
            <w:tcW w:w="1407"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1,10</w:t>
            </w:r>
          </w:p>
        </w:tc>
        <w:tc>
          <w:tcPr>
            <w:tcW w:w="1904"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3.825.866</w:t>
            </w:r>
          </w:p>
        </w:tc>
      </w:tr>
      <w:tr w:rsidR="00E1587C"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tcPr>
          <w:p w:rsidR="00E1587C" w:rsidRPr="007A4471" w:rsidRDefault="00E1587C" w:rsidP="007A4471">
            <w:pPr>
              <w:pStyle w:val="cuatexto"/>
              <w:jc w:val="left"/>
              <w:rPr>
                <w:szCs w:val="20"/>
              </w:rPr>
            </w:pPr>
            <w:r>
              <w:t>Dibidenduaren gaineko atxikipena</w:t>
            </w:r>
          </w:p>
        </w:tc>
        <w:tc>
          <w:tcPr>
            <w:tcW w:w="1329"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2014/05/14</w:t>
            </w:r>
          </w:p>
        </w:tc>
        <w:tc>
          <w:tcPr>
            <w:tcW w:w="1113"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212.044</w:t>
            </w:r>
          </w:p>
        </w:tc>
        <w:tc>
          <w:tcPr>
            <w:tcW w:w="1407"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-0,40</w:t>
            </w:r>
          </w:p>
        </w:tc>
        <w:tc>
          <w:tcPr>
            <w:tcW w:w="1904"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211.196</w:t>
            </w:r>
          </w:p>
        </w:tc>
      </w:tr>
      <w:tr w:rsidR="00E1587C" w:rsidRPr="007A4471" w:rsidTr="00D37FFC">
        <w:trPr>
          <w:gridAfter w:val="1"/>
          <w:wAfter w:w="142" w:type="dxa"/>
          <w:trHeight w:val="255"/>
          <w:jc w:val="center"/>
        </w:trPr>
        <w:tc>
          <w:tcPr>
            <w:tcW w:w="2961" w:type="dxa"/>
            <w:tcBorders>
              <w:top w:val="single" w:sz="2" w:space="0" w:color="auto"/>
              <w:left w:val="nil"/>
              <w:bottom w:val="single" w:sz="2" w:space="0" w:color="auto"/>
              <w:right w:val="nil"/>
            </w:tcBorders>
            <w:shd w:val="clear" w:color="auto" w:fill="auto"/>
            <w:noWrap/>
            <w:vAlign w:val="center"/>
          </w:tcPr>
          <w:p w:rsidR="00E1587C" w:rsidRPr="007A4471" w:rsidRDefault="00E1587C" w:rsidP="00F42761">
            <w:pPr>
              <w:pStyle w:val="cuatexto"/>
              <w:jc w:val="left"/>
              <w:rPr>
                <w:szCs w:val="20"/>
              </w:rPr>
            </w:pPr>
            <w:r>
              <w:t>2013ko osagarria</w:t>
            </w:r>
          </w:p>
        </w:tc>
        <w:tc>
          <w:tcPr>
            <w:tcW w:w="1329"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2014/07/03</w:t>
            </w:r>
          </w:p>
        </w:tc>
        <w:tc>
          <w:tcPr>
            <w:tcW w:w="1113"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352.253</w:t>
            </w:r>
          </w:p>
        </w:tc>
        <w:tc>
          <w:tcPr>
            <w:tcW w:w="1407"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0,60</w:t>
            </w:r>
          </w:p>
        </w:tc>
        <w:tc>
          <w:tcPr>
            <w:tcW w:w="1904" w:type="dxa"/>
            <w:tcBorders>
              <w:top w:val="single" w:sz="2" w:space="0" w:color="auto"/>
              <w:left w:val="nil"/>
              <w:bottom w:val="single" w:sz="2" w:space="0" w:color="auto"/>
              <w:right w:val="nil"/>
            </w:tcBorders>
            <w:shd w:val="clear" w:color="auto" w:fill="auto"/>
            <w:noWrap/>
            <w:vAlign w:val="center"/>
          </w:tcPr>
          <w:p w:rsidR="00E1587C" w:rsidRPr="007A4471" w:rsidRDefault="00E1587C" w:rsidP="00E1587C">
            <w:pPr>
              <w:pStyle w:val="cuatexto"/>
              <w:jc w:val="right"/>
              <w:rPr>
                <w:szCs w:val="20"/>
              </w:rPr>
            </w:pPr>
            <w:r>
              <w:t>354.367</w:t>
            </w:r>
          </w:p>
        </w:tc>
      </w:tr>
      <w:tr w:rsidR="00E1587C" w:rsidRPr="007A4471" w:rsidTr="00D37FFC">
        <w:trPr>
          <w:gridAfter w:val="1"/>
          <w:wAfter w:w="142" w:type="dxa"/>
          <w:trHeight w:val="255"/>
          <w:jc w:val="center"/>
        </w:trPr>
        <w:tc>
          <w:tcPr>
            <w:tcW w:w="2961" w:type="dxa"/>
            <w:tcBorders>
              <w:top w:val="single" w:sz="2" w:space="0" w:color="auto"/>
              <w:left w:val="nil"/>
              <w:bottom w:val="single" w:sz="4" w:space="0" w:color="auto"/>
              <w:right w:val="nil"/>
            </w:tcBorders>
            <w:shd w:val="clear" w:color="auto" w:fill="auto"/>
            <w:noWrap/>
            <w:vAlign w:val="center"/>
          </w:tcPr>
          <w:p w:rsidR="00E1587C" w:rsidRPr="007A4471" w:rsidRDefault="00E1587C" w:rsidP="00F42761">
            <w:pPr>
              <w:pStyle w:val="cuatexto"/>
              <w:jc w:val="left"/>
              <w:rPr>
                <w:szCs w:val="20"/>
              </w:rPr>
            </w:pPr>
            <w:r>
              <w:t>2013ko dibidendu malgua</w:t>
            </w:r>
          </w:p>
        </w:tc>
        <w:tc>
          <w:tcPr>
            <w:tcW w:w="1329"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t>2014/07/03</w:t>
            </w:r>
          </w:p>
        </w:tc>
        <w:tc>
          <w:tcPr>
            <w:tcW w:w="1113"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t>1.644.426</w:t>
            </w:r>
          </w:p>
        </w:tc>
        <w:tc>
          <w:tcPr>
            <w:tcW w:w="1407"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t>0,60</w:t>
            </w:r>
          </w:p>
        </w:tc>
        <w:tc>
          <w:tcPr>
            <w:tcW w:w="1904" w:type="dxa"/>
            <w:tcBorders>
              <w:top w:val="single" w:sz="2" w:space="0" w:color="auto"/>
              <w:left w:val="nil"/>
              <w:bottom w:val="single" w:sz="4" w:space="0" w:color="auto"/>
              <w:right w:val="nil"/>
            </w:tcBorders>
            <w:shd w:val="clear" w:color="auto" w:fill="auto"/>
            <w:noWrap/>
            <w:vAlign w:val="center"/>
          </w:tcPr>
          <w:p w:rsidR="00E1587C" w:rsidRPr="007A4471" w:rsidRDefault="00E1587C" w:rsidP="00E1587C">
            <w:pPr>
              <w:pStyle w:val="cuatexto"/>
              <w:jc w:val="right"/>
              <w:rPr>
                <w:szCs w:val="20"/>
              </w:rPr>
            </w:pPr>
            <w:r>
              <w:t>1.654.293</w:t>
            </w:r>
          </w:p>
        </w:tc>
      </w:tr>
      <w:tr w:rsidR="00E1587C" w:rsidRPr="00E1587C" w:rsidTr="00E1587C">
        <w:trPr>
          <w:gridAfter w:val="1"/>
          <w:wAfter w:w="142" w:type="dxa"/>
          <w:trHeight w:val="312"/>
          <w:jc w:val="center"/>
        </w:trPr>
        <w:tc>
          <w:tcPr>
            <w:tcW w:w="5403" w:type="dxa"/>
            <w:gridSpan w:val="3"/>
            <w:tcBorders>
              <w:top w:val="single" w:sz="4" w:space="0" w:color="auto"/>
              <w:left w:val="nil"/>
              <w:bottom w:val="single" w:sz="4" w:space="0" w:color="auto"/>
              <w:right w:val="nil"/>
            </w:tcBorders>
            <w:shd w:val="clear" w:color="auto" w:fill="8DB3E2" w:themeFill="text2" w:themeFillTint="66"/>
            <w:noWrap/>
            <w:vAlign w:val="center"/>
          </w:tcPr>
          <w:p w:rsidR="00E1587C" w:rsidRPr="007A4471" w:rsidRDefault="00E1587C" w:rsidP="00E1587C">
            <w:pPr>
              <w:pStyle w:val="cuadroCabe"/>
              <w:jc w:val="left"/>
            </w:pPr>
            <w:r>
              <w:t>Dibidendu garbi kapitalizatua, guztira, 2014ko urriaren 31n</w:t>
            </w:r>
          </w:p>
        </w:tc>
        <w:tc>
          <w:tcPr>
            <w:tcW w:w="1407" w:type="dxa"/>
            <w:tcBorders>
              <w:top w:val="single" w:sz="4" w:space="0" w:color="auto"/>
              <w:left w:val="nil"/>
              <w:bottom w:val="single" w:sz="4" w:space="0" w:color="auto"/>
              <w:right w:val="nil"/>
            </w:tcBorders>
            <w:shd w:val="clear" w:color="auto" w:fill="8DB3E2" w:themeFill="text2" w:themeFillTint="66"/>
            <w:noWrap/>
            <w:vAlign w:val="center"/>
          </w:tcPr>
          <w:p w:rsidR="00E1587C" w:rsidRPr="00E1587C" w:rsidRDefault="00E1587C" w:rsidP="00E1587C">
            <w:pPr>
              <w:pStyle w:val="cuadroCabe"/>
              <w:jc w:val="right"/>
            </w:pPr>
          </w:p>
        </w:tc>
        <w:tc>
          <w:tcPr>
            <w:tcW w:w="1904" w:type="dxa"/>
            <w:tcBorders>
              <w:top w:val="single" w:sz="4" w:space="0" w:color="auto"/>
              <w:left w:val="nil"/>
              <w:bottom w:val="single" w:sz="4" w:space="0" w:color="auto"/>
              <w:right w:val="nil"/>
            </w:tcBorders>
            <w:shd w:val="clear" w:color="auto" w:fill="8DB3E2" w:themeFill="text2" w:themeFillTint="66"/>
            <w:noWrap/>
            <w:vAlign w:val="center"/>
          </w:tcPr>
          <w:p w:rsidR="00E1587C" w:rsidRPr="00E1587C" w:rsidRDefault="00E1587C" w:rsidP="00E1587C">
            <w:pPr>
              <w:pStyle w:val="cuadroCabe"/>
              <w:jc w:val="right"/>
            </w:pPr>
            <w:r>
              <w:t>90.172.815</w:t>
            </w:r>
          </w:p>
        </w:tc>
      </w:tr>
    </w:tbl>
    <w:p w:rsidR="006944BB" w:rsidRDefault="006944BB" w:rsidP="006944BB">
      <w:pPr>
        <w:ind w:firstLine="0"/>
        <w:rPr>
          <w:rFonts w:ascii="Arial Narrow" w:hAnsi="Arial Narrow" w:cs="Arial"/>
          <w:sz w:val="18"/>
          <w:szCs w:val="18"/>
        </w:rPr>
      </w:pPr>
    </w:p>
    <w:p w:rsidR="00D37FFC" w:rsidRDefault="00D37FFC" w:rsidP="006944BB">
      <w:pPr>
        <w:pStyle w:val="texto"/>
        <w:tabs>
          <w:tab w:val="clear" w:pos="2835"/>
          <w:tab w:val="clear" w:pos="3969"/>
          <w:tab w:val="clear" w:pos="5103"/>
          <w:tab w:val="clear" w:pos="6237"/>
          <w:tab w:val="clear" w:pos="7371"/>
        </w:tabs>
        <w:spacing w:after="240"/>
        <w:ind w:firstLine="0"/>
        <w:rPr>
          <w:rFonts w:eastAsia="Calibri"/>
        </w:rPr>
      </w:pPr>
    </w:p>
    <w:p w:rsidR="00D37FFC" w:rsidRDefault="00D37FFC" w:rsidP="006944BB">
      <w:pPr>
        <w:pStyle w:val="texto"/>
        <w:tabs>
          <w:tab w:val="clear" w:pos="2835"/>
          <w:tab w:val="clear" w:pos="3969"/>
          <w:tab w:val="clear" w:pos="5103"/>
          <w:tab w:val="clear" w:pos="6237"/>
          <w:tab w:val="clear" w:pos="7371"/>
        </w:tabs>
        <w:spacing w:after="240"/>
        <w:ind w:firstLine="0"/>
        <w:rPr>
          <w:rFonts w:eastAsia="Calibri"/>
        </w:rPr>
      </w:pPr>
    </w:p>
    <w:p w:rsidR="00E96655" w:rsidRDefault="00E96655" w:rsidP="00E96655">
      <w:pPr>
        <w:spacing w:after="300"/>
        <w:ind w:left="567" w:firstLine="0"/>
        <w:jc w:val="center"/>
        <w:rPr>
          <w:sz w:val="8"/>
          <w:szCs w:val="8"/>
        </w:rPr>
      </w:pPr>
    </w:p>
    <w:p w:rsidR="00E96655" w:rsidRDefault="00E96655" w:rsidP="00E96655">
      <w:pPr>
        <w:spacing w:after="80"/>
        <w:ind w:left="567" w:firstLine="0"/>
        <w:jc w:val="center"/>
        <w:rPr>
          <w:sz w:val="8"/>
          <w:szCs w:val="8"/>
        </w:rPr>
      </w:pPr>
    </w:p>
    <w:p w:rsidR="006944BB" w:rsidRPr="00E96655" w:rsidRDefault="006944BB" w:rsidP="000E73CB">
      <w:pPr>
        <w:spacing w:after="300"/>
        <w:ind w:firstLine="0"/>
        <w:jc w:val="center"/>
        <w:rPr>
          <w:rFonts w:ascii="Arial" w:hAnsi="Arial" w:cs="Arial"/>
        </w:rPr>
      </w:pPr>
      <w:r>
        <w:rPr>
          <w:rFonts w:ascii="Arial" w:hAnsi="Arial"/>
        </w:rPr>
        <w:t>Sozietateen gaineko Zergan berreskuratu diren dibidenduaren gaineko atxikipenak, 2014ko urri</w:t>
      </w:r>
      <w:r>
        <w:rPr>
          <w:rFonts w:ascii="Arial" w:hAnsi="Arial"/>
        </w:rPr>
        <w:t>a</w:t>
      </w:r>
      <w:r>
        <w:rPr>
          <w:rFonts w:ascii="Arial" w:hAnsi="Arial"/>
        </w:rPr>
        <w:t xml:space="preserve">ren 31ren ondoren </w:t>
      </w:r>
    </w:p>
    <w:tbl>
      <w:tblPr>
        <w:tblW w:w="8818" w:type="dxa"/>
        <w:jc w:val="center"/>
        <w:tblLayout w:type="fixed"/>
        <w:tblCellMar>
          <w:left w:w="70" w:type="dxa"/>
          <w:right w:w="70" w:type="dxa"/>
        </w:tblCellMar>
        <w:tblLook w:val="04A0" w:firstRow="1" w:lastRow="0" w:firstColumn="1" w:lastColumn="0" w:noHBand="0" w:noVBand="1"/>
      </w:tblPr>
      <w:tblGrid>
        <w:gridCol w:w="3151"/>
        <w:gridCol w:w="1282"/>
        <w:gridCol w:w="1112"/>
        <w:gridCol w:w="1483"/>
        <w:gridCol w:w="1790"/>
      </w:tblGrid>
      <w:tr w:rsidR="006944BB" w:rsidRPr="000C7E08" w:rsidTr="00522161">
        <w:trPr>
          <w:trHeight w:val="757"/>
          <w:jc w:val="center"/>
        </w:trPr>
        <w:tc>
          <w:tcPr>
            <w:tcW w:w="315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left"/>
            </w:pPr>
            <w:r>
              <w:t>Kontzeptua</w:t>
            </w:r>
          </w:p>
        </w:tc>
        <w:tc>
          <w:tcPr>
            <w:tcW w:w="128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left"/>
            </w:pPr>
            <w:r>
              <w:t>Kobrantza-</w:t>
            </w:r>
          </w:p>
          <w:p w:rsidR="006944BB" w:rsidRPr="007A4471" w:rsidRDefault="006944BB" w:rsidP="00D93647">
            <w:pPr>
              <w:pStyle w:val="cuadroCabe"/>
              <w:jc w:val="left"/>
            </w:pPr>
            <w:r>
              <w:t>data</w:t>
            </w:r>
          </w:p>
        </w:tc>
        <w:tc>
          <w:tcPr>
            <w:tcW w:w="111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r>
              <w:t xml:space="preserve">Dibidendua </w:t>
            </w:r>
          </w:p>
        </w:tc>
        <w:tc>
          <w:tcPr>
            <w:tcW w:w="14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r>
              <w:t>Gaurkotze-</w:t>
            </w:r>
          </w:p>
          <w:p w:rsidR="006944BB" w:rsidRDefault="00522161" w:rsidP="00D93647">
            <w:pPr>
              <w:pStyle w:val="cuadroCabe"/>
              <w:jc w:val="right"/>
            </w:pPr>
            <w:r>
              <w:t>faktorea</w:t>
            </w:r>
          </w:p>
          <w:p w:rsidR="00522161" w:rsidRPr="007A4471" w:rsidRDefault="00522161" w:rsidP="00D93647">
            <w:pPr>
              <w:pStyle w:val="cuadroCabe"/>
              <w:jc w:val="right"/>
            </w:pPr>
            <w:r>
              <w:t>(1)</w:t>
            </w:r>
          </w:p>
        </w:tc>
        <w:tc>
          <w:tcPr>
            <w:tcW w:w="1790"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r>
              <w:t>Dibidendu berre</w:t>
            </w:r>
            <w:r>
              <w:t>s</w:t>
            </w:r>
            <w:r>
              <w:t>kuratua, 2014/10/31n gau</w:t>
            </w:r>
            <w:r>
              <w:t>r</w:t>
            </w:r>
            <w:r>
              <w:t>kotua</w:t>
            </w:r>
          </w:p>
        </w:tc>
      </w:tr>
      <w:tr w:rsidR="006944BB" w:rsidRPr="007A4471" w:rsidTr="00D93647">
        <w:trPr>
          <w:trHeight w:val="255"/>
          <w:jc w:val="center"/>
        </w:trPr>
        <w:tc>
          <w:tcPr>
            <w:tcW w:w="3151" w:type="dxa"/>
            <w:tcBorders>
              <w:top w:val="single" w:sz="4"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t>Dibidenduaren gaineko 2013ko atxik</w:t>
            </w:r>
            <w:r>
              <w:t>i</w:t>
            </w:r>
            <w:r>
              <w:t>pena</w:t>
            </w:r>
          </w:p>
        </w:tc>
        <w:tc>
          <w:tcPr>
            <w:tcW w:w="1282" w:type="dxa"/>
            <w:tcBorders>
              <w:top w:val="single" w:sz="4"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t>2015eko otsaila</w:t>
            </w:r>
          </w:p>
        </w:tc>
        <w:tc>
          <w:tcPr>
            <w:tcW w:w="1112" w:type="dxa"/>
            <w:tcBorders>
              <w:top w:val="single" w:sz="4" w:space="0" w:color="auto"/>
              <w:left w:val="nil"/>
              <w:bottom w:val="single" w:sz="2" w:space="0" w:color="auto"/>
              <w:right w:val="nil"/>
            </w:tcBorders>
            <w:shd w:val="clear" w:color="auto" w:fill="auto"/>
            <w:noWrap/>
            <w:vAlign w:val="center"/>
          </w:tcPr>
          <w:p w:rsidR="006944BB" w:rsidRPr="007A4471" w:rsidRDefault="006944BB" w:rsidP="00D93647">
            <w:pPr>
              <w:pStyle w:val="cuatexto"/>
              <w:jc w:val="right"/>
              <w:rPr>
                <w:szCs w:val="20"/>
              </w:rPr>
            </w:pPr>
            <w:r>
              <w:t>179.040</w:t>
            </w:r>
          </w:p>
        </w:tc>
        <w:tc>
          <w:tcPr>
            <w:tcW w:w="1483" w:type="dxa"/>
            <w:tcBorders>
              <w:top w:val="single" w:sz="4" w:space="0" w:color="auto"/>
              <w:left w:val="nil"/>
              <w:bottom w:val="single" w:sz="2" w:space="0" w:color="auto"/>
              <w:right w:val="nil"/>
            </w:tcBorders>
            <w:shd w:val="clear" w:color="auto" w:fill="auto"/>
            <w:noWrap/>
            <w:vAlign w:val="center"/>
          </w:tcPr>
          <w:p w:rsidR="006944BB" w:rsidRPr="007A4471" w:rsidRDefault="006944BB" w:rsidP="000B3F12">
            <w:pPr>
              <w:pStyle w:val="cuatexto"/>
              <w:jc w:val="right"/>
              <w:rPr>
                <w:szCs w:val="20"/>
              </w:rPr>
            </w:pPr>
            <w:r>
              <w:t>-2,5</w:t>
            </w:r>
          </w:p>
        </w:tc>
        <w:tc>
          <w:tcPr>
            <w:tcW w:w="1790" w:type="dxa"/>
            <w:tcBorders>
              <w:top w:val="single" w:sz="4" w:space="0" w:color="auto"/>
              <w:left w:val="nil"/>
              <w:bottom w:val="single" w:sz="2" w:space="0" w:color="auto"/>
              <w:right w:val="nil"/>
            </w:tcBorders>
            <w:shd w:val="clear" w:color="auto" w:fill="auto"/>
            <w:noWrap/>
            <w:vAlign w:val="center"/>
          </w:tcPr>
          <w:p w:rsidR="006944BB" w:rsidRPr="007A4471" w:rsidRDefault="000B3F12" w:rsidP="00D93647">
            <w:pPr>
              <w:pStyle w:val="cuatexto"/>
              <w:jc w:val="right"/>
              <w:rPr>
                <w:szCs w:val="20"/>
              </w:rPr>
            </w:pPr>
            <w:r>
              <w:t>183.631</w:t>
            </w:r>
          </w:p>
        </w:tc>
      </w:tr>
      <w:tr w:rsidR="006944BB" w:rsidRPr="007A4471" w:rsidTr="00D93647">
        <w:trPr>
          <w:trHeight w:val="255"/>
          <w:jc w:val="center"/>
        </w:trPr>
        <w:tc>
          <w:tcPr>
            <w:tcW w:w="3151" w:type="dxa"/>
            <w:tcBorders>
              <w:top w:val="single" w:sz="2"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t>Dibidenduaren gaineko 2013ko atxik</w:t>
            </w:r>
            <w:r>
              <w:t>i</w:t>
            </w:r>
            <w:r>
              <w:t>pena</w:t>
            </w:r>
          </w:p>
        </w:tc>
        <w:tc>
          <w:tcPr>
            <w:tcW w:w="1282" w:type="dxa"/>
            <w:tcBorders>
              <w:top w:val="single" w:sz="2" w:space="0" w:color="auto"/>
              <w:left w:val="nil"/>
              <w:bottom w:val="single" w:sz="2" w:space="0" w:color="auto"/>
              <w:right w:val="nil"/>
            </w:tcBorders>
            <w:shd w:val="clear" w:color="auto" w:fill="auto"/>
            <w:noWrap/>
            <w:vAlign w:val="center"/>
          </w:tcPr>
          <w:p w:rsidR="006944BB" w:rsidRPr="007A4471" w:rsidRDefault="006944BB" w:rsidP="00D93647">
            <w:pPr>
              <w:pStyle w:val="cuatexto"/>
              <w:jc w:val="left"/>
              <w:rPr>
                <w:szCs w:val="20"/>
              </w:rPr>
            </w:pPr>
            <w:r>
              <w:t>2015eko ma</w:t>
            </w:r>
            <w:r>
              <w:t>r</w:t>
            </w:r>
            <w:r>
              <w:t>txoa</w:t>
            </w:r>
          </w:p>
        </w:tc>
        <w:tc>
          <w:tcPr>
            <w:tcW w:w="1112" w:type="dxa"/>
            <w:tcBorders>
              <w:top w:val="single" w:sz="2" w:space="0" w:color="auto"/>
              <w:left w:val="nil"/>
              <w:bottom w:val="single" w:sz="2" w:space="0" w:color="auto"/>
              <w:right w:val="nil"/>
            </w:tcBorders>
            <w:shd w:val="clear" w:color="auto" w:fill="auto"/>
            <w:noWrap/>
            <w:vAlign w:val="center"/>
          </w:tcPr>
          <w:p w:rsidR="006944BB" w:rsidRPr="007A4471" w:rsidRDefault="006944BB" w:rsidP="00D93647">
            <w:pPr>
              <w:pStyle w:val="cuatexto"/>
              <w:jc w:val="right"/>
              <w:rPr>
                <w:szCs w:val="20"/>
              </w:rPr>
            </w:pPr>
            <w:r>
              <w:t>8.771</w:t>
            </w:r>
          </w:p>
        </w:tc>
        <w:tc>
          <w:tcPr>
            <w:tcW w:w="14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0B3F12">
            <w:pPr>
              <w:pStyle w:val="cuatexto"/>
              <w:jc w:val="right"/>
              <w:rPr>
                <w:szCs w:val="20"/>
              </w:rPr>
            </w:pPr>
            <w:r>
              <w:t>-1,7</w:t>
            </w:r>
          </w:p>
        </w:tc>
        <w:tc>
          <w:tcPr>
            <w:tcW w:w="1790" w:type="dxa"/>
            <w:tcBorders>
              <w:top w:val="single" w:sz="2" w:space="0" w:color="auto"/>
              <w:left w:val="nil"/>
              <w:bottom w:val="single" w:sz="2" w:space="0" w:color="auto"/>
              <w:right w:val="nil"/>
            </w:tcBorders>
            <w:shd w:val="clear" w:color="auto" w:fill="auto"/>
            <w:noWrap/>
            <w:vAlign w:val="center"/>
          </w:tcPr>
          <w:p w:rsidR="006944BB" w:rsidRPr="007A4471" w:rsidRDefault="000B3F12" w:rsidP="00D93647">
            <w:pPr>
              <w:pStyle w:val="cuatexto"/>
              <w:jc w:val="right"/>
              <w:rPr>
                <w:szCs w:val="20"/>
              </w:rPr>
            </w:pPr>
            <w:r>
              <w:t>8.896</w:t>
            </w:r>
          </w:p>
        </w:tc>
      </w:tr>
      <w:tr w:rsidR="006944BB" w:rsidRPr="007A4471" w:rsidTr="00D93647">
        <w:trPr>
          <w:trHeight w:val="255"/>
          <w:jc w:val="center"/>
        </w:trPr>
        <w:tc>
          <w:tcPr>
            <w:tcW w:w="3151" w:type="dxa"/>
            <w:tcBorders>
              <w:top w:val="single" w:sz="2" w:space="0" w:color="auto"/>
              <w:left w:val="nil"/>
              <w:bottom w:val="single" w:sz="4" w:space="0" w:color="auto"/>
              <w:right w:val="nil"/>
            </w:tcBorders>
            <w:shd w:val="clear" w:color="auto" w:fill="auto"/>
            <w:noWrap/>
            <w:vAlign w:val="center"/>
          </w:tcPr>
          <w:p w:rsidR="006944BB" w:rsidRPr="007A4471" w:rsidRDefault="006944BB" w:rsidP="00D93647">
            <w:pPr>
              <w:pStyle w:val="cuatexto"/>
              <w:jc w:val="left"/>
              <w:rPr>
                <w:szCs w:val="20"/>
              </w:rPr>
            </w:pPr>
            <w:r>
              <w:t>Dibidenduaren gaineko 2014ko atxik</w:t>
            </w:r>
            <w:r>
              <w:t>i</w:t>
            </w:r>
            <w:r>
              <w:t>pena</w:t>
            </w:r>
          </w:p>
        </w:tc>
        <w:tc>
          <w:tcPr>
            <w:tcW w:w="1282" w:type="dxa"/>
            <w:tcBorders>
              <w:top w:val="single" w:sz="2" w:space="0" w:color="auto"/>
              <w:left w:val="nil"/>
              <w:bottom w:val="single" w:sz="4" w:space="0" w:color="auto"/>
              <w:right w:val="nil"/>
            </w:tcBorders>
            <w:shd w:val="clear" w:color="auto" w:fill="auto"/>
            <w:noWrap/>
            <w:vAlign w:val="center"/>
          </w:tcPr>
          <w:p w:rsidR="006944BB" w:rsidRPr="007A4471" w:rsidRDefault="006944BB" w:rsidP="00333C10">
            <w:pPr>
              <w:pStyle w:val="cuatexto"/>
              <w:jc w:val="left"/>
              <w:rPr>
                <w:szCs w:val="20"/>
              </w:rPr>
            </w:pPr>
            <w:r>
              <w:t>2016ko urt</w:t>
            </w:r>
            <w:r>
              <w:t>a</w:t>
            </w:r>
            <w:r>
              <w:t>rrila(2)</w:t>
            </w:r>
          </w:p>
        </w:tc>
        <w:tc>
          <w:tcPr>
            <w:tcW w:w="1112" w:type="dxa"/>
            <w:tcBorders>
              <w:top w:val="single" w:sz="2" w:space="0" w:color="auto"/>
              <w:left w:val="nil"/>
              <w:bottom w:val="single" w:sz="4" w:space="0" w:color="auto"/>
              <w:right w:val="nil"/>
            </w:tcBorders>
            <w:shd w:val="clear" w:color="auto" w:fill="auto"/>
            <w:noWrap/>
            <w:vAlign w:val="center"/>
          </w:tcPr>
          <w:p w:rsidR="006944BB" w:rsidRPr="007A4471" w:rsidRDefault="006944BB" w:rsidP="00D93647">
            <w:pPr>
              <w:pStyle w:val="cuatexto"/>
              <w:jc w:val="right"/>
              <w:rPr>
                <w:szCs w:val="20"/>
              </w:rPr>
            </w:pPr>
            <w:r>
              <w:t>110.782</w:t>
            </w:r>
          </w:p>
        </w:tc>
        <w:tc>
          <w:tcPr>
            <w:tcW w:w="1483" w:type="dxa"/>
            <w:tcBorders>
              <w:top w:val="single" w:sz="2" w:space="0" w:color="auto"/>
              <w:left w:val="nil"/>
              <w:bottom w:val="single" w:sz="4" w:space="0" w:color="auto"/>
              <w:right w:val="nil"/>
            </w:tcBorders>
            <w:shd w:val="clear" w:color="auto" w:fill="auto"/>
            <w:noWrap/>
            <w:vAlign w:val="center"/>
          </w:tcPr>
          <w:p w:rsidR="006944BB" w:rsidRPr="007A4471" w:rsidRDefault="000B3F12" w:rsidP="00D93647">
            <w:pPr>
              <w:pStyle w:val="cuatexto"/>
              <w:jc w:val="right"/>
              <w:rPr>
                <w:szCs w:val="20"/>
              </w:rPr>
            </w:pPr>
            <w:r>
              <w:t>-0,5</w:t>
            </w:r>
          </w:p>
        </w:tc>
        <w:tc>
          <w:tcPr>
            <w:tcW w:w="1790" w:type="dxa"/>
            <w:tcBorders>
              <w:top w:val="single" w:sz="2" w:space="0" w:color="auto"/>
              <w:left w:val="nil"/>
              <w:bottom w:val="single" w:sz="4" w:space="0" w:color="auto"/>
              <w:right w:val="nil"/>
            </w:tcBorders>
            <w:shd w:val="clear" w:color="auto" w:fill="auto"/>
            <w:noWrap/>
            <w:vAlign w:val="center"/>
          </w:tcPr>
          <w:p w:rsidR="006944BB" w:rsidRPr="007A4471" w:rsidRDefault="000B3F12" w:rsidP="00D93647">
            <w:pPr>
              <w:pStyle w:val="cuatexto"/>
              <w:jc w:val="right"/>
              <w:rPr>
                <w:szCs w:val="20"/>
              </w:rPr>
            </w:pPr>
            <w:r>
              <w:t>111.901</w:t>
            </w:r>
          </w:p>
        </w:tc>
      </w:tr>
      <w:tr w:rsidR="006944BB" w:rsidRPr="00E1362D" w:rsidTr="00D93647">
        <w:trPr>
          <w:trHeight w:val="300"/>
          <w:jc w:val="center"/>
        </w:trPr>
        <w:tc>
          <w:tcPr>
            <w:tcW w:w="5545" w:type="dxa"/>
            <w:gridSpan w:val="3"/>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left"/>
            </w:pPr>
            <w:r>
              <w:t>Dibidendua, guztira, 2014/10/31n gaurkotua</w:t>
            </w:r>
          </w:p>
        </w:tc>
        <w:tc>
          <w:tcPr>
            <w:tcW w:w="14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D93647">
            <w:pPr>
              <w:pStyle w:val="cuadroCabe"/>
              <w:jc w:val="right"/>
            </w:pPr>
          </w:p>
        </w:tc>
        <w:tc>
          <w:tcPr>
            <w:tcW w:w="1790"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0B3F12" w:rsidP="000B3F12">
            <w:pPr>
              <w:pStyle w:val="cuadroCabe"/>
              <w:jc w:val="right"/>
            </w:pPr>
            <w:r>
              <w:fldChar w:fldCharType="begin"/>
            </w:r>
            <w:r>
              <w:instrText xml:space="preserve"> =SUM(ABOVE) </w:instrText>
            </w:r>
            <w:r>
              <w:fldChar w:fldCharType="separate"/>
            </w:r>
            <w:r>
              <w:rPr>
                <w:noProof/>
              </w:rPr>
              <w:t>304.427</w:t>
            </w:r>
            <w:r>
              <w:fldChar w:fldCharType="end"/>
            </w:r>
          </w:p>
        </w:tc>
      </w:tr>
    </w:tbl>
    <w:p w:rsidR="009F2665" w:rsidRPr="00567EA7" w:rsidRDefault="009F2665" w:rsidP="00567EA7">
      <w:pPr>
        <w:pStyle w:val="texto"/>
        <w:tabs>
          <w:tab w:val="clear" w:pos="2835"/>
          <w:tab w:val="clear" w:pos="3969"/>
          <w:tab w:val="clear" w:pos="5103"/>
          <w:tab w:val="clear" w:pos="6237"/>
          <w:tab w:val="clear" w:pos="7371"/>
        </w:tabs>
        <w:spacing w:before="160" w:after="120"/>
        <w:ind w:firstLine="0"/>
        <w:rPr>
          <w:rFonts w:ascii="Arial Narrow" w:eastAsia="Calibri" w:hAnsi="Arial Narrow"/>
          <w:sz w:val="19"/>
          <w:szCs w:val="19"/>
        </w:rPr>
      </w:pPr>
      <w:r>
        <w:rPr>
          <w:rFonts w:ascii="Arial Narrow" w:hAnsi="Arial Narrow"/>
          <w:sz w:val="19"/>
        </w:rPr>
        <w:t>(1) Nafarroako KPIa, 2014ko azarotik kobrantza-datara bitartean metatua</w:t>
      </w:r>
    </w:p>
    <w:p w:rsidR="00567EA7" w:rsidRDefault="00D93647" w:rsidP="00567EA7">
      <w:pPr>
        <w:pStyle w:val="texto"/>
        <w:tabs>
          <w:tab w:val="clear" w:pos="2835"/>
          <w:tab w:val="clear" w:pos="3969"/>
          <w:tab w:val="clear" w:pos="5103"/>
          <w:tab w:val="clear" w:pos="6237"/>
          <w:tab w:val="clear" w:pos="7371"/>
        </w:tabs>
        <w:spacing w:before="160" w:after="0"/>
        <w:ind w:left="-40" w:firstLine="0"/>
        <w:rPr>
          <w:rFonts w:ascii="Arial Narrow" w:eastAsia="Calibri" w:hAnsi="Arial Narrow"/>
          <w:sz w:val="19"/>
          <w:szCs w:val="19"/>
        </w:rPr>
      </w:pPr>
      <w:r>
        <w:rPr>
          <w:rFonts w:ascii="Arial Narrow" w:hAnsi="Arial Narrow"/>
          <w:sz w:val="19"/>
        </w:rPr>
        <w:t xml:space="preserve"> (2) Nahiz eta dibidendua 2016ko urtarrilean berreskuratuko den, 2015eko azaroan kobratutzat jo dugu, </w:t>
      </w:r>
    </w:p>
    <w:p w:rsidR="006944BB" w:rsidRPr="00567EA7" w:rsidRDefault="00567EA7" w:rsidP="00567EA7">
      <w:pPr>
        <w:pStyle w:val="texto"/>
        <w:tabs>
          <w:tab w:val="clear" w:pos="2835"/>
          <w:tab w:val="clear" w:pos="3969"/>
          <w:tab w:val="clear" w:pos="5103"/>
          <w:tab w:val="clear" w:pos="6237"/>
          <w:tab w:val="clear" w:pos="7371"/>
        </w:tabs>
        <w:spacing w:after="120"/>
        <w:ind w:left="-40" w:firstLine="0"/>
        <w:rPr>
          <w:rFonts w:ascii="Arial Narrow" w:eastAsia="Calibri" w:hAnsi="Arial Narrow"/>
          <w:sz w:val="19"/>
          <w:szCs w:val="19"/>
        </w:rPr>
      </w:pPr>
      <w:r>
        <w:rPr>
          <w:rFonts w:ascii="Arial Narrow" w:hAnsi="Arial Narrow"/>
          <w:sz w:val="19"/>
        </w:rPr>
        <w:t xml:space="preserve">     horixe baita KPIaren bilakaerari buruzko datuak eskueran dituguneko azken hila.</w:t>
      </w:r>
    </w:p>
    <w:p w:rsidR="006944BB" w:rsidRPr="00F43938" w:rsidRDefault="006944BB" w:rsidP="00E96655">
      <w:pPr>
        <w:pStyle w:val="atitulo2"/>
        <w:spacing w:before="240" w:after="400"/>
      </w:pPr>
      <w:r>
        <w:br w:type="page"/>
      </w:r>
      <w:bookmarkStart w:id="34" w:name="_Toc441141970"/>
      <w:bookmarkStart w:id="35" w:name="_Toc446489694"/>
      <w:r>
        <w:lastRenderedPageBreak/>
        <w:t>2. eranskina: Gastuak</w:t>
      </w:r>
      <w:bookmarkEnd w:id="34"/>
      <w:bookmarkEnd w:id="35"/>
      <w:r>
        <w:t xml:space="preserve"> </w:t>
      </w:r>
    </w:p>
    <w:p w:rsidR="006944BB" w:rsidRPr="00E96655" w:rsidRDefault="006944BB" w:rsidP="00E96655">
      <w:pPr>
        <w:spacing w:after="300"/>
        <w:ind w:left="567" w:firstLine="0"/>
        <w:jc w:val="center"/>
        <w:rPr>
          <w:rFonts w:ascii="Arial" w:hAnsi="Arial" w:cs="Arial"/>
        </w:rPr>
      </w:pPr>
      <w:r>
        <w:rPr>
          <w:rFonts w:ascii="Arial" w:hAnsi="Arial"/>
        </w:rPr>
        <w:t xml:space="preserve">Akzioen erosketa </w:t>
      </w:r>
    </w:p>
    <w:tbl>
      <w:tblPr>
        <w:tblW w:w="8834" w:type="dxa"/>
        <w:jc w:val="center"/>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9"/>
        <w:gridCol w:w="1327"/>
        <w:gridCol w:w="1309"/>
        <w:gridCol w:w="1539"/>
        <w:gridCol w:w="2100"/>
      </w:tblGrid>
      <w:tr w:rsidR="006944BB" w:rsidRPr="000C7E08" w:rsidTr="00F42761">
        <w:trPr>
          <w:trHeight w:val="300"/>
          <w:jc w:val="center"/>
        </w:trPr>
        <w:tc>
          <w:tcPr>
            <w:tcW w:w="2559" w:type="dxa"/>
            <w:shd w:val="clear" w:color="auto" w:fill="8DB3E2" w:themeFill="text2" w:themeFillTint="66"/>
            <w:vAlign w:val="center"/>
          </w:tcPr>
          <w:p w:rsidR="006944BB" w:rsidRPr="007A4471" w:rsidRDefault="006944BB" w:rsidP="00F42761">
            <w:pPr>
              <w:pStyle w:val="cuadroCabe"/>
              <w:jc w:val="left"/>
            </w:pPr>
            <w:r>
              <w:t>Kontzeptua</w:t>
            </w:r>
          </w:p>
        </w:tc>
        <w:tc>
          <w:tcPr>
            <w:tcW w:w="1327" w:type="dxa"/>
            <w:shd w:val="clear" w:color="auto" w:fill="8DB3E2" w:themeFill="text2" w:themeFillTint="66"/>
            <w:noWrap/>
            <w:vAlign w:val="center"/>
          </w:tcPr>
          <w:p w:rsidR="006944BB" w:rsidRPr="007A4471" w:rsidRDefault="006944BB" w:rsidP="00F42761">
            <w:pPr>
              <w:pStyle w:val="cuadroCabe"/>
              <w:jc w:val="right"/>
            </w:pPr>
            <w:r>
              <w:t xml:space="preserve">Data </w:t>
            </w:r>
          </w:p>
        </w:tc>
        <w:tc>
          <w:tcPr>
            <w:tcW w:w="1309" w:type="dxa"/>
            <w:shd w:val="clear" w:color="auto" w:fill="8DB3E2" w:themeFill="text2" w:themeFillTint="66"/>
            <w:noWrap/>
            <w:vAlign w:val="center"/>
          </w:tcPr>
          <w:p w:rsidR="006944BB" w:rsidRPr="007A4471" w:rsidRDefault="006944BB" w:rsidP="00F42761">
            <w:pPr>
              <w:pStyle w:val="cuadroCabe"/>
              <w:jc w:val="right"/>
            </w:pPr>
            <w:r>
              <w:t>Zenbatekoa</w:t>
            </w:r>
          </w:p>
        </w:tc>
        <w:tc>
          <w:tcPr>
            <w:tcW w:w="1539" w:type="dxa"/>
            <w:shd w:val="clear" w:color="auto" w:fill="8DB3E2" w:themeFill="text2" w:themeFillTint="66"/>
            <w:noWrap/>
            <w:vAlign w:val="center"/>
          </w:tcPr>
          <w:p w:rsidR="006944BB" w:rsidRPr="007A4471" w:rsidRDefault="006944BB" w:rsidP="00F42761">
            <w:pPr>
              <w:pStyle w:val="cuadroCabe"/>
              <w:jc w:val="right"/>
            </w:pPr>
            <w:r>
              <w:t>Kapitalizazio-</w:t>
            </w:r>
          </w:p>
          <w:p w:rsidR="006944BB" w:rsidRPr="007A4471" w:rsidRDefault="006944BB" w:rsidP="00F42761">
            <w:pPr>
              <w:pStyle w:val="cuadroCabe"/>
              <w:jc w:val="right"/>
            </w:pPr>
            <w:r>
              <w:t xml:space="preserve"> faktorea</w:t>
            </w:r>
          </w:p>
        </w:tc>
        <w:tc>
          <w:tcPr>
            <w:tcW w:w="2100" w:type="dxa"/>
            <w:shd w:val="clear" w:color="auto" w:fill="8DB3E2" w:themeFill="text2" w:themeFillTint="66"/>
            <w:noWrap/>
            <w:vAlign w:val="center"/>
          </w:tcPr>
          <w:p w:rsidR="00F42761" w:rsidRDefault="006944BB" w:rsidP="00F42761">
            <w:pPr>
              <w:pStyle w:val="cuadroCabe"/>
              <w:jc w:val="right"/>
            </w:pPr>
            <w:r>
              <w:t>Zenbateko kapitaliz</w:t>
            </w:r>
            <w:r>
              <w:t>a</w:t>
            </w:r>
            <w:r>
              <w:t>tua</w:t>
            </w:r>
          </w:p>
          <w:p w:rsidR="006944BB" w:rsidRPr="007A4471" w:rsidRDefault="006944BB" w:rsidP="00F42761">
            <w:pPr>
              <w:pStyle w:val="cuadroCabe"/>
              <w:jc w:val="right"/>
            </w:pPr>
            <w:r>
              <w:t xml:space="preserve"> 2014/10/31n</w:t>
            </w:r>
          </w:p>
        </w:tc>
      </w:tr>
      <w:tr w:rsidR="006944BB" w:rsidRPr="007A4471" w:rsidTr="00F42761">
        <w:trPr>
          <w:trHeight w:val="284"/>
          <w:jc w:val="center"/>
        </w:trPr>
        <w:tc>
          <w:tcPr>
            <w:tcW w:w="2559" w:type="dxa"/>
            <w:vAlign w:val="center"/>
          </w:tcPr>
          <w:p w:rsidR="006944BB" w:rsidRPr="007A4471" w:rsidRDefault="006944BB" w:rsidP="00F42761">
            <w:pPr>
              <w:pStyle w:val="cuatexto"/>
              <w:jc w:val="left"/>
              <w:rPr>
                <w:szCs w:val="20"/>
              </w:rPr>
            </w:pPr>
            <w:r>
              <w:t>Erosketa</w:t>
            </w:r>
          </w:p>
        </w:tc>
        <w:tc>
          <w:tcPr>
            <w:tcW w:w="1327" w:type="dxa"/>
            <w:shd w:val="clear" w:color="auto" w:fill="auto"/>
            <w:noWrap/>
            <w:vAlign w:val="center"/>
          </w:tcPr>
          <w:p w:rsidR="006944BB" w:rsidRPr="007A4471" w:rsidRDefault="006944BB" w:rsidP="00F42761">
            <w:pPr>
              <w:pStyle w:val="cuatexto"/>
              <w:jc w:val="right"/>
              <w:rPr>
                <w:szCs w:val="20"/>
              </w:rPr>
            </w:pPr>
            <w:r>
              <w:t>2005/02/10</w:t>
            </w:r>
          </w:p>
        </w:tc>
        <w:tc>
          <w:tcPr>
            <w:tcW w:w="1309" w:type="dxa"/>
            <w:shd w:val="clear" w:color="auto" w:fill="auto"/>
            <w:noWrap/>
            <w:vAlign w:val="center"/>
          </w:tcPr>
          <w:p w:rsidR="006944BB" w:rsidRPr="007A4471" w:rsidRDefault="006944BB" w:rsidP="00F42761">
            <w:pPr>
              <w:pStyle w:val="cuatexto"/>
              <w:jc w:val="right"/>
              <w:rPr>
                <w:szCs w:val="20"/>
              </w:rPr>
            </w:pPr>
            <w:r>
              <w:t>173.556.238</w:t>
            </w:r>
          </w:p>
        </w:tc>
        <w:tc>
          <w:tcPr>
            <w:tcW w:w="1539" w:type="dxa"/>
            <w:shd w:val="clear" w:color="auto" w:fill="auto"/>
            <w:noWrap/>
            <w:vAlign w:val="center"/>
          </w:tcPr>
          <w:p w:rsidR="006944BB" w:rsidRPr="007A4471" w:rsidRDefault="006944BB" w:rsidP="00F42761">
            <w:pPr>
              <w:pStyle w:val="cuatexto"/>
              <w:jc w:val="right"/>
              <w:rPr>
                <w:szCs w:val="20"/>
              </w:rPr>
            </w:pPr>
            <w:r>
              <w:t>20,8</w:t>
            </w:r>
          </w:p>
        </w:tc>
        <w:tc>
          <w:tcPr>
            <w:tcW w:w="2100" w:type="dxa"/>
            <w:shd w:val="clear" w:color="auto" w:fill="auto"/>
            <w:noWrap/>
            <w:vAlign w:val="center"/>
          </w:tcPr>
          <w:p w:rsidR="006944BB" w:rsidRPr="007A4471" w:rsidRDefault="006944BB" w:rsidP="00F42761">
            <w:pPr>
              <w:pStyle w:val="cuatexto"/>
              <w:jc w:val="right"/>
              <w:rPr>
                <w:szCs w:val="20"/>
              </w:rPr>
            </w:pPr>
            <w:r>
              <w:t>209.655.935</w:t>
            </w:r>
          </w:p>
        </w:tc>
      </w:tr>
      <w:tr w:rsidR="006944BB" w:rsidRPr="0027754A" w:rsidTr="00F42761">
        <w:trPr>
          <w:trHeight w:val="300"/>
          <w:jc w:val="center"/>
        </w:trPr>
        <w:tc>
          <w:tcPr>
            <w:tcW w:w="2559" w:type="dxa"/>
            <w:shd w:val="clear" w:color="auto" w:fill="8DB3E2" w:themeFill="text2" w:themeFillTint="66"/>
            <w:vAlign w:val="center"/>
          </w:tcPr>
          <w:p w:rsidR="006944BB" w:rsidRPr="007A4471" w:rsidRDefault="006944BB" w:rsidP="00F42761">
            <w:pPr>
              <w:pStyle w:val="cuadroCabe"/>
              <w:jc w:val="left"/>
            </w:pPr>
            <w:r>
              <w:t>Erosketa kapitalizatua, gu</w:t>
            </w:r>
            <w:r>
              <w:t>z</w:t>
            </w:r>
            <w:r>
              <w:t>tira</w:t>
            </w:r>
          </w:p>
        </w:tc>
        <w:tc>
          <w:tcPr>
            <w:tcW w:w="1327" w:type="dxa"/>
            <w:shd w:val="clear" w:color="auto" w:fill="8DB3E2" w:themeFill="text2" w:themeFillTint="66"/>
            <w:noWrap/>
            <w:vAlign w:val="bottom"/>
          </w:tcPr>
          <w:p w:rsidR="006944BB" w:rsidRPr="007A4471" w:rsidRDefault="006944BB" w:rsidP="007A4471">
            <w:pPr>
              <w:pStyle w:val="cuadroCabe"/>
              <w:jc w:val="left"/>
            </w:pPr>
          </w:p>
        </w:tc>
        <w:tc>
          <w:tcPr>
            <w:tcW w:w="1309" w:type="dxa"/>
            <w:shd w:val="clear" w:color="auto" w:fill="8DB3E2" w:themeFill="text2" w:themeFillTint="66"/>
            <w:noWrap/>
            <w:vAlign w:val="bottom"/>
          </w:tcPr>
          <w:p w:rsidR="006944BB" w:rsidRPr="007A4471" w:rsidRDefault="006944BB" w:rsidP="007A4471">
            <w:pPr>
              <w:pStyle w:val="cuadroCabe"/>
              <w:jc w:val="left"/>
            </w:pPr>
          </w:p>
        </w:tc>
        <w:tc>
          <w:tcPr>
            <w:tcW w:w="1539" w:type="dxa"/>
            <w:shd w:val="clear" w:color="auto" w:fill="8DB3E2" w:themeFill="text2" w:themeFillTint="66"/>
            <w:noWrap/>
            <w:vAlign w:val="center"/>
          </w:tcPr>
          <w:p w:rsidR="006944BB" w:rsidRPr="007A4471" w:rsidRDefault="006944BB" w:rsidP="00F42761">
            <w:pPr>
              <w:pStyle w:val="cuadroCabe"/>
              <w:jc w:val="right"/>
            </w:pPr>
          </w:p>
        </w:tc>
        <w:tc>
          <w:tcPr>
            <w:tcW w:w="2100" w:type="dxa"/>
            <w:shd w:val="clear" w:color="auto" w:fill="8DB3E2" w:themeFill="text2" w:themeFillTint="66"/>
            <w:noWrap/>
            <w:vAlign w:val="center"/>
          </w:tcPr>
          <w:p w:rsidR="006944BB" w:rsidRPr="007A4471" w:rsidRDefault="006944BB" w:rsidP="00F42761">
            <w:pPr>
              <w:pStyle w:val="cuadroCabe"/>
              <w:jc w:val="right"/>
            </w:pPr>
            <w:r>
              <w:t>209.655.935</w:t>
            </w:r>
          </w:p>
        </w:tc>
      </w:tr>
    </w:tbl>
    <w:p w:rsidR="006944BB" w:rsidRDefault="006944BB" w:rsidP="006944BB">
      <w:pPr>
        <w:pStyle w:val="atitulo2"/>
        <w:spacing w:before="240" w:after="320"/>
        <w:rPr>
          <w:rFonts w:ascii="Times New Roman" w:eastAsia="Calibri" w:hAnsi="Times New Roman"/>
          <w:bCs w:val="0"/>
          <w:iCs w:val="0"/>
          <w:color w:val="auto"/>
          <w:spacing w:val="6"/>
          <w:kern w:val="0"/>
          <w:sz w:val="22"/>
          <w:szCs w:val="22"/>
        </w:rPr>
      </w:pPr>
    </w:p>
    <w:p w:rsidR="006944BB" w:rsidRPr="00E96655" w:rsidRDefault="00ED31E9" w:rsidP="00E96655">
      <w:pPr>
        <w:spacing w:after="300"/>
        <w:ind w:left="567" w:firstLine="0"/>
        <w:jc w:val="center"/>
        <w:rPr>
          <w:rFonts w:ascii="Arial" w:hAnsi="Arial" w:cs="Arial"/>
        </w:rPr>
      </w:pPr>
      <w:r>
        <w:rPr>
          <w:rFonts w:ascii="Arial" w:hAnsi="Arial"/>
        </w:rPr>
        <w:t>Akzioen estaldura</w:t>
      </w:r>
    </w:p>
    <w:tbl>
      <w:tblPr>
        <w:tblW w:w="8830" w:type="dxa"/>
        <w:jc w:val="center"/>
        <w:tblCellMar>
          <w:left w:w="70" w:type="dxa"/>
          <w:right w:w="70" w:type="dxa"/>
        </w:tblCellMar>
        <w:tblLook w:val="04A0" w:firstRow="1" w:lastRow="0" w:firstColumn="1" w:lastColumn="0" w:noHBand="0" w:noVBand="1"/>
      </w:tblPr>
      <w:tblGrid>
        <w:gridCol w:w="3164"/>
        <w:gridCol w:w="1021"/>
        <w:gridCol w:w="1183"/>
        <w:gridCol w:w="1452"/>
        <w:gridCol w:w="2010"/>
      </w:tblGrid>
      <w:tr w:rsidR="006944BB" w:rsidRPr="000C7E08" w:rsidTr="00CE79C5">
        <w:trPr>
          <w:trHeight w:val="300"/>
          <w:jc w:val="center"/>
        </w:trPr>
        <w:tc>
          <w:tcPr>
            <w:tcW w:w="3164" w:type="dxa"/>
            <w:tcBorders>
              <w:top w:val="single" w:sz="4" w:space="0" w:color="auto"/>
              <w:left w:val="nil"/>
              <w:bottom w:val="single" w:sz="4" w:space="0" w:color="auto"/>
              <w:right w:val="nil"/>
            </w:tcBorders>
            <w:shd w:val="clear" w:color="auto" w:fill="8DB3E2" w:themeFill="text2" w:themeFillTint="66"/>
            <w:vAlign w:val="center"/>
          </w:tcPr>
          <w:p w:rsidR="006944BB" w:rsidRPr="007A4471" w:rsidRDefault="006944BB" w:rsidP="00F42761">
            <w:pPr>
              <w:pStyle w:val="cuadroCabe"/>
              <w:jc w:val="left"/>
            </w:pPr>
            <w:r>
              <w:t>Kontzeptua</w:t>
            </w:r>
          </w:p>
        </w:tc>
        <w:tc>
          <w:tcPr>
            <w:tcW w:w="102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t xml:space="preserve">Data </w:t>
            </w:r>
          </w:p>
        </w:tc>
        <w:tc>
          <w:tcPr>
            <w:tcW w:w="11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t>Zenbatekoa</w:t>
            </w:r>
          </w:p>
        </w:tc>
        <w:tc>
          <w:tcPr>
            <w:tcW w:w="145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t>Kapitalizazio-</w:t>
            </w:r>
          </w:p>
          <w:p w:rsidR="006944BB" w:rsidRPr="007A4471" w:rsidRDefault="006944BB" w:rsidP="00F42761">
            <w:pPr>
              <w:pStyle w:val="cuadroCabe"/>
              <w:jc w:val="right"/>
            </w:pPr>
            <w:r>
              <w:t xml:space="preserve"> faktorea</w:t>
            </w:r>
          </w:p>
        </w:tc>
        <w:tc>
          <w:tcPr>
            <w:tcW w:w="2010" w:type="dxa"/>
            <w:tcBorders>
              <w:top w:val="single" w:sz="4" w:space="0" w:color="auto"/>
              <w:left w:val="nil"/>
              <w:bottom w:val="single" w:sz="4" w:space="0" w:color="auto"/>
              <w:right w:val="nil"/>
            </w:tcBorders>
            <w:shd w:val="clear" w:color="auto" w:fill="8DB3E2" w:themeFill="text2" w:themeFillTint="66"/>
            <w:noWrap/>
            <w:vAlign w:val="center"/>
          </w:tcPr>
          <w:p w:rsidR="00F42761" w:rsidRDefault="006944BB" w:rsidP="00F42761">
            <w:pPr>
              <w:pStyle w:val="cuadroCabe"/>
              <w:jc w:val="right"/>
            </w:pPr>
            <w:r>
              <w:t>Zenbateko kapitaliz</w:t>
            </w:r>
            <w:r>
              <w:t>a</w:t>
            </w:r>
            <w:r>
              <w:t>tua</w:t>
            </w:r>
          </w:p>
          <w:p w:rsidR="006944BB" w:rsidRPr="007A4471" w:rsidRDefault="006944BB" w:rsidP="00F42761">
            <w:pPr>
              <w:pStyle w:val="cuadroCabe"/>
              <w:jc w:val="right"/>
            </w:pPr>
            <w:r>
              <w:t>2014/10/31n</w:t>
            </w:r>
          </w:p>
        </w:tc>
      </w:tr>
      <w:tr w:rsidR="006944BB" w:rsidRPr="007A4471" w:rsidTr="00CE79C5">
        <w:trPr>
          <w:trHeight w:val="255"/>
          <w:jc w:val="center"/>
        </w:trPr>
        <w:tc>
          <w:tcPr>
            <w:tcW w:w="3164" w:type="dxa"/>
            <w:tcBorders>
              <w:top w:val="single" w:sz="4" w:space="0" w:color="auto"/>
              <w:left w:val="nil"/>
              <w:bottom w:val="single" w:sz="2" w:space="0" w:color="auto"/>
              <w:right w:val="nil"/>
            </w:tcBorders>
            <w:vAlign w:val="center"/>
          </w:tcPr>
          <w:p w:rsidR="006944BB" w:rsidRPr="007A4471" w:rsidRDefault="006944BB" w:rsidP="00F42761">
            <w:pPr>
              <w:pStyle w:val="cuatexto"/>
              <w:jc w:val="left"/>
              <w:rPr>
                <w:szCs w:val="20"/>
              </w:rPr>
            </w:pPr>
            <w:r>
              <w:t>Batzordea</w:t>
            </w:r>
          </w:p>
        </w:tc>
        <w:tc>
          <w:tcPr>
            <w:tcW w:w="1021"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2005/07/01</w:t>
            </w:r>
          </w:p>
        </w:tc>
        <w:tc>
          <w:tcPr>
            <w:tcW w:w="1183"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25.000</w:t>
            </w:r>
          </w:p>
        </w:tc>
        <w:tc>
          <w:tcPr>
            <w:tcW w:w="1452"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18,4</w:t>
            </w:r>
          </w:p>
        </w:tc>
        <w:tc>
          <w:tcPr>
            <w:tcW w:w="2010"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29.600</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t>Sari garbia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2005/07/01</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2.650.555</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18,4</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3.138.257</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t>Sari garbia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2006/01/03</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2.362.059</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17,2</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2.768.333</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t>Batzordea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2006/07/03</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25.000</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14,6</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28.650</w:t>
            </w:r>
          </w:p>
        </w:tc>
      </w:tr>
      <w:tr w:rsidR="006944BB" w:rsidRPr="007A4471" w:rsidTr="00CE79C5">
        <w:trPr>
          <w:trHeight w:val="255"/>
          <w:jc w:val="center"/>
        </w:trPr>
        <w:tc>
          <w:tcPr>
            <w:tcW w:w="3164" w:type="dxa"/>
            <w:tcBorders>
              <w:top w:val="single" w:sz="2" w:space="0" w:color="auto"/>
              <w:left w:val="nil"/>
              <w:bottom w:val="single" w:sz="2" w:space="0" w:color="auto"/>
              <w:right w:val="nil"/>
            </w:tcBorders>
            <w:vAlign w:val="center"/>
          </w:tcPr>
          <w:p w:rsidR="006944BB" w:rsidRPr="007A4471" w:rsidRDefault="006944BB" w:rsidP="00F42761">
            <w:pPr>
              <w:pStyle w:val="cuatexto"/>
              <w:jc w:val="left"/>
              <w:rPr>
                <w:szCs w:val="20"/>
              </w:rPr>
            </w:pPr>
            <w:r>
              <w:t>Sari garbia</w:t>
            </w:r>
          </w:p>
        </w:tc>
        <w:tc>
          <w:tcPr>
            <w:tcW w:w="1021"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2006/07/03</w:t>
            </w:r>
          </w:p>
        </w:tc>
        <w:tc>
          <w:tcPr>
            <w:tcW w:w="11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2.966.097</w:t>
            </w:r>
          </w:p>
        </w:tc>
        <w:tc>
          <w:tcPr>
            <w:tcW w:w="1452"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14,6</w:t>
            </w:r>
          </w:p>
        </w:tc>
        <w:tc>
          <w:tcPr>
            <w:tcW w:w="2010"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3.399.147</w:t>
            </w:r>
          </w:p>
        </w:tc>
      </w:tr>
      <w:tr w:rsidR="006944BB" w:rsidRPr="007A4471" w:rsidTr="00CE79C5">
        <w:trPr>
          <w:trHeight w:val="255"/>
          <w:jc w:val="center"/>
        </w:trPr>
        <w:tc>
          <w:tcPr>
            <w:tcW w:w="3164" w:type="dxa"/>
            <w:tcBorders>
              <w:top w:val="single" w:sz="2" w:space="0" w:color="auto"/>
              <w:left w:val="nil"/>
              <w:bottom w:val="single" w:sz="4" w:space="0" w:color="auto"/>
              <w:right w:val="nil"/>
            </w:tcBorders>
            <w:vAlign w:val="center"/>
          </w:tcPr>
          <w:p w:rsidR="006944BB" w:rsidRPr="007A4471" w:rsidRDefault="006944BB" w:rsidP="00ED31E9">
            <w:pPr>
              <w:pStyle w:val="cuatexto"/>
              <w:jc w:val="left"/>
              <w:rPr>
                <w:szCs w:val="20"/>
              </w:rPr>
            </w:pPr>
            <w:r>
              <w:t>Estaldura-operazioaren likidazioa</w:t>
            </w:r>
          </w:p>
        </w:tc>
        <w:tc>
          <w:tcPr>
            <w:tcW w:w="1021"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2007/05/21</w:t>
            </w:r>
          </w:p>
        </w:tc>
        <w:tc>
          <w:tcPr>
            <w:tcW w:w="1183"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90.956.308</w:t>
            </w:r>
          </w:p>
        </w:tc>
        <w:tc>
          <w:tcPr>
            <w:tcW w:w="1452"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11,8</w:t>
            </w:r>
          </w:p>
        </w:tc>
        <w:tc>
          <w:tcPr>
            <w:tcW w:w="2010"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101.689.152</w:t>
            </w:r>
          </w:p>
        </w:tc>
      </w:tr>
      <w:tr w:rsidR="006944BB" w:rsidRPr="0027754A" w:rsidTr="00CE79C5">
        <w:trPr>
          <w:trHeight w:val="300"/>
          <w:jc w:val="center"/>
        </w:trPr>
        <w:tc>
          <w:tcPr>
            <w:tcW w:w="5368" w:type="dxa"/>
            <w:gridSpan w:val="3"/>
            <w:tcBorders>
              <w:top w:val="single" w:sz="4" w:space="0" w:color="auto"/>
              <w:left w:val="nil"/>
              <w:bottom w:val="single" w:sz="4" w:space="0" w:color="auto"/>
              <w:right w:val="nil"/>
            </w:tcBorders>
            <w:shd w:val="clear" w:color="auto" w:fill="8DB3E2" w:themeFill="text2" w:themeFillTint="66"/>
            <w:vAlign w:val="center"/>
          </w:tcPr>
          <w:p w:rsidR="006944BB" w:rsidRPr="007A4471" w:rsidRDefault="006944BB" w:rsidP="00ED31E9">
            <w:pPr>
              <w:pStyle w:val="cuadroCabe"/>
              <w:jc w:val="left"/>
            </w:pPr>
            <w:r>
              <w:t>Estaldura-operazio kapitalizatua, guztira</w:t>
            </w:r>
          </w:p>
        </w:tc>
        <w:tc>
          <w:tcPr>
            <w:tcW w:w="1452"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p>
        </w:tc>
        <w:tc>
          <w:tcPr>
            <w:tcW w:w="2010"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fldChar w:fldCharType="begin"/>
            </w:r>
            <w:r w:rsidRPr="007A4471">
              <w:instrText xml:space="preserve"> =SUM(ABOVE) </w:instrText>
            </w:r>
            <w:r w:rsidRPr="007A4471">
              <w:fldChar w:fldCharType="separate"/>
            </w:r>
            <w:r w:rsidRPr="007A4471">
              <w:t>111.053.139</w:t>
            </w:r>
            <w:r w:rsidRPr="007A4471">
              <w:fldChar w:fldCharType="end"/>
            </w:r>
          </w:p>
        </w:tc>
      </w:tr>
    </w:tbl>
    <w:p w:rsidR="006944BB" w:rsidRDefault="006944BB" w:rsidP="006944BB">
      <w:pPr>
        <w:pStyle w:val="atitulo2"/>
        <w:spacing w:before="240" w:after="320"/>
        <w:rPr>
          <w:rFonts w:ascii="Times New Roman" w:eastAsia="Calibri" w:hAnsi="Times New Roman"/>
          <w:bCs w:val="0"/>
          <w:iCs w:val="0"/>
          <w:color w:val="auto"/>
          <w:spacing w:val="6"/>
          <w:kern w:val="0"/>
          <w:sz w:val="22"/>
          <w:szCs w:val="22"/>
        </w:rPr>
      </w:pPr>
    </w:p>
    <w:p w:rsidR="006944BB" w:rsidRPr="00E96655" w:rsidRDefault="006944BB" w:rsidP="00E96655">
      <w:pPr>
        <w:spacing w:after="300"/>
        <w:ind w:left="567" w:firstLine="0"/>
        <w:jc w:val="center"/>
        <w:rPr>
          <w:rFonts w:ascii="Arial" w:hAnsi="Arial" w:cs="Arial"/>
        </w:rPr>
      </w:pPr>
      <w:r>
        <w:rPr>
          <w:rFonts w:ascii="Arial" w:hAnsi="Arial"/>
        </w:rPr>
        <w:t>Akzioen zaintzaren gastuak</w:t>
      </w:r>
    </w:p>
    <w:tbl>
      <w:tblPr>
        <w:tblW w:w="8876" w:type="dxa"/>
        <w:jc w:val="center"/>
        <w:tblCellMar>
          <w:left w:w="70" w:type="dxa"/>
          <w:right w:w="70" w:type="dxa"/>
        </w:tblCellMar>
        <w:tblLook w:val="04A0" w:firstRow="1" w:lastRow="0" w:firstColumn="1" w:lastColumn="0" w:noHBand="0" w:noVBand="1"/>
      </w:tblPr>
      <w:tblGrid>
        <w:gridCol w:w="2983"/>
        <w:gridCol w:w="1918"/>
        <w:gridCol w:w="1757"/>
        <w:gridCol w:w="2218"/>
      </w:tblGrid>
      <w:tr w:rsidR="006944BB" w:rsidRPr="000C7E08" w:rsidTr="00F42761">
        <w:trPr>
          <w:trHeight w:val="300"/>
          <w:jc w:val="center"/>
        </w:trPr>
        <w:tc>
          <w:tcPr>
            <w:tcW w:w="29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left"/>
            </w:pPr>
            <w:r>
              <w:t xml:space="preserve">Data </w:t>
            </w:r>
          </w:p>
        </w:tc>
        <w:tc>
          <w:tcPr>
            <w:tcW w:w="1918"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t>Zenbatekoa</w:t>
            </w:r>
          </w:p>
        </w:tc>
        <w:tc>
          <w:tcPr>
            <w:tcW w:w="1757" w:type="dxa"/>
            <w:tcBorders>
              <w:top w:val="single" w:sz="4" w:space="0" w:color="auto"/>
              <w:left w:val="nil"/>
              <w:bottom w:val="single" w:sz="4" w:space="0" w:color="auto"/>
              <w:right w:val="nil"/>
            </w:tcBorders>
            <w:shd w:val="clear" w:color="auto" w:fill="8DB3E2" w:themeFill="text2" w:themeFillTint="66"/>
            <w:noWrap/>
            <w:vAlign w:val="center"/>
          </w:tcPr>
          <w:p w:rsidR="006944BB" w:rsidRDefault="006944BB" w:rsidP="00F42761">
            <w:pPr>
              <w:pStyle w:val="cuadroCabe"/>
              <w:jc w:val="right"/>
            </w:pPr>
            <w:r>
              <w:t>Kapitalizazio-</w:t>
            </w:r>
          </w:p>
          <w:p w:rsidR="006944BB" w:rsidRPr="007A4471" w:rsidRDefault="006944BB" w:rsidP="00F42761">
            <w:pPr>
              <w:pStyle w:val="cuadroCabe"/>
              <w:jc w:val="right"/>
            </w:pPr>
            <w:r>
              <w:t>faktorea</w:t>
            </w:r>
          </w:p>
        </w:tc>
        <w:tc>
          <w:tcPr>
            <w:tcW w:w="2218" w:type="dxa"/>
            <w:tcBorders>
              <w:top w:val="single" w:sz="4" w:space="0" w:color="auto"/>
              <w:left w:val="nil"/>
              <w:bottom w:val="single" w:sz="4" w:space="0" w:color="auto"/>
              <w:right w:val="nil"/>
            </w:tcBorders>
            <w:shd w:val="clear" w:color="auto" w:fill="8DB3E2" w:themeFill="text2" w:themeFillTint="66"/>
            <w:noWrap/>
            <w:vAlign w:val="center"/>
          </w:tcPr>
          <w:p w:rsidR="00F42761" w:rsidRDefault="006944BB" w:rsidP="00F42761">
            <w:pPr>
              <w:pStyle w:val="cuadroCabe"/>
              <w:jc w:val="right"/>
            </w:pPr>
            <w:r>
              <w:t>Zenbateko kapitalizatua</w:t>
            </w:r>
          </w:p>
          <w:p w:rsidR="006944BB" w:rsidRPr="007A4471" w:rsidRDefault="006944BB" w:rsidP="00F42761">
            <w:pPr>
              <w:pStyle w:val="cuadroCabe"/>
              <w:jc w:val="right"/>
            </w:pPr>
            <w:r>
              <w:t>2014/10/31n</w:t>
            </w:r>
          </w:p>
        </w:tc>
      </w:tr>
      <w:tr w:rsidR="006944BB" w:rsidRPr="007A4471" w:rsidTr="00F42761">
        <w:trPr>
          <w:trHeight w:val="255"/>
          <w:jc w:val="center"/>
        </w:trPr>
        <w:tc>
          <w:tcPr>
            <w:tcW w:w="2983"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2005eko abendua</w:t>
            </w:r>
          </w:p>
        </w:tc>
        <w:tc>
          <w:tcPr>
            <w:tcW w:w="1918"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22.539</w:t>
            </w:r>
          </w:p>
        </w:tc>
        <w:tc>
          <w:tcPr>
            <w:tcW w:w="1757"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17,2</w:t>
            </w:r>
          </w:p>
        </w:tc>
        <w:tc>
          <w:tcPr>
            <w:tcW w:w="2218" w:type="dxa"/>
            <w:tcBorders>
              <w:top w:val="single" w:sz="4"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26.415</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2006ko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27.046</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15,2</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31.158</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2007ko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27.046</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10,5</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29.886</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2008ko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22.178</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9,6</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24.307</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2009ko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9</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18.868</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2010eko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5,8</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18.314</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2011ko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3,4</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17.898</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2012ko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0,7</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17.431</w:t>
            </w:r>
          </w:p>
        </w:tc>
      </w:tr>
      <w:tr w:rsidR="006944BB" w:rsidRPr="007A4471" w:rsidTr="00F42761">
        <w:trPr>
          <w:trHeight w:val="255"/>
          <w:jc w:val="center"/>
        </w:trPr>
        <w:tc>
          <w:tcPr>
            <w:tcW w:w="2983"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left"/>
              <w:rPr>
                <w:szCs w:val="20"/>
              </w:rPr>
            </w:pPr>
            <w:r>
              <w:t>2013ko abendua</w:t>
            </w:r>
          </w:p>
        </w:tc>
        <w:tc>
          <w:tcPr>
            <w:tcW w:w="19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17.310</w:t>
            </w:r>
          </w:p>
        </w:tc>
        <w:tc>
          <w:tcPr>
            <w:tcW w:w="1757"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1,1</w:t>
            </w:r>
          </w:p>
        </w:tc>
        <w:tc>
          <w:tcPr>
            <w:tcW w:w="2218" w:type="dxa"/>
            <w:tcBorders>
              <w:top w:val="single" w:sz="2" w:space="0" w:color="auto"/>
              <w:left w:val="nil"/>
              <w:bottom w:val="single" w:sz="2" w:space="0" w:color="auto"/>
              <w:right w:val="nil"/>
            </w:tcBorders>
            <w:shd w:val="clear" w:color="auto" w:fill="auto"/>
            <w:noWrap/>
            <w:vAlign w:val="center"/>
          </w:tcPr>
          <w:p w:rsidR="006944BB" w:rsidRPr="007A4471" w:rsidRDefault="006944BB" w:rsidP="00F42761">
            <w:pPr>
              <w:pStyle w:val="cuatexto"/>
              <w:jc w:val="right"/>
              <w:rPr>
                <w:szCs w:val="20"/>
              </w:rPr>
            </w:pPr>
            <w:r>
              <w:t>17.500</w:t>
            </w:r>
          </w:p>
        </w:tc>
      </w:tr>
      <w:tr w:rsidR="006944BB" w:rsidRPr="007A4471" w:rsidTr="000D410C">
        <w:trPr>
          <w:trHeight w:val="255"/>
          <w:jc w:val="center"/>
        </w:trPr>
        <w:tc>
          <w:tcPr>
            <w:tcW w:w="2983"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left"/>
              <w:rPr>
                <w:szCs w:val="20"/>
              </w:rPr>
            </w:pPr>
            <w:r>
              <w:t>2014ko urria</w:t>
            </w:r>
          </w:p>
        </w:tc>
        <w:tc>
          <w:tcPr>
            <w:tcW w:w="1918"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14.725</w:t>
            </w:r>
          </w:p>
        </w:tc>
        <w:tc>
          <w:tcPr>
            <w:tcW w:w="1757"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0</w:t>
            </w:r>
          </w:p>
        </w:tc>
        <w:tc>
          <w:tcPr>
            <w:tcW w:w="2218" w:type="dxa"/>
            <w:tcBorders>
              <w:top w:val="single" w:sz="2" w:space="0" w:color="auto"/>
              <w:left w:val="nil"/>
              <w:bottom w:val="single" w:sz="4" w:space="0" w:color="auto"/>
              <w:right w:val="nil"/>
            </w:tcBorders>
            <w:shd w:val="clear" w:color="auto" w:fill="auto"/>
            <w:noWrap/>
            <w:vAlign w:val="center"/>
          </w:tcPr>
          <w:p w:rsidR="006944BB" w:rsidRPr="007A4471" w:rsidRDefault="006944BB" w:rsidP="00F42761">
            <w:pPr>
              <w:pStyle w:val="cuatexto"/>
              <w:jc w:val="right"/>
              <w:rPr>
                <w:szCs w:val="20"/>
              </w:rPr>
            </w:pPr>
            <w:r>
              <w:t>14.725</w:t>
            </w:r>
          </w:p>
        </w:tc>
      </w:tr>
      <w:tr w:rsidR="006944BB" w:rsidRPr="000C7E08" w:rsidTr="000D410C">
        <w:trPr>
          <w:trHeight w:val="312"/>
          <w:jc w:val="center"/>
        </w:trPr>
        <w:tc>
          <w:tcPr>
            <w:tcW w:w="6658" w:type="dxa"/>
            <w:gridSpan w:val="3"/>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left"/>
            </w:pPr>
            <w:r>
              <w:t>Zenbateko kapitalizatua, guztira</w:t>
            </w:r>
          </w:p>
        </w:tc>
        <w:tc>
          <w:tcPr>
            <w:tcW w:w="2218"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F42761">
            <w:pPr>
              <w:pStyle w:val="cuadroCabe"/>
              <w:jc w:val="right"/>
            </w:pPr>
            <w:r w:rsidRPr="007A4471">
              <w:fldChar w:fldCharType="begin"/>
            </w:r>
            <w:r w:rsidRPr="007A4471">
              <w:instrText xml:space="preserve"> =SUM(ABOVE) </w:instrText>
            </w:r>
            <w:r w:rsidRPr="007A4471">
              <w:fldChar w:fldCharType="separate"/>
            </w:r>
            <w:r w:rsidRPr="007A4471">
              <w:t>216.502</w:t>
            </w:r>
            <w:r w:rsidRPr="007A4471">
              <w:fldChar w:fldCharType="end"/>
            </w:r>
          </w:p>
        </w:tc>
      </w:tr>
    </w:tbl>
    <w:p w:rsidR="00E96655" w:rsidRDefault="006944BB" w:rsidP="00E96655">
      <w:pPr>
        <w:spacing w:after="300"/>
        <w:ind w:left="567" w:firstLine="0"/>
        <w:jc w:val="center"/>
        <w:rPr>
          <w:sz w:val="24"/>
        </w:rPr>
      </w:pPr>
      <w:r>
        <w:br w:type="page"/>
      </w:r>
    </w:p>
    <w:p w:rsidR="00E96655" w:rsidRPr="00E96655" w:rsidRDefault="00E96655" w:rsidP="00E96655">
      <w:pPr>
        <w:spacing w:after="80"/>
        <w:ind w:left="567" w:firstLine="0"/>
        <w:jc w:val="center"/>
        <w:rPr>
          <w:rFonts w:ascii="Arial" w:hAnsi="Arial" w:cs="Arial"/>
          <w:sz w:val="8"/>
          <w:szCs w:val="8"/>
        </w:rPr>
      </w:pPr>
    </w:p>
    <w:p w:rsidR="006944BB" w:rsidRPr="00E96655" w:rsidRDefault="006944BB" w:rsidP="00E96655">
      <w:pPr>
        <w:spacing w:after="300"/>
        <w:ind w:left="567" w:firstLine="0"/>
        <w:jc w:val="center"/>
        <w:rPr>
          <w:rFonts w:ascii="Arial" w:hAnsi="Arial" w:cs="Arial"/>
        </w:rPr>
      </w:pPr>
      <w:r>
        <w:rPr>
          <w:rFonts w:ascii="Arial" w:hAnsi="Arial"/>
        </w:rPr>
        <w:t xml:space="preserve">Finantza-zama </w:t>
      </w:r>
    </w:p>
    <w:tbl>
      <w:tblPr>
        <w:tblW w:w="8845" w:type="dxa"/>
        <w:jc w:val="center"/>
        <w:tblInd w:w="55" w:type="dxa"/>
        <w:tblLayout w:type="fixed"/>
        <w:tblCellMar>
          <w:left w:w="70" w:type="dxa"/>
          <w:right w:w="70" w:type="dxa"/>
        </w:tblCellMar>
        <w:tblLook w:val="04A0" w:firstRow="1" w:lastRow="0" w:firstColumn="1" w:lastColumn="0" w:noHBand="0" w:noVBand="1"/>
      </w:tblPr>
      <w:tblGrid>
        <w:gridCol w:w="1433"/>
        <w:gridCol w:w="2348"/>
        <w:gridCol w:w="2183"/>
        <w:gridCol w:w="2881"/>
      </w:tblGrid>
      <w:tr w:rsidR="006944BB" w:rsidRPr="000C7E08" w:rsidTr="00E833B7">
        <w:trPr>
          <w:trHeight w:val="300"/>
          <w:jc w:val="center"/>
        </w:trPr>
        <w:tc>
          <w:tcPr>
            <w:tcW w:w="143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left"/>
            </w:pPr>
            <w:r>
              <w:t xml:space="preserve">Likidazio- </w:t>
            </w:r>
          </w:p>
          <w:p w:rsidR="006944BB" w:rsidRPr="007A4471" w:rsidRDefault="006944BB" w:rsidP="00E833B7">
            <w:pPr>
              <w:pStyle w:val="cuadroCabe"/>
              <w:jc w:val="left"/>
            </w:pPr>
            <w:r>
              <w:t>data</w:t>
            </w:r>
          </w:p>
        </w:tc>
        <w:tc>
          <w:tcPr>
            <w:tcW w:w="2348"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right"/>
            </w:pPr>
            <w:r>
              <w:t xml:space="preserve">Interes </w:t>
            </w:r>
          </w:p>
          <w:p w:rsidR="006944BB" w:rsidRPr="007A4471" w:rsidRDefault="006944BB" w:rsidP="00E833B7">
            <w:pPr>
              <w:pStyle w:val="cuadroCabe"/>
              <w:jc w:val="right"/>
            </w:pPr>
            <w:r>
              <w:t>likidatuak</w:t>
            </w:r>
          </w:p>
        </w:tc>
        <w:tc>
          <w:tcPr>
            <w:tcW w:w="2183"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right"/>
            </w:pPr>
            <w:r>
              <w:t>Kapitalizazio-</w:t>
            </w:r>
          </w:p>
          <w:p w:rsidR="006944BB" w:rsidRPr="007A4471" w:rsidRDefault="006944BB" w:rsidP="00E833B7">
            <w:pPr>
              <w:pStyle w:val="cuadroCabe"/>
              <w:jc w:val="right"/>
            </w:pPr>
            <w:r>
              <w:t xml:space="preserve"> faktorea</w:t>
            </w:r>
          </w:p>
        </w:tc>
        <w:tc>
          <w:tcPr>
            <w:tcW w:w="2881" w:type="dxa"/>
            <w:tcBorders>
              <w:top w:val="single" w:sz="4" w:space="0" w:color="auto"/>
              <w:left w:val="nil"/>
              <w:bottom w:val="single" w:sz="4" w:space="0" w:color="auto"/>
              <w:right w:val="nil"/>
            </w:tcBorders>
            <w:shd w:val="clear" w:color="auto" w:fill="8DB3E2" w:themeFill="text2" w:themeFillTint="66"/>
            <w:noWrap/>
            <w:vAlign w:val="center"/>
          </w:tcPr>
          <w:p w:rsidR="00E833B7" w:rsidRDefault="006944BB" w:rsidP="00E833B7">
            <w:pPr>
              <w:pStyle w:val="cuadroCabe"/>
              <w:jc w:val="right"/>
            </w:pPr>
            <w:r>
              <w:t>Interes kapitalizatuak</w:t>
            </w:r>
          </w:p>
          <w:p w:rsidR="006944BB" w:rsidRPr="007A4471" w:rsidRDefault="006944BB" w:rsidP="00E833B7">
            <w:pPr>
              <w:pStyle w:val="cuadroCabe"/>
              <w:jc w:val="right"/>
            </w:pPr>
            <w:r>
              <w:t>2014/10/31n</w:t>
            </w:r>
          </w:p>
        </w:tc>
      </w:tr>
      <w:tr w:rsidR="00B47925" w:rsidRPr="00B47925" w:rsidTr="00B47925">
        <w:trPr>
          <w:trHeight w:val="255"/>
          <w:jc w:val="center"/>
        </w:trPr>
        <w:tc>
          <w:tcPr>
            <w:tcW w:w="1433" w:type="dxa"/>
            <w:tcBorders>
              <w:top w:val="single" w:sz="4"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2007/11/26</w:t>
            </w:r>
          </w:p>
        </w:tc>
        <w:tc>
          <w:tcPr>
            <w:tcW w:w="2348" w:type="dxa"/>
            <w:tcBorders>
              <w:top w:val="single" w:sz="4"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2.202.803</w:t>
            </w:r>
          </w:p>
        </w:tc>
        <w:tc>
          <w:tcPr>
            <w:tcW w:w="2183" w:type="dxa"/>
            <w:tcBorders>
              <w:top w:val="single" w:sz="4"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9,30</w:t>
            </w:r>
          </w:p>
        </w:tc>
        <w:tc>
          <w:tcPr>
            <w:tcW w:w="2881" w:type="dxa"/>
            <w:tcBorders>
              <w:top w:val="single" w:sz="4"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2.407.663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2008/05/22</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2.142.607</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6,70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2.286.162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2008/08/23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1.004.947</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7,40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1.079.313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2008/11/23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1.025.555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8,00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1.107.599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2009/02/23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849.676</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9,50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930.395</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2009/05/23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431.874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8,00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466.424</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2009/08/23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434.337</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9,10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473.862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2009/11/23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354.761</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7,50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381.368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2010/02/23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330.035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8,40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357.758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2010/05/23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315.849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6,50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336.379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2010/08/23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341.190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6,80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364.391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2010/11/23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380.643</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4,60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398.153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2011/02/23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409.274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4,60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428.101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2011/05/23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413.454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3,40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427.511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2011/08/23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778.396</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3,60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806.418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2011/11/23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798.670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1,90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813.845</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2012/02/23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790.372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2,50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810.131</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2012/05/23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696.999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1,40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706.757</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2012/08/23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889.450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889.450</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2012/11/23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801.918</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-0,80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795.503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2013/02/23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773.452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0,10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774.225</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2013/05/23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770.471</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-0,50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766.619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2013/08/23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814.623</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814.623</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2013/11/23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817.470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-0,70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811.748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2014/03/31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1.160.094</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1.160.094</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2014/04/01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1.160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1.158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2014/01/01</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305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304</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2014/04/08</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4.289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4.280</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2014/04/15</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6.892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-0,20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6.878</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2014/05/13</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13.225</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-0,40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13.172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2014/10/27</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19.592</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19.592</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2014/10/29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194.759</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194.759</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2014/10/29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73.160</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73.160</w:t>
            </w:r>
          </w:p>
        </w:tc>
      </w:tr>
      <w:tr w:rsidR="00B47925" w:rsidRPr="00B47925" w:rsidTr="00B47925">
        <w:trPr>
          <w:trHeight w:val="255"/>
          <w:jc w:val="center"/>
        </w:trPr>
        <w:tc>
          <w:tcPr>
            <w:tcW w:w="143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left"/>
              <w:rPr>
                <w:szCs w:val="20"/>
              </w:rPr>
            </w:pPr>
            <w:r>
              <w:t>2014/10/29</w:t>
            </w:r>
          </w:p>
        </w:tc>
        <w:tc>
          <w:tcPr>
            <w:tcW w:w="2348"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65.648</w:t>
            </w:r>
          </w:p>
        </w:tc>
        <w:tc>
          <w:tcPr>
            <w:tcW w:w="2183" w:type="dxa"/>
            <w:tcBorders>
              <w:top w:val="single" w:sz="2" w:space="0" w:color="auto"/>
              <w:left w:val="nil"/>
              <w:bottom w:val="single" w:sz="2"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2" w:space="0" w:color="auto"/>
              <w:right w:val="nil"/>
            </w:tcBorders>
            <w:shd w:val="clear" w:color="auto" w:fill="auto"/>
            <w:noWrap/>
            <w:vAlign w:val="bottom"/>
          </w:tcPr>
          <w:p w:rsidR="00B47925" w:rsidRPr="00B47925" w:rsidRDefault="00B47925" w:rsidP="00B47925">
            <w:pPr>
              <w:pStyle w:val="cuatexto"/>
              <w:jc w:val="right"/>
              <w:rPr>
                <w:szCs w:val="20"/>
              </w:rPr>
            </w:pPr>
            <w:r>
              <w:t>65.648</w:t>
            </w:r>
          </w:p>
        </w:tc>
      </w:tr>
      <w:tr w:rsidR="00B47925" w:rsidRPr="00B47925" w:rsidTr="00B47925">
        <w:trPr>
          <w:trHeight w:val="255"/>
          <w:jc w:val="center"/>
        </w:trPr>
        <w:tc>
          <w:tcPr>
            <w:tcW w:w="1433" w:type="dxa"/>
            <w:tcBorders>
              <w:top w:val="single" w:sz="2" w:space="0" w:color="auto"/>
              <w:left w:val="nil"/>
              <w:bottom w:val="single" w:sz="4" w:space="0" w:color="auto"/>
              <w:right w:val="nil"/>
            </w:tcBorders>
            <w:shd w:val="clear" w:color="auto" w:fill="auto"/>
            <w:noWrap/>
            <w:vAlign w:val="center"/>
          </w:tcPr>
          <w:p w:rsidR="00B47925" w:rsidRPr="007A4471" w:rsidRDefault="00B47925" w:rsidP="00E833B7">
            <w:pPr>
              <w:pStyle w:val="cuatexto"/>
              <w:jc w:val="left"/>
              <w:rPr>
                <w:szCs w:val="20"/>
              </w:rPr>
            </w:pPr>
            <w:r>
              <w:t>2014/10/29</w:t>
            </w:r>
          </w:p>
        </w:tc>
        <w:tc>
          <w:tcPr>
            <w:tcW w:w="2348" w:type="dxa"/>
            <w:tcBorders>
              <w:top w:val="single" w:sz="2" w:space="0" w:color="auto"/>
              <w:left w:val="nil"/>
              <w:bottom w:val="single" w:sz="4" w:space="0" w:color="auto"/>
              <w:right w:val="nil"/>
            </w:tcBorders>
            <w:shd w:val="clear" w:color="auto" w:fill="auto"/>
            <w:noWrap/>
            <w:vAlign w:val="bottom"/>
          </w:tcPr>
          <w:p w:rsidR="00B47925" w:rsidRPr="00B47925" w:rsidRDefault="00B47925" w:rsidP="00B47925">
            <w:pPr>
              <w:pStyle w:val="cuatexto"/>
              <w:jc w:val="right"/>
              <w:rPr>
                <w:szCs w:val="20"/>
              </w:rPr>
            </w:pPr>
            <w:r>
              <w:t>43.570</w:t>
            </w:r>
          </w:p>
        </w:tc>
        <w:tc>
          <w:tcPr>
            <w:tcW w:w="2183" w:type="dxa"/>
            <w:tcBorders>
              <w:top w:val="single" w:sz="2" w:space="0" w:color="auto"/>
              <w:left w:val="nil"/>
              <w:bottom w:val="single" w:sz="4" w:space="0" w:color="auto"/>
              <w:right w:val="nil"/>
            </w:tcBorders>
            <w:shd w:val="clear" w:color="auto" w:fill="auto"/>
            <w:noWrap/>
            <w:vAlign w:val="center"/>
          </w:tcPr>
          <w:p w:rsidR="00B47925" w:rsidRPr="007A4471" w:rsidRDefault="00B47925" w:rsidP="00E833B7">
            <w:pPr>
              <w:pStyle w:val="cuatexto"/>
              <w:jc w:val="right"/>
              <w:rPr>
                <w:szCs w:val="20"/>
              </w:rPr>
            </w:pPr>
            <w:r>
              <w:t>0,00</w:t>
            </w:r>
          </w:p>
        </w:tc>
        <w:tc>
          <w:tcPr>
            <w:tcW w:w="2881" w:type="dxa"/>
            <w:tcBorders>
              <w:top w:val="single" w:sz="2" w:space="0" w:color="auto"/>
              <w:left w:val="nil"/>
              <w:bottom w:val="single" w:sz="4" w:space="0" w:color="auto"/>
              <w:right w:val="nil"/>
            </w:tcBorders>
            <w:shd w:val="clear" w:color="auto" w:fill="auto"/>
            <w:noWrap/>
            <w:vAlign w:val="bottom"/>
          </w:tcPr>
          <w:p w:rsidR="00B47925" w:rsidRPr="00B47925" w:rsidRDefault="00B47925" w:rsidP="00B47925">
            <w:pPr>
              <w:pStyle w:val="cuatexto"/>
              <w:jc w:val="right"/>
              <w:rPr>
                <w:szCs w:val="20"/>
              </w:rPr>
            </w:pPr>
            <w:r>
              <w:t>43.570</w:t>
            </w:r>
          </w:p>
        </w:tc>
      </w:tr>
      <w:tr w:rsidR="006944BB" w:rsidRPr="0027754A" w:rsidTr="00E833B7">
        <w:trPr>
          <w:trHeight w:val="312"/>
          <w:jc w:val="center"/>
        </w:trPr>
        <w:tc>
          <w:tcPr>
            <w:tcW w:w="5964" w:type="dxa"/>
            <w:gridSpan w:val="3"/>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6944BB" w:rsidP="00E833B7">
            <w:pPr>
              <w:pStyle w:val="cuadroCabe"/>
              <w:jc w:val="left"/>
            </w:pPr>
            <w:r>
              <w:t>Interes kapitalizatuak, guztira</w:t>
            </w:r>
          </w:p>
        </w:tc>
        <w:tc>
          <w:tcPr>
            <w:tcW w:w="2881" w:type="dxa"/>
            <w:tcBorders>
              <w:top w:val="single" w:sz="4" w:space="0" w:color="auto"/>
              <w:left w:val="nil"/>
              <w:bottom w:val="single" w:sz="4" w:space="0" w:color="auto"/>
              <w:right w:val="nil"/>
            </w:tcBorders>
            <w:shd w:val="clear" w:color="auto" w:fill="8DB3E2" w:themeFill="text2" w:themeFillTint="66"/>
            <w:noWrap/>
            <w:vAlign w:val="center"/>
          </w:tcPr>
          <w:p w:rsidR="006944BB" w:rsidRPr="007A4471" w:rsidRDefault="00B47925" w:rsidP="00B47925">
            <w:pPr>
              <w:pStyle w:val="cuadroCabe"/>
              <w:jc w:val="right"/>
            </w:pPr>
            <w:r>
              <w:fldChar w:fldCharType="begin"/>
            </w:r>
            <w:r>
              <w:instrText xml:space="preserve"> =SUM(ABOVE) </w:instrText>
            </w:r>
            <w:r>
              <w:fldChar w:fldCharType="separate"/>
            </w:r>
            <w:r>
              <w:rPr>
                <w:noProof/>
              </w:rPr>
              <w:t>21.017.01</w:t>
            </w:r>
            <w:r>
              <w:fldChar w:fldCharType="end"/>
            </w:r>
            <w:r>
              <w:t>4</w:t>
            </w:r>
          </w:p>
        </w:tc>
      </w:tr>
    </w:tbl>
    <w:p w:rsidR="006944BB" w:rsidRPr="00BD6126" w:rsidRDefault="006944BB" w:rsidP="005302D8">
      <w:pPr>
        <w:tabs>
          <w:tab w:val="left" w:pos="1775"/>
          <w:tab w:val="left" w:pos="2955"/>
        </w:tabs>
        <w:spacing w:after="0"/>
        <w:ind w:left="55" w:firstLine="0"/>
        <w:jc w:val="left"/>
        <w:rPr>
          <w:rFonts w:ascii="Calibri" w:hAnsi="Calibri"/>
          <w:color w:val="000000"/>
          <w:sz w:val="22"/>
          <w:szCs w:val="22"/>
        </w:rPr>
      </w:pPr>
      <w:r>
        <w:tab/>
      </w:r>
      <w:r>
        <w:tab/>
      </w:r>
    </w:p>
    <w:p w:rsidR="006944BB" w:rsidRDefault="006944BB" w:rsidP="006944BB">
      <w:pPr>
        <w:pStyle w:val="texto"/>
        <w:tabs>
          <w:tab w:val="clear" w:pos="2835"/>
          <w:tab w:val="clear" w:pos="3969"/>
          <w:tab w:val="clear" w:pos="5103"/>
          <w:tab w:val="clear" w:pos="6237"/>
          <w:tab w:val="clear" w:pos="7371"/>
        </w:tabs>
        <w:spacing w:after="240"/>
        <w:ind w:firstLine="0"/>
        <w:rPr>
          <w:rFonts w:eastAsia="Calibri"/>
        </w:rPr>
        <w:sectPr w:rsidR="006944BB"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6944BB" w:rsidRPr="00F43938" w:rsidRDefault="006944BB" w:rsidP="00E96655">
      <w:pPr>
        <w:pStyle w:val="atitulo2"/>
        <w:spacing w:before="440" w:after="400"/>
      </w:pPr>
      <w:bookmarkStart w:id="36" w:name="_Toc441141971"/>
      <w:bookmarkStart w:id="37" w:name="_Toc446489695"/>
      <w:r>
        <w:lastRenderedPageBreak/>
        <w:t>3. eranskina: Iberdrolaren akzioen estaldura-operazioari lotutako zorraren interesak</w:t>
      </w:r>
      <w:bookmarkEnd w:id="36"/>
      <w:bookmarkEnd w:id="37"/>
    </w:p>
    <w:p w:rsidR="006944BB" w:rsidRPr="00E96655" w:rsidRDefault="006944BB" w:rsidP="00E96655">
      <w:pPr>
        <w:spacing w:after="300"/>
        <w:ind w:left="567" w:firstLine="0"/>
        <w:jc w:val="center"/>
        <w:rPr>
          <w:rFonts w:ascii="Arial" w:hAnsi="Arial" w:cs="Arial"/>
        </w:rPr>
      </w:pPr>
      <w:r>
        <w:rPr>
          <w:rFonts w:ascii="Arial" w:hAnsi="Arial"/>
        </w:rPr>
        <w:t>Aldia: 2007ko maiatzaren 21etik 2014ko martxoaren 31ra</w:t>
      </w:r>
    </w:p>
    <w:tbl>
      <w:tblPr>
        <w:tblW w:w="13247" w:type="dxa"/>
        <w:jc w:val="center"/>
        <w:tblCellMar>
          <w:left w:w="70" w:type="dxa"/>
          <w:right w:w="70" w:type="dxa"/>
        </w:tblCellMar>
        <w:tblLook w:val="04A0" w:firstRow="1" w:lastRow="0" w:firstColumn="1" w:lastColumn="0" w:noHBand="0" w:noVBand="1"/>
      </w:tblPr>
      <w:tblGrid>
        <w:gridCol w:w="1568"/>
        <w:gridCol w:w="666"/>
        <w:gridCol w:w="916"/>
        <w:gridCol w:w="1596"/>
        <w:gridCol w:w="706"/>
        <w:gridCol w:w="651"/>
        <w:gridCol w:w="1456"/>
        <w:gridCol w:w="1190"/>
        <w:gridCol w:w="1414"/>
        <w:gridCol w:w="1497"/>
        <w:gridCol w:w="1587"/>
      </w:tblGrid>
      <w:tr w:rsidR="00B82D35" w:rsidRPr="002504B4" w:rsidTr="00B82D35">
        <w:trPr>
          <w:trHeight w:val="300"/>
          <w:jc w:val="center"/>
        </w:trPr>
        <w:tc>
          <w:tcPr>
            <w:tcW w:w="1568"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3E384D">
            <w:pPr>
              <w:pStyle w:val="cuadroCabe"/>
              <w:jc w:val="center"/>
            </w:pPr>
            <w:r>
              <w:t>Urtea</w:t>
            </w:r>
          </w:p>
        </w:tc>
        <w:tc>
          <w:tcPr>
            <w:tcW w:w="158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t>Erabilitako</w:t>
            </w:r>
          </w:p>
          <w:p w:rsidR="00B82D35" w:rsidRPr="007A4471" w:rsidRDefault="00B82D35" w:rsidP="003E384D">
            <w:pPr>
              <w:pStyle w:val="cuadroCabe"/>
              <w:jc w:val="right"/>
            </w:pPr>
            <w:r>
              <w:t>zenbatekoa</w:t>
            </w:r>
          </w:p>
        </w:tc>
        <w:tc>
          <w:tcPr>
            <w:tcW w:w="159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3E384D">
            <w:pPr>
              <w:pStyle w:val="cuadroCabe"/>
              <w:jc w:val="right"/>
            </w:pPr>
            <w:r>
              <w:t>Data</w:t>
            </w:r>
          </w:p>
        </w:tc>
        <w:tc>
          <w:tcPr>
            <w:tcW w:w="1357"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t xml:space="preserve">Tasa </w:t>
            </w:r>
          </w:p>
          <w:p w:rsidR="00B82D35" w:rsidRPr="007A4471" w:rsidRDefault="00B82D35" w:rsidP="003E384D">
            <w:pPr>
              <w:pStyle w:val="cuadroCabe"/>
              <w:jc w:val="right"/>
            </w:pPr>
            <w:r>
              <w:t>Euriborra</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3E384D">
            <w:pPr>
              <w:pStyle w:val="cuadroCabe"/>
              <w:jc w:val="right"/>
            </w:pPr>
            <w:r>
              <w:t>Diferentziala</w:t>
            </w:r>
          </w:p>
        </w:tc>
        <w:tc>
          <w:tcPr>
            <w:tcW w:w="1190"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t>Interes-</w:t>
            </w:r>
          </w:p>
          <w:p w:rsidR="00B82D35" w:rsidRPr="007A4471" w:rsidRDefault="00B82D35" w:rsidP="003E384D">
            <w:pPr>
              <w:pStyle w:val="cuadroCabe"/>
              <w:jc w:val="right"/>
            </w:pPr>
            <w:r>
              <w:t>tasa</w:t>
            </w:r>
          </w:p>
        </w:tc>
        <w:tc>
          <w:tcPr>
            <w:tcW w:w="1414"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t>Likidazio-</w:t>
            </w:r>
          </w:p>
          <w:p w:rsidR="00B82D35" w:rsidRPr="007A4471" w:rsidRDefault="00B82D35" w:rsidP="003E384D">
            <w:pPr>
              <w:pStyle w:val="cuadroCabe"/>
              <w:jc w:val="right"/>
            </w:pPr>
            <w:r>
              <w:t>data</w:t>
            </w:r>
          </w:p>
        </w:tc>
        <w:tc>
          <w:tcPr>
            <w:tcW w:w="149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t xml:space="preserve">Sortutako </w:t>
            </w:r>
          </w:p>
          <w:p w:rsidR="00B82D35" w:rsidRPr="007A4471" w:rsidRDefault="00B82D35" w:rsidP="003E384D">
            <w:pPr>
              <w:pStyle w:val="cuadroCabe"/>
              <w:jc w:val="right"/>
            </w:pPr>
            <w:r>
              <w:t>interesak</w:t>
            </w:r>
          </w:p>
        </w:tc>
        <w:tc>
          <w:tcPr>
            <w:tcW w:w="158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3E384D">
            <w:pPr>
              <w:pStyle w:val="cuadroCabe"/>
              <w:jc w:val="right"/>
            </w:pPr>
            <w:r>
              <w:t>Interes</w:t>
            </w:r>
          </w:p>
          <w:p w:rsidR="00B82D35" w:rsidRPr="007A4471" w:rsidRDefault="00B82D35" w:rsidP="003E384D">
            <w:pPr>
              <w:pStyle w:val="cuadroCabe"/>
              <w:jc w:val="right"/>
            </w:pPr>
            <w:r>
              <w:t>likidatuak</w:t>
            </w:r>
          </w:p>
        </w:tc>
      </w:tr>
      <w:tr w:rsidR="00B82D35" w:rsidRPr="0018789F" w:rsidTr="00B82D35">
        <w:trPr>
          <w:trHeight w:val="255"/>
          <w:jc w:val="center"/>
        </w:trPr>
        <w:tc>
          <w:tcPr>
            <w:tcW w:w="1568" w:type="dxa"/>
            <w:tcBorders>
              <w:top w:val="single" w:sz="4" w:space="0" w:color="auto"/>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90.956.308</w:t>
            </w:r>
          </w:p>
        </w:tc>
        <w:tc>
          <w:tcPr>
            <w:tcW w:w="1596"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2007/05/21</w:t>
            </w:r>
          </w:p>
        </w:tc>
        <w:tc>
          <w:tcPr>
            <w:tcW w:w="1357" w:type="dxa"/>
            <w:gridSpan w:val="2"/>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4,238</w:t>
            </w:r>
          </w:p>
        </w:tc>
        <w:tc>
          <w:tcPr>
            <w:tcW w:w="1456"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0,375</w:t>
            </w:r>
          </w:p>
        </w:tc>
        <w:tc>
          <w:tcPr>
            <w:tcW w:w="1190"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4,613</w:t>
            </w:r>
          </w:p>
        </w:tc>
        <w:tc>
          <w:tcPr>
            <w:tcW w:w="1414"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2007/11/26</w:t>
            </w:r>
          </w:p>
        </w:tc>
        <w:tc>
          <w:tcPr>
            <w:tcW w:w="1497"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2.202.803</w:t>
            </w:r>
          </w:p>
        </w:tc>
        <w:tc>
          <w:tcPr>
            <w:tcW w:w="1587" w:type="dxa"/>
            <w:tcBorders>
              <w:top w:val="single" w:sz="4" w:space="0" w:color="auto"/>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2.202.803</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90.956.308</w:t>
            </w: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2007/11/26</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4,674</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0,375</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5,049</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2007/12/31</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446.482</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0</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r>
              <w:rPr>
                <w:rFonts w:ascii="Arial Narrow" w:hAnsi="Arial Narrow"/>
                <w:color w:val="000000"/>
              </w:rPr>
              <w:t>2007</w:t>
            </w:r>
          </w:p>
        </w:tc>
        <w:tc>
          <w:tcPr>
            <w:tcW w:w="1582"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90.956.308</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2.649.284</w:t>
            </w:r>
          </w:p>
        </w:tc>
        <w:tc>
          <w:tcPr>
            <w:tcW w:w="1587" w:type="dxa"/>
            <w:tcBorders>
              <w:top w:val="single" w:sz="4" w:space="0" w:color="auto"/>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rPr>
            </w:pPr>
            <w:r>
              <w:rPr>
                <w:rFonts w:ascii="Arial Narrow" w:hAnsi="Arial Narrow"/>
                <w:b/>
                <w:color w:val="000000"/>
              </w:rPr>
              <w:t>2.202.803</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93.159.111</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2008/01/01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4,674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0,375</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5,049</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2008/03/28</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1.136.704</w:t>
            </w:r>
          </w:p>
        </w:tc>
        <w:tc>
          <w:tcPr>
            <w:tcW w:w="158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-20.636.460</w:t>
            </w: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2008/03/28</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4,674</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0,375</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5,049</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2008/05/22</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559.422</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2.142.608</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hideMark/>
          </w:tcPr>
          <w:p w:rsidR="00B82D35" w:rsidRPr="0018789F" w:rsidRDefault="00B47925" w:rsidP="003E384D">
            <w:pPr>
              <w:spacing w:after="0"/>
              <w:ind w:firstLine="0"/>
              <w:jc w:val="center"/>
              <w:rPr>
                <w:rFonts w:ascii="Arial Narrow" w:hAnsi="Arial Narrow"/>
                <w:color w:val="000000"/>
              </w:rPr>
            </w:pPr>
            <w:r>
              <w:rPr>
                <w:rFonts w:ascii="Arial Narrow" w:hAnsi="Arial Narrow"/>
                <w:color w:val="000000"/>
              </w:rPr>
              <w:t>2008/03/31</w:t>
            </w:r>
          </w:p>
        </w:tc>
        <w:tc>
          <w:tcPr>
            <w:tcW w:w="1582" w:type="dxa"/>
            <w:gridSpan w:val="2"/>
            <w:tcBorders>
              <w:top w:val="single" w:sz="4" w:space="0" w:color="auto"/>
              <w:left w:val="nil"/>
              <w:bottom w:val="single" w:sz="4" w:space="0" w:color="auto"/>
              <w:right w:val="nil"/>
            </w:tcBorders>
            <w:shd w:val="clear" w:color="auto" w:fill="auto"/>
            <w:noWrap/>
            <w:vAlign w:val="center"/>
            <w:hideMark/>
          </w:tcPr>
          <w:p w:rsidR="00B82D35" w:rsidRPr="00AA170D" w:rsidRDefault="00B82D35" w:rsidP="003E384D">
            <w:pPr>
              <w:spacing w:after="0"/>
              <w:ind w:firstLine="0"/>
              <w:jc w:val="right"/>
              <w:rPr>
                <w:rFonts w:ascii="Arial Narrow" w:hAnsi="Arial Narrow"/>
              </w:rPr>
            </w:pPr>
            <w:r>
              <w:rPr>
                <w:rFonts w:ascii="Arial Narrow" w:hAnsi="Arial Narrow"/>
              </w:rPr>
              <w:t>72.522.651</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1.696.126</w:t>
            </w:r>
          </w:p>
        </w:tc>
        <w:tc>
          <w:tcPr>
            <w:tcW w:w="1587"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rPr>
            </w:pPr>
            <w:r>
              <w:rPr>
                <w:rFonts w:ascii="Arial Narrow" w:hAnsi="Arial Narrow"/>
                <w:b/>
                <w:color w:val="000000"/>
              </w:rPr>
              <w:t>2.142.608</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FE711B" w:rsidP="003E384D">
            <w:pPr>
              <w:spacing w:after="0"/>
              <w:ind w:firstLine="0"/>
              <w:jc w:val="center"/>
              <w:rPr>
                <w:rFonts w:ascii="Arial Narrow" w:hAnsi="Arial Narrow"/>
                <w:color w:val="000000"/>
              </w:rPr>
            </w:pPr>
            <w:r>
              <w:rPr>
                <w:rFonts w:ascii="Arial Narrow" w:hAnsi="Arial Narrow"/>
                <w:color w:val="000000"/>
              </w:rPr>
              <w:t>2008/04/01</w:t>
            </w:r>
          </w:p>
        </w:tc>
        <w:tc>
          <w:tcPr>
            <w:tcW w:w="1582" w:type="dxa"/>
            <w:gridSpan w:val="2"/>
            <w:tcBorders>
              <w:top w:val="nil"/>
              <w:left w:val="nil"/>
              <w:bottom w:val="nil"/>
              <w:right w:val="nil"/>
            </w:tcBorders>
            <w:shd w:val="clear" w:color="auto" w:fill="auto"/>
            <w:noWrap/>
            <w:vAlign w:val="center"/>
          </w:tcPr>
          <w:p w:rsidR="00B82D35" w:rsidRPr="00AA170D" w:rsidRDefault="00B47925" w:rsidP="003E384D">
            <w:pPr>
              <w:spacing w:after="0"/>
              <w:ind w:firstLine="0"/>
              <w:jc w:val="right"/>
              <w:rPr>
                <w:rFonts w:ascii="Arial Narrow" w:hAnsi="Arial Narrow"/>
              </w:rPr>
            </w:pPr>
            <w:r>
              <w:rPr>
                <w:rFonts w:ascii="Arial Narrow" w:hAnsi="Arial Narrow"/>
              </w:rPr>
              <w:t>74.665.259</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2008/05/23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4,856</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5,267</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2008/08/23</w:t>
            </w:r>
          </w:p>
        </w:tc>
        <w:tc>
          <w:tcPr>
            <w:tcW w:w="149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1.004.947</w:t>
            </w:r>
          </w:p>
        </w:tc>
        <w:tc>
          <w:tcPr>
            <w:tcW w:w="1587" w:type="dxa"/>
            <w:tcBorders>
              <w:top w:val="nil"/>
              <w:left w:val="nil"/>
              <w:bottom w:val="nil"/>
              <w:right w:val="nil"/>
            </w:tcBorders>
            <w:shd w:val="clear" w:color="auto" w:fill="auto"/>
            <w:noWrap/>
            <w:vAlign w:val="center"/>
            <w:hideMark/>
          </w:tcPr>
          <w:p w:rsidR="00B82D35" w:rsidRPr="0018789F" w:rsidRDefault="00B82D35" w:rsidP="00FE711B">
            <w:pPr>
              <w:spacing w:after="0"/>
              <w:ind w:firstLine="0"/>
              <w:jc w:val="right"/>
              <w:rPr>
                <w:rFonts w:ascii="Arial Narrow" w:hAnsi="Arial Narrow"/>
                <w:color w:val="000000"/>
              </w:rPr>
            </w:pPr>
            <w:r>
              <w:rPr>
                <w:rFonts w:ascii="Arial Narrow" w:hAnsi="Arial Narrow"/>
                <w:color w:val="000000"/>
              </w:rPr>
              <w:t>1.004.947</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2008/08/23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4,964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5,375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2008/11/23</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1.025.555</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1.025.555</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2008/11/23</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4,021</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0,411</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4,432</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2008/12/31</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349.278</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0</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FE711B" w:rsidP="003E384D">
            <w:pPr>
              <w:spacing w:after="0"/>
              <w:ind w:firstLine="0"/>
              <w:jc w:val="center"/>
              <w:rPr>
                <w:rFonts w:ascii="Arial Narrow" w:hAnsi="Arial Narrow"/>
                <w:color w:val="000000"/>
              </w:rPr>
            </w:pPr>
            <w:r>
              <w:rPr>
                <w:rFonts w:ascii="Arial Narrow" w:hAnsi="Arial Narrow"/>
                <w:color w:val="000000"/>
              </w:rPr>
              <w:t>2008/12/31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FE711B" w:rsidP="003E384D">
            <w:pPr>
              <w:spacing w:after="0"/>
              <w:ind w:firstLine="0"/>
              <w:jc w:val="right"/>
              <w:rPr>
                <w:rFonts w:ascii="Arial Narrow" w:hAnsi="Arial Narrow"/>
              </w:rPr>
            </w:pPr>
            <w:r>
              <w:rPr>
                <w:rFonts w:ascii="Arial Narrow" w:hAnsi="Arial Narrow"/>
              </w:rPr>
              <w:t>74.665.259</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left w:val="nil"/>
              <w:bottom w:val="single" w:sz="4" w:space="0" w:color="auto"/>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2.379.780</w:t>
            </w:r>
          </w:p>
        </w:tc>
        <w:tc>
          <w:tcPr>
            <w:tcW w:w="1587"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rPr>
            </w:pPr>
            <w:r>
              <w:rPr>
                <w:rFonts w:ascii="Arial Narrow" w:hAnsi="Arial Narrow"/>
                <w:b/>
                <w:color w:val="000000"/>
              </w:rPr>
              <w:t>2.030.502</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FE711B" w:rsidP="003E384D">
            <w:pPr>
              <w:spacing w:after="0"/>
              <w:ind w:firstLine="0"/>
              <w:jc w:val="right"/>
              <w:rPr>
                <w:rFonts w:ascii="Arial Narrow" w:hAnsi="Arial Narrow"/>
              </w:rPr>
            </w:pPr>
            <w:r>
              <w:rPr>
                <w:rFonts w:ascii="Arial Narrow" w:hAnsi="Arial Narrow"/>
              </w:rPr>
              <w:t>76.695.761</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2009/01/01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4,021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4,432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2009/02/23</w:t>
            </w:r>
          </w:p>
        </w:tc>
        <w:tc>
          <w:tcPr>
            <w:tcW w:w="149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500.399</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849.676</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2009/02/23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1,867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0,411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2,278</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2009/05/23</w:t>
            </w:r>
          </w:p>
        </w:tc>
        <w:tc>
          <w:tcPr>
            <w:tcW w:w="1497" w:type="dxa"/>
            <w:tcBorders>
              <w:top w:val="nil"/>
              <w:left w:val="nil"/>
              <w:bottom w:val="nil"/>
              <w:right w:val="nil"/>
            </w:tcBorders>
            <w:shd w:val="clear" w:color="auto" w:fill="auto"/>
            <w:noWrap/>
            <w:vAlign w:val="center"/>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431.874</w:t>
            </w:r>
          </w:p>
        </w:tc>
        <w:tc>
          <w:tcPr>
            <w:tcW w:w="1587" w:type="dxa"/>
            <w:tcBorders>
              <w:top w:val="nil"/>
              <w:left w:val="nil"/>
              <w:bottom w:val="nil"/>
              <w:right w:val="nil"/>
            </w:tcBorders>
            <w:shd w:val="clear" w:color="auto" w:fill="auto"/>
            <w:noWrap/>
            <w:vAlign w:val="center"/>
          </w:tcPr>
          <w:p w:rsidR="00B82D35" w:rsidRPr="0018789F" w:rsidRDefault="00B82D35" w:rsidP="003E384D">
            <w:pPr>
              <w:spacing w:after="0"/>
              <w:ind w:firstLine="0"/>
              <w:jc w:val="right"/>
              <w:rPr>
                <w:rFonts w:ascii="Arial Narrow" w:hAnsi="Arial Narrow"/>
                <w:b/>
                <w:bCs/>
                <w:color w:val="000000"/>
              </w:rPr>
            </w:pPr>
            <w:r>
              <w:rPr>
                <w:rFonts w:ascii="Arial Narrow" w:hAnsi="Arial Narrow"/>
                <w:color w:val="000000"/>
              </w:rPr>
              <w:t>431.874</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2009/05/23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1,255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2,216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2009/08/23</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434.337</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434.337</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2009/08/23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0,849</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1,810</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2009/11/23</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354.761</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354.761</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2009/11/23</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0,715</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0,961</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1,676</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2009/12/31</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135.683</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0</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FE711B" w:rsidP="00FE711B">
            <w:pPr>
              <w:spacing w:after="0"/>
              <w:ind w:firstLine="0"/>
              <w:jc w:val="center"/>
              <w:rPr>
                <w:rFonts w:ascii="Arial Narrow" w:hAnsi="Arial Narrow"/>
                <w:color w:val="000000"/>
              </w:rPr>
            </w:pPr>
            <w:r>
              <w:rPr>
                <w:rFonts w:ascii="Arial Narrow" w:hAnsi="Arial Narrow"/>
                <w:color w:val="000000"/>
              </w:rPr>
              <w:t>2009/12/31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FE711B" w:rsidP="003E384D">
            <w:pPr>
              <w:spacing w:after="0"/>
              <w:ind w:firstLine="0"/>
              <w:jc w:val="right"/>
              <w:rPr>
                <w:rFonts w:ascii="Arial Narrow" w:hAnsi="Arial Narrow"/>
              </w:rPr>
            </w:pPr>
            <w:r>
              <w:rPr>
                <w:rFonts w:ascii="Arial Narrow" w:hAnsi="Arial Narrow"/>
              </w:rPr>
              <w:t>76.695.761</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bottom w:val="single" w:sz="4" w:space="0" w:color="auto"/>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1.857.053</w:t>
            </w:r>
          </w:p>
        </w:tc>
        <w:tc>
          <w:tcPr>
            <w:tcW w:w="1587" w:type="dxa"/>
            <w:tcBorders>
              <w:top w:val="single" w:sz="4" w:space="0" w:color="auto"/>
              <w:bottom w:val="single" w:sz="4" w:space="0" w:color="auto"/>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b/>
                <w:color w:val="000000"/>
              </w:rPr>
              <w:t>2.070.648</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left w:val="nil"/>
              <w:bottom w:val="nil"/>
              <w:right w:val="nil"/>
            </w:tcBorders>
            <w:shd w:val="clear" w:color="auto" w:fill="auto"/>
            <w:noWrap/>
            <w:vAlign w:val="center"/>
            <w:hideMark/>
          </w:tcPr>
          <w:p w:rsidR="00B82D35" w:rsidRPr="00AA170D" w:rsidRDefault="00FE711B" w:rsidP="003E384D">
            <w:pPr>
              <w:spacing w:after="0"/>
              <w:ind w:firstLine="0"/>
              <w:jc w:val="right"/>
              <w:rPr>
                <w:rFonts w:ascii="Arial Narrow" w:hAnsi="Arial Narrow"/>
              </w:rPr>
            </w:pPr>
            <w:r>
              <w:rPr>
                <w:rFonts w:ascii="Arial Narrow" w:hAnsi="Arial Narrow"/>
              </w:rPr>
              <w:t>78.766.409</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2010/01/01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0,715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1,676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2010/02/23</w:t>
            </w:r>
          </w:p>
        </w:tc>
        <w:tc>
          <w:tcPr>
            <w:tcW w:w="149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194.352</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b/>
                <w:bCs/>
                <w:color w:val="000000"/>
              </w:rPr>
            </w:pPr>
            <w:r>
              <w:rPr>
                <w:rFonts w:ascii="Arial Narrow" w:hAnsi="Arial Narrow"/>
                <w:color w:val="000000"/>
              </w:rPr>
              <w:t>330.035</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2010/02/23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0,661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0,961</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1,622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2010/05/23</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315.849</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315.849</w:t>
            </w:r>
          </w:p>
        </w:tc>
      </w:tr>
      <w:tr w:rsidR="00B82D35" w:rsidRPr="0018789F" w:rsidTr="00B82D35">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2010/05/23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0,695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1,000</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1,695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2010/08/23</w:t>
            </w:r>
          </w:p>
        </w:tc>
        <w:tc>
          <w:tcPr>
            <w:tcW w:w="1497"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341.190</w:t>
            </w:r>
          </w:p>
        </w:tc>
        <w:tc>
          <w:tcPr>
            <w:tcW w:w="1587" w:type="dxa"/>
            <w:tcBorders>
              <w:top w:val="nil"/>
              <w:left w:val="nil"/>
              <w:bottom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341.190</w:t>
            </w:r>
          </w:p>
        </w:tc>
      </w:tr>
      <w:tr w:rsidR="00B82D35" w:rsidRPr="0018789F" w:rsidTr="00B82D35">
        <w:trPr>
          <w:trHeight w:val="255"/>
          <w:jc w:val="center"/>
        </w:trPr>
        <w:tc>
          <w:tcPr>
            <w:tcW w:w="1568" w:type="dxa"/>
            <w:tcBorders>
              <w:top w:val="nil"/>
              <w:left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2010/08/23</w:t>
            </w:r>
          </w:p>
        </w:tc>
        <w:tc>
          <w:tcPr>
            <w:tcW w:w="1357" w:type="dxa"/>
            <w:gridSpan w:val="2"/>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0,891</w:t>
            </w:r>
          </w:p>
        </w:tc>
        <w:tc>
          <w:tcPr>
            <w:tcW w:w="1456"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1,000</w:t>
            </w:r>
          </w:p>
        </w:tc>
        <w:tc>
          <w:tcPr>
            <w:tcW w:w="1190"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1,891</w:t>
            </w:r>
          </w:p>
        </w:tc>
        <w:tc>
          <w:tcPr>
            <w:tcW w:w="1414"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2010/11/23</w:t>
            </w:r>
          </w:p>
        </w:tc>
        <w:tc>
          <w:tcPr>
            <w:tcW w:w="1497" w:type="dxa"/>
            <w:tcBorders>
              <w:top w:val="nil"/>
              <w:left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380.643</w:t>
            </w:r>
          </w:p>
        </w:tc>
        <w:tc>
          <w:tcPr>
            <w:tcW w:w="1587" w:type="dxa"/>
            <w:tcBorders>
              <w:top w:val="nil"/>
              <w:left w:val="nil"/>
              <w:right w:val="nil"/>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380.643</w:t>
            </w:r>
          </w:p>
        </w:tc>
      </w:tr>
      <w:tr w:rsidR="00B82D35" w:rsidRPr="0018789F" w:rsidTr="00B82D35">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2010/11/23</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1,035</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1,000</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2,035</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2010/12/31</w:t>
            </w:r>
          </w:p>
        </w:tc>
        <w:tc>
          <w:tcPr>
            <w:tcW w:w="149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169.195</w:t>
            </w:r>
          </w:p>
        </w:tc>
        <w:tc>
          <w:tcPr>
            <w:tcW w:w="1587"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0</w:t>
            </w:r>
          </w:p>
        </w:tc>
      </w:tr>
      <w:tr w:rsidR="00B82D35" w:rsidRPr="002504B4" w:rsidTr="00B82D35">
        <w:trPr>
          <w:trHeight w:val="255"/>
          <w:jc w:val="center"/>
        </w:trPr>
        <w:tc>
          <w:tcPr>
            <w:tcW w:w="1568"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rPr>
            </w:pPr>
          </w:p>
        </w:tc>
        <w:tc>
          <w:tcPr>
            <w:tcW w:w="1582" w:type="dxa"/>
            <w:gridSpan w:val="2"/>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96"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357" w:type="dxa"/>
            <w:gridSpan w:val="2"/>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56"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190"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14"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97"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87" w:type="dxa"/>
            <w:tcBorders>
              <w:top w:val="single" w:sz="4" w:space="0" w:color="auto"/>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r>
      <w:tr w:rsidR="00B82D35" w:rsidRPr="002504B4" w:rsidTr="00B82D35">
        <w:trPr>
          <w:trHeight w:val="255"/>
          <w:jc w:val="center"/>
        </w:trPr>
        <w:tc>
          <w:tcPr>
            <w:tcW w:w="1568" w:type="dxa"/>
            <w:tcBorders>
              <w:top w:val="nil"/>
              <w:left w:val="nil"/>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rPr>
            </w:pPr>
          </w:p>
        </w:tc>
        <w:tc>
          <w:tcPr>
            <w:tcW w:w="1582"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9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357"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5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190"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14"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9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8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r>
      <w:tr w:rsidR="00B82D35" w:rsidRPr="002504B4" w:rsidTr="00B82D35">
        <w:trPr>
          <w:trHeight w:val="255"/>
          <w:jc w:val="center"/>
        </w:trPr>
        <w:tc>
          <w:tcPr>
            <w:tcW w:w="1568" w:type="dxa"/>
            <w:tcBorders>
              <w:top w:val="nil"/>
              <w:left w:val="nil"/>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rPr>
            </w:pPr>
          </w:p>
        </w:tc>
        <w:tc>
          <w:tcPr>
            <w:tcW w:w="1582"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9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357" w:type="dxa"/>
            <w:gridSpan w:val="2"/>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56"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190"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14"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9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87" w:type="dxa"/>
            <w:tcBorders>
              <w:top w:val="nil"/>
              <w:left w:val="nil"/>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r>
      <w:tr w:rsidR="00B82D35" w:rsidRPr="002504B4" w:rsidTr="00B82D35">
        <w:trPr>
          <w:trHeight w:val="454"/>
          <w:jc w:val="center"/>
        </w:trPr>
        <w:tc>
          <w:tcPr>
            <w:tcW w:w="1568"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center"/>
              <w:rPr>
                <w:rFonts w:ascii="Calibri" w:hAnsi="Calibri"/>
                <w:color w:val="000000"/>
                <w:sz w:val="22"/>
                <w:szCs w:val="22"/>
              </w:rPr>
            </w:pPr>
          </w:p>
        </w:tc>
        <w:tc>
          <w:tcPr>
            <w:tcW w:w="1582" w:type="dxa"/>
            <w:gridSpan w:val="2"/>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96"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357" w:type="dxa"/>
            <w:gridSpan w:val="2"/>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56"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190"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14"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497"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c>
          <w:tcPr>
            <w:tcW w:w="1587" w:type="dxa"/>
            <w:tcBorders>
              <w:left w:val="nil"/>
              <w:bottom w:val="single" w:sz="4" w:space="0" w:color="auto"/>
              <w:right w:val="nil"/>
            </w:tcBorders>
            <w:shd w:val="clear" w:color="auto" w:fill="auto"/>
            <w:noWrap/>
            <w:vAlign w:val="center"/>
          </w:tcPr>
          <w:p w:rsidR="00B82D35" w:rsidRPr="002504B4" w:rsidRDefault="00B82D35" w:rsidP="003E384D">
            <w:pPr>
              <w:spacing w:after="0"/>
              <w:ind w:firstLine="0"/>
              <w:jc w:val="right"/>
              <w:rPr>
                <w:rFonts w:ascii="Calibri" w:hAnsi="Calibri"/>
                <w:color w:val="000000"/>
                <w:sz w:val="22"/>
                <w:szCs w:val="22"/>
              </w:rPr>
            </w:pPr>
          </w:p>
        </w:tc>
      </w:tr>
      <w:tr w:rsidR="00B82D35" w:rsidRPr="002504B4" w:rsidTr="00B82D35">
        <w:trPr>
          <w:trHeight w:val="300"/>
          <w:jc w:val="center"/>
        </w:trPr>
        <w:tc>
          <w:tcPr>
            <w:tcW w:w="1568"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B82D35">
            <w:pPr>
              <w:pStyle w:val="cuadroCabe"/>
              <w:jc w:val="center"/>
            </w:pPr>
            <w:r>
              <w:t>Urtea</w:t>
            </w:r>
          </w:p>
        </w:tc>
        <w:tc>
          <w:tcPr>
            <w:tcW w:w="1582"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t>Erabilitako</w:t>
            </w:r>
          </w:p>
          <w:p w:rsidR="00B82D35" w:rsidRPr="007A4471" w:rsidRDefault="00B82D35" w:rsidP="00B82D35">
            <w:pPr>
              <w:pStyle w:val="cuadroCabe"/>
              <w:jc w:val="right"/>
            </w:pPr>
            <w:r>
              <w:t>zenbatekoa</w:t>
            </w:r>
          </w:p>
        </w:tc>
        <w:tc>
          <w:tcPr>
            <w:tcW w:w="159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B82D35">
            <w:pPr>
              <w:pStyle w:val="cuadroCabe"/>
              <w:jc w:val="right"/>
            </w:pPr>
            <w:r>
              <w:t>Data</w:t>
            </w:r>
          </w:p>
        </w:tc>
        <w:tc>
          <w:tcPr>
            <w:tcW w:w="1357"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t xml:space="preserve">Tasa </w:t>
            </w:r>
          </w:p>
          <w:p w:rsidR="00B82D35" w:rsidRPr="007A4471" w:rsidRDefault="00B82D35" w:rsidP="00B82D35">
            <w:pPr>
              <w:pStyle w:val="cuadroCabe"/>
              <w:jc w:val="right"/>
            </w:pPr>
            <w:r>
              <w:t>Euriborra</w:t>
            </w:r>
          </w:p>
        </w:tc>
        <w:tc>
          <w:tcPr>
            <w:tcW w:w="1456"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Pr="007A4471" w:rsidRDefault="00B82D35" w:rsidP="00B82D35">
            <w:pPr>
              <w:pStyle w:val="cuadroCabe"/>
              <w:jc w:val="right"/>
            </w:pPr>
            <w:r>
              <w:t>Diferentziala</w:t>
            </w:r>
          </w:p>
        </w:tc>
        <w:tc>
          <w:tcPr>
            <w:tcW w:w="1190"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t>Interes-</w:t>
            </w:r>
          </w:p>
          <w:p w:rsidR="00B82D35" w:rsidRPr="007A4471" w:rsidRDefault="00B82D35" w:rsidP="00B82D35">
            <w:pPr>
              <w:pStyle w:val="cuadroCabe"/>
              <w:jc w:val="right"/>
            </w:pPr>
            <w:r>
              <w:t>tasa</w:t>
            </w:r>
          </w:p>
        </w:tc>
        <w:tc>
          <w:tcPr>
            <w:tcW w:w="1414"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t>Likidazio-</w:t>
            </w:r>
          </w:p>
          <w:p w:rsidR="00B82D35" w:rsidRPr="007A4471" w:rsidRDefault="00B82D35" w:rsidP="00B82D35">
            <w:pPr>
              <w:pStyle w:val="cuadroCabe"/>
              <w:jc w:val="right"/>
            </w:pPr>
            <w:r>
              <w:t>data</w:t>
            </w:r>
          </w:p>
        </w:tc>
        <w:tc>
          <w:tcPr>
            <w:tcW w:w="149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t>Sortutako</w:t>
            </w:r>
          </w:p>
          <w:p w:rsidR="00B82D35" w:rsidRPr="007A4471" w:rsidRDefault="00B82D35" w:rsidP="00B82D35">
            <w:pPr>
              <w:pStyle w:val="cuadroCabe"/>
              <w:jc w:val="right"/>
            </w:pPr>
            <w:r>
              <w:t>interesak</w:t>
            </w:r>
          </w:p>
        </w:tc>
        <w:tc>
          <w:tcPr>
            <w:tcW w:w="1587" w:type="dxa"/>
            <w:tcBorders>
              <w:top w:val="single" w:sz="4" w:space="0" w:color="auto"/>
              <w:left w:val="nil"/>
              <w:bottom w:val="single" w:sz="4" w:space="0" w:color="auto"/>
              <w:right w:val="nil"/>
            </w:tcBorders>
            <w:shd w:val="clear" w:color="auto" w:fill="8DB3E2" w:themeFill="text2" w:themeFillTint="66"/>
            <w:noWrap/>
            <w:vAlign w:val="center"/>
            <w:hideMark/>
          </w:tcPr>
          <w:p w:rsidR="00B82D35" w:rsidRDefault="00B82D35" w:rsidP="00B82D35">
            <w:pPr>
              <w:pStyle w:val="cuadroCabe"/>
              <w:jc w:val="right"/>
            </w:pPr>
            <w:r>
              <w:t>Interes</w:t>
            </w:r>
          </w:p>
          <w:p w:rsidR="00B82D35" w:rsidRPr="007A4471" w:rsidRDefault="00B82D35" w:rsidP="00B82D35">
            <w:pPr>
              <w:pStyle w:val="cuadroCabe"/>
              <w:jc w:val="right"/>
            </w:pPr>
            <w:r>
              <w:t>likidatuak</w:t>
            </w:r>
          </w:p>
        </w:tc>
      </w:tr>
      <w:tr w:rsidR="00B82D35" w:rsidRPr="0018789F" w:rsidTr="0018789F">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FE711B" w:rsidP="003E384D">
            <w:pPr>
              <w:spacing w:after="0"/>
              <w:ind w:firstLine="0"/>
              <w:jc w:val="center"/>
              <w:rPr>
                <w:rFonts w:ascii="Arial Narrow" w:hAnsi="Arial Narrow"/>
                <w:color w:val="000000"/>
              </w:rPr>
            </w:pPr>
            <w:r>
              <w:rPr>
                <w:rFonts w:ascii="Arial Narrow" w:hAnsi="Arial Narrow"/>
                <w:color w:val="000000"/>
              </w:rPr>
              <w:t>2010/12/31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FE711B" w:rsidP="003E384D">
            <w:pPr>
              <w:spacing w:after="0"/>
              <w:ind w:firstLine="0"/>
              <w:jc w:val="right"/>
              <w:rPr>
                <w:rFonts w:ascii="Arial Narrow" w:hAnsi="Arial Narrow"/>
              </w:rPr>
            </w:pPr>
            <w:r>
              <w:rPr>
                <w:rFonts w:ascii="Arial Narrow" w:hAnsi="Arial Narrow"/>
              </w:rPr>
              <w:t>78.766.409</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bottom w:val="single" w:sz="4" w:space="0" w:color="auto"/>
            </w:tcBorders>
            <w:shd w:val="clear" w:color="auto" w:fill="auto"/>
            <w:noWrap/>
            <w:vAlign w:val="center"/>
            <w:hideMark/>
          </w:tcPr>
          <w:p w:rsidR="00B82D35" w:rsidRPr="0018789F" w:rsidRDefault="00FE711B" w:rsidP="003E384D">
            <w:pPr>
              <w:spacing w:after="0"/>
              <w:ind w:firstLine="0"/>
              <w:jc w:val="right"/>
              <w:rPr>
                <w:rFonts w:ascii="Arial Narrow" w:hAnsi="Arial Narrow"/>
                <w:color w:val="000000"/>
              </w:rPr>
            </w:pPr>
            <w:r>
              <w:rPr>
                <w:rFonts w:ascii="Arial Narrow" w:hAnsi="Arial Narrow"/>
                <w:color w:val="000000"/>
              </w:rPr>
              <w:t>1.401.228</w:t>
            </w:r>
          </w:p>
        </w:tc>
        <w:tc>
          <w:tcPr>
            <w:tcW w:w="1587" w:type="dxa"/>
            <w:tcBorders>
              <w:top w:val="single" w:sz="4" w:space="0" w:color="auto"/>
              <w:bottom w:val="single" w:sz="4" w:space="0" w:color="auto"/>
            </w:tcBorders>
            <w:shd w:val="clear" w:color="auto" w:fill="auto"/>
            <w:noWrap/>
            <w:vAlign w:val="center"/>
            <w:hideMark/>
          </w:tcPr>
          <w:p w:rsidR="00B82D35" w:rsidRPr="0018789F" w:rsidRDefault="00FE711B" w:rsidP="00FE711B">
            <w:pPr>
              <w:spacing w:after="0"/>
              <w:ind w:firstLine="0"/>
              <w:jc w:val="right"/>
              <w:rPr>
                <w:rFonts w:ascii="Arial Narrow" w:hAnsi="Arial Narrow"/>
                <w:color w:val="000000"/>
              </w:rPr>
            </w:pPr>
            <w:r>
              <w:rPr>
                <w:rFonts w:ascii="Arial Narrow" w:hAnsi="Arial Narrow"/>
                <w:b/>
                <w:color w:val="000000"/>
              </w:rPr>
              <w:t>1.367.717</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hideMark/>
          </w:tcPr>
          <w:p w:rsidR="00B82D35" w:rsidRPr="00AA170D" w:rsidRDefault="00FE711B" w:rsidP="00AA170D">
            <w:pPr>
              <w:spacing w:after="0"/>
              <w:ind w:firstLine="0"/>
              <w:jc w:val="right"/>
              <w:rPr>
                <w:rFonts w:ascii="Arial Narrow" w:hAnsi="Arial Narrow"/>
              </w:rPr>
            </w:pPr>
            <w:r>
              <w:rPr>
                <w:rFonts w:ascii="Arial Narrow" w:hAnsi="Arial Narrow"/>
              </w:rPr>
              <w:t>80.134.125</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2011/01/01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1,035</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1,000</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2,035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2011/02/23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240.080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409.274</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hideMark/>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2011/02/23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1,087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1,000</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2,087</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2011/05/23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413.454</w:t>
            </w:r>
          </w:p>
        </w:tc>
        <w:tc>
          <w:tcPr>
            <w:tcW w:w="1587" w:type="dxa"/>
            <w:tcBorders>
              <w:top w:val="nil"/>
              <w:left w:val="nil"/>
              <w:bottom w:val="nil"/>
              <w:right w:val="nil"/>
            </w:tcBorders>
            <w:shd w:val="clear" w:color="auto" w:fill="auto"/>
            <w:noWrap/>
            <w:vAlign w:val="center"/>
          </w:tcPr>
          <w:p w:rsidR="00B82D35" w:rsidRPr="00AA170D" w:rsidRDefault="00AA170D" w:rsidP="003E384D">
            <w:pPr>
              <w:spacing w:after="0"/>
              <w:ind w:firstLine="0"/>
              <w:jc w:val="right"/>
              <w:rPr>
                <w:rFonts w:ascii="Arial Narrow" w:hAnsi="Arial Narrow"/>
                <w:bCs/>
                <w:color w:val="000000"/>
              </w:rPr>
            </w:pPr>
            <w:r>
              <w:rPr>
                <w:rFonts w:ascii="Arial Narrow" w:hAnsi="Arial Narrow"/>
                <w:color w:val="000000"/>
              </w:rPr>
              <w:t>413.454</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2011/05/23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1,437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3,801</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2011/08/23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778.396</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778.396</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2011/08/23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1,536</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3,900</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2011/11/23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798.670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798.670</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2011/11/23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1,471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3,835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2011/12/31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324.387</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0</w:t>
            </w:r>
          </w:p>
        </w:tc>
      </w:tr>
      <w:tr w:rsidR="00B82D35" w:rsidRPr="00AA170D" w:rsidTr="00AA170D">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AA170D" w:rsidP="003E384D">
            <w:pPr>
              <w:spacing w:after="0"/>
              <w:ind w:firstLine="0"/>
              <w:jc w:val="center"/>
              <w:rPr>
                <w:rFonts w:ascii="Arial Narrow" w:hAnsi="Arial Narrow"/>
                <w:color w:val="000000"/>
              </w:rPr>
            </w:pPr>
            <w:r>
              <w:rPr>
                <w:rFonts w:ascii="Arial Narrow" w:hAnsi="Arial Narrow"/>
                <w:color w:val="000000"/>
              </w:rPr>
              <w:t>2011/12/31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AA170D" w:rsidP="00AA170D">
            <w:pPr>
              <w:spacing w:after="0"/>
              <w:ind w:firstLine="0"/>
              <w:jc w:val="right"/>
              <w:rPr>
                <w:rFonts w:ascii="Arial Narrow" w:hAnsi="Arial Narrow"/>
              </w:rPr>
            </w:pPr>
            <w:r>
              <w:rPr>
                <w:rFonts w:ascii="Arial Narrow" w:hAnsi="Arial Narrow"/>
              </w:rPr>
              <w:t>80.134.125</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bottom w:val="single" w:sz="4" w:space="0" w:color="auto"/>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2.554.988</w:t>
            </w:r>
          </w:p>
        </w:tc>
        <w:tc>
          <w:tcPr>
            <w:tcW w:w="1587" w:type="dxa"/>
            <w:tcBorders>
              <w:top w:val="single" w:sz="4" w:space="0" w:color="auto"/>
              <w:bottom w:val="single" w:sz="4" w:space="0" w:color="auto"/>
            </w:tcBorders>
            <w:shd w:val="clear" w:color="auto" w:fill="auto"/>
            <w:noWrap/>
            <w:vAlign w:val="center"/>
          </w:tcPr>
          <w:p w:rsidR="00B82D35" w:rsidRPr="00AA170D" w:rsidRDefault="00AA170D" w:rsidP="003E384D">
            <w:pPr>
              <w:spacing w:after="0"/>
              <w:ind w:firstLine="0"/>
              <w:jc w:val="right"/>
              <w:rPr>
                <w:rFonts w:ascii="Arial Narrow" w:hAnsi="Arial Narrow"/>
                <w:b/>
                <w:color w:val="000000"/>
              </w:rPr>
            </w:pPr>
            <w:r>
              <w:rPr>
                <w:rFonts w:ascii="Arial Narrow" w:hAnsi="Arial Narrow"/>
                <w:b/>
                <w:color w:val="000000"/>
              </w:rPr>
              <w:t>2.399.795</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hideMark/>
          </w:tcPr>
          <w:p w:rsidR="00B82D35" w:rsidRPr="00AA170D" w:rsidRDefault="00AA170D" w:rsidP="003E384D">
            <w:pPr>
              <w:spacing w:after="0"/>
              <w:ind w:firstLine="0"/>
              <w:jc w:val="right"/>
              <w:rPr>
                <w:rFonts w:ascii="Arial Narrow" w:hAnsi="Arial Narrow"/>
              </w:rPr>
            </w:pPr>
            <w:r>
              <w:rPr>
                <w:rFonts w:ascii="Arial Narrow" w:hAnsi="Arial Narrow"/>
              </w:rPr>
              <w:t>82.533.920</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2012/01/01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1,471</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3,835</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2012/02/23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465.984</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790.372</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hideMark/>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2012/02/23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1,014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2,364</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3,378</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rPr>
            </w:pPr>
            <w:r>
              <w:rPr>
                <w:rFonts w:ascii="Arial Narrow" w:hAnsi="Arial Narrow"/>
                <w:color w:val="000000"/>
              </w:rPr>
              <w:t>2012/05/23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696.999</w:t>
            </w:r>
          </w:p>
        </w:tc>
        <w:tc>
          <w:tcPr>
            <w:tcW w:w="1587" w:type="dxa"/>
            <w:tcBorders>
              <w:top w:val="nil"/>
              <w:left w:val="nil"/>
              <w:bottom w:val="nil"/>
              <w:right w:val="nil"/>
            </w:tcBorders>
            <w:shd w:val="clear" w:color="auto" w:fill="auto"/>
            <w:noWrap/>
            <w:vAlign w:val="center"/>
          </w:tcPr>
          <w:p w:rsidR="00B82D35" w:rsidRPr="00AA170D" w:rsidRDefault="00AA170D" w:rsidP="003E384D">
            <w:pPr>
              <w:spacing w:after="0"/>
              <w:ind w:firstLine="0"/>
              <w:jc w:val="right"/>
              <w:rPr>
                <w:rFonts w:ascii="Arial Narrow" w:hAnsi="Arial Narrow"/>
                <w:bCs/>
                <w:color w:val="000000"/>
              </w:rPr>
            </w:pPr>
            <w:r>
              <w:rPr>
                <w:rFonts w:ascii="Arial Narrow" w:hAnsi="Arial Narrow"/>
                <w:color w:val="000000"/>
              </w:rPr>
              <w:t>696.999</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2012/05/23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0,959</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4,217</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2012/08/23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889.450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889.450</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2012/08/23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0,544</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3,802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2012/11/23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801.918</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801.918</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2012/11/23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0,368</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3,626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2012/12/31</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315.894</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0</w:t>
            </w:r>
          </w:p>
        </w:tc>
      </w:tr>
      <w:tr w:rsidR="00B82D35" w:rsidRPr="00AA170D" w:rsidTr="00AA170D">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AA170D" w:rsidP="003E384D">
            <w:pPr>
              <w:spacing w:after="0"/>
              <w:ind w:firstLine="0"/>
              <w:jc w:val="center"/>
              <w:rPr>
                <w:rFonts w:ascii="Arial Narrow" w:hAnsi="Arial Narrow"/>
                <w:color w:val="000000"/>
              </w:rPr>
            </w:pPr>
            <w:r>
              <w:rPr>
                <w:rFonts w:ascii="Arial Narrow" w:hAnsi="Arial Narrow"/>
                <w:color w:val="000000"/>
              </w:rPr>
              <w:t>2012/12/31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AA170D" w:rsidP="003E384D">
            <w:pPr>
              <w:spacing w:after="0"/>
              <w:ind w:firstLine="0"/>
              <w:jc w:val="right"/>
              <w:rPr>
                <w:rFonts w:ascii="Arial Narrow" w:hAnsi="Arial Narrow"/>
              </w:rPr>
            </w:pPr>
            <w:r>
              <w:rPr>
                <w:rFonts w:ascii="Arial Narrow" w:hAnsi="Arial Narrow"/>
              </w:rPr>
              <w:t>82.533.920</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bottom w:val="single" w:sz="4" w:space="0" w:color="auto"/>
            </w:tcBorders>
            <w:shd w:val="clear" w:color="auto" w:fill="auto"/>
            <w:noWrap/>
            <w:vAlign w:val="center"/>
          </w:tcPr>
          <w:p w:rsidR="00B82D35" w:rsidRPr="0018789F" w:rsidRDefault="00AA170D" w:rsidP="00AA170D">
            <w:pPr>
              <w:spacing w:after="0"/>
              <w:ind w:firstLine="0"/>
              <w:jc w:val="right"/>
              <w:rPr>
                <w:rFonts w:ascii="Arial Narrow" w:hAnsi="Arial Narrow"/>
                <w:color w:val="000000"/>
              </w:rPr>
            </w:pPr>
            <w:r>
              <w:rPr>
                <w:rFonts w:ascii="Arial Narrow" w:hAnsi="Arial Narrow"/>
                <w:color w:val="000000"/>
              </w:rPr>
              <w:t>3.170.245</w:t>
            </w:r>
          </w:p>
        </w:tc>
        <w:tc>
          <w:tcPr>
            <w:tcW w:w="1587" w:type="dxa"/>
            <w:tcBorders>
              <w:top w:val="single" w:sz="4" w:space="0" w:color="auto"/>
              <w:bottom w:val="single" w:sz="4" w:space="0" w:color="auto"/>
            </w:tcBorders>
            <w:shd w:val="clear" w:color="auto" w:fill="auto"/>
            <w:noWrap/>
            <w:vAlign w:val="center"/>
          </w:tcPr>
          <w:p w:rsidR="00B82D35" w:rsidRPr="00AA170D" w:rsidRDefault="00AA170D" w:rsidP="003E384D">
            <w:pPr>
              <w:spacing w:after="0"/>
              <w:ind w:firstLine="0"/>
              <w:jc w:val="right"/>
              <w:rPr>
                <w:rFonts w:ascii="Arial Narrow" w:hAnsi="Arial Narrow"/>
                <w:b/>
                <w:color w:val="000000"/>
              </w:rPr>
            </w:pPr>
            <w:r>
              <w:rPr>
                <w:rFonts w:ascii="Arial Narrow" w:hAnsi="Arial Narrow"/>
                <w:b/>
                <w:color w:val="000000"/>
              </w:rPr>
              <w:t>3.178.738</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hideMark/>
          </w:tcPr>
          <w:p w:rsidR="00B82D35" w:rsidRPr="00AA170D" w:rsidRDefault="00AA170D" w:rsidP="003E384D">
            <w:pPr>
              <w:spacing w:after="0"/>
              <w:ind w:firstLine="0"/>
              <w:jc w:val="right"/>
              <w:rPr>
                <w:rFonts w:ascii="Arial Narrow" w:hAnsi="Arial Narrow"/>
              </w:rPr>
            </w:pPr>
            <w:r>
              <w:rPr>
                <w:rFonts w:ascii="Arial Narrow" w:hAnsi="Arial Narrow"/>
              </w:rPr>
              <w:t>85.712.658</w:t>
            </w: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2013/01/01</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0,368</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3,626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2013/02/23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457.558</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773.452</w:t>
            </w:r>
          </w:p>
        </w:tc>
      </w:tr>
      <w:tr w:rsidR="00B82D35" w:rsidRPr="00AA170D"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2013/02/23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0,378</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3,258</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3,636</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b/>
                <w:bCs/>
                <w:color w:val="000000"/>
              </w:rPr>
            </w:pPr>
            <w:r>
              <w:rPr>
                <w:rFonts w:ascii="Arial Narrow" w:hAnsi="Arial Narrow"/>
                <w:color w:val="000000"/>
              </w:rPr>
              <w:t>2013/05/23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770.471</w:t>
            </w:r>
          </w:p>
        </w:tc>
        <w:tc>
          <w:tcPr>
            <w:tcW w:w="1587" w:type="dxa"/>
            <w:tcBorders>
              <w:top w:val="nil"/>
              <w:left w:val="nil"/>
              <w:bottom w:val="nil"/>
              <w:right w:val="nil"/>
            </w:tcBorders>
            <w:shd w:val="clear" w:color="auto" w:fill="auto"/>
            <w:noWrap/>
            <w:vAlign w:val="center"/>
          </w:tcPr>
          <w:p w:rsidR="00B82D35" w:rsidRPr="00AA170D" w:rsidRDefault="00AA170D" w:rsidP="003E384D">
            <w:pPr>
              <w:spacing w:after="0"/>
              <w:ind w:firstLine="0"/>
              <w:jc w:val="right"/>
              <w:rPr>
                <w:rFonts w:ascii="Arial Narrow" w:hAnsi="Arial Narrow"/>
                <w:bCs/>
                <w:color w:val="000000"/>
              </w:rPr>
            </w:pPr>
            <w:r>
              <w:rPr>
                <w:rFonts w:ascii="Arial Narrow" w:hAnsi="Arial Narrow"/>
                <w:color w:val="000000"/>
              </w:rPr>
              <w:t>770.471</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2013/05/23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2,127</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1,592</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3,719</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2013/08/23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814.623</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814.623</w:t>
            </w:r>
          </w:p>
        </w:tc>
      </w:tr>
      <w:tr w:rsidR="00B82D35" w:rsidRPr="0018789F" w:rsidTr="00AA170D">
        <w:trPr>
          <w:trHeight w:val="255"/>
          <w:jc w:val="center"/>
        </w:trPr>
        <w:tc>
          <w:tcPr>
            <w:tcW w:w="1568" w:type="dxa"/>
            <w:tcBorders>
              <w:top w:val="nil"/>
              <w:left w:val="nil"/>
              <w:bottom w:val="nil"/>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nil"/>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2013/08/23</w:t>
            </w:r>
          </w:p>
        </w:tc>
        <w:tc>
          <w:tcPr>
            <w:tcW w:w="1357" w:type="dxa"/>
            <w:gridSpan w:val="2"/>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2,140</w:t>
            </w:r>
          </w:p>
        </w:tc>
        <w:tc>
          <w:tcPr>
            <w:tcW w:w="1456"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1,592</w:t>
            </w:r>
          </w:p>
        </w:tc>
        <w:tc>
          <w:tcPr>
            <w:tcW w:w="1190"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3,732</w:t>
            </w:r>
          </w:p>
        </w:tc>
        <w:tc>
          <w:tcPr>
            <w:tcW w:w="1414" w:type="dxa"/>
            <w:tcBorders>
              <w:top w:val="nil"/>
              <w:left w:val="nil"/>
              <w:bottom w:val="nil"/>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2013/11/23</w:t>
            </w:r>
          </w:p>
        </w:tc>
        <w:tc>
          <w:tcPr>
            <w:tcW w:w="149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817.470</w:t>
            </w:r>
          </w:p>
        </w:tc>
        <w:tc>
          <w:tcPr>
            <w:tcW w:w="1587" w:type="dxa"/>
            <w:tcBorders>
              <w:top w:val="nil"/>
              <w:left w:val="nil"/>
              <w:bottom w:val="nil"/>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817.470</w:t>
            </w:r>
          </w:p>
        </w:tc>
      </w:tr>
      <w:tr w:rsidR="00B82D35" w:rsidRPr="0018789F" w:rsidTr="00AA170D">
        <w:trPr>
          <w:trHeight w:val="255"/>
          <w:jc w:val="center"/>
        </w:trPr>
        <w:tc>
          <w:tcPr>
            <w:tcW w:w="1568" w:type="dxa"/>
            <w:tcBorders>
              <w:top w:val="nil"/>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p>
        </w:tc>
        <w:tc>
          <w:tcPr>
            <w:tcW w:w="1582" w:type="dxa"/>
            <w:gridSpan w:val="2"/>
            <w:tcBorders>
              <w:top w:val="nil"/>
              <w:left w:val="nil"/>
              <w:bottom w:val="single" w:sz="4" w:space="0" w:color="auto"/>
              <w:right w:val="nil"/>
            </w:tcBorders>
            <w:shd w:val="clear" w:color="auto" w:fill="auto"/>
            <w:noWrap/>
            <w:vAlign w:val="center"/>
          </w:tcPr>
          <w:p w:rsidR="00B82D35" w:rsidRPr="00AA170D" w:rsidRDefault="00B82D35" w:rsidP="003E384D">
            <w:pPr>
              <w:spacing w:after="0"/>
              <w:ind w:firstLine="0"/>
              <w:jc w:val="right"/>
              <w:rPr>
                <w:rFonts w:ascii="Arial Narrow" w:hAnsi="Arial Narrow"/>
              </w:rPr>
            </w:pPr>
          </w:p>
        </w:tc>
        <w:tc>
          <w:tcPr>
            <w:tcW w:w="159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2013/11/23</w:t>
            </w:r>
          </w:p>
        </w:tc>
        <w:tc>
          <w:tcPr>
            <w:tcW w:w="1357" w:type="dxa"/>
            <w:gridSpan w:val="2"/>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2,139</w:t>
            </w:r>
          </w:p>
        </w:tc>
        <w:tc>
          <w:tcPr>
            <w:tcW w:w="1456"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1,592</w:t>
            </w:r>
          </w:p>
        </w:tc>
        <w:tc>
          <w:tcPr>
            <w:tcW w:w="1190"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3,731</w:t>
            </w:r>
          </w:p>
        </w:tc>
        <w:tc>
          <w:tcPr>
            <w:tcW w:w="1414" w:type="dxa"/>
            <w:tcBorders>
              <w:top w:val="nil"/>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2013/12/31</w:t>
            </w:r>
          </w:p>
        </w:tc>
        <w:tc>
          <w:tcPr>
            <w:tcW w:w="1497" w:type="dxa"/>
            <w:tcBorders>
              <w:top w:val="nil"/>
              <w:left w:val="nil"/>
              <w:bottom w:val="single" w:sz="4" w:space="0" w:color="auto"/>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337.560</w:t>
            </w:r>
          </w:p>
        </w:tc>
        <w:tc>
          <w:tcPr>
            <w:tcW w:w="1587" w:type="dxa"/>
            <w:tcBorders>
              <w:top w:val="nil"/>
              <w:left w:val="nil"/>
              <w:bottom w:val="single" w:sz="4" w:space="0" w:color="auto"/>
              <w:right w:val="nil"/>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0</w:t>
            </w:r>
          </w:p>
        </w:tc>
      </w:tr>
      <w:tr w:rsidR="00B82D35" w:rsidRPr="0018789F" w:rsidTr="00AA170D">
        <w:trPr>
          <w:trHeight w:val="312"/>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AA170D" w:rsidP="003E384D">
            <w:pPr>
              <w:spacing w:after="0"/>
              <w:ind w:firstLine="0"/>
              <w:jc w:val="center"/>
              <w:rPr>
                <w:rFonts w:ascii="Arial Narrow" w:hAnsi="Arial Narrow"/>
                <w:color w:val="000000"/>
              </w:rPr>
            </w:pPr>
            <w:r>
              <w:rPr>
                <w:rFonts w:ascii="Arial Narrow" w:hAnsi="Arial Narrow"/>
                <w:color w:val="000000"/>
              </w:rPr>
              <w:t>2013/12/31 (*)</w:t>
            </w:r>
          </w:p>
        </w:tc>
        <w:tc>
          <w:tcPr>
            <w:tcW w:w="1582" w:type="dxa"/>
            <w:gridSpan w:val="2"/>
            <w:tcBorders>
              <w:top w:val="single" w:sz="4" w:space="0" w:color="auto"/>
              <w:left w:val="nil"/>
              <w:bottom w:val="single" w:sz="4" w:space="0" w:color="auto"/>
              <w:right w:val="nil"/>
            </w:tcBorders>
            <w:shd w:val="clear" w:color="auto" w:fill="auto"/>
            <w:noWrap/>
            <w:vAlign w:val="center"/>
          </w:tcPr>
          <w:p w:rsidR="00B82D35" w:rsidRPr="00AA170D" w:rsidRDefault="00AA170D" w:rsidP="003E384D">
            <w:pPr>
              <w:spacing w:after="0"/>
              <w:ind w:firstLine="0"/>
              <w:jc w:val="right"/>
              <w:rPr>
                <w:rFonts w:ascii="Arial Narrow" w:hAnsi="Arial Narrow"/>
              </w:rPr>
            </w:pPr>
            <w:r>
              <w:rPr>
                <w:rFonts w:ascii="Arial Narrow" w:hAnsi="Arial Narrow"/>
              </w:rPr>
              <w:t>85.712.658</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14" w:type="dxa"/>
            <w:tcBorders>
              <w:top w:val="single" w:sz="4" w:space="0" w:color="auto"/>
              <w:left w:val="nil"/>
              <w:bottom w:val="single" w:sz="4" w:space="0" w:color="auto"/>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p>
        </w:tc>
        <w:tc>
          <w:tcPr>
            <w:tcW w:w="1497" w:type="dxa"/>
            <w:tcBorders>
              <w:top w:val="single" w:sz="4" w:space="0" w:color="auto"/>
              <w:bottom w:val="single" w:sz="4" w:space="0" w:color="auto"/>
            </w:tcBorders>
            <w:shd w:val="clear" w:color="auto" w:fill="auto"/>
            <w:noWrap/>
            <w:vAlign w:val="center"/>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3.197.682</w:t>
            </w:r>
          </w:p>
        </w:tc>
        <w:tc>
          <w:tcPr>
            <w:tcW w:w="1587" w:type="dxa"/>
            <w:tcBorders>
              <w:top w:val="single" w:sz="4" w:space="0" w:color="auto"/>
              <w:bottom w:val="single" w:sz="4" w:space="0" w:color="auto"/>
            </w:tcBorders>
            <w:shd w:val="clear" w:color="auto" w:fill="auto"/>
            <w:noWrap/>
            <w:vAlign w:val="center"/>
          </w:tcPr>
          <w:p w:rsidR="00B82D35" w:rsidRPr="00AA170D" w:rsidRDefault="00AA170D" w:rsidP="003E384D">
            <w:pPr>
              <w:spacing w:after="0"/>
              <w:ind w:firstLine="0"/>
              <w:jc w:val="right"/>
              <w:rPr>
                <w:rFonts w:ascii="Arial Narrow" w:hAnsi="Arial Narrow"/>
                <w:b/>
                <w:color w:val="000000"/>
              </w:rPr>
            </w:pPr>
            <w:r>
              <w:rPr>
                <w:rFonts w:ascii="Arial Narrow" w:hAnsi="Arial Narrow"/>
                <w:b/>
                <w:color w:val="000000"/>
              </w:rPr>
              <w:t>3.176.016</w:t>
            </w:r>
          </w:p>
        </w:tc>
      </w:tr>
      <w:tr w:rsidR="00B82D35" w:rsidRPr="0018789F" w:rsidTr="00B82D35">
        <w:trPr>
          <w:trHeight w:val="255"/>
          <w:jc w:val="center"/>
        </w:trPr>
        <w:tc>
          <w:tcPr>
            <w:tcW w:w="1568" w:type="dxa"/>
            <w:tcBorders>
              <w:top w:val="single" w:sz="4" w:space="0" w:color="auto"/>
              <w:left w:val="nil"/>
              <w:bottom w:val="single" w:sz="4" w:space="0" w:color="auto"/>
              <w:right w:val="nil"/>
            </w:tcBorders>
            <w:shd w:val="clear" w:color="auto" w:fill="auto"/>
            <w:noWrap/>
            <w:vAlign w:val="center"/>
          </w:tcPr>
          <w:p w:rsidR="00B82D35" w:rsidRPr="0018789F" w:rsidRDefault="00B82D35" w:rsidP="003E384D">
            <w:pPr>
              <w:spacing w:after="0"/>
              <w:ind w:firstLine="0"/>
              <w:jc w:val="center"/>
              <w:rPr>
                <w:rFonts w:ascii="Arial Narrow" w:hAnsi="Arial Narrow"/>
                <w:color w:val="000000"/>
              </w:rPr>
            </w:pPr>
            <w:r>
              <w:rPr>
                <w:rFonts w:ascii="Arial Narrow" w:hAnsi="Arial Narrow"/>
                <w:color w:val="000000"/>
              </w:rPr>
              <w:t>2014 (1. HH)(*)</w:t>
            </w:r>
          </w:p>
        </w:tc>
        <w:tc>
          <w:tcPr>
            <w:tcW w:w="1582" w:type="dxa"/>
            <w:gridSpan w:val="2"/>
            <w:tcBorders>
              <w:top w:val="single" w:sz="4" w:space="0" w:color="auto"/>
              <w:left w:val="nil"/>
              <w:bottom w:val="single" w:sz="4" w:space="0" w:color="auto"/>
              <w:right w:val="nil"/>
            </w:tcBorders>
            <w:shd w:val="clear" w:color="auto" w:fill="auto"/>
            <w:noWrap/>
            <w:vAlign w:val="center"/>
            <w:hideMark/>
          </w:tcPr>
          <w:p w:rsidR="00B82D35" w:rsidRPr="00AA170D" w:rsidRDefault="00AA170D" w:rsidP="003E384D">
            <w:pPr>
              <w:spacing w:after="0"/>
              <w:ind w:firstLine="0"/>
              <w:jc w:val="right"/>
              <w:rPr>
                <w:rFonts w:ascii="Arial Narrow" w:hAnsi="Arial Narrow"/>
              </w:rPr>
            </w:pPr>
            <w:r>
              <w:rPr>
                <w:rFonts w:ascii="Arial Narrow" w:hAnsi="Arial Narrow"/>
              </w:rPr>
              <w:t>88.888.674</w:t>
            </w:r>
          </w:p>
        </w:tc>
        <w:tc>
          <w:tcPr>
            <w:tcW w:w="159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2014/01/01</w:t>
            </w:r>
          </w:p>
        </w:tc>
        <w:tc>
          <w:tcPr>
            <w:tcW w:w="1357" w:type="dxa"/>
            <w:gridSpan w:val="2"/>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2,151</w:t>
            </w:r>
          </w:p>
        </w:tc>
        <w:tc>
          <w:tcPr>
            <w:tcW w:w="1456"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1,592</w:t>
            </w:r>
          </w:p>
        </w:tc>
        <w:tc>
          <w:tcPr>
            <w:tcW w:w="1190"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 3,743</w:t>
            </w:r>
          </w:p>
        </w:tc>
        <w:tc>
          <w:tcPr>
            <w:tcW w:w="1414" w:type="dxa"/>
            <w:tcBorders>
              <w:top w:val="single" w:sz="4" w:space="0" w:color="auto"/>
              <w:left w:val="nil"/>
              <w:bottom w:val="single" w:sz="4" w:space="0" w:color="auto"/>
              <w:right w:val="nil"/>
            </w:tcBorders>
            <w:shd w:val="clear" w:color="auto" w:fill="auto"/>
            <w:noWrap/>
            <w:vAlign w:val="center"/>
            <w:hideMark/>
          </w:tcPr>
          <w:p w:rsidR="00B82D35" w:rsidRPr="0018789F" w:rsidRDefault="00B82D35" w:rsidP="003E384D">
            <w:pPr>
              <w:spacing w:after="0"/>
              <w:ind w:firstLine="0"/>
              <w:jc w:val="right"/>
              <w:rPr>
                <w:rFonts w:ascii="Arial Narrow" w:hAnsi="Arial Narrow"/>
                <w:color w:val="000000"/>
              </w:rPr>
            </w:pPr>
            <w:r>
              <w:rPr>
                <w:rFonts w:ascii="Arial Narrow" w:hAnsi="Arial Narrow"/>
                <w:color w:val="000000"/>
              </w:rPr>
              <w:t>2014/03/31</w:t>
            </w:r>
          </w:p>
        </w:tc>
        <w:tc>
          <w:tcPr>
            <w:tcW w:w="1497" w:type="dxa"/>
            <w:tcBorders>
              <w:top w:val="single" w:sz="4" w:space="0" w:color="auto"/>
              <w:left w:val="nil"/>
              <w:bottom w:val="single" w:sz="4" w:space="0" w:color="auto"/>
              <w:right w:val="nil"/>
            </w:tcBorders>
            <w:shd w:val="clear" w:color="auto" w:fill="auto"/>
            <w:noWrap/>
            <w:vAlign w:val="center"/>
            <w:hideMark/>
          </w:tcPr>
          <w:p w:rsidR="00B82D35" w:rsidRPr="0018789F" w:rsidRDefault="00AA170D" w:rsidP="003E384D">
            <w:pPr>
              <w:spacing w:after="0"/>
              <w:ind w:firstLine="0"/>
              <w:jc w:val="right"/>
              <w:rPr>
                <w:rFonts w:ascii="Arial Narrow" w:hAnsi="Arial Narrow"/>
                <w:color w:val="000000"/>
              </w:rPr>
            </w:pPr>
            <w:r>
              <w:rPr>
                <w:rFonts w:ascii="Arial Narrow" w:hAnsi="Arial Narrow"/>
                <w:color w:val="000000"/>
              </w:rPr>
              <w:t>822.534</w:t>
            </w:r>
          </w:p>
        </w:tc>
        <w:tc>
          <w:tcPr>
            <w:tcW w:w="1587" w:type="dxa"/>
            <w:tcBorders>
              <w:top w:val="single" w:sz="4" w:space="0" w:color="auto"/>
              <w:left w:val="nil"/>
              <w:bottom w:val="single" w:sz="4" w:space="0" w:color="auto"/>
              <w:right w:val="nil"/>
            </w:tcBorders>
            <w:shd w:val="clear" w:color="auto" w:fill="auto"/>
            <w:noWrap/>
            <w:vAlign w:val="center"/>
            <w:hideMark/>
          </w:tcPr>
          <w:p w:rsidR="00B82D35" w:rsidRPr="0018789F" w:rsidRDefault="00AA170D" w:rsidP="003E384D">
            <w:pPr>
              <w:spacing w:after="0"/>
              <w:ind w:firstLine="0"/>
              <w:jc w:val="right"/>
              <w:rPr>
                <w:rFonts w:ascii="Arial Narrow" w:hAnsi="Arial Narrow"/>
                <w:b/>
                <w:color w:val="000000"/>
              </w:rPr>
            </w:pPr>
            <w:r>
              <w:rPr>
                <w:rFonts w:ascii="Arial Narrow" w:hAnsi="Arial Narrow"/>
                <w:b/>
                <w:color w:val="000000"/>
              </w:rPr>
              <w:t>1.160.094</w:t>
            </w:r>
          </w:p>
        </w:tc>
      </w:tr>
      <w:tr w:rsidR="00B82D35" w:rsidRPr="002504B4" w:rsidTr="00B82D35">
        <w:trPr>
          <w:trHeight w:val="300"/>
          <w:jc w:val="center"/>
        </w:trPr>
        <w:tc>
          <w:tcPr>
            <w:tcW w:w="2234" w:type="dxa"/>
            <w:gridSpan w:val="2"/>
            <w:tcBorders>
              <w:top w:val="single" w:sz="4" w:space="0" w:color="auto"/>
              <w:left w:val="nil"/>
              <w:bottom w:val="nil"/>
              <w:right w:val="nil"/>
            </w:tcBorders>
            <w:shd w:val="clear" w:color="auto" w:fill="auto"/>
            <w:noWrap/>
            <w:vAlign w:val="center"/>
          </w:tcPr>
          <w:p w:rsidR="00B82D35" w:rsidRPr="002504B4" w:rsidRDefault="00B82D35" w:rsidP="003E384D">
            <w:pPr>
              <w:spacing w:after="0"/>
              <w:ind w:firstLine="0"/>
              <w:jc w:val="left"/>
              <w:rPr>
                <w:rFonts w:ascii="Calibri" w:hAnsi="Calibri"/>
                <w:color w:val="000000"/>
                <w:sz w:val="22"/>
                <w:szCs w:val="22"/>
              </w:rPr>
            </w:pPr>
          </w:p>
        </w:tc>
        <w:tc>
          <w:tcPr>
            <w:tcW w:w="916"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2302" w:type="dxa"/>
            <w:gridSpan w:val="2"/>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651"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1456"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1190"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1414"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1497"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c>
          <w:tcPr>
            <w:tcW w:w="1587" w:type="dxa"/>
            <w:tcBorders>
              <w:top w:val="single" w:sz="4" w:space="0" w:color="auto"/>
              <w:left w:val="nil"/>
              <w:bottom w:val="nil"/>
              <w:right w:val="nil"/>
            </w:tcBorders>
            <w:shd w:val="clear" w:color="auto" w:fill="auto"/>
            <w:noWrap/>
            <w:vAlign w:val="bottom"/>
          </w:tcPr>
          <w:p w:rsidR="00B82D35" w:rsidRPr="002504B4" w:rsidRDefault="00B82D35" w:rsidP="005302D8">
            <w:pPr>
              <w:spacing w:after="0"/>
              <w:ind w:firstLine="0"/>
              <w:jc w:val="right"/>
              <w:rPr>
                <w:rFonts w:ascii="Calibri" w:hAnsi="Calibri"/>
                <w:color w:val="000000"/>
                <w:sz w:val="22"/>
                <w:szCs w:val="22"/>
              </w:rPr>
            </w:pPr>
          </w:p>
        </w:tc>
      </w:tr>
    </w:tbl>
    <w:p w:rsidR="006944BB" w:rsidRPr="008C288F" w:rsidRDefault="006944BB" w:rsidP="00096746">
      <w:pPr>
        <w:tabs>
          <w:tab w:val="left" w:pos="2348"/>
          <w:tab w:val="left" w:pos="3918"/>
          <w:tab w:val="left" w:pos="5474"/>
          <w:tab w:val="left" w:pos="6440"/>
          <w:tab w:val="left" w:pos="7853"/>
          <w:tab w:val="left" w:pos="8997"/>
          <w:tab w:val="left" w:pos="10373"/>
          <w:tab w:val="left" w:pos="12009"/>
          <w:tab w:val="left" w:pos="13565"/>
        </w:tabs>
        <w:spacing w:after="100"/>
        <w:ind w:left="68" w:firstLine="0"/>
        <w:jc w:val="left"/>
        <w:rPr>
          <w:rFonts w:ascii="GillSans" w:hAnsi="GillSans"/>
          <w:b/>
          <w:bCs/>
          <w:color w:val="000000"/>
        </w:rPr>
      </w:pPr>
      <w:r>
        <w:rPr>
          <w:rFonts w:ascii="GillSans" w:hAnsi="GillSans"/>
          <w:b/>
          <w:color w:val="000000"/>
        </w:rPr>
        <w:t>2014ko martxoaren 31n erabilitako saldoa</w:t>
      </w:r>
      <w:r>
        <w:tab/>
      </w:r>
      <w:r>
        <w:rPr>
          <w:rFonts w:ascii="GillSans" w:hAnsi="GillSans"/>
          <w:b/>
          <w:color w:val="000000"/>
        </w:rPr>
        <w:t>90.048.768</w:t>
      </w:r>
    </w:p>
    <w:p w:rsidR="006944BB" w:rsidRPr="00096746" w:rsidRDefault="006944BB" w:rsidP="006944BB">
      <w:pPr>
        <w:tabs>
          <w:tab w:val="left" w:pos="2348"/>
          <w:tab w:val="left" w:pos="3918"/>
          <w:tab w:val="left" w:pos="5474"/>
          <w:tab w:val="left" w:pos="6440"/>
          <w:tab w:val="left" w:pos="7853"/>
          <w:tab w:val="left" w:pos="8997"/>
          <w:tab w:val="left" w:pos="10373"/>
          <w:tab w:val="left" w:pos="12009"/>
          <w:tab w:val="left" w:pos="13565"/>
        </w:tabs>
        <w:spacing w:after="0"/>
        <w:ind w:left="70" w:firstLine="0"/>
        <w:jc w:val="left"/>
        <w:rPr>
          <w:rFonts w:ascii="GillSans Light" w:hAnsi="GillSans Light"/>
          <w:color w:val="000000"/>
        </w:rPr>
      </w:pPr>
      <w:r>
        <w:rPr>
          <w:rFonts w:ascii="GillSans Light" w:hAnsi="GillSans Light"/>
          <w:color w:val="000000"/>
        </w:rPr>
        <w:t>(*) Aurreko ekitaldian likidatutako finantza-gastuak kapitalizatzen dira</w:t>
      </w:r>
      <w:r>
        <w:tab/>
      </w:r>
      <w:r>
        <w:tab/>
      </w:r>
      <w:r>
        <w:tab/>
      </w:r>
      <w:r>
        <w:tab/>
      </w:r>
      <w:r>
        <w:tab/>
      </w:r>
      <w:r>
        <w:tab/>
      </w:r>
    </w:p>
    <w:tbl>
      <w:tblPr>
        <w:tblW w:w="13932" w:type="dxa"/>
        <w:tblInd w:w="70" w:type="dxa"/>
        <w:tblCellMar>
          <w:left w:w="70" w:type="dxa"/>
          <w:right w:w="70" w:type="dxa"/>
        </w:tblCellMar>
        <w:tblLook w:val="04A0" w:firstRow="1" w:lastRow="0" w:firstColumn="1" w:lastColumn="0" w:noHBand="0" w:noVBand="1"/>
      </w:tblPr>
      <w:tblGrid>
        <w:gridCol w:w="1306"/>
        <w:gridCol w:w="264"/>
        <w:gridCol w:w="1489"/>
        <w:gridCol w:w="712"/>
        <w:gridCol w:w="612"/>
        <w:gridCol w:w="354"/>
        <w:gridCol w:w="1661"/>
        <w:gridCol w:w="51"/>
        <w:gridCol w:w="1880"/>
        <w:gridCol w:w="413"/>
        <w:gridCol w:w="767"/>
        <w:gridCol w:w="599"/>
        <w:gridCol w:w="847"/>
        <w:gridCol w:w="1642"/>
        <w:gridCol w:w="1335"/>
      </w:tblGrid>
      <w:tr w:rsidR="006944BB" w:rsidRPr="008C288F" w:rsidTr="00F5488A">
        <w:trPr>
          <w:trHeight w:val="300"/>
        </w:trPr>
        <w:tc>
          <w:tcPr>
            <w:tcW w:w="1570"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rPr>
            </w:pPr>
          </w:p>
        </w:tc>
        <w:tc>
          <w:tcPr>
            <w:tcW w:w="2201"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rPr>
            </w:pPr>
          </w:p>
        </w:tc>
        <w:tc>
          <w:tcPr>
            <w:tcW w:w="966"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rPr>
            </w:pPr>
          </w:p>
        </w:tc>
        <w:tc>
          <w:tcPr>
            <w:tcW w:w="1712"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rPr>
            </w:pPr>
          </w:p>
        </w:tc>
        <w:tc>
          <w:tcPr>
            <w:tcW w:w="1880" w:type="dxa"/>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rPr>
            </w:pPr>
          </w:p>
        </w:tc>
        <w:tc>
          <w:tcPr>
            <w:tcW w:w="1180" w:type="dxa"/>
            <w:gridSpan w:val="2"/>
            <w:tcBorders>
              <w:top w:val="nil"/>
              <w:left w:val="nil"/>
              <w:bottom w:val="nil"/>
              <w:right w:val="nil"/>
            </w:tcBorders>
            <w:shd w:val="clear" w:color="auto" w:fill="auto"/>
            <w:noWrap/>
            <w:vAlign w:val="bottom"/>
            <w:hideMark/>
          </w:tcPr>
          <w:p w:rsidR="006944BB" w:rsidRPr="008C288F" w:rsidRDefault="006944BB" w:rsidP="005302D8">
            <w:pPr>
              <w:spacing w:after="0"/>
              <w:ind w:firstLine="0"/>
              <w:jc w:val="right"/>
              <w:rPr>
                <w:rFonts w:ascii="Calibri" w:hAnsi="Calibri"/>
                <w:b/>
                <w:color w:val="000000"/>
                <w:sz w:val="22"/>
                <w:szCs w:val="22"/>
              </w:rPr>
            </w:pPr>
          </w:p>
        </w:tc>
        <w:tc>
          <w:tcPr>
            <w:tcW w:w="1446" w:type="dxa"/>
            <w:gridSpan w:val="2"/>
            <w:tcBorders>
              <w:top w:val="nil"/>
              <w:left w:val="nil"/>
              <w:bottom w:val="nil"/>
              <w:right w:val="nil"/>
            </w:tcBorders>
            <w:shd w:val="clear" w:color="auto" w:fill="auto"/>
            <w:noWrap/>
            <w:vAlign w:val="bottom"/>
          </w:tcPr>
          <w:p w:rsidR="006944BB" w:rsidRPr="008C288F" w:rsidRDefault="006944BB" w:rsidP="005302D8">
            <w:pPr>
              <w:spacing w:after="0"/>
              <w:ind w:firstLine="0"/>
              <w:jc w:val="right"/>
              <w:rPr>
                <w:rFonts w:ascii="Calibri" w:hAnsi="Calibri"/>
                <w:b/>
                <w:color w:val="000000"/>
                <w:sz w:val="22"/>
                <w:szCs w:val="22"/>
              </w:rPr>
            </w:pPr>
          </w:p>
        </w:tc>
        <w:tc>
          <w:tcPr>
            <w:tcW w:w="1642" w:type="dxa"/>
            <w:tcBorders>
              <w:top w:val="nil"/>
              <w:left w:val="nil"/>
              <w:bottom w:val="nil"/>
              <w:right w:val="nil"/>
            </w:tcBorders>
            <w:shd w:val="clear" w:color="auto" w:fill="auto"/>
            <w:noWrap/>
            <w:vAlign w:val="bottom"/>
          </w:tcPr>
          <w:p w:rsidR="006944BB" w:rsidRPr="008C288F" w:rsidRDefault="006944BB" w:rsidP="005302D8">
            <w:pPr>
              <w:spacing w:after="0"/>
              <w:ind w:firstLine="0"/>
              <w:jc w:val="right"/>
              <w:rPr>
                <w:rFonts w:ascii="Calibri" w:hAnsi="Calibri"/>
                <w:b/>
                <w:color w:val="000000"/>
                <w:sz w:val="22"/>
                <w:szCs w:val="22"/>
              </w:rPr>
            </w:pPr>
          </w:p>
        </w:tc>
        <w:tc>
          <w:tcPr>
            <w:tcW w:w="1335" w:type="dxa"/>
            <w:tcBorders>
              <w:top w:val="nil"/>
              <w:left w:val="nil"/>
              <w:bottom w:val="nil"/>
              <w:right w:val="nil"/>
            </w:tcBorders>
            <w:shd w:val="clear" w:color="auto" w:fill="auto"/>
            <w:noWrap/>
            <w:vAlign w:val="bottom"/>
            <w:hideMark/>
          </w:tcPr>
          <w:p w:rsidR="006944BB" w:rsidRPr="008C288F" w:rsidRDefault="006944BB" w:rsidP="005302D8">
            <w:pPr>
              <w:spacing w:after="0"/>
              <w:ind w:firstLine="0"/>
              <w:jc w:val="center"/>
              <w:rPr>
                <w:rFonts w:ascii="Calibri" w:hAnsi="Calibri"/>
                <w:b/>
                <w:color w:val="000000"/>
                <w:sz w:val="22"/>
                <w:szCs w:val="22"/>
              </w:rPr>
            </w:pPr>
          </w:p>
        </w:tc>
      </w:tr>
      <w:tr w:rsidR="006944BB" w:rsidRPr="001F4EEF" w:rsidTr="00F5488A">
        <w:trPr>
          <w:gridAfter w:val="3"/>
          <w:wAfter w:w="3824" w:type="dxa"/>
          <w:trHeight w:val="300"/>
        </w:trPr>
        <w:tc>
          <w:tcPr>
            <w:tcW w:w="1306" w:type="dxa"/>
            <w:tcBorders>
              <w:top w:val="nil"/>
              <w:left w:val="nil"/>
              <w:bottom w:val="nil"/>
              <w:right w:val="nil"/>
            </w:tcBorders>
            <w:shd w:val="clear" w:color="auto" w:fill="auto"/>
            <w:noWrap/>
            <w:vAlign w:val="bottom"/>
          </w:tcPr>
          <w:p w:rsidR="006944BB" w:rsidRPr="001F4EEF" w:rsidRDefault="006944BB" w:rsidP="005302D8">
            <w:pPr>
              <w:spacing w:after="0"/>
              <w:ind w:firstLine="0"/>
              <w:jc w:val="right"/>
              <w:rPr>
                <w:rFonts w:ascii="Calibri" w:hAnsi="Calibri"/>
                <w:color w:val="000000"/>
                <w:sz w:val="22"/>
                <w:szCs w:val="22"/>
              </w:rPr>
            </w:pPr>
          </w:p>
        </w:tc>
        <w:tc>
          <w:tcPr>
            <w:tcW w:w="1753" w:type="dxa"/>
            <w:gridSpan w:val="2"/>
            <w:tcBorders>
              <w:top w:val="nil"/>
              <w:left w:val="nil"/>
              <w:bottom w:val="nil"/>
              <w:right w:val="nil"/>
            </w:tcBorders>
            <w:shd w:val="clear" w:color="auto" w:fill="auto"/>
            <w:noWrap/>
            <w:vAlign w:val="bottom"/>
          </w:tcPr>
          <w:p w:rsidR="006944BB" w:rsidRDefault="006944BB" w:rsidP="005302D8">
            <w:pPr>
              <w:spacing w:after="0"/>
              <w:ind w:firstLine="0"/>
              <w:jc w:val="right"/>
              <w:rPr>
                <w:rFonts w:ascii="Calibri" w:hAnsi="Calibri"/>
                <w:color w:val="000000"/>
                <w:sz w:val="22"/>
                <w:szCs w:val="22"/>
              </w:rPr>
            </w:pPr>
          </w:p>
          <w:p w:rsidR="006944BB" w:rsidRDefault="006944BB" w:rsidP="005302D8">
            <w:pPr>
              <w:spacing w:after="0"/>
              <w:ind w:firstLine="0"/>
              <w:jc w:val="right"/>
              <w:rPr>
                <w:rFonts w:ascii="Calibri" w:hAnsi="Calibri"/>
                <w:color w:val="000000"/>
                <w:sz w:val="22"/>
                <w:szCs w:val="22"/>
              </w:rPr>
            </w:pPr>
          </w:p>
          <w:p w:rsidR="006944BB" w:rsidRPr="001F4EEF" w:rsidRDefault="006944BB" w:rsidP="005302D8">
            <w:pPr>
              <w:spacing w:after="0"/>
              <w:ind w:firstLine="0"/>
              <w:jc w:val="right"/>
              <w:rPr>
                <w:rFonts w:ascii="Calibri" w:hAnsi="Calibri"/>
                <w:color w:val="000000"/>
                <w:sz w:val="22"/>
                <w:szCs w:val="22"/>
              </w:rPr>
            </w:pPr>
          </w:p>
        </w:tc>
        <w:tc>
          <w:tcPr>
            <w:tcW w:w="1324" w:type="dxa"/>
            <w:gridSpan w:val="2"/>
            <w:tcBorders>
              <w:top w:val="nil"/>
              <w:left w:val="nil"/>
              <w:bottom w:val="nil"/>
              <w:right w:val="nil"/>
            </w:tcBorders>
            <w:shd w:val="clear" w:color="auto" w:fill="auto"/>
            <w:noWrap/>
            <w:vAlign w:val="bottom"/>
          </w:tcPr>
          <w:p w:rsidR="006944BB" w:rsidRPr="001F4EEF" w:rsidRDefault="006944BB" w:rsidP="005302D8">
            <w:pPr>
              <w:spacing w:after="0"/>
              <w:ind w:firstLine="0"/>
              <w:jc w:val="left"/>
              <w:rPr>
                <w:rFonts w:ascii="Calibri" w:hAnsi="Calibri"/>
                <w:color w:val="000000"/>
                <w:sz w:val="22"/>
                <w:szCs w:val="22"/>
              </w:rPr>
            </w:pPr>
          </w:p>
        </w:tc>
        <w:tc>
          <w:tcPr>
            <w:tcW w:w="2015" w:type="dxa"/>
            <w:gridSpan w:val="2"/>
            <w:tcBorders>
              <w:top w:val="nil"/>
              <w:left w:val="nil"/>
              <w:bottom w:val="nil"/>
              <w:right w:val="nil"/>
            </w:tcBorders>
            <w:shd w:val="clear" w:color="auto" w:fill="auto"/>
            <w:noWrap/>
            <w:vAlign w:val="bottom"/>
          </w:tcPr>
          <w:p w:rsidR="006944BB" w:rsidRPr="001F4EEF" w:rsidRDefault="006944BB" w:rsidP="005302D8">
            <w:pPr>
              <w:spacing w:after="0"/>
              <w:ind w:firstLine="0"/>
              <w:jc w:val="left"/>
              <w:rPr>
                <w:rFonts w:ascii="Calibri" w:hAnsi="Calibri"/>
                <w:b/>
                <w:bCs/>
                <w:color w:val="000000"/>
                <w:sz w:val="22"/>
                <w:szCs w:val="22"/>
              </w:rPr>
            </w:pPr>
          </w:p>
        </w:tc>
        <w:tc>
          <w:tcPr>
            <w:tcW w:w="2344" w:type="dxa"/>
            <w:gridSpan w:val="3"/>
            <w:tcBorders>
              <w:top w:val="nil"/>
              <w:left w:val="nil"/>
              <w:bottom w:val="nil"/>
              <w:right w:val="nil"/>
            </w:tcBorders>
            <w:shd w:val="clear" w:color="auto" w:fill="auto"/>
            <w:noWrap/>
            <w:vAlign w:val="bottom"/>
          </w:tcPr>
          <w:p w:rsidR="006944BB" w:rsidRPr="001F4EEF" w:rsidRDefault="006944BB" w:rsidP="005302D8">
            <w:pPr>
              <w:spacing w:after="0"/>
              <w:ind w:firstLine="0"/>
              <w:jc w:val="left"/>
              <w:rPr>
                <w:rFonts w:ascii="Calibri" w:hAnsi="Calibri"/>
                <w:color w:val="000000"/>
                <w:sz w:val="22"/>
                <w:szCs w:val="22"/>
              </w:rPr>
            </w:pPr>
          </w:p>
        </w:tc>
        <w:tc>
          <w:tcPr>
            <w:tcW w:w="1366" w:type="dxa"/>
            <w:gridSpan w:val="2"/>
            <w:tcBorders>
              <w:top w:val="nil"/>
              <w:left w:val="nil"/>
              <w:bottom w:val="nil"/>
              <w:right w:val="nil"/>
            </w:tcBorders>
            <w:shd w:val="clear" w:color="auto" w:fill="auto"/>
            <w:noWrap/>
            <w:vAlign w:val="bottom"/>
          </w:tcPr>
          <w:p w:rsidR="006944BB" w:rsidRPr="001F4EEF" w:rsidRDefault="006944BB" w:rsidP="005302D8">
            <w:pPr>
              <w:spacing w:after="0"/>
              <w:ind w:firstLine="0"/>
              <w:jc w:val="right"/>
              <w:rPr>
                <w:rFonts w:ascii="Calibri" w:hAnsi="Calibri"/>
                <w:b/>
                <w:bCs/>
                <w:color w:val="000000"/>
                <w:sz w:val="22"/>
                <w:szCs w:val="22"/>
              </w:rPr>
            </w:pPr>
          </w:p>
        </w:tc>
      </w:tr>
    </w:tbl>
    <w:p w:rsidR="00F5488A" w:rsidRDefault="00F5488A" w:rsidP="005302D8">
      <w:pPr>
        <w:spacing w:after="0"/>
        <w:ind w:firstLine="0"/>
        <w:jc w:val="left"/>
        <w:rPr>
          <w:rFonts w:ascii="Calibri" w:hAnsi="Calibri"/>
          <w:color w:val="000000"/>
          <w:sz w:val="22"/>
          <w:szCs w:val="22"/>
        </w:rPr>
      </w:pPr>
    </w:p>
    <w:p w:rsidR="00E96655" w:rsidRPr="00E96655" w:rsidRDefault="00E96655" w:rsidP="00E96655">
      <w:pPr>
        <w:spacing w:after="80"/>
        <w:ind w:left="567" w:firstLine="0"/>
        <w:jc w:val="center"/>
        <w:rPr>
          <w:rFonts w:ascii="Arial" w:hAnsi="Arial" w:cs="Arial"/>
          <w:sz w:val="8"/>
          <w:szCs w:val="8"/>
        </w:rPr>
      </w:pPr>
    </w:p>
    <w:p w:rsidR="00F5488A" w:rsidRPr="00E96655" w:rsidRDefault="00F5488A" w:rsidP="00E96655">
      <w:pPr>
        <w:spacing w:after="300"/>
        <w:ind w:left="567" w:firstLine="0"/>
        <w:jc w:val="center"/>
        <w:rPr>
          <w:rFonts w:ascii="Arial" w:hAnsi="Arial" w:cs="Arial"/>
        </w:rPr>
      </w:pPr>
      <w:r>
        <w:rPr>
          <w:rFonts w:ascii="Arial" w:hAnsi="Arial"/>
        </w:rPr>
        <w:t>Aldia: 2014ko martxoaren 31tik 2014ko urriaren 31ra</w:t>
      </w:r>
    </w:p>
    <w:tbl>
      <w:tblPr>
        <w:tblW w:w="13147" w:type="dxa"/>
        <w:tblInd w:w="70" w:type="dxa"/>
        <w:tblCellMar>
          <w:left w:w="70" w:type="dxa"/>
          <w:right w:w="70" w:type="dxa"/>
        </w:tblCellMar>
        <w:tblLook w:val="04A0" w:firstRow="1" w:lastRow="0" w:firstColumn="1" w:lastColumn="0" w:noHBand="0" w:noVBand="1"/>
      </w:tblPr>
      <w:tblGrid>
        <w:gridCol w:w="2086"/>
        <w:gridCol w:w="1581"/>
        <w:gridCol w:w="1693"/>
        <w:gridCol w:w="1513"/>
        <w:gridCol w:w="1450"/>
        <w:gridCol w:w="1619"/>
        <w:gridCol w:w="1763"/>
        <w:gridCol w:w="1442"/>
      </w:tblGrid>
      <w:tr w:rsidR="006944BB" w:rsidRPr="00553D3F" w:rsidTr="00DA1F9F">
        <w:trPr>
          <w:trHeight w:val="300"/>
        </w:trPr>
        <w:tc>
          <w:tcPr>
            <w:tcW w:w="2086" w:type="dxa"/>
            <w:tcBorders>
              <w:top w:val="single" w:sz="4" w:space="0" w:color="auto"/>
            </w:tcBorders>
            <w:shd w:val="clear" w:color="auto" w:fill="8DB3E2" w:themeFill="text2" w:themeFillTint="66"/>
            <w:noWrap/>
            <w:vAlign w:val="center"/>
            <w:hideMark/>
          </w:tcPr>
          <w:p w:rsidR="006944BB" w:rsidRPr="007A4471" w:rsidRDefault="00F5488A" w:rsidP="00F5488A">
            <w:pPr>
              <w:pStyle w:val="cuadroCabe"/>
              <w:jc w:val="left"/>
            </w:pPr>
            <w:r>
              <w:t>Kontzeptua</w:t>
            </w:r>
          </w:p>
        </w:tc>
        <w:tc>
          <w:tcPr>
            <w:tcW w:w="1581" w:type="dxa"/>
            <w:tcBorders>
              <w:top w:val="single" w:sz="4" w:space="0" w:color="auto"/>
            </w:tcBorders>
            <w:shd w:val="clear" w:color="auto" w:fill="8DB3E2" w:themeFill="text2" w:themeFillTint="66"/>
            <w:noWrap/>
            <w:vAlign w:val="center"/>
            <w:hideMark/>
          </w:tcPr>
          <w:p w:rsidR="006944BB" w:rsidRPr="007A4471" w:rsidRDefault="00F5488A" w:rsidP="00F5488A">
            <w:pPr>
              <w:pStyle w:val="cuadroCabe"/>
              <w:jc w:val="right"/>
            </w:pPr>
            <w:r>
              <w:t>Zenbatekoa</w:t>
            </w:r>
          </w:p>
        </w:tc>
        <w:tc>
          <w:tcPr>
            <w:tcW w:w="1693" w:type="dxa"/>
            <w:tcBorders>
              <w:top w:val="single" w:sz="4" w:space="0" w:color="auto"/>
            </w:tcBorders>
            <w:shd w:val="clear" w:color="auto" w:fill="8DB3E2" w:themeFill="text2" w:themeFillTint="66"/>
            <w:noWrap/>
            <w:vAlign w:val="center"/>
            <w:hideMark/>
          </w:tcPr>
          <w:p w:rsidR="00F5488A" w:rsidRDefault="006944BB" w:rsidP="00F5488A">
            <w:pPr>
              <w:pStyle w:val="cuadroCabe"/>
              <w:jc w:val="right"/>
            </w:pPr>
            <w:r>
              <w:t>Ordaintzeko d</w:t>
            </w:r>
            <w:r>
              <w:t>a</w:t>
            </w:r>
            <w:r>
              <w:t xml:space="preserve">goen </w:t>
            </w:r>
          </w:p>
          <w:p w:rsidR="006944BB" w:rsidRPr="007A4471" w:rsidRDefault="00F5488A" w:rsidP="00F5488A">
            <w:pPr>
              <w:pStyle w:val="cuadroCabe"/>
              <w:jc w:val="right"/>
            </w:pPr>
            <w:r>
              <w:t>saldoa</w:t>
            </w:r>
          </w:p>
        </w:tc>
        <w:tc>
          <w:tcPr>
            <w:tcW w:w="1513" w:type="dxa"/>
            <w:tcBorders>
              <w:top w:val="single" w:sz="4" w:space="0" w:color="auto"/>
            </w:tcBorders>
            <w:shd w:val="clear" w:color="auto" w:fill="8DB3E2" w:themeFill="text2" w:themeFillTint="66"/>
            <w:noWrap/>
            <w:vAlign w:val="center"/>
          </w:tcPr>
          <w:p w:rsidR="006944BB" w:rsidRPr="007A4471" w:rsidRDefault="00F5488A" w:rsidP="00F5488A">
            <w:pPr>
              <w:pStyle w:val="cuadroCabe"/>
              <w:jc w:val="right"/>
            </w:pPr>
            <w:r>
              <w:t>Data</w:t>
            </w:r>
          </w:p>
        </w:tc>
        <w:tc>
          <w:tcPr>
            <w:tcW w:w="1450"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t>Interes-</w:t>
            </w:r>
          </w:p>
          <w:p w:rsidR="00F5488A" w:rsidRPr="007A4471" w:rsidRDefault="00F5488A" w:rsidP="00F5488A">
            <w:pPr>
              <w:pStyle w:val="cuadroCabe"/>
              <w:jc w:val="right"/>
            </w:pPr>
            <w:r>
              <w:t>tasa</w:t>
            </w:r>
          </w:p>
        </w:tc>
        <w:tc>
          <w:tcPr>
            <w:tcW w:w="1619"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t xml:space="preserve">Likidazio- </w:t>
            </w:r>
          </w:p>
          <w:p w:rsidR="00F5488A" w:rsidRPr="007A4471" w:rsidRDefault="00F5488A" w:rsidP="00F5488A">
            <w:pPr>
              <w:pStyle w:val="cuadroCabe"/>
              <w:jc w:val="right"/>
            </w:pPr>
            <w:r>
              <w:t>data</w:t>
            </w:r>
          </w:p>
        </w:tc>
        <w:tc>
          <w:tcPr>
            <w:tcW w:w="1763"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t>Sortutako</w:t>
            </w:r>
          </w:p>
          <w:p w:rsidR="00F5488A" w:rsidRPr="007A4471" w:rsidRDefault="00F5488A" w:rsidP="00F5488A">
            <w:pPr>
              <w:pStyle w:val="cuadroCabe"/>
              <w:jc w:val="right"/>
            </w:pPr>
            <w:r>
              <w:t>interesak</w:t>
            </w:r>
          </w:p>
        </w:tc>
        <w:tc>
          <w:tcPr>
            <w:tcW w:w="1442" w:type="dxa"/>
            <w:tcBorders>
              <w:top w:val="single" w:sz="4" w:space="0" w:color="auto"/>
            </w:tcBorders>
            <w:shd w:val="clear" w:color="auto" w:fill="8DB3E2" w:themeFill="text2" w:themeFillTint="66"/>
            <w:noWrap/>
            <w:vAlign w:val="center"/>
          </w:tcPr>
          <w:p w:rsidR="006944BB" w:rsidRDefault="006944BB" w:rsidP="00F5488A">
            <w:pPr>
              <w:pStyle w:val="cuadroCabe"/>
              <w:jc w:val="right"/>
            </w:pPr>
            <w:r>
              <w:t>Interes</w:t>
            </w:r>
          </w:p>
          <w:p w:rsidR="00F5488A" w:rsidRPr="007A4471" w:rsidRDefault="00F5488A" w:rsidP="00F5488A">
            <w:pPr>
              <w:pStyle w:val="cuadroCabe"/>
              <w:jc w:val="right"/>
            </w:pPr>
            <w:r>
              <w:t>likidatuak</w:t>
            </w:r>
          </w:p>
        </w:tc>
      </w:tr>
      <w:tr w:rsidR="006944BB" w:rsidRPr="00F5488A" w:rsidTr="00DA1F9F">
        <w:trPr>
          <w:trHeight w:val="255"/>
        </w:trPr>
        <w:tc>
          <w:tcPr>
            <w:tcW w:w="2086"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Kreditu-kontua</w:t>
            </w:r>
          </w:p>
        </w:tc>
        <w:tc>
          <w:tcPr>
            <w:tcW w:w="1581" w:type="dxa"/>
            <w:tcBorders>
              <w:top w:val="single" w:sz="4" w:space="0" w:color="auto"/>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9.634.551</w:t>
            </w:r>
          </w:p>
        </w:tc>
        <w:tc>
          <w:tcPr>
            <w:tcW w:w="1693" w:type="dxa"/>
            <w:tcBorders>
              <w:top w:val="single" w:sz="4" w:space="0" w:color="auto"/>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9.634.551</w:t>
            </w:r>
          </w:p>
        </w:tc>
        <w:tc>
          <w:tcPr>
            <w:tcW w:w="151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4,335</w:t>
            </w:r>
          </w:p>
        </w:tc>
        <w:tc>
          <w:tcPr>
            <w:tcW w:w="1619"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2014/04/01</w:t>
            </w:r>
          </w:p>
        </w:tc>
        <w:tc>
          <w:tcPr>
            <w:tcW w:w="1763" w:type="dxa"/>
            <w:tcBorders>
              <w:top w:val="single" w:sz="4" w:space="0" w:color="auto"/>
              <w:left w:val="nil"/>
              <w:right w:val="nil"/>
            </w:tcBorders>
            <w:shd w:val="clear" w:color="auto" w:fill="auto"/>
            <w:noWrap/>
            <w:vAlign w:val="center"/>
            <w:hideMark/>
          </w:tcPr>
          <w:p w:rsidR="006944BB" w:rsidRPr="00F5488A" w:rsidRDefault="006944BB" w:rsidP="008263EB">
            <w:pPr>
              <w:spacing w:after="0"/>
              <w:ind w:firstLine="0"/>
              <w:jc w:val="right"/>
              <w:rPr>
                <w:rFonts w:ascii="Arial Narrow" w:hAnsi="Arial Narrow"/>
                <w:color w:val="000000"/>
              </w:rPr>
            </w:pPr>
            <w:r>
              <w:rPr>
                <w:rFonts w:ascii="Arial Narrow" w:hAnsi="Arial Narrow"/>
                <w:color w:val="000000"/>
              </w:rPr>
              <w:t>1.160</w:t>
            </w:r>
          </w:p>
        </w:tc>
        <w:tc>
          <w:tcPr>
            <w:tcW w:w="1442"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DA1F9F">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Kitapena</w:t>
            </w:r>
          </w:p>
        </w:tc>
        <w:tc>
          <w:tcPr>
            <w:tcW w:w="1581"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-9.634.551</w:t>
            </w:r>
          </w:p>
        </w:tc>
        <w:tc>
          <w:tcPr>
            <w:tcW w:w="169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2014/04/01</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1.160</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Mailegua</w:t>
            </w:r>
          </w:p>
        </w:tc>
        <w:tc>
          <w:tcPr>
            <w:tcW w:w="1581" w:type="dxa"/>
            <w:tcBorders>
              <w:top w:val="nil"/>
              <w:left w:val="nil"/>
              <w:bottom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30.387.123</w:t>
            </w:r>
          </w:p>
        </w:tc>
        <w:tc>
          <w:tcPr>
            <w:tcW w:w="1693" w:type="dxa"/>
            <w:tcBorders>
              <w:top w:val="nil"/>
              <w:left w:val="nil"/>
              <w:bottom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30.387.123</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2014/04/05</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9.271</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-5.463.668</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24.923.455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2014/04/05</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2014/06/07</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95.807</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-6.882.301</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18.041.154</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2014/06/07</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2014/06/23</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17.613</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-6.198.534</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11.842.620</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2014/06/23</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2014/09/05</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53.472</w:t>
            </w:r>
          </w:p>
        </w:tc>
        <w:tc>
          <w:tcPr>
            <w:tcW w:w="1442"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-6.198.534</w:t>
            </w:r>
          </w:p>
        </w:tc>
        <w:tc>
          <w:tcPr>
            <w:tcW w:w="169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5.644.086</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2014/09/05</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76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18.597</w:t>
            </w:r>
          </w:p>
        </w:tc>
        <w:tc>
          <w:tcPr>
            <w:tcW w:w="1442"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-5.644.086</w:t>
            </w:r>
          </w:p>
        </w:tc>
        <w:tc>
          <w:tcPr>
            <w:tcW w:w="1693"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194.759</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Kreditu-kontua</w:t>
            </w:r>
          </w:p>
        </w:tc>
        <w:tc>
          <w:tcPr>
            <w:tcW w:w="1581"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4.437.070</w:t>
            </w:r>
          </w:p>
        </w:tc>
        <w:tc>
          <w:tcPr>
            <w:tcW w:w="1693" w:type="dxa"/>
            <w:tcBorders>
              <w:top w:val="nil"/>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4.437.070</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4,350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2014/04/08</w:t>
            </w:r>
          </w:p>
        </w:tc>
        <w:tc>
          <w:tcPr>
            <w:tcW w:w="1763" w:type="dxa"/>
            <w:tcBorders>
              <w:top w:val="nil"/>
              <w:left w:val="nil"/>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4.289</w:t>
            </w:r>
          </w:p>
        </w:tc>
        <w:tc>
          <w:tcPr>
            <w:tcW w:w="1442"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Kitapena</w:t>
            </w:r>
          </w:p>
        </w:tc>
        <w:tc>
          <w:tcPr>
            <w:tcW w:w="1581"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-4.437.070</w:t>
            </w:r>
          </w:p>
        </w:tc>
        <w:tc>
          <w:tcPr>
            <w:tcW w:w="169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2014/04/08</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hideMark/>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4.289</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Mailegua</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13.994.246</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13.994.246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2014/04/08</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6.366</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b/>
                <w:bCs/>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-1.092.039</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12.902.206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2014/04/08</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2014/05/07</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21.275</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-2.939.755</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9.962.451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2014/05/07</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2014/06/02</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14.728</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-3.015.782</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6.946.669</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2014/06/02</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2014/06/19</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6.715</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-.2.711.858</w:t>
            </w:r>
          </w:p>
        </w:tc>
        <w:tc>
          <w:tcPr>
            <w:tcW w:w="169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4.234.811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2014/06/19</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2,0470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2014/09/09</w:t>
            </w:r>
          </w:p>
        </w:tc>
        <w:tc>
          <w:tcPr>
            <w:tcW w:w="1763" w:type="dxa"/>
            <w:tcBorders>
              <w:top w:val="nil"/>
              <w:left w:val="nil"/>
              <w:bottom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19.745</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-2.711.858</w:t>
            </w:r>
          </w:p>
        </w:tc>
        <w:tc>
          <w:tcPr>
            <w:tcW w:w="169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1.522.953</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2014/09/09</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2,0470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76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4.330</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-1.522.953</w:t>
            </w:r>
          </w:p>
        </w:tc>
        <w:tc>
          <w:tcPr>
            <w:tcW w:w="1693"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73.160</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Kreditu-kontua</w:t>
            </w:r>
          </w:p>
        </w:tc>
        <w:tc>
          <w:tcPr>
            <w:tcW w:w="1581"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3.803.393</w:t>
            </w:r>
          </w:p>
        </w:tc>
        <w:tc>
          <w:tcPr>
            <w:tcW w:w="169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3.803.393</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4,3490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2014/04/15</w:t>
            </w:r>
          </w:p>
        </w:tc>
        <w:tc>
          <w:tcPr>
            <w:tcW w:w="1763" w:type="dxa"/>
            <w:tcBorders>
              <w:top w:val="nil"/>
              <w:left w:val="nil"/>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6.892</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8263EB">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Kitapena</w:t>
            </w:r>
          </w:p>
        </w:tc>
        <w:tc>
          <w:tcPr>
            <w:tcW w:w="1581"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-3.803.393</w:t>
            </w:r>
          </w:p>
        </w:tc>
        <w:tc>
          <w:tcPr>
            <w:tcW w:w="1693"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2014/04/15</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8263EB" w:rsidP="00F5488A">
            <w:pPr>
              <w:spacing w:after="0"/>
              <w:ind w:firstLine="0"/>
              <w:jc w:val="right"/>
              <w:rPr>
                <w:rFonts w:ascii="Arial Narrow" w:hAnsi="Arial Narrow"/>
                <w:b/>
                <w:bCs/>
                <w:color w:val="000000"/>
              </w:rPr>
            </w:pPr>
            <w:r>
              <w:rPr>
                <w:rFonts w:ascii="Arial Narrow" w:hAnsi="Arial Narrow"/>
                <w:b/>
                <w:color w:val="000000"/>
              </w:rPr>
              <w:t>6.892</w:t>
            </w:r>
          </w:p>
        </w:tc>
      </w:tr>
      <w:tr w:rsidR="006944BB" w:rsidRPr="00F5488A" w:rsidTr="00DA1F9F">
        <w:trPr>
          <w:trHeight w:val="255"/>
        </w:trPr>
        <w:tc>
          <w:tcPr>
            <w:tcW w:w="2086"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F5488A" w:rsidRPr="00F5488A" w:rsidTr="00DA1F9F">
        <w:trPr>
          <w:trHeight w:val="255"/>
        </w:trPr>
        <w:tc>
          <w:tcPr>
            <w:tcW w:w="2086" w:type="dxa"/>
            <w:tcBorders>
              <w:left w:val="nil"/>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rPr>
            </w:pPr>
          </w:p>
        </w:tc>
        <w:tc>
          <w:tcPr>
            <w:tcW w:w="1581"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9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51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50"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19"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76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42"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r>
      <w:tr w:rsidR="00F5488A" w:rsidRPr="00F5488A" w:rsidTr="00DA1F9F">
        <w:trPr>
          <w:trHeight w:val="255"/>
        </w:trPr>
        <w:tc>
          <w:tcPr>
            <w:tcW w:w="2086" w:type="dxa"/>
            <w:tcBorders>
              <w:left w:val="nil"/>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rPr>
            </w:pPr>
          </w:p>
        </w:tc>
        <w:tc>
          <w:tcPr>
            <w:tcW w:w="1581"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9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51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50"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19"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76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42"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r>
      <w:tr w:rsidR="00F5488A" w:rsidRPr="00F5488A" w:rsidTr="00DA1F9F">
        <w:trPr>
          <w:trHeight w:val="255"/>
        </w:trPr>
        <w:tc>
          <w:tcPr>
            <w:tcW w:w="2086" w:type="dxa"/>
            <w:tcBorders>
              <w:left w:val="nil"/>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rPr>
            </w:pPr>
          </w:p>
        </w:tc>
        <w:tc>
          <w:tcPr>
            <w:tcW w:w="1581"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9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51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50"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19"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763"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42" w:type="dxa"/>
            <w:tcBorders>
              <w:left w:val="nil"/>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r>
      <w:tr w:rsidR="00F5488A" w:rsidRPr="00F5488A" w:rsidTr="00DA1F9F">
        <w:trPr>
          <w:trHeight w:val="454"/>
        </w:trPr>
        <w:tc>
          <w:tcPr>
            <w:tcW w:w="2086"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left"/>
              <w:rPr>
                <w:rFonts w:ascii="Arial Narrow" w:hAnsi="Arial Narrow"/>
                <w:color w:val="000000"/>
              </w:rPr>
            </w:pPr>
          </w:p>
        </w:tc>
        <w:tc>
          <w:tcPr>
            <w:tcW w:w="1581"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93"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513"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50"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619"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763"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c>
          <w:tcPr>
            <w:tcW w:w="1442" w:type="dxa"/>
            <w:tcBorders>
              <w:left w:val="nil"/>
              <w:bottom w:val="single" w:sz="4" w:space="0" w:color="auto"/>
              <w:right w:val="nil"/>
            </w:tcBorders>
            <w:shd w:val="clear" w:color="auto" w:fill="auto"/>
            <w:noWrap/>
            <w:vAlign w:val="center"/>
          </w:tcPr>
          <w:p w:rsidR="00F5488A" w:rsidRPr="00F5488A" w:rsidRDefault="00F5488A" w:rsidP="00F5488A">
            <w:pPr>
              <w:spacing w:after="0"/>
              <w:ind w:firstLine="0"/>
              <w:jc w:val="right"/>
              <w:rPr>
                <w:rFonts w:ascii="Arial Narrow" w:hAnsi="Arial Narrow"/>
                <w:color w:val="000000"/>
              </w:rPr>
            </w:pPr>
          </w:p>
        </w:tc>
      </w:tr>
      <w:tr w:rsidR="00F5488A" w:rsidRPr="00553D3F" w:rsidTr="00DA1F9F">
        <w:trPr>
          <w:trHeight w:val="300"/>
        </w:trPr>
        <w:tc>
          <w:tcPr>
            <w:tcW w:w="2086" w:type="dxa"/>
            <w:tcBorders>
              <w:top w:val="single" w:sz="4" w:space="0" w:color="auto"/>
              <w:bottom w:val="single" w:sz="4" w:space="0" w:color="auto"/>
            </w:tcBorders>
            <w:shd w:val="clear" w:color="auto" w:fill="8DB3E2" w:themeFill="text2" w:themeFillTint="66"/>
            <w:noWrap/>
            <w:vAlign w:val="center"/>
            <w:hideMark/>
          </w:tcPr>
          <w:p w:rsidR="00F5488A" w:rsidRPr="007A4471" w:rsidRDefault="00F5488A" w:rsidP="00F5488A">
            <w:pPr>
              <w:pStyle w:val="cuadroCabe"/>
              <w:jc w:val="left"/>
            </w:pPr>
            <w:r>
              <w:t>Kontzeptua</w:t>
            </w:r>
          </w:p>
        </w:tc>
        <w:tc>
          <w:tcPr>
            <w:tcW w:w="1581" w:type="dxa"/>
            <w:tcBorders>
              <w:top w:val="single" w:sz="4" w:space="0" w:color="auto"/>
              <w:bottom w:val="single" w:sz="4" w:space="0" w:color="auto"/>
            </w:tcBorders>
            <w:shd w:val="clear" w:color="auto" w:fill="8DB3E2" w:themeFill="text2" w:themeFillTint="66"/>
            <w:noWrap/>
            <w:vAlign w:val="center"/>
            <w:hideMark/>
          </w:tcPr>
          <w:p w:rsidR="00F5488A" w:rsidRPr="007A4471" w:rsidRDefault="00F5488A" w:rsidP="00F5488A">
            <w:pPr>
              <w:pStyle w:val="cuadroCabe"/>
              <w:jc w:val="right"/>
            </w:pPr>
            <w:r>
              <w:t>Zenbatekoa</w:t>
            </w:r>
          </w:p>
        </w:tc>
        <w:tc>
          <w:tcPr>
            <w:tcW w:w="1693" w:type="dxa"/>
            <w:tcBorders>
              <w:top w:val="single" w:sz="4" w:space="0" w:color="auto"/>
              <w:bottom w:val="single" w:sz="4" w:space="0" w:color="auto"/>
            </w:tcBorders>
            <w:shd w:val="clear" w:color="auto" w:fill="8DB3E2" w:themeFill="text2" w:themeFillTint="66"/>
            <w:noWrap/>
            <w:vAlign w:val="center"/>
            <w:hideMark/>
          </w:tcPr>
          <w:p w:rsidR="00F5488A" w:rsidRDefault="00F5488A" w:rsidP="00F5488A">
            <w:pPr>
              <w:pStyle w:val="cuadroCabe"/>
              <w:jc w:val="right"/>
            </w:pPr>
            <w:r>
              <w:t>Ordaintzeko d</w:t>
            </w:r>
            <w:r>
              <w:t>a</w:t>
            </w:r>
            <w:r>
              <w:t xml:space="preserve">goen </w:t>
            </w:r>
          </w:p>
          <w:p w:rsidR="00F5488A" w:rsidRPr="007A4471" w:rsidRDefault="00F5488A" w:rsidP="00F5488A">
            <w:pPr>
              <w:pStyle w:val="cuadroCabe"/>
              <w:jc w:val="right"/>
            </w:pPr>
            <w:r>
              <w:t>saldoa</w:t>
            </w:r>
          </w:p>
        </w:tc>
        <w:tc>
          <w:tcPr>
            <w:tcW w:w="1513" w:type="dxa"/>
            <w:tcBorders>
              <w:top w:val="single" w:sz="4" w:space="0" w:color="auto"/>
              <w:bottom w:val="single" w:sz="4" w:space="0" w:color="auto"/>
            </w:tcBorders>
            <w:shd w:val="clear" w:color="auto" w:fill="8DB3E2" w:themeFill="text2" w:themeFillTint="66"/>
            <w:noWrap/>
            <w:vAlign w:val="center"/>
          </w:tcPr>
          <w:p w:rsidR="00F5488A" w:rsidRPr="007A4471" w:rsidRDefault="00F5488A" w:rsidP="00F5488A">
            <w:pPr>
              <w:pStyle w:val="cuadroCabe"/>
              <w:jc w:val="right"/>
            </w:pPr>
            <w:r>
              <w:t>Data</w:t>
            </w:r>
          </w:p>
        </w:tc>
        <w:tc>
          <w:tcPr>
            <w:tcW w:w="1450"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t>Interes-</w:t>
            </w:r>
          </w:p>
          <w:p w:rsidR="00F5488A" w:rsidRPr="007A4471" w:rsidRDefault="00F5488A" w:rsidP="00F5488A">
            <w:pPr>
              <w:pStyle w:val="cuadroCabe"/>
              <w:jc w:val="right"/>
            </w:pPr>
            <w:r>
              <w:t>tasa</w:t>
            </w:r>
          </w:p>
        </w:tc>
        <w:tc>
          <w:tcPr>
            <w:tcW w:w="1619"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t xml:space="preserve">Likidazio- </w:t>
            </w:r>
          </w:p>
          <w:p w:rsidR="00F5488A" w:rsidRPr="007A4471" w:rsidRDefault="00F5488A" w:rsidP="00F5488A">
            <w:pPr>
              <w:pStyle w:val="cuadroCabe"/>
              <w:jc w:val="right"/>
            </w:pPr>
            <w:r>
              <w:t>data</w:t>
            </w:r>
          </w:p>
        </w:tc>
        <w:tc>
          <w:tcPr>
            <w:tcW w:w="1763"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t>Sortutako</w:t>
            </w:r>
          </w:p>
          <w:p w:rsidR="00F5488A" w:rsidRPr="007A4471" w:rsidRDefault="00F5488A" w:rsidP="00F5488A">
            <w:pPr>
              <w:pStyle w:val="cuadroCabe"/>
              <w:jc w:val="right"/>
            </w:pPr>
            <w:r>
              <w:t>interesak</w:t>
            </w:r>
          </w:p>
        </w:tc>
        <w:tc>
          <w:tcPr>
            <w:tcW w:w="1442" w:type="dxa"/>
            <w:tcBorders>
              <w:top w:val="single" w:sz="4" w:space="0" w:color="auto"/>
              <w:bottom w:val="single" w:sz="4" w:space="0" w:color="auto"/>
            </w:tcBorders>
            <w:shd w:val="clear" w:color="auto" w:fill="8DB3E2" w:themeFill="text2" w:themeFillTint="66"/>
            <w:noWrap/>
            <w:vAlign w:val="center"/>
          </w:tcPr>
          <w:p w:rsidR="00F5488A" w:rsidRDefault="00F5488A" w:rsidP="00F5488A">
            <w:pPr>
              <w:pStyle w:val="cuadroCabe"/>
              <w:jc w:val="right"/>
            </w:pPr>
            <w:r>
              <w:t>Interes</w:t>
            </w:r>
          </w:p>
          <w:p w:rsidR="00F5488A" w:rsidRPr="007A4471" w:rsidRDefault="00F5488A" w:rsidP="00F5488A">
            <w:pPr>
              <w:pStyle w:val="cuadroCabe"/>
              <w:jc w:val="right"/>
            </w:pPr>
            <w:r>
              <w:t>likidatuak</w:t>
            </w:r>
          </w:p>
        </w:tc>
      </w:tr>
      <w:tr w:rsidR="006944BB" w:rsidRPr="00F5488A" w:rsidTr="00B30F92">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Mailegua</w:t>
            </w:r>
          </w:p>
        </w:tc>
        <w:tc>
          <w:tcPr>
            <w:tcW w:w="1581" w:type="dxa"/>
            <w:tcBorders>
              <w:top w:val="single" w:sz="4" w:space="0" w:color="auto"/>
              <w:left w:val="nil"/>
              <w:bottom w:val="nil"/>
              <w:right w:val="nil"/>
            </w:tcBorders>
            <w:shd w:val="clear" w:color="auto" w:fill="auto"/>
            <w:noWrap/>
            <w:vAlign w:val="center"/>
          </w:tcPr>
          <w:p w:rsidR="006944BB" w:rsidRPr="00F5488A" w:rsidRDefault="00B30F92" w:rsidP="00F5488A">
            <w:pPr>
              <w:spacing w:after="0"/>
              <w:ind w:firstLine="0"/>
              <w:jc w:val="right"/>
              <w:rPr>
                <w:rFonts w:ascii="Arial Narrow" w:hAnsi="Arial Narrow"/>
                <w:b/>
                <w:bCs/>
                <w:color w:val="000000"/>
              </w:rPr>
            </w:pPr>
            <w:r>
              <w:rPr>
                <w:rFonts w:ascii="Arial Narrow" w:hAnsi="Arial Narrow"/>
                <w:b/>
                <w:color w:val="000000"/>
              </w:rPr>
              <w:t>11.994.496</w:t>
            </w:r>
          </w:p>
        </w:tc>
        <w:tc>
          <w:tcPr>
            <w:tcW w:w="1693" w:type="dxa"/>
            <w:tcBorders>
              <w:top w:val="single" w:sz="4" w:space="0" w:color="auto"/>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11.994.496</w:t>
            </w: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2,0480</w:t>
            </w: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2014/04/15</w:t>
            </w:r>
          </w:p>
        </w:tc>
        <w:tc>
          <w:tcPr>
            <w:tcW w:w="1763" w:type="dxa"/>
            <w:tcBorders>
              <w:top w:val="single" w:sz="4" w:space="0" w:color="auto"/>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10.235</w:t>
            </w:r>
          </w:p>
        </w:tc>
        <w:tc>
          <w:tcPr>
            <w:tcW w:w="1442" w:type="dxa"/>
            <w:tcBorders>
              <w:top w:val="single" w:sz="4" w:space="0" w:color="auto"/>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-926.301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11.068.195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2014/04/15</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2014/05/12</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17.001</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-2.416.769</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8.651.426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2014/05/12</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2014/06/03</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10.828</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b/>
                <w:bCs/>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-2.579.550</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6.071.876</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2014/06/03</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2014/06/24</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7.254</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-2.324.451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3.747.425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2014/06/24</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2,0480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2014/09/08</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16.202</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-2.324.451</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1.422.974</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2014/09/08</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2,0480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4.129</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-1.422.974</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65.648</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Kreditu-kontua</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2.535.373</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2.535.373</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4,3670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2014/05/13</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13.225</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Kitapena</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-2.535.373</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2014/05/13</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13.225</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b/>
                <w:bCs/>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Mailegua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7.996.331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7.996.331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1,9520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2014/05/13</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18.644</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-2.544.186</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5.452.145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2014/05/13</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1,9520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2014/06/02</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5.913</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-1.736.305</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3.715.840</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2014/06/02</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1,9520</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2014/06/20</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3.627</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-1.549.632</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2.166.208</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2014/06/20</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1,9520</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15.387</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-2.166.208</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2014/10/29</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43.570</w:t>
            </w:r>
          </w:p>
        </w:tc>
      </w:tr>
      <w:tr w:rsidR="006944BB" w:rsidRPr="00F5488A" w:rsidTr="00DA1F9F">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Kreditu-kontua</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1.268.020</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1.268.020</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4,335</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2014/04/02</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305</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Kitapena</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-1.268.020</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2014/04/01</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b/>
                <w:bCs/>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305</w:t>
            </w:r>
          </w:p>
        </w:tc>
      </w:tr>
      <w:tr w:rsidR="006944BB" w:rsidRPr="00F5488A" w:rsidTr="00B30F92">
        <w:trPr>
          <w:trHeight w:val="255"/>
        </w:trPr>
        <w:tc>
          <w:tcPr>
            <w:tcW w:w="2086"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p>
        </w:tc>
        <w:tc>
          <w:tcPr>
            <w:tcW w:w="1581"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9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513"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450"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single" w:sz="4" w:space="0" w:color="auto"/>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763" w:type="dxa"/>
            <w:tcBorders>
              <w:top w:val="single" w:sz="4" w:space="0" w:color="auto"/>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single" w:sz="4" w:space="0" w:color="auto"/>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Mailegua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3.998.165</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3.998.165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2014/03/31</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2014/04/02</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488</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-1.223.613</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2.774.552</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2014/04/01</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2014/05/28</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9.650</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-288.011</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2.486.541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2014/05/28</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2014/06/02</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759</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-575.280</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1.911.261</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2014/06/02</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2014/06/19</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1.983</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-772.826</w:t>
            </w:r>
          </w:p>
        </w:tc>
        <w:tc>
          <w:tcPr>
            <w:tcW w:w="169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1.138.435</w:t>
            </w:r>
          </w:p>
        </w:tc>
        <w:tc>
          <w:tcPr>
            <w:tcW w:w="1513"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2014/06/19</w:t>
            </w:r>
          </w:p>
        </w:tc>
        <w:tc>
          <w:tcPr>
            <w:tcW w:w="1450"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bottom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2014/09/08</w:t>
            </w:r>
          </w:p>
        </w:tc>
        <w:tc>
          <w:tcPr>
            <w:tcW w:w="1763" w:type="dxa"/>
            <w:tcBorders>
              <w:top w:val="nil"/>
              <w:left w:val="nil"/>
              <w:bottom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5.627</w:t>
            </w:r>
          </w:p>
        </w:tc>
        <w:tc>
          <w:tcPr>
            <w:tcW w:w="1442" w:type="dxa"/>
            <w:tcBorders>
              <w:top w:val="nil"/>
              <w:left w:val="nil"/>
              <w:bottom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-774.818</w:t>
            </w:r>
          </w:p>
        </w:tc>
        <w:tc>
          <w:tcPr>
            <w:tcW w:w="169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363.617</w:t>
            </w:r>
          </w:p>
        </w:tc>
        <w:tc>
          <w:tcPr>
            <w:tcW w:w="1513"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2014/09/08</w:t>
            </w:r>
          </w:p>
        </w:tc>
        <w:tc>
          <w:tcPr>
            <w:tcW w:w="1450"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 2,1966</w:t>
            </w:r>
          </w:p>
        </w:tc>
        <w:tc>
          <w:tcPr>
            <w:tcW w:w="1619" w:type="dxa"/>
            <w:tcBorders>
              <w:top w:val="nil"/>
              <w:left w:val="nil"/>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2014/10/27</w:t>
            </w:r>
          </w:p>
        </w:tc>
        <w:tc>
          <w:tcPr>
            <w:tcW w:w="1763" w:type="dxa"/>
            <w:tcBorders>
              <w:top w:val="nil"/>
              <w:left w:val="nil"/>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1.087</w:t>
            </w:r>
          </w:p>
        </w:tc>
        <w:tc>
          <w:tcPr>
            <w:tcW w:w="1442" w:type="dxa"/>
            <w:tcBorders>
              <w:top w:val="nil"/>
              <w:left w:val="nil"/>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r>
      <w:tr w:rsidR="006944BB" w:rsidRPr="00F5488A" w:rsidTr="00B30F92">
        <w:trPr>
          <w:trHeight w:val="255"/>
        </w:trPr>
        <w:tc>
          <w:tcPr>
            <w:tcW w:w="2086"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left"/>
              <w:rPr>
                <w:rFonts w:ascii="Arial Narrow" w:hAnsi="Arial Narrow"/>
                <w:color w:val="000000"/>
              </w:rPr>
            </w:pPr>
            <w:r>
              <w:rPr>
                <w:rFonts w:ascii="Arial Narrow" w:hAnsi="Arial Narrow"/>
                <w:color w:val="000000"/>
              </w:rPr>
              <w:t>Amortizazioa</w:t>
            </w:r>
          </w:p>
        </w:tc>
        <w:tc>
          <w:tcPr>
            <w:tcW w:w="1581"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-363.617</w:t>
            </w:r>
          </w:p>
        </w:tc>
        <w:tc>
          <w:tcPr>
            <w:tcW w:w="1693"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color w:val="000000"/>
              </w:rPr>
            </w:pPr>
            <w:r>
              <w:rPr>
                <w:rFonts w:ascii="Arial Narrow" w:hAnsi="Arial Narrow"/>
                <w:color w:val="000000"/>
              </w:rPr>
              <w:t>0</w:t>
            </w:r>
          </w:p>
        </w:tc>
        <w:tc>
          <w:tcPr>
            <w:tcW w:w="1513"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r>
              <w:rPr>
                <w:rFonts w:ascii="Arial Narrow" w:hAnsi="Arial Narrow"/>
                <w:color w:val="000000"/>
              </w:rPr>
              <w:t>2014/10/27</w:t>
            </w:r>
          </w:p>
        </w:tc>
        <w:tc>
          <w:tcPr>
            <w:tcW w:w="1450"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color w:val="000000"/>
              </w:rPr>
            </w:pPr>
          </w:p>
        </w:tc>
        <w:tc>
          <w:tcPr>
            <w:tcW w:w="1619" w:type="dxa"/>
            <w:tcBorders>
              <w:top w:val="nil"/>
              <w:left w:val="nil"/>
              <w:bottom w:val="single" w:sz="4" w:space="0" w:color="auto"/>
              <w:right w:val="nil"/>
            </w:tcBorders>
            <w:shd w:val="clear" w:color="auto" w:fill="auto"/>
            <w:noWrap/>
            <w:vAlign w:val="center"/>
            <w:hideMark/>
          </w:tcPr>
          <w:p w:rsidR="006944BB" w:rsidRPr="00F5488A" w:rsidRDefault="006944BB" w:rsidP="00F5488A">
            <w:pPr>
              <w:spacing w:after="0"/>
              <w:ind w:firstLine="0"/>
              <w:jc w:val="right"/>
              <w:rPr>
                <w:rFonts w:ascii="Arial Narrow" w:hAnsi="Arial Narrow"/>
                <w:b/>
                <w:bCs/>
                <w:color w:val="000000"/>
              </w:rPr>
            </w:pPr>
          </w:p>
        </w:tc>
        <w:tc>
          <w:tcPr>
            <w:tcW w:w="1763" w:type="dxa"/>
            <w:tcBorders>
              <w:top w:val="nil"/>
              <w:left w:val="nil"/>
              <w:bottom w:val="single" w:sz="4" w:space="0" w:color="auto"/>
              <w:right w:val="nil"/>
            </w:tcBorders>
            <w:shd w:val="clear" w:color="auto" w:fill="auto"/>
            <w:noWrap/>
            <w:vAlign w:val="center"/>
          </w:tcPr>
          <w:p w:rsidR="006944BB" w:rsidRPr="00F5488A" w:rsidRDefault="006944BB" w:rsidP="00F5488A">
            <w:pPr>
              <w:spacing w:after="0"/>
              <w:ind w:firstLine="0"/>
              <w:jc w:val="right"/>
              <w:rPr>
                <w:rFonts w:ascii="Arial Narrow" w:hAnsi="Arial Narrow"/>
                <w:color w:val="000000"/>
              </w:rPr>
            </w:pPr>
          </w:p>
        </w:tc>
        <w:tc>
          <w:tcPr>
            <w:tcW w:w="1442" w:type="dxa"/>
            <w:tcBorders>
              <w:top w:val="nil"/>
              <w:left w:val="nil"/>
              <w:bottom w:val="single" w:sz="4" w:space="0" w:color="auto"/>
              <w:right w:val="nil"/>
            </w:tcBorders>
            <w:shd w:val="clear" w:color="auto" w:fill="auto"/>
            <w:noWrap/>
            <w:vAlign w:val="center"/>
          </w:tcPr>
          <w:p w:rsidR="006944BB" w:rsidRPr="00F5488A" w:rsidRDefault="009C4F69" w:rsidP="00F5488A">
            <w:pPr>
              <w:spacing w:after="0"/>
              <w:ind w:firstLine="0"/>
              <w:jc w:val="right"/>
              <w:rPr>
                <w:rFonts w:ascii="Arial Narrow" w:hAnsi="Arial Narrow"/>
                <w:b/>
                <w:bCs/>
                <w:color w:val="000000"/>
              </w:rPr>
            </w:pPr>
            <w:r>
              <w:rPr>
                <w:rFonts w:ascii="Arial Narrow" w:hAnsi="Arial Narrow"/>
                <w:b/>
                <w:color w:val="000000"/>
              </w:rPr>
              <w:t>19.592</w:t>
            </w:r>
          </w:p>
        </w:tc>
      </w:tr>
    </w:tbl>
    <w:p w:rsidR="004D1898" w:rsidRDefault="004D1898" w:rsidP="00875F62">
      <w:pPr>
        <w:pStyle w:val="texto"/>
        <w:tabs>
          <w:tab w:val="clear" w:pos="2835"/>
          <w:tab w:val="clear" w:pos="3969"/>
          <w:tab w:val="clear" w:pos="5103"/>
          <w:tab w:val="clear" w:pos="6237"/>
          <w:tab w:val="clear" w:pos="7371"/>
        </w:tabs>
        <w:spacing w:after="240"/>
        <w:ind w:firstLine="0"/>
        <w:rPr>
          <w:rFonts w:eastAsia="Calibri"/>
        </w:rPr>
        <w:sectPr w:rsidR="004D1898" w:rsidSect="005302D8">
          <w:footerReference w:type="default" r:id="rId16"/>
          <w:pgSz w:w="16840" w:h="11907" w:orient="landscape" w:code="9"/>
          <w:pgMar w:top="1559" w:right="2109" w:bottom="1559" w:left="1644" w:header="369" w:footer="136" w:gutter="0"/>
          <w:cols w:space="720"/>
          <w:docGrid w:linePitch="360"/>
        </w:sectPr>
      </w:pPr>
    </w:p>
    <w:p w:rsidR="00564F2D" w:rsidRDefault="00564F2D" w:rsidP="00875F62">
      <w:pPr>
        <w:pStyle w:val="texto"/>
        <w:tabs>
          <w:tab w:val="clear" w:pos="2835"/>
          <w:tab w:val="clear" w:pos="3969"/>
          <w:tab w:val="clear" w:pos="5103"/>
          <w:tab w:val="clear" w:pos="6237"/>
          <w:tab w:val="clear" w:pos="7371"/>
        </w:tabs>
        <w:spacing w:after="240"/>
        <w:ind w:firstLine="0"/>
        <w:rPr>
          <w:rFonts w:eastAsia="Calibri"/>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rPr>
      </w:pPr>
    </w:p>
    <w:p w:rsidR="004D1898" w:rsidRDefault="004D1898" w:rsidP="00875F62">
      <w:pPr>
        <w:pStyle w:val="texto"/>
        <w:tabs>
          <w:tab w:val="clear" w:pos="2835"/>
          <w:tab w:val="clear" w:pos="3969"/>
          <w:tab w:val="clear" w:pos="5103"/>
          <w:tab w:val="clear" w:pos="6237"/>
          <w:tab w:val="clear" w:pos="7371"/>
        </w:tabs>
        <w:spacing w:after="240"/>
        <w:ind w:firstLine="0"/>
        <w:rPr>
          <w:rFonts w:eastAsia="Calibri"/>
        </w:rPr>
      </w:pPr>
    </w:p>
    <w:p w:rsidR="00C05004" w:rsidRDefault="004D1898" w:rsidP="004D1898">
      <w:pPr>
        <w:pStyle w:val="atitulo1"/>
        <w:ind w:left="1512" w:right="29"/>
        <w:rPr>
          <w:rFonts w:ascii="Arial (W1)" w:hAnsi="Arial (W1)"/>
          <w:spacing w:val="-2"/>
          <w:sz w:val="32"/>
          <w:szCs w:val="32"/>
        </w:rPr>
      </w:pPr>
      <w:bookmarkStart w:id="38" w:name="_Toc441141972"/>
      <w:bookmarkStart w:id="39" w:name="_Toc446489696"/>
      <w:r>
        <w:rPr>
          <w:rFonts w:ascii="Arial (W1)" w:hAnsi="Arial (W1)"/>
          <w:spacing w:val="-2"/>
          <w:sz w:val="32"/>
        </w:rPr>
        <w:t>Behin-behineko txostenari aurkeztutako aleg</w:t>
      </w:r>
      <w:r>
        <w:rPr>
          <w:rFonts w:ascii="Arial (W1)" w:hAnsi="Arial (W1)"/>
          <w:spacing w:val="-2"/>
          <w:sz w:val="32"/>
        </w:rPr>
        <w:t>a</w:t>
      </w:r>
      <w:r>
        <w:rPr>
          <w:rFonts w:ascii="Arial (W1)" w:hAnsi="Arial (W1)"/>
          <w:spacing w:val="-2"/>
          <w:sz w:val="32"/>
        </w:rPr>
        <w:t>zioak</w:t>
      </w:r>
      <w:bookmarkEnd w:id="38"/>
      <w:bookmarkEnd w:id="39"/>
    </w:p>
    <w:p w:rsidR="00E130D8" w:rsidRPr="004E6132" w:rsidRDefault="00E130D8" w:rsidP="00E130D8">
      <w:pPr>
        <w:spacing w:before="75" w:line="341" w:lineRule="auto"/>
        <w:ind w:left="2935" w:right="797" w:hanging="2678"/>
        <w:rPr>
          <w:rFonts w:ascii="Helvetica LT Std" w:eastAsia="Arial" w:hAnsi="Helvetica LT Std" w:cs="Arial"/>
          <w:sz w:val="19"/>
          <w:szCs w:val="19"/>
        </w:rPr>
      </w:pPr>
      <w:r>
        <w:rPr>
          <w:rFonts w:ascii="Helvetica LT Std" w:hAnsi="Helvetica LT Std"/>
          <w:b/>
          <w:color w:val="181818"/>
          <w:sz w:val="19"/>
        </w:rPr>
        <w:t>Iberdrolaren akzioen salerosketa-eragiketaren emaitzei buruzko behin-behineko txo</w:t>
      </w:r>
      <w:r>
        <w:rPr>
          <w:rFonts w:ascii="Helvetica LT Std" w:hAnsi="Helvetica LT Std"/>
          <w:b/>
          <w:color w:val="181818"/>
          <w:sz w:val="19"/>
        </w:rPr>
        <w:t>s</w:t>
      </w:r>
      <w:r>
        <w:rPr>
          <w:rFonts w:ascii="Helvetica LT Std" w:hAnsi="Helvetica LT Std"/>
          <w:b/>
          <w:color w:val="181818"/>
          <w:sz w:val="19"/>
        </w:rPr>
        <w:t>tenari aurkeztutako (2005-2014) alegazioa/azalpena.</w:t>
      </w:r>
    </w:p>
    <w:p w:rsidR="00E130D8" w:rsidRPr="004E6132" w:rsidRDefault="00E130D8" w:rsidP="00E130D8">
      <w:pPr>
        <w:pStyle w:val="Textoindependiente"/>
        <w:spacing w:line="276" w:lineRule="auto"/>
        <w:ind w:right="729"/>
        <w:rPr>
          <w:rFonts w:ascii="Helvetica LT Std" w:hAnsi="Helvetica LT Std"/>
        </w:rPr>
      </w:pPr>
      <w:r>
        <w:rPr>
          <w:rFonts w:ascii="Helvetica LT Std" w:hAnsi="Helvetica LT Std"/>
          <w:color w:val="181818"/>
          <w:sz w:val="19"/>
        </w:rPr>
        <w:t>Aipatu txostena irakurri eta gero, uste dut interesgarria dela honako ñabardura hauek egitea:</w:t>
      </w:r>
    </w:p>
    <w:p w:rsidR="00E130D8" w:rsidRPr="00E130D8" w:rsidRDefault="00E130D8" w:rsidP="00E130D8">
      <w:pPr>
        <w:pStyle w:val="Textoindependiente"/>
        <w:spacing w:line="276" w:lineRule="auto"/>
        <w:rPr>
          <w:rFonts w:ascii="Helvetica LT Std" w:hAnsi="Helvetica LT Std"/>
          <w:color w:val="181818"/>
          <w:sz w:val="19"/>
          <w:szCs w:val="19"/>
        </w:rPr>
      </w:pPr>
      <w:r>
        <w:rPr>
          <w:rFonts w:ascii="Helvetica LT Std" w:hAnsi="Helvetica LT Std"/>
          <w:color w:val="181818"/>
          <w:sz w:val="19"/>
        </w:rPr>
        <w:t>1.- Txostenaren 4. orrialdean zehaztutako eragiketa estaltzearen kostua ZERO zen.</w:t>
      </w:r>
    </w:p>
    <w:p w:rsidR="00E130D8" w:rsidRPr="00E130D8" w:rsidRDefault="00E130D8" w:rsidP="00E130D8">
      <w:pPr>
        <w:pStyle w:val="Textoindependiente"/>
        <w:spacing w:line="276" w:lineRule="auto"/>
        <w:ind w:left="157" w:right="714" w:firstLine="23"/>
        <w:rPr>
          <w:rFonts w:ascii="Helvetica LT Std" w:hAnsi="Helvetica LT Std"/>
          <w:color w:val="181818"/>
          <w:sz w:val="19"/>
          <w:szCs w:val="19"/>
        </w:rPr>
      </w:pPr>
      <w:r>
        <w:rPr>
          <w:rFonts w:ascii="Helvetica LT Std" w:hAnsi="Helvetica LT Std"/>
          <w:color w:val="181818"/>
          <w:sz w:val="19"/>
        </w:rPr>
        <w:t>Sodenak 9.015.492 salmenta-opzio (put) 19,25 €/akzioko prezioan eta 2007ko maiatzaren 18ko mugaeguna izanda erosteagatik ordaindu beharko zuen zenbatekoa, hau da, erositako akzioen % 100 bi urte geroago erosketa-prezio berean (19,25 €/akzio) saldu ahal izatea be</w:t>
      </w:r>
      <w:r>
        <w:rPr>
          <w:rFonts w:ascii="Helvetica LT Std" w:hAnsi="Helvetica LT Std"/>
          <w:color w:val="181818"/>
          <w:sz w:val="19"/>
        </w:rPr>
        <w:t>r</w:t>
      </w:r>
      <w:r>
        <w:rPr>
          <w:rFonts w:ascii="Helvetica LT Std" w:hAnsi="Helvetica LT Std"/>
          <w:color w:val="181818"/>
          <w:sz w:val="19"/>
        </w:rPr>
        <w:t>matzeko zenbatekoa, eta 5.011.712 erosketa-opzio (call) 20,67 euro/akzioko prezioan eta 2007ko maiatzaren 18ko mugaeguna izanda saltzeagatik jaso beharreko zenbatekoa berd</w:t>
      </w:r>
      <w:r>
        <w:rPr>
          <w:rFonts w:ascii="Helvetica LT Std" w:hAnsi="Helvetica LT Std"/>
          <w:color w:val="181818"/>
          <w:sz w:val="19"/>
        </w:rPr>
        <w:t>i</w:t>
      </w:r>
      <w:r>
        <w:rPr>
          <w:rFonts w:ascii="Helvetica LT Std" w:hAnsi="Helvetica LT Std"/>
          <w:color w:val="181818"/>
          <w:sz w:val="19"/>
        </w:rPr>
        <w:t>nak ziren.</w:t>
      </w:r>
    </w:p>
    <w:p w:rsidR="00E130D8" w:rsidRPr="00E130D8" w:rsidRDefault="00E130D8" w:rsidP="00E130D8">
      <w:pPr>
        <w:pStyle w:val="Textoindependiente"/>
        <w:spacing w:line="276" w:lineRule="auto"/>
        <w:ind w:left="157" w:right="714" w:firstLine="23"/>
        <w:rPr>
          <w:rFonts w:ascii="Helvetica LT Std" w:hAnsi="Helvetica LT Std"/>
          <w:color w:val="181818"/>
          <w:sz w:val="19"/>
          <w:szCs w:val="19"/>
        </w:rPr>
      </w:pPr>
      <w:r>
        <w:rPr>
          <w:rFonts w:ascii="Helvetica LT Std" w:hAnsi="Helvetica LT Std"/>
          <w:color w:val="181818"/>
          <w:sz w:val="19"/>
        </w:rPr>
        <w:t>20,67 €/akzio zen estaldura-eguneko (hau da, 2005eko maiatzaren 26a) kotizazio-prezioa. Eta 19,25 €/akzio zen 2005eko otsailaren 10ean akzioek izan zuten erosketa-prezioa.</w:t>
      </w:r>
    </w:p>
    <w:p w:rsidR="00E130D8" w:rsidRPr="00E130D8" w:rsidRDefault="00E130D8" w:rsidP="00E130D8">
      <w:pPr>
        <w:pStyle w:val="Textoindependiente"/>
        <w:spacing w:before="9" w:line="276" w:lineRule="auto"/>
        <w:ind w:left="162"/>
        <w:rPr>
          <w:rFonts w:ascii="Helvetica LT Std" w:hAnsi="Helvetica LT Std"/>
          <w:color w:val="181818"/>
          <w:sz w:val="19"/>
          <w:szCs w:val="19"/>
        </w:rPr>
      </w:pPr>
      <w:r>
        <w:rPr>
          <w:rFonts w:ascii="Helvetica LT Std" w:hAnsi="Helvetica LT Std"/>
          <w:color w:val="181818"/>
          <w:sz w:val="19"/>
        </w:rPr>
        <w:t>Horrela eragiketa % 100ean bermatzen zen, Sodenarentzat inolako kosturik ekarri gabe.</w:t>
      </w:r>
    </w:p>
    <w:p w:rsidR="00E130D8" w:rsidRPr="00E130D8" w:rsidRDefault="00E130D8" w:rsidP="00E130D8">
      <w:pPr>
        <w:pStyle w:val="Textoindependiente"/>
        <w:spacing w:line="276" w:lineRule="auto"/>
        <w:ind w:left="143" w:right="733"/>
        <w:rPr>
          <w:rFonts w:ascii="Helvetica LT Std" w:hAnsi="Helvetica LT Std"/>
          <w:color w:val="181818"/>
          <w:sz w:val="19"/>
          <w:szCs w:val="19"/>
        </w:rPr>
      </w:pPr>
      <w:r>
        <w:rPr>
          <w:rFonts w:ascii="Helvetica LT Std" w:hAnsi="Helvetica LT Std"/>
          <w:color w:val="181818"/>
          <w:sz w:val="19"/>
        </w:rPr>
        <w:t>Mugaegunean (2007ko maiatzaren 18a) akzioak 20,67 €-tik gorako kotizazioa izanez gero (horrela gertatu zen, gainera) finantza entitate aseguratzaileak call opzioa erabiliko zukeen 20,67 €-ko prezioan, eta Sodenak akzio baloratuak izango zituzkeen: 5.011.712 akzio 20,67 €-ko prezioan eta gainerakoak, hau da,  4.003.780 akzio, merkatu-prezioan. Logikoa denez, akzio guztiei eutsi nahi bazien (azkenean gertatu zen bezala), egun horretako kotizazio-balioaren eta 20,67 €-ko prezioaren arteko aldea ordaindu beharko zukeen. Alde horrek 90.956.308 € ordaintzea ekarri zuen, akzioaren kotizazioa 38,82 €-koa baitzen.</w:t>
      </w:r>
    </w:p>
    <w:p w:rsidR="00E130D8" w:rsidRPr="00E130D8" w:rsidRDefault="00E130D8" w:rsidP="00E130D8">
      <w:pPr>
        <w:pStyle w:val="Textoindependiente"/>
        <w:spacing w:line="276" w:lineRule="auto"/>
        <w:ind w:left="138" w:right="735" w:firstLine="9"/>
        <w:rPr>
          <w:rFonts w:ascii="Helvetica LT Std" w:hAnsi="Helvetica LT Std"/>
          <w:color w:val="181818"/>
          <w:sz w:val="19"/>
          <w:szCs w:val="19"/>
        </w:rPr>
      </w:pPr>
      <w:r>
        <w:rPr>
          <w:rFonts w:ascii="Helvetica LT Std" w:hAnsi="Helvetica LT Std"/>
          <w:color w:val="181818"/>
          <w:sz w:val="19"/>
        </w:rPr>
        <w:t>Une horretan akzio guztiak saldu izanez gero, Sodenarentzako gainbalioa 176.425.161 €-koa izango zatekeen, estaldurarik egon ezean, eta 85.468.853 €-koa, aldiz, adierazi den estaldura likidatu ondoren. Erosketa-kostua 173.556.238 €-koa zen.</w:t>
      </w:r>
    </w:p>
    <w:p w:rsidR="00E130D8" w:rsidRPr="00E130D8" w:rsidRDefault="00E130D8" w:rsidP="00E130D8">
      <w:pPr>
        <w:pStyle w:val="Textoindependiente"/>
        <w:spacing w:line="276" w:lineRule="auto"/>
        <w:ind w:left="128" w:right="738" w:firstLine="14"/>
        <w:rPr>
          <w:rFonts w:ascii="Helvetica LT Std" w:hAnsi="Helvetica LT Std"/>
          <w:color w:val="181818"/>
          <w:sz w:val="19"/>
          <w:szCs w:val="19"/>
        </w:rPr>
      </w:pPr>
      <w:r>
        <w:rPr>
          <w:rFonts w:ascii="Helvetica LT Std" w:hAnsi="Helvetica LT Std"/>
          <w:color w:val="181818"/>
          <w:sz w:val="19"/>
        </w:rPr>
        <w:t>Baina epemugan (2007ko maiatzaren 18a) akzioaren kotizazioa 19,25 €-tik beherakoa izan balitz, Sodenak akzioak saltzeko put opzioak gauzatuko zituzkeen 19,25 €-ko erosketa-prezioan, inolako galerarik sortu gabe. Era berean, asmoa akzioei eustea izan balitz, 19,25 €-ko prezioaren eta merkatu-prezioaren arteko aldea kobratuko zatekeen, baloratutako akzioak merkatu-prezio horretan mantenduta.</w:t>
      </w:r>
    </w:p>
    <w:p w:rsidR="00E130D8" w:rsidRPr="004E6132" w:rsidRDefault="00E130D8" w:rsidP="00E130D8">
      <w:pPr>
        <w:pStyle w:val="Textoindependiente"/>
        <w:spacing w:line="276" w:lineRule="auto"/>
        <w:ind w:left="123" w:right="743" w:firstLine="14"/>
        <w:rPr>
          <w:rFonts w:ascii="Helvetica LT Std" w:hAnsi="Helvetica LT Std"/>
        </w:rPr>
      </w:pPr>
      <w:r>
        <w:rPr>
          <w:rFonts w:ascii="Helvetica LT Std" w:hAnsi="Helvetica LT Std"/>
          <w:color w:val="181818"/>
          <w:sz w:val="19"/>
        </w:rPr>
        <w:t>Ez dut azalduko nolakoa izan zitekeen funtzionamendua 19,25 eta 20,67 €-ren arteko kotiz</w:t>
      </w:r>
      <w:r>
        <w:rPr>
          <w:rFonts w:ascii="Helvetica LT Std" w:hAnsi="Helvetica LT Std"/>
          <w:color w:val="181818"/>
          <w:sz w:val="19"/>
        </w:rPr>
        <w:t>a</w:t>
      </w:r>
      <w:r>
        <w:rPr>
          <w:rFonts w:ascii="Helvetica LT Std" w:hAnsi="Helvetica LT Std"/>
          <w:color w:val="181818"/>
          <w:sz w:val="19"/>
        </w:rPr>
        <w:t>zio baterako, kotizazio horretan ez Sodenak ez finantza entitateak ez zituzketelako put eta call opzioak gauzatuko. Egun horretan, hau da, 2007ko maiatzaren 18an, Sodenaren akzio-zorroa merkatu-prezioan baloratuko zatekeen, gainbalio txiki bat izanda.</w:t>
      </w:r>
    </w:p>
    <w:p w:rsidR="00E130D8" w:rsidRPr="00E130D8" w:rsidRDefault="00E130D8" w:rsidP="00E130D8">
      <w:pPr>
        <w:pStyle w:val="Textoindependiente"/>
        <w:spacing w:line="276" w:lineRule="auto"/>
        <w:ind w:left="119" w:right="750"/>
        <w:rPr>
          <w:rFonts w:ascii="Helvetica LT Std" w:hAnsi="Helvetica LT Std"/>
          <w:color w:val="181818"/>
          <w:sz w:val="19"/>
          <w:szCs w:val="19"/>
        </w:rPr>
      </w:pPr>
      <w:r>
        <w:rPr>
          <w:rFonts w:ascii="Helvetica LT Std" w:hAnsi="Helvetica LT Std"/>
          <w:color w:val="181818"/>
          <w:sz w:val="19"/>
        </w:rPr>
        <w:t>Estaldura kontratatuz, Sodenak ziurtatzen zuen akzioak saltzen ahalko zituela 2007ko mai</w:t>
      </w:r>
      <w:r>
        <w:rPr>
          <w:rFonts w:ascii="Helvetica LT Std" w:hAnsi="Helvetica LT Std"/>
          <w:color w:val="181818"/>
          <w:sz w:val="19"/>
        </w:rPr>
        <w:t>a</w:t>
      </w:r>
      <w:r>
        <w:rPr>
          <w:rFonts w:ascii="Helvetica LT Std" w:hAnsi="Helvetica LT Std"/>
          <w:color w:val="181818"/>
          <w:sz w:val="19"/>
        </w:rPr>
        <w:t>tzaren 18an 19,25 €-ko erosketa-prezioan, gutxienez, eta, kotizazioa prezio horretatik gor</w:t>
      </w:r>
      <w:r>
        <w:rPr>
          <w:rFonts w:ascii="Helvetica LT Std" w:hAnsi="Helvetica LT Std"/>
          <w:color w:val="181818"/>
          <w:sz w:val="19"/>
        </w:rPr>
        <w:t>a</w:t>
      </w:r>
      <w:r>
        <w:rPr>
          <w:rFonts w:ascii="Helvetica LT Std" w:hAnsi="Helvetica LT Std"/>
          <w:color w:val="181818"/>
          <w:sz w:val="19"/>
        </w:rPr>
        <w:t>koa bazen, alde horren % 45 adinako etekina eskuratzen zuen (4.003.780 akzio merkatu-</w:t>
      </w:r>
      <w:r>
        <w:rPr>
          <w:rFonts w:ascii="Helvetica LT Std" w:hAnsi="Helvetica LT Std"/>
          <w:color w:val="181818"/>
          <w:sz w:val="19"/>
        </w:rPr>
        <w:lastRenderedPageBreak/>
        <w:t>prezioan eta 5.011.712 akzio 20,67 €-ko prezioan; bestela, 9.015.492 akzio 19,25 €-ko ero</w:t>
      </w:r>
      <w:r>
        <w:rPr>
          <w:rFonts w:ascii="Helvetica LT Std" w:hAnsi="Helvetica LT Std"/>
          <w:color w:val="181818"/>
          <w:sz w:val="19"/>
        </w:rPr>
        <w:t>s</w:t>
      </w:r>
      <w:r>
        <w:rPr>
          <w:rFonts w:ascii="Helvetica LT Std" w:hAnsi="Helvetica LT Std"/>
          <w:color w:val="181818"/>
          <w:sz w:val="19"/>
        </w:rPr>
        <w:t>keta-prezioan).</w:t>
      </w:r>
    </w:p>
    <w:p w:rsidR="00E130D8" w:rsidRPr="00E130D8" w:rsidRDefault="00E130D8" w:rsidP="00E130D8">
      <w:pPr>
        <w:pStyle w:val="Ttulo1"/>
        <w:spacing w:before="74" w:line="276" w:lineRule="auto"/>
        <w:ind w:left="134" w:right="655" w:firstLine="0"/>
        <w:rPr>
          <w:rFonts w:ascii="Helvetica LT Std" w:hAnsi="Helvetica LT Std" w:cs="Times New Roman"/>
          <w:b w:val="0"/>
          <w:bCs w:val="0"/>
          <w:color w:val="181818"/>
          <w:kern w:val="0"/>
          <w:sz w:val="19"/>
          <w:szCs w:val="19"/>
        </w:rPr>
      </w:pPr>
      <w:r>
        <w:rPr>
          <w:rFonts w:ascii="Helvetica LT Std" w:hAnsi="Helvetica LT Std"/>
          <w:b w:val="0"/>
          <w:color w:val="181818"/>
          <w:kern w:val="0"/>
          <w:sz w:val="19"/>
        </w:rPr>
        <w:t>Segurtatze-estaldura berritu ez zuenez, egun horretatik aurrera Sodenak erabaki zuen 9.015.492 akzioak 29,34 €-ko batez besteko erosketa-prezioan mantentzea, nahiz eta me</w:t>
      </w:r>
      <w:r>
        <w:rPr>
          <w:rFonts w:ascii="Helvetica LT Std" w:hAnsi="Helvetica LT Std"/>
          <w:b w:val="0"/>
          <w:color w:val="181818"/>
          <w:kern w:val="0"/>
          <w:sz w:val="19"/>
        </w:rPr>
        <w:t>r</w:t>
      </w:r>
      <w:r>
        <w:rPr>
          <w:rFonts w:ascii="Helvetica LT Std" w:hAnsi="Helvetica LT Std"/>
          <w:b w:val="0"/>
          <w:color w:val="181818"/>
          <w:kern w:val="0"/>
          <w:sz w:val="19"/>
        </w:rPr>
        <w:t>katu-prezioa 38,82 €-koa izan. Horrek 9,48 €-ko gainbalioa zekarren akzioko, eta inolako e</w:t>
      </w:r>
      <w:r>
        <w:rPr>
          <w:rFonts w:ascii="Helvetica LT Std" w:hAnsi="Helvetica LT Std"/>
          <w:b w:val="0"/>
          <w:color w:val="181818"/>
          <w:kern w:val="0"/>
          <w:sz w:val="19"/>
        </w:rPr>
        <w:t>s</w:t>
      </w:r>
      <w:r>
        <w:rPr>
          <w:rFonts w:ascii="Helvetica LT Std" w:hAnsi="Helvetica LT Std"/>
          <w:b w:val="0"/>
          <w:color w:val="181818"/>
          <w:kern w:val="0"/>
          <w:sz w:val="19"/>
        </w:rPr>
        <w:t>taldurarik gabe.</w:t>
      </w:r>
    </w:p>
    <w:p w:rsidR="00E130D8" w:rsidRPr="00E130D8" w:rsidRDefault="00E130D8" w:rsidP="00E130D8">
      <w:pPr>
        <w:spacing w:line="276" w:lineRule="auto"/>
        <w:ind w:left="130" w:right="645" w:firstLine="4"/>
        <w:rPr>
          <w:rFonts w:ascii="Helvetica LT Std" w:hAnsi="Helvetica LT Std"/>
          <w:color w:val="181818"/>
          <w:sz w:val="19"/>
          <w:szCs w:val="19"/>
        </w:rPr>
      </w:pPr>
      <w:r>
        <w:rPr>
          <w:rFonts w:ascii="Helvetica LT Std" w:hAnsi="Helvetica LT Std"/>
          <w:color w:val="181818"/>
          <w:sz w:val="19"/>
        </w:rPr>
        <w:t>2. Sodenak inbertsio guztiak aintzat hartu ditu lberdrolaren akzioak esku artean izan dituen b</w:t>
      </w:r>
      <w:r>
        <w:rPr>
          <w:rFonts w:ascii="Helvetica LT Std" w:hAnsi="Helvetica LT Std"/>
          <w:color w:val="181818"/>
          <w:sz w:val="19"/>
        </w:rPr>
        <w:t>i</w:t>
      </w:r>
      <w:r>
        <w:rPr>
          <w:rFonts w:ascii="Helvetica LT Std" w:hAnsi="Helvetica LT Std"/>
          <w:color w:val="181818"/>
          <w:sz w:val="19"/>
        </w:rPr>
        <w:t>tartean, uneoro horiei aurre egiteko behar bezalako likidezia izan baitu.</w:t>
      </w:r>
    </w:p>
    <w:p w:rsidR="00E130D8" w:rsidRPr="00E130D8" w:rsidRDefault="00E130D8" w:rsidP="00E130D8">
      <w:pPr>
        <w:spacing w:line="276" w:lineRule="auto"/>
        <w:ind w:left="130" w:right="653" w:hanging="10"/>
        <w:rPr>
          <w:rFonts w:ascii="Helvetica LT Std" w:hAnsi="Helvetica LT Std"/>
          <w:color w:val="181818"/>
          <w:sz w:val="19"/>
          <w:szCs w:val="19"/>
        </w:rPr>
      </w:pPr>
      <w:r>
        <w:rPr>
          <w:rFonts w:ascii="Helvetica LT Std" w:hAnsi="Helvetica LT Std"/>
          <w:color w:val="181818"/>
          <w:sz w:val="19"/>
        </w:rPr>
        <w:t>Sodenak lberdrolaren akzioetan inbertitu izan ez balu, beste alternatiba akziodunei dibide</w:t>
      </w:r>
      <w:r>
        <w:rPr>
          <w:rFonts w:ascii="Helvetica LT Std" w:hAnsi="Helvetica LT Std"/>
          <w:color w:val="181818"/>
          <w:sz w:val="19"/>
        </w:rPr>
        <w:t>n</w:t>
      </w:r>
      <w:r>
        <w:rPr>
          <w:rFonts w:ascii="Helvetica LT Std" w:hAnsi="Helvetica LT Std"/>
          <w:color w:val="181818"/>
          <w:sz w:val="19"/>
        </w:rPr>
        <w:t>duak banatzea edo kontu korrontean gordetzea izanen zatekeen. Hori dela eta, errentagarrit</w:t>
      </w:r>
      <w:r>
        <w:rPr>
          <w:rFonts w:ascii="Helvetica LT Std" w:hAnsi="Helvetica LT Std"/>
          <w:color w:val="181818"/>
          <w:sz w:val="19"/>
        </w:rPr>
        <w:t>a</w:t>
      </w:r>
      <w:r>
        <w:rPr>
          <w:rFonts w:ascii="Helvetica LT Std" w:hAnsi="Helvetica LT Std"/>
          <w:color w:val="181818"/>
          <w:sz w:val="19"/>
        </w:rPr>
        <w:t>suna benetan eskuratu zena baino txikiagoa izanen zatekeen.</w:t>
      </w:r>
    </w:p>
    <w:p w:rsidR="00E130D8" w:rsidRPr="00E130D8" w:rsidRDefault="00E130D8" w:rsidP="00E130D8">
      <w:pPr>
        <w:spacing w:line="276" w:lineRule="auto"/>
        <w:ind w:left="120" w:right="660" w:firstLine="4"/>
        <w:rPr>
          <w:rFonts w:ascii="Helvetica LT Std" w:hAnsi="Helvetica LT Std"/>
          <w:color w:val="181818"/>
          <w:sz w:val="19"/>
          <w:szCs w:val="19"/>
        </w:rPr>
      </w:pPr>
      <w:r>
        <w:rPr>
          <w:rFonts w:ascii="Helvetica LT Std" w:hAnsi="Helvetica LT Std"/>
          <w:color w:val="181818"/>
          <w:sz w:val="19"/>
        </w:rPr>
        <w:t>3. Sodenak lberdrolaren akzioak saltzeko aukera izan du edonoiz, 2005ean erosi zituenetik 2014an saldu zituen arte, inolako mugarik gabe.</w:t>
      </w:r>
    </w:p>
    <w:p w:rsidR="00E130D8" w:rsidRPr="00E130D8" w:rsidRDefault="00E130D8" w:rsidP="00E130D8">
      <w:pPr>
        <w:spacing w:line="276" w:lineRule="auto"/>
        <w:ind w:left="120" w:right="668" w:firstLine="4"/>
        <w:rPr>
          <w:rFonts w:ascii="Helvetica LT Std" w:hAnsi="Helvetica LT Std"/>
          <w:color w:val="181818"/>
          <w:sz w:val="19"/>
          <w:szCs w:val="19"/>
        </w:rPr>
      </w:pPr>
      <w:r>
        <w:rPr>
          <w:rFonts w:ascii="Helvetica LT Std" w:hAnsi="Helvetica LT Std"/>
          <w:color w:val="181818"/>
          <w:sz w:val="19"/>
        </w:rPr>
        <w:t>Amaierako errentagarritasuna akzioak behin betiko saltzeko hautatu den egunaren ondorio</w:t>
      </w:r>
      <w:r>
        <w:rPr>
          <w:rFonts w:ascii="Helvetica LT Std" w:hAnsi="Helvetica LT Std"/>
          <w:color w:val="181818"/>
          <w:sz w:val="19"/>
        </w:rPr>
        <w:t>z</w:t>
      </w:r>
      <w:r>
        <w:rPr>
          <w:rFonts w:ascii="Helvetica LT Std" w:hAnsi="Helvetica LT Std"/>
          <w:color w:val="181818"/>
          <w:sz w:val="19"/>
        </w:rPr>
        <w:t>koa izan da. Horrela, bada, beste egun batzuk hautatu balira, errentagarritasuna oso bestel</w:t>
      </w:r>
      <w:r>
        <w:rPr>
          <w:rFonts w:ascii="Helvetica LT Std" w:hAnsi="Helvetica LT Std"/>
          <w:color w:val="181818"/>
          <w:sz w:val="19"/>
        </w:rPr>
        <w:t>a</w:t>
      </w:r>
      <w:r>
        <w:rPr>
          <w:rFonts w:ascii="Helvetica LT Std" w:hAnsi="Helvetica LT Std"/>
          <w:color w:val="181818"/>
          <w:sz w:val="19"/>
        </w:rPr>
        <w:t>koa izanen zatekeen.</w:t>
      </w:r>
    </w:p>
    <w:p w:rsidR="00E130D8" w:rsidRPr="00E130D8" w:rsidRDefault="00E130D8" w:rsidP="00E130D8">
      <w:pPr>
        <w:spacing w:line="276" w:lineRule="auto"/>
        <w:ind w:left="101"/>
        <w:rPr>
          <w:rFonts w:ascii="Helvetica LT Std" w:hAnsi="Helvetica LT Std"/>
          <w:color w:val="181818"/>
          <w:sz w:val="19"/>
          <w:szCs w:val="19"/>
        </w:rPr>
      </w:pPr>
      <w:r>
        <w:rPr>
          <w:rFonts w:ascii="Helvetica LT Std" w:hAnsi="Helvetica LT Std"/>
          <w:color w:val="181818"/>
          <w:sz w:val="19"/>
        </w:rPr>
        <w:t>José Mª Aracama Yoldi</w:t>
      </w:r>
    </w:p>
    <w:p w:rsidR="00E130D8" w:rsidRDefault="00E130D8" w:rsidP="00E130D8">
      <w:pPr>
        <w:pStyle w:val="texto"/>
        <w:tabs>
          <w:tab w:val="clear" w:pos="2835"/>
          <w:tab w:val="clear" w:pos="3969"/>
          <w:tab w:val="clear" w:pos="5103"/>
          <w:tab w:val="clear" w:pos="6237"/>
          <w:tab w:val="clear" w:pos="7371"/>
        </w:tabs>
        <w:spacing w:after="240"/>
        <w:ind w:firstLine="0"/>
        <w:rPr>
          <w:rFonts w:eastAsia="Calibri"/>
        </w:rPr>
      </w:pPr>
    </w:p>
    <w:p w:rsidR="003F7C63" w:rsidRPr="00C615D1" w:rsidRDefault="003F7C63" w:rsidP="003F7C63">
      <w:pPr>
        <w:rPr>
          <w:rFonts w:ascii="Helvetica LT Std" w:hAnsi="Helvetica LT Std"/>
          <w:sz w:val="19"/>
          <w:szCs w:val="19"/>
        </w:rPr>
      </w:pPr>
      <w:r>
        <w:rPr>
          <w:rFonts w:ascii="Helvetica LT Std" w:hAnsi="Helvetica LT Std"/>
          <w:sz w:val="19"/>
        </w:rPr>
        <w:t>SODENA sozietate publikoak lberdrolaren akzioen salerosketa-eragiketaren emaitzei buruzko behin-behineko fiskalizazio-txostenari (2005-2014) dagokionez eta hori irakurri ondoren, Garapen Ek</w:t>
      </w:r>
      <w:r>
        <w:rPr>
          <w:rFonts w:ascii="Helvetica LT Std" w:hAnsi="Helvetica LT Std"/>
          <w:sz w:val="19"/>
        </w:rPr>
        <w:t>o</w:t>
      </w:r>
      <w:r>
        <w:rPr>
          <w:rFonts w:ascii="Helvetica LT Std" w:hAnsi="Helvetica LT Std"/>
          <w:sz w:val="19"/>
        </w:rPr>
        <w:t xml:space="preserve">nomikorako kontseilariak egin den lana eskertzen du, eta Kontuen Ganberako lehendakariari honako gogoeta hauek egiten dizkio: </w:t>
      </w:r>
    </w:p>
    <w:p w:rsidR="003F7C63" w:rsidRPr="00C615D1" w:rsidRDefault="003F7C63" w:rsidP="003F7C63">
      <w:pPr>
        <w:rPr>
          <w:rFonts w:ascii="Helvetica LT Std" w:hAnsi="Helvetica LT Std"/>
          <w:sz w:val="19"/>
          <w:szCs w:val="19"/>
        </w:rPr>
      </w:pPr>
      <w:r>
        <w:rPr>
          <w:rFonts w:ascii="Helvetica LT Std" w:hAnsi="Helvetica LT Std"/>
          <w:sz w:val="19"/>
        </w:rPr>
        <w:t>2008ko martxoko kapital-murrizketa zela eta Nafarroako Kutxari emandako lberdrolaren akzioak baloratzeko hartu zen irizpideak eragina izan du iritsitako konklusioetan. Emate horrek 72.412.432 e</w:t>
      </w:r>
      <w:r>
        <w:rPr>
          <w:rFonts w:ascii="Helvetica LT Std" w:hAnsi="Helvetica LT Std"/>
          <w:sz w:val="19"/>
        </w:rPr>
        <w:t>u</w:t>
      </w:r>
      <w:r>
        <w:rPr>
          <w:rFonts w:ascii="Helvetica LT Std" w:hAnsi="Helvetica LT Std"/>
          <w:sz w:val="19"/>
        </w:rPr>
        <w:t>roko zenbatespena izan zuen, eta kutxako fluxu positibotzat jo zen, hausnartutako bi agertokietan erre</w:t>
      </w:r>
      <w:r>
        <w:rPr>
          <w:rFonts w:ascii="Helvetica LT Std" w:hAnsi="Helvetica LT Std"/>
          <w:sz w:val="19"/>
        </w:rPr>
        <w:t>n</w:t>
      </w:r>
      <w:r>
        <w:rPr>
          <w:rFonts w:ascii="Helvetica LT Std" w:hAnsi="Helvetica LT Std"/>
          <w:sz w:val="19"/>
        </w:rPr>
        <w:t xml:space="preserve">tagarritasun-tasak kalkulatzeko ondorioetarako. Erabilitako irizpidearen ortodoxiari buruzko iritzia eman gabe, analisia asaldatzen duen elementu bat da, zalantzarik gabe. Horregatik, aurretik hausnartu diren bi agertokiez gain, hirugarren bat prestatzea iradokiko nuke. Hirugarren agertoki horretan, proposamena irizpide proportzional bat erabiltzea izanen litzateke; adibidez, bere garaian 9.015.492 akzio eskuratu beharrean 7.212.389 bakarrik eskuratu izana, horixe baita 2008aren ondoren azkenean mantendu ziren eta azken urteetan saldu ziren 28.849.574 akzioen kopuruaren baliokidea. Asmoa da Nafarroako Kutxa akzioak emanez akziodunen taldetik irteteak analisian eragin duen ohiz kanpoko efektua kentzea. Beste alternatiba bat izanen litzateke Nafarroako Kutxari emandako akzioak kontuan ez hartzea eta horien salmenta amaierako salmentan baloratzea. </w:t>
      </w:r>
    </w:p>
    <w:p w:rsidR="003F7C63" w:rsidRPr="00C615D1" w:rsidRDefault="003F7C63" w:rsidP="003F7C63">
      <w:pPr>
        <w:rPr>
          <w:rFonts w:ascii="Helvetica LT Std" w:hAnsi="Helvetica LT Std"/>
          <w:sz w:val="19"/>
          <w:szCs w:val="19"/>
        </w:rPr>
      </w:pPr>
      <w:r>
        <w:rPr>
          <w:rFonts w:ascii="Helvetica LT Std" w:hAnsi="Helvetica LT Std"/>
          <w:sz w:val="19"/>
        </w:rPr>
        <w:t>Gainera, txosten honek dudarik gabe daukan helburu pedagogikoa betetzeko asmoz, bigarren agertokian –aztertu den eragiketari lotutako zorraren finantza-zama gehitu gabe sarrera- eta irteera-fluxuak kontuan hartzen dituen horretan, hain zuzen ere–, hutsune bat dago: eragina milioitan zenb</w:t>
      </w:r>
      <w:r>
        <w:rPr>
          <w:rFonts w:ascii="Helvetica LT Std" w:hAnsi="Helvetica LT Std"/>
          <w:sz w:val="19"/>
        </w:rPr>
        <w:t>a</w:t>
      </w:r>
      <w:r>
        <w:rPr>
          <w:rFonts w:ascii="Helvetica LT Std" w:hAnsi="Helvetica LT Std"/>
          <w:sz w:val="19"/>
        </w:rPr>
        <w:t>tzea. Hau da, adierazi da agertoki horretan errentagarritasun-tasa % 2,21ekoa izan dela urtean, eta tasa hori zorraren kostua baino txikiagoa dela aldi osoan, zalantzarik gabe. Baina ez da adierazi, adibidez, saltzeagatiko zein diru-sarrera gehigarri izan beharko genituen (zenbat milioi euro gehiago sartu behar genuen), barneko errentagarritasun-tasa, % 2,21ekoa izan beharrean, zorraren kostua bezalakoa, g</w:t>
      </w:r>
      <w:r>
        <w:rPr>
          <w:rFonts w:ascii="Helvetica LT Std" w:hAnsi="Helvetica LT Std"/>
          <w:sz w:val="19"/>
        </w:rPr>
        <w:t>u</w:t>
      </w:r>
      <w:r>
        <w:rPr>
          <w:rFonts w:ascii="Helvetica LT Std" w:hAnsi="Helvetica LT Std"/>
          <w:sz w:val="19"/>
        </w:rPr>
        <w:t>txienez, izan zedin. Uste dut datu hori pedagogikoki garrantzitsua dela. Horretarako, arrazoizko adi</w:t>
      </w:r>
      <w:r>
        <w:rPr>
          <w:rFonts w:ascii="Helvetica LT Std" w:hAnsi="Helvetica LT Std"/>
          <w:sz w:val="19"/>
        </w:rPr>
        <w:t>e</w:t>
      </w:r>
      <w:r>
        <w:rPr>
          <w:rFonts w:ascii="Helvetica LT Std" w:hAnsi="Helvetica LT Std"/>
          <w:sz w:val="19"/>
        </w:rPr>
        <w:t xml:space="preserve">razle bat jo liteke zorraren kostutzat, adibidez, Nafarroako Gobernuak aldi horretan izan duen zorraren batez besteko kostua edo antzeko zerbait. </w:t>
      </w:r>
    </w:p>
    <w:p w:rsidR="003F7C63" w:rsidRPr="00C615D1" w:rsidRDefault="003F7C63" w:rsidP="003F7C63">
      <w:pPr>
        <w:rPr>
          <w:rFonts w:ascii="Helvetica LT Std" w:hAnsi="Helvetica LT Std"/>
          <w:sz w:val="19"/>
          <w:szCs w:val="19"/>
        </w:rPr>
      </w:pPr>
      <w:r>
        <w:rPr>
          <w:rFonts w:ascii="Helvetica LT Std" w:hAnsi="Helvetica LT Std"/>
          <w:sz w:val="19"/>
        </w:rPr>
        <w:t xml:space="preserve">Hori jakinarazten dut Nafarroako Kontuen Ganberako lehendakariaren 2016ko urtarrilaren 11ko Ebazpenean xedatutakoa betetzeko, behar diren ondorioak izan ditzan.  </w:t>
      </w:r>
    </w:p>
    <w:p w:rsidR="003F7C63" w:rsidRPr="00C615D1" w:rsidRDefault="003F7C63" w:rsidP="003F7C63">
      <w:pPr>
        <w:rPr>
          <w:rFonts w:ascii="Helvetica LT Std" w:hAnsi="Helvetica LT Std"/>
          <w:sz w:val="19"/>
          <w:szCs w:val="19"/>
        </w:rPr>
      </w:pPr>
      <w:r>
        <w:rPr>
          <w:rFonts w:ascii="Helvetica LT Std" w:hAnsi="Helvetica LT Std"/>
          <w:sz w:val="19"/>
        </w:rPr>
        <w:t xml:space="preserve">Iruñean, 2016ko urtarrilaren 19an. </w:t>
      </w:r>
    </w:p>
    <w:p w:rsidR="00E130D8" w:rsidRPr="003F7C63" w:rsidRDefault="003F7C63" w:rsidP="003F7C63">
      <w:pPr>
        <w:rPr>
          <w:rFonts w:ascii="Helvetica LT Std" w:hAnsi="Helvetica LT Std"/>
          <w:sz w:val="19"/>
          <w:szCs w:val="19"/>
        </w:rPr>
      </w:pPr>
      <w:r>
        <w:rPr>
          <w:rFonts w:ascii="Helvetica LT Std" w:hAnsi="Helvetica LT Std"/>
          <w:sz w:val="19"/>
        </w:rPr>
        <w:t>Garapen Ekonomikorako kontseilaria: Manuel Ayerdi Olaizola</w:t>
      </w:r>
    </w:p>
    <w:p w:rsidR="00E130D8" w:rsidRDefault="00E130D8" w:rsidP="004D1898">
      <w:pPr>
        <w:pStyle w:val="atitulo1"/>
        <w:ind w:left="1512" w:right="29"/>
        <w:rPr>
          <w:rFonts w:ascii="Arial (W1)" w:hAnsi="Arial (W1)"/>
          <w:spacing w:val="-2"/>
          <w:sz w:val="32"/>
          <w:szCs w:val="32"/>
        </w:rPr>
      </w:pPr>
    </w:p>
    <w:p w:rsidR="00E130D8" w:rsidRDefault="00E130D8" w:rsidP="004D1898">
      <w:pPr>
        <w:pStyle w:val="atitulo1"/>
        <w:ind w:left="1512" w:right="29"/>
        <w:rPr>
          <w:rFonts w:ascii="Arial (W1)" w:hAnsi="Arial (W1)"/>
          <w:spacing w:val="-2"/>
          <w:sz w:val="32"/>
          <w:szCs w:val="32"/>
        </w:rPr>
        <w:sectPr w:rsidR="00E130D8" w:rsidSect="004D1898">
          <w:footerReference w:type="default" r:id="rId17"/>
          <w:pgSz w:w="11907" w:h="16840" w:code="9"/>
          <w:pgMar w:top="2109" w:right="1559" w:bottom="1644" w:left="1559" w:header="369" w:footer="136" w:gutter="0"/>
          <w:cols w:space="720"/>
          <w:docGrid w:linePitch="360"/>
        </w:sectPr>
      </w:pPr>
    </w:p>
    <w:p w:rsidR="004D1898" w:rsidRPr="00561D26" w:rsidRDefault="004D1898" w:rsidP="004D1898">
      <w:pPr>
        <w:pStyle w:val="atitulo1"/>
        <w:spacing w:after="280"/>
        <w:rPr>
          <w:rFonts w:cs="Arial"/>
          <w:bCs/>
          <w:color w:val="auto"/>
          <w:szCs w:val="25"/>
        </w:rPr>
      </w:pPr>
      <w:bookmarkStart w:id="40" w:name="_Toc333911817"/>
      <w:bookmarkStart w:id="41" w:name="_Toc360095142"/>
      <w:bookmarkStart w:id="42" w:name="_Toc360095775"/>
      <w:bookmarkStart w:id="43" w:name="_Toc446489697"/>
      <w:r>
        <w:rPr>
          <w:color w:val="auto"/>
        </w:rPr>
        <w:lastRenderedPageBreak/>
        <w:t>Aurkeztutako alegazioei Kontuen Ganberak emandako erantzuna</w:t>
      </w:r>
      <w:bookmarkEnd w:id="43"/>
      <w:r>
        <w:rPr>
          <w:color w:val="auto"/>
        </w:rPr>
        <w:t xml:space="preserve"> </w:t>
      </w:r>
      <w:bookmarkEnd w:id="40"/>
      <w:bookmarkEnd w:id="41"/>
      <w:bookmarkEnd w:id="42"/>
    </w:p>
    <w:p w:rsidR="007C33FD" w:rsidRPr="000A7E76" w:rsidRDefault="005228CD" w:rsidP="007C33FD">
      <w:pPr>
        <w:pStyle w:val="texto"/>
        <w:rPr>
          <w:rFonts w:ascii="Arial" w:hAnsi="Arial" w:cs="Arial"/>
          <w:sz w:val="24"/>
        </w:rPr>
      </w:pPr>
      <w:r>
        <w:rPr>
          <w:rFonts w:ascii="Arial" w:hAnsi="Arial"/>
          <w:sz w:val="24"/>
        </w:rPr>
        <w:t>Sodenako 2005eko zuzendari nagusiak eta Garapen Ekonomikorako ko</w:t>
      </w:r>
      <w:r>
        <w:rPr>
          <w:rFonts w:ascii="Arial" w:hAnsi="Arial"/>
          <w:sz w:val="24"/>
        </w:rPr>
        <w:t>n</w:t>
      </w:r>
      <w:r>
        <w:rPr>
          <w:rFonts w:ascii="Arial" w:hAnsi="Arial"/>
          <w:sz w:val="24"/>
        </w:rPr>
        <w:t>tseilari eta Sodenako 2015eko Administrazio Kontseiluko buruak aurkeztu d</w:t>
      </w:r>
      <w:r>
        <w:rPr>
          <w:rFonts w:ascii="Arial" w:hAnsi="Arial"/>
          <w:sz w:val="24"/>
        </w:rPr>
        <w:t>i</w:t>
      </w:r>
      <w:r>
        <w:rPr>
          <w:rFonts w:ascii="Arial" w:hAnsi="Arial"/>
          <w:sz w:val="24"/>
        </w:rPr>
        <w:t>tuzten alegazioak behin-behineko txostenera gehitu, eta txostena behin betiko bihurtzen da, uste baita egin den fiskalizazioaren azalpen direla eta haren edukia aldatzen ez dutela, nahiz eta Ganberak honako alderdi hauek naba</w:t>
      </w:r>
      <w:r>
        <w:rPr>
          <w:rFonts w:ascii="Arial" w:hAnsi="Arial"/>
          <w:sz w:val="24"/>
        </w:rPr>
        <w:t>r</w:t>
      </w:r>
      <w:r>
        <w:rPr>
          <w:rFonts w:ascii="Arial" w:hAnsi="Arial"/>
          <w:sz w:val="24"/>
        </w:rPr>
        <w:t>mendu nahi dituen:</w:t>
      </w:r>
    </w:p>
    <w:p w:rsidR="007C33FD" w:rsidRPr="000A7E76" w:rsidRDefault="007C33FD" w:rsidP="007C33FD">
      <w:pPr>
        <w:keepNext/>
        <w:spacing w:after="240"/>
        <w:ind w:firstLine="0"/>
        <w:rPr>
          <w:rFonts w:ascii="GillSans" w:hAnsi="GillSans"/>
          <w:b/>
          <w:bCs/>
          <w:kern w:val="28"/>
          <w:sz w:val="26"/>
        </w:rPr>
      </w:pPr>
    </w:p>
    <w:p w:rsidR="007C33FD" w:rsidRPr="000A7E76" w:rsidRDefault="007C33FD" w:rsidP="007C33FD">
      <w:pPr>
        <w:pStyle w:val="atitulo3"/>
        <w:rPr>
          <w:color w:val="auto"/>
        </w:rPr>
      </w:pPr>
      <w:r>
        <w:rPr>
          <w:color w:val="auto"/>
        </w:rPr>
        <w:t>Garapen Ekonomikorako kontseilariak aurkeztutako alegazioei ema</w:t>
      </w:r>
      <w:r>
        <w:rPr>
          <w:color w:val="auto"/>
        </w:rPr>
        <w:t>n</w:t>
      </w:r>
      <w:r>
        <w:rPr>
          <w:color w:val="auto"/>
        </w:rPr>
        <w:t>dako erantzuna</w:t>
      </w:r>
    </w:p>
    <w:p w:rsidR="00B538B9" w:rsidRPr="000A7E76" w:rsidRDefault="00B538B9" w:rsidP="00B538B9">
      <w:pPr>
        <w:pStyle w:val="texto"/>
        <w:rPr>
          <w:rFonts w:ascii="Arial" w:hAnsi="Arial" w:cs="Arial"/>
          <w:sz w:val="24"/>
        </w:rPr>
      </w:pPr>
      <w:r>
        <w:rPr>
          <w:rFonts w:ascii="Arial" w:hAnsi="Arial"/>
          <w:sz w:val="24"/>
        </w:rPr>
        <w:t xml:space="preserve"> Uste dugu Iberdrolaren akzioetako inbertsioari buruz kalkulatu ditugun f</w:t>
      </w:r>
      <w:r>
        <w:rPr>
          <w:rFonts w:ascii="Arial" w:hAnsi="Arial"/>
          <w:sz w:val="24"/>
        </w:rPr>
        <w:t>i</w:t>
      </w:r>
      <w:r>
        <w:rPr>
          <w:rFonts w:ascii="Arial" w:hAnsi="Arial"/>
          <w:sz w:val="24"/>
        </w:rPr>
        <w:t>nantza-adierazleak iradokigarriak eta nahikoak direla eragiketa horren ema</w:t>
      </w:r>
      <w:r>
        <w:rPr>
          <w:rFonts w:ascii="Arial" w:hAnsi="Arial"/>
          <w:sz w:val="24"/>
        </w:rPr>
        <w:t>i</w:t>
      </w:r>
      <w:r>
        <w:rPr>
          <w:rFonts w:ascii="Arial" w:hAnsi="Arial"/>
          <w:sz w:val="24"/>
        </w:rPr>
        <w:t>tzak eta errentagarritasuna agerrarazteko, eta, beste batzuk proposa bal</w:t>
      </w:r>
      <w:r>
        <w:rPr>
          <w:rFonts w:ascii="Arial" w:hAnsi="Arial"/>
          <w:sz w:val="24"/>
        </w:rPr>
        <w:t>i</w:t>
      </w:r>
      <w:r>
        <w:rPr>
          <w:rFonts w:ascii="Arial" w:hAnsi="Arial"/>
          <w:sz w:val="24"/>
        </w:rPr>
        <w:t>tezke ere, ez dugu egokitzat jotzen gertatu ez den alternatibarik ebaluatzea.</w:t>
      </w:r>
    </w:p>
    <w:p w:rsidR="007C33FD" w:rsidRPr="000A7E76" w:rsidRDefault="007C33FD" w:rsidP="007C33FD">
      <w:pPr>
        <w:rPr>
          <w:rFonts w:ascii="Arial" w:hAnsi="Arial" w:cs="Arial"/>
          <w:spacing w:val="6"/>
          <w:sz w:val="24"/>
          <w:szCs w:val="24"/>
        </w:rPr>
      </w:pPr>
    </w:p>
    <w:p w:rsidR="007C33FD" w:rsidRPr="000A7E76" w:rsidRDefault="007C33FD" w:rsidP="007C33FD">
      <w:pPr>
        <w:spacing w:after="120"/>
        <w:ind w:firstLine="0"/>
        <w:jc w:val="center"/>
        <w:rPr>
          <w:rFonts w:ascii="Arial" w:hAnsi="Arial" w:cs="Arial"/>
          <w:spacing w:val="6"/>
          <w:sz w:val="24"/>
          <w:szCs w:val="24"/>
        </w:rPr>
      </w:pPr>
      <w:r>
        <w:rPr>
          <w:rFonts w:ascii="Arial" w:hAnsi="Arial"/>
          <w:spacing w:val="6"/>
          <w:sz w:val="24"/>
        </w:rPr>
        <w:t>Iruñean, 2016ko urtarrilaren 21ean.</w:t>
      </w:r>
    </w:p>
    <w:p w:rsidR="007C33FD" w:rsidRPr="000A7E76" w:rsidRDefault="007C33FD" w:rsidP="007C33FD">
      <w:pPr>
        <w:numPr>
          <w:ilvl w:val="12"/>
          <w:numId w:val="0"/>
        </w:numPr>
        <w:spacing w:after="1200"/>
        <w:jc w:val="center"/>
        <w:rPr>
          <w:rFonts w:ascii="Arial" w:hAnsi="Arial" w:cs="Arial"/>
          <w:spacing w:val="6"/>
          <w:sz w:val="24"/>
          <w:szCs w:val="24"/>
        </w:rPr>
      </w:pPr>
      <w:r>
        <w:rPr>
          <w:rFonts w:ascii="Arial" w:hAnsi="Arial"/>
          <w:spacing w:val="6"/>
          <w:sz w:val="24"/>
        </w:rPr>
        <w:t>Lehendakaria: Helio Robleda Cabezas.</w:t>
      </w:r>
    </w:p>
    <w:p w:rsidR="004D1898" w:rsidRPr="000A7E76" w:rsidRDefault="004D1898" w:rsidP="004D1898">
      <w:pPr>
        <w:pStyle w:val="texto"/>
        <w:tabs>
          <w:tab w:val="clear" w:pos="2835"/>
          <w:tab w:val="clear" w:pos="3969"/>
          <w:tab w:val="clear" w:pos="5103"/>
          <w:tab w:val="clear" w:pos="6237"/>
          <w:tab w:val="clear" w:pos="7371"/>
        </w:tabs>
        <w:spacing w:after="240"/>
        <w:ind w:firstLine="0"/>
        <w:rPr>
          <w:rFonts w:eastAsia="Calibri"/>
        </w:rPr>
      </w:pPr>
    </w:p>
    <w:sectPr w:rsidR="004D1898" w:rsidRPr="000A7E76" w:rsidSect="004D1898">
      <w:footerReference w:type="default" r:id="rId18"/>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6E" w:rsidRDefault="0056596E">
      <w:r>
        <w:separator/>
      </w:r>
    </w:p>
    <w:p w:rsidR="0056596E" w:rsidRDefault="0056596E"/>
    <w:p w:rsidR="0056596E" w:rsidRDefault="0056596E"/>
    <w:p w:rsidR="0056596E" w:rsidRDefault="0056596E"/>
  </w:endnote>
  <w:endnote w:type="continuationSeparator" w:id="0">
    <w:p w:rsidR="0056596E" w:rsidRDefault="0056596E">
      <w:r>
        <w:continuationSeparator/>
      </w:r>
    </w:p>
    <w:p w:rsidR="0056596E" w:rsidRDefault="0056596E"/>
    <w:p w:rsidR="0056596E" w:rsidRDefault="0056596E"/>
    <w:p w:rsidR="0056596E" w:rsidRDefault="00565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raj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6596E" w:rsidRDefault="0056596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4FEDA6A1" wp14:editId="6B1E5763">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56596E" w:rsidRPr="00F74E38" w:rsidRDefault="0056596E" w:rsidP="00F03814">
    <w:pPr>
      <w:pStyle w:val="Piedepgina"/>
      <w:tabs>
        <w:tab w:val="clear" w:pos="4252"/>
        <w:tab w:val="clear" w:pos="8504"/>
        <w:tab w:val="center" w:pos="4560"/>
      </w:tabs>
      <w:ind w:right="360"/>
      <w:jc w:val="left"/>
      <w:rPr>
        <w:rStyle w:val="Nmerodepgina"/>
      </w:rPr>
    </w:pPr>
  </w:p>
  <w:p w:rsidR="0056596E" w:rsidRPr="00C13453" w:rsidRDefault="0056596E"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02D6783D" wp14:editId="78CF642B">
          <wp:extent cx="219075" cy="371475"/>
          <wp:effectExtent l="0" t="0" r="0" b="0"/>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8634D">
      <w:rPr>
        <w:rStyle w:val="Nmerodepgina"/>
        <w:noProof/>
        <w:szCs w:val="24"/>
      </w:rPr>
      <w:t>21</w:t>
    </w:r>
    <w:r w:rsidRPr="001D4F09">
      <w:rPr>
        <w:rStyle w:val="Nmerodepgina"/>
        <w:szCs w:val="24"/>
      </w:rPr>
      <w:fldChar w:fldCharType="end"/>
    </w:r>
    <w:r>
      <w:rPr>
        <w:rStyle w:val="Nmerodepgina"/>
      </w:rPr>
      <w:t xml:space="preserve"> -</w:t>
    </w:r>
  </w:p>
  <w:p w:rsidR="0056596E" w:rsidRPr="00C13453" w:rsidRDefault="0056596E" w:rsidP="00D2472C">
    <w:pPr>
      <w:pStyle w:val="BorradorProvisional"/>
      <w:ind w:left="0"/>
      <w:jc w:val="center"/>
    </w:pPr>
  </w:p>
  <w:p w:rsidR="0056596E" w:rsidRDefault="005659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4B4BD43D" wp14:editId="371A000D">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tab/>
    </w:r>
    <w:r>
      <w:tab/>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8634D">
      <w:rPr>
        <w:rStyle w:val="Nmerodepgina"/>
        <w:noProof/>
        <w:szCs w:val="24"/>
      </w:rPr>
      <w:t>25</w:t>
    </w:r>
    <w:r w:rsidRPr="001D4F09">
      <w:rPr>
        <w:rStyle w:val="Nmerodepgina"/>
        <w:szCs w:val="24"/>
      </w:rPr>
      <w:fldChar w:fldCharType="end"/>
    </w:r>
    <w:r>
      <w:rPr>
        <w:rStyle w:val="Nmerodepgina"/>
      </w:rPr>
      <w:t xml:space="preserve"> -</w:t>
    </w:r>
  </w:p>
  <w:p w:rsidR="0056596E" w:rsidRPr="00C13453" w:rsidRDefault="0056596E" w:rsidP="00D2472C">
    <w:pPr>
      <w:pStyle w:val="BorradorProvisional"/>
      <w:ind w:left="0"/>
      <w:jc w:val="center"/>
    </w:pPr>
  </w:p>
  <w:p w:rsidR="0056596E" w:rsidRDefault="0056596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05882B66" wp14:editId="53F58DAB">
          <wp:extent cx="219075" cy="371475"/>
          <wp:effectExtent l="0" t="0" r="0" b="0"/>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4452B">
      <w:rPr>
        <w:rStyle w:val="Nmerodepgina"/>
        <w:noProof/>
        <w:szCs w:val="24"/>
      </w:rPr>
      <w:t>28</w:t>
    </w:r>
    <w:r w:rsidRPr="001D4F09">
      <w:rPr>
        <w:rStyle w:val="Nmerodepgina"/>
        <w:szCs w:val="24"/>
      </w:rPr>
      <w:fldChar w:fldCharType="end"/>
    </w:r>
    <w:r>
      <w:rPr>
        <w:rStyle w:val="Nmerodepgina"/>
      </w:rPr>
      <w:t xml:space="preserve"> -</w:t>
    </w:r>
  </w:p>
  <w:p w:rsidR="0056596E" w:rsidRPr="00C13453" w:rsidRDefault="0056596E" w:rsidP="00D2472C">
    <w:pPr>
      <w:pStyle w:val="BorradorProvisional"/>
      <w:ind w:left="0"/>
      <w:jc w:val="center"/>
    </w:pPr>
  </w:p>
  <w:p w:rsidR="0056596E" w:rsidRDefault="0056596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Pr="00F03814" w:rsidRDefault="0056596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7EF474CA" wp14:editId="033178BA">
          <wp:extent cx="219075" cy="371475"/>
          <wp:effectExtent l="0" t="0" r="0" b="0"/>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p>
  <w:p w:rsidR="0056596E" w:rsidRPr="00C13453" w:rsidRDefault="0056596E" w:rsidP="00D2472C">
    <w:pPr>
      <w:pStyle w:val="BorradorProvisional"/>
      <w:ind w:left="0"/>
      <w:jc w:val="center"/>
    </w:pPr>
  </w:p>
  <w:p w:rsidR="0056596E" w:rsidRDefault="00565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6E" w:rsidRDefault="0056596E">
      <w:r>
        <w:separator/>
      </w:r>
    </w:p>
    <w:p w:rsidR="0056596E" w:rsidRDefault="0056596E"/>
    <w:p w:rsidR="0056596E" w:rsidRDefault="0056596E"/>
    <w:p w:rsidR="0056596E" w:rsidRDefault="0056596E"/>
  </w:footnote>
  <w:footnote w:type="continuationSeparator" w:id="0">
    <w:p w:rsidR="0056596E" w:rsidRDefault="0056596E">
      <w:r>
        <w:continuationSeparator/>
      </w:r>
    </w:p>
    <w:p w:rsidR="0056596E" w:rsidRDefault="0056596E"/>
    <w:p w:rsidR="0056596E" w:rsidRDefault="0056596E"/>
    <w:p w:rsidR="0056596E" w:rsidRDefault="0056596E"/>
  </w:footnote>
  <w:footnote w:id="1">
    <w:p w:rsidR="007C7938" w:rsidRDefault="007C7938">
      <w:pPr>
        <w:pStyle w:val="Textonotapie"/>
      </w:pPr>
      <w:r>
        <w:rPr>
          <w:rStyle w:val="Refdenotaalpie"/>
        </w:rPr>
        <w:footnoteRef/>
      </w:r>
      <w:r>
        <w:t xml:space="preserve"> Paragrafoa aldatu egin da, Nafarroako Enpresa Korporazio Publikoko finantza eta kontrol zuzend</w:t>
      </w:r>
      <w:r>
        <w:t>a</w:t>
      </w:r>
      <w:r>
        <w:t>riak aurkeztutako alegazioaren ondorioz.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7C36BE">
    <w:pPr>
      <w:pStyle w:val="Encabezado"/>
      <w:pBdr>
        <w:bottom w:val="single" w:sz="4" w:space="1" w:color="auto"/>
      </w:pBdr>
      <w:spacing w:after="40"/>
      <w:ind w:firstLine="0"/>
      <w:jc w:val="left"/>
    </w:pPr>
    <w:r>
      <w:rPr>
        <w:b/>
        <w:noProof/>
        <w:lang w:val="es-ES" w:eastAsia="es-ES" w:bidi="ar-SA"/>
      </w:rPr>
      <w:drawing>
        <wp:inline distT="0" distB="0" distL="0" distR="0" wp14:anchorId="062E0B42" wp14:editId="2F728DD6">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56596E" w:rsidRPr="0059650E" w:rsidRDefault="0056596E" w:rsidP="00891D73">
    <w:pPr>
      <w:pStyle w:val="Encabezado"/>
      <w:pBdr>
        <w:bottom w:val="single" w:sz="4" w:space="1" w:color="auto"/>
      </w:pBdr>
      <w:ind w:firstLine="0"/>
    </w:pPr>
    <w:r>
      <w:t>Iberdrolaren akzioen salerosketa-eragiketaren emaitzei buruzko fiskalizazio-txostena (2005-2014).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rsidP="006A2D41">
    <w:pPr>
      <w:pStyle w:val="Encabezado"/>
      <w:ind w:firstLine="0"/>
      <w:jc w:val="left"/>
    </w:pPr>
    <w:r>
      <w:rPr>
        <w:noProof/>
        <w:lang w:val="es-ES" w:eastAsia="es-ES" w:bidi="ar-SA"/>
      </w:rPr>
      <w:drawing>
        <wp:inline distT="0" distB="0" distL="0" distR="0" wp14:anchorId="7AAEC99F" wp14:editId="1E79CC9A">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6E" w:rsidRDefault="0056596E"/>
  <w:p w:rsidR="0056596E" w:rsidRDefault="0056596E"/>
  <w:p w:rsidR="0056596E" w:rsidRDefault="005659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0E4"/>
    <w:multiLevelType w:val="hybridMultilevel"/>
    <w:tmpl w:val="3628233E"/>
    <w:lvl w:ilvl="0" w:tplc="7548E38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DD01645"/>
    <w:multiLevelType w:val="hybridMultilevel"/>
    <w:tmpl w:val="DE26DCE4"/>
    <w:lvl w:ilvl="0" w:tplc="28A0039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0663CA8"/>
    <w:multiLevelType w:val="hybridMultilevel"/>
    <w:tmpl w:val="03949476"/>
    <w:lvl w:ilvl="0" w:tplc="229AC0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795786"/>
    <w:multiLevelType w:val="hybridMultilevel"/>
    <w:tmpl w:val="4DEE244C"/>
    <w:lvl w:ilvl="0" w:tplc="3A7062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A0E3BA8"/>
    <w:multiLevelType w:val="hybridMultilevel"/>
    <w:tmpl w:val="3E8A95A4"/>
    <w:lvl w:ilvl="0" w:tplc="C60A1E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885992"/>
    <w:multiLevelType w:val="hybridMultilevel"/>
    <w:tmpl w:val="441C33D6"/>
    <w:lvl w:ilvl="0" w:tplc="CA84D9C6">
      <w:start w:val="1"/>
      <w:numFmt w:val="decimal"/>
      <w:lvlText w:val="(%1)"/>
      <w:lvlJc w:val="left"/>
      <w:pPr>
        <w:tabs>
          <w:tab w:val="num" w:pos="372"/>
        </w:tabs>
        <w:ind w:left="372" w:hanging="360"/>
      </w:pPr>
      <w:rPr>
        <w:rFonts w:hint="default"/>
      </w:rPr>
    </w:lvl>
    <w:lvl w:ilvl="1" w:tplc="040A0019" w:tentative="1">
      <w:start w:val="1"/>
      <w:numFmt w:val="lowerLetter"/>
      <w:lvlText w:val="%2."/>
      <w:lvlJc w:val="left"/>
      <w:pPr>
        <w:tabs>
          <w:tab w:val="num" w:pos="1092"/>
        </w:tabs>
        <w:ind w:left="1092" w:hanging="360"/>
      </w:pPr>
    </w:lvl>
    <w:lvl w:ilvl="2" w:tplc="040A001B" w:tentative="1">
      <w:start w:val="1"/>
      <w:numFmt w:val="lowerRoman"/>
      <w:lvlText w:val="%3."/>
      <w:lvlJc w:val="right"/>
      <w:pPr>
        <w:tabs>
          <w:tab w:val="num" w:pos="1812"/>
        </w:tabs>
        <w:ind w:left="1812" w:hanging="180"/>
      </w:pPr>
    </w:lvl>
    <w:lvl w:ilvl="3" w:tplc="040A000F" w:tentative="1">
      <w:start w:val="1"/>
      <w:numFmt w:val="decimal"/>
      <w:lvlText w:val="%4."/>
      <w:lvlJc w:val="left"/>
      <w:pPr>
        <w:tabs>
          <w:tab w:val="num" w:pos="2532"/>
        </w:tabs>
        <w:ind w:left="2532" w:hanging="360"/>
      </w:pPr>
    </w:lvl>
    <w:lvl w:ilvl="4" w:tplc="040A0019" w:tentative="1">
      <w:start w:val="1"/>
      <w:numFmt w:val="lowerLetter"/>
      <w:lvlText w:val="%5."/>
      <w:lvlJc w:val="left"/>
      <w:pPr>
        <w:tabs>
          <w:tab w:val="num" w:pos="3252"/>
        </w:tabs>
        <w:ind w:left="3252" w:hanging="360"/>
      </w:pPr>
    </w:lvl>
    <w:lvl w:ilvl="5" w:tplc="040A001B" w:tentative="1">
      <w:start w:val="1"/>
      <w:numFmt w:val="lowerRoman"/>
      <w:lvlText w:val="%6."/>
      <w:lvlJc w:val="right"/>
      <w:pPr>
        <w:tabs>
          <w:tab w:val="num" w:pos="3972"/>
        </w:tabs>
        <w:ind w:left="3972" w:hanging="180"/>
      </w:pPr>
    </w:lvl>
    <w:lvl w:ilvl="6" w:tplc="040A000F" w:tentative="1">
      <w:start w:val="1"/>
      <w:numFmt w:val="decimal"/>
      <w:lvlText w:val="%7."/>
      <w:lvlJc w:val="left"/>
      <w:pPr>
        <w:tabs>
          <w:tab w:val="num" w:pos="4692"/>
        </w:tabs>
        <w:ind w:left="4692" w:hanging="360"/>
      </w:pPr>
    </w:lvl>
    <w:lvl w:ilvl="7" w:tplc="040A0019" w:tentative="1">
      <w:start w:val="1"/>
      <w:numFmt w:val="lowerLetter"/>
      <w:lvlText w:val="%8."/>
      <w:lvlJc w:val="left"/>
      <w:pPr>
        <w:tabs>
          <w:tab w:val="num" w:pos="5412"/>
        </w:tabs>
        <w:ind w:left="5412" w:hanging="360"/>
      </w:pPr>
    </w:lvl>
    <w:lvl w:ilvl="8" w:tplc="040A001B" w:tentative="1">
      <w:start w:val="1"/>
      <w:numFmt w:val="lowerRoman"/>
      <w:lvlText w:val="%9."/>
      <w:lvlJc w:val="right"/>
      <w:pPr>
        <w:tabs>
          <w:tab w:val="num" w:pos="6132"/>
        </w:tabs>
        <w:ind w:left="6132" w:hanging="180"/>
      </w:pPr>
    </w:lvl>
  </w:abstractNum>
  <w:abstractNum w:abstractNumId="7">
    <w:nsid w:val="28075EF2"/>
    <w:multiLevelType w:val="hybridMultilevel"/>
    <w:tmpl w:val="4914F7E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B0B061E"/>
    <w:multiLevelType w:val="hybridMultilevel"/>
    <w:tmpl w:val="D4C88076"/>
    <w:lvl w:ilvl="0" w:tplc="327AE6DE">
      <w:start w:val="1"/>
      <w:numFmt w:val="lowerLetter"/>
      <w:lvlText w:val="%1)"/>
      <w:lvlJc w:val="left"/>
      <w:pPr>
        <w:ind w:left="615" w:hanging="6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01087A"/>
    <w:multiLevelType w:val="hybridMultilevel"/>
    <w:tmpl w:val="A56CBABC"/>
    <w:lvl w:ilvl="0" w:tplc="EF264E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3EF56D82"/>
    <w:multiLevelType w:val="hybridMultilevel"/>
    <w:tmpl w:val="3A9CFAA2"/>
    <w:lvl w:ilvl="0" w:tplc="0C0A0017">
      <w:start w:val="1"/>
      <w:numFmt w:val="lowerLetter"/>
      <w:lvlText w:val="%1)"/>
      <w:lvlJc w:val="left"/>
      <w:pPr>
        <w:ind w:left="615"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44F53AC9"/>
    <w:multiLevelType w:val="hybridMultilevel"/>
    <w:tmpl w:val="634E0F56"/>
    <w:lvl w:ilvl="0" w:tplc="74880F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534B1E06"/>
    <w:multiLevelType w:val="hybridMultilevel"/>
    <w:tmpl w:val="AC06EB3A"/>
    <w:lvl w:ilvl="0" w:tplc="1BF60B10">
      <w:start w:val="2"/>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5EE77E0C"/>
    <w:multiLevelType w:val="hybridMultilevel"/>
    <w:tmpl w:val="29FADF70"/>
    <w:lvl w:ilvl="0" w:tplc="A36E51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7">
    <w:nsid w:val="67D11CF4"/>
    <w:multiLevelType w:val="hybridMultilevel"/>
    <w:tmpl w:val="FA762DC4"/>
    <w:lvl w:ilvl="0" w:tplc="C1EE5D5A">
      <w:start w:val="1"/>
      <w:numFmt w:val="lowerLetter"/>
      <w:lvlText w:val="%1)"/>
      <w:lvlJc w:val="left"/>
      <w:pPr>
        <w:ind w:left="615" w:hanging="6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6E9E7902"/>
    <w:multiLevelType w:val="hybridMultilevel"/>
    <w:tmpl w:val="D890C72C"/>
    <w:lvl w:ilvl="0" w:tplc="F91C40CA">
      <w:start w:val="102"/>
      <w:numFmt w:val="bullet"/>
      <w:lvlText w:val="-"/>
      <w:lvlJc w:val="left"/>
      <w:pPr>
        <w:ind w:left="644" w:hanging="360"/>
      </w:pPr>
      <w:rPr>
        <w:rFonts w:ascii="Times New Roman" w:eastAsia="Calibr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736D7BA3"/>
    <w:multiLevelType w:val="hybridMultilevel"/>
    <w:tmpl w:val="8DD00F28"/>
    <w:lvl w:ilvl="0" w:tplc="294A75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8C761F"/>
    <w:multiLevelType w:val="hybridMultilevel"/>
    <w:tmpl w:val="CF822304"/>
    <w:lvl w:ilvl="0" w:tplc="78C22C82">
      <w:start w:val="1"/>
      <w:numFmt w:val="lowerLetter"/>
      <w:lvlText w:val="%1)"/>
      <w:lvlJc w:val="left"/>
      <w:pPr>
        <w:ind w:left="615"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768B0AC7"/>
    <w:multiLevelType w:val="hybridMultilevel"/>
    <w:tmpl w:val="066E01CE"/>
    <w:lvl w:ilvl="0" w:tplc="EEAE27A4">
      <w:start w:val="1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7AA84EA0"/>
    <w:multiLevelType w:val="hybridMultilevel"/>
    <w:tmpl w:val="461AB86A"/>
    <w:lvl w:ilvl="0" w:tplc="648E2EE2">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D481464"/>
    <w:multiLevelType w:val="hybridMultilevel"/>
    <w:tmpl w:val="C6066EEA"/>
    <w:lvl w:ilvl="0" w:tplc="0C0A0017">
      <w:start w:val="1"/>
      <w:numFmt w:val="lowerLetter"/>
      <w:lvlText w:val="%1)"/>
      <w:lvlJc w:val="left"/>
      <w:pPr>
        <w:ind w:left="615" w:hanging="6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4"/>
  </w:num>
  <w:num w:numId="2">
    <w:abstractNumId w:val="16"/>
  </w:num>
  <w:num w:numId="3">
    <w:abstractNumId w:val="4"/>
  </w:num>
  <w:num w:numId="4">
    <w:abstractNumId w:val="13"/>
  </w:num>
  <w:num w:numId="5">
    <w:abstractNumId w:val="18"/>
  </w:num>
  <w:num w:numId="6">
    <w:abstractNumId w:val="4"/>
  </w:num>
  <w:num w:numId="7">
    <w:abstractNumId w:val="4"/>
  </w:num>
  <w:num w:numId="8">
    <w:abstractNumId w:val="4"/>
  </w:num>
  <w:num w:numId="9">
    <w:abstractNumId w:val="15"/>
  </w:num>
  <w:num w:numId="10">
    <w:abstractNumId w:val="6"/>
  </w:num>
  <w:num w:numId="11">
    <w:abstractNumId w:val="19"/>
  </w:num>
  <w:num w:numId="12">
    <w:abstractNumId w:val="20"/>
  </w:num>
  <w:num w:numId="13">
    <w:abstractNumId w:val="9"/>
  </w:num>
  <w:num w:numId="14">
    <w:abstractNumId w:val="2"/>
  </w:num>
  <w:num w:numId="15">
    <w:abstractNumId w:val="1"/>
  </w:num>
  <w:num w:numId="16">
    <w:abstractNumId w:val="7"/>
  </w:num>
  <w:num w:numId="17">
    <w:abstractNumId w:val="12"/>
  </w:num>
  <w:num w:numId="18">
    <w:abstractNumId w:val="14"/>
  </w:num>
  <w:num w:numId="19">
    <w:abstractNumId w:val="0"/>
  </w:num>
  <w:num w:numId="20">
    <w:abstractNumId w:val="11"/>
  </w:num>
  <w:num w:numId="21">
    <w:abstractNumId w:val="21"/>
  </w:num>
  <w:num w:numId="22">
    <w:abstractNumId w:val="17"/>
  </w:num>
  <w:num w:numId="23">
    <w:abstractNumId w:val="8"/>
  </w:num>
  <w:num w:numId="24">
    <w:abstractNumId w:val="25"/>
  </w:num>
  <w:num w:numId="25">
    <w:abstractNumId w:val="3"/>
  </w:num>
  <w:num w:numId="26">
    <w:abstractNumId w:val="5"/>
  </w:num>
  <w:num w:numId="27">
    <w:abstractNumId w:val="22"/>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9A"/>
    <w:rsid w:val="000019D8"/>
    <w:rsid w:val="00006736"/>
    <w:rsid w:val="00006A97"/>
    <w:rsid w:val="0001123B"/>
    <w:rsid w:val="00012A7F"/>
    <w:rsid w:val="00017A3A"/>
    <w:rsid w:val="00036E42"/>
    <w:rsid w:val="0004373B"/>
    <w:rsid w:val="000448FA"/>
    <w:rsid w:val="00053A42"/>
    <w:rsid w:val="0005517D"/>
    <w:rsid w:val="000551D4"/>
    <w:rsid w:val="0006133D"/>
    <w:rsid w:val="00063585"/>
    <w:rsid w:val="00071CD0"/>
    <w:rsid w:val="00075692"/>
    <w:rsid w:val="00087B8D"/>
    <w:rsid w:val="00093D67"/>
    <w:rsid w:val="00093E60"/>
    <w:rsid w:val="00096746"/>
    <w:rsid w:val="000A18B7"/>
    <w:rsid w:val="000A2C1E"/>
    <w:rsid w:val="000A4697"/>
    <w:rsid w:val="000A7E76"/>
    <w:rsid w:val="000B2728"/>
    <w:rsid w:val="000B342D"/>
    <w:rsid w:val="000B3943"/>
    <w:rsid w:val="000B3F12"/>
    <w:rsid w:val="000B4477"/>
    <w:rsid w:val="000B49A7"/>
    <w:rsid w:val="000B5868"/>
    <w:rsid w:val="000C0704"/>
    <w:rsid w:val="000C2B07"/>
    <w:rsid w:val="000C39CC"/>
    <w:rsid w:val="000C7566"/>
    <w:rsid w:val="000D188E"/>
    <w:rsid w:val="000D410C"/>
    <w:rsid w:val="000D5335"/>
    <w:rsid w:val="000E73CB"/>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5783"/>
    <w:rsid w:val="0014728F"/>
    <w:rsid w:val="001521A2"/>
    <w:rsid w:val="00152358"/>
    <w:rsid w:val="00152D1E"/>
    <w:rsid w:val="00153DEF"/>
    <w:rsid w:val="00155BFF"/>
    <w:rsid w:val="00160F66"/>
    <w:rsid w:val="001633AF"/>
    <w:rsid w:val="00166A6C"/>
    <w:rsid w:val="00173EDD"/>
    <w:rsid w:val="0017402B"/>
    <w:rsid w:val="00181D37"/>
    <w:rsid w:val="001835B7"/>
    <w:rsid w:val="0018426B"/>
    <w:rsid w:val="00184468"/>
    <w:rsid w:val="00185A37"/>
    <w:rsid w:val="0018789F"/>
    <w:rsid w:val="00194309"/>
    <w:rsid w:val="0019660E"/>
    <w:rsid w:val="001B39E2"/>
    <w:rsid w:val="001C2B26"/>
    <w:rsid w:val="001C3A32"/>
    <w:rsid w:val="001D4F09"/>
    <w:rsid w:val="001F1482"/>
    <w:rsid w:val="001F20D7"/>
    <w:rsid w:val="001F7744"/>
    <w:rsid w:val="002014EB"/>
    <w:rsid w:val="00202B1A"/>
    <w:rsid w:val="00204979"/>
    <w:rsid w:val="00211D69"/>
    <w:rsid w:val="00211E21"/>
    <w:rsid w:val="00212638"/>
    <w:rsid w:val="002179DB"/>
    <w:rsid w:val="00217B56"/>
    <w:rsid w:val="00227E48"/>
    <w:rsid w:val="00230577"/>
    <w:rsid w:val="0023209D"/>
    <w:rsid w:val="002333F8"/>
    <w:rsid w:val="002334ED"/>
    <w:rsid w:val="00233D79"/>
    <w:rsid w:val="00237657"/>
    <w:rsid w:val="00240DB2"/>
    <w:rsid w:val="00242BA7"/>
    <w:rsid w:val="002437B5"/>
    <w:rsid w:val="00244EF1"/>
    <w:rsid w:val="00246F21"/>
    <w:rsid w:val="00253E78"/>
    <w:rsid w:val="00254602"/>
    <w:rsid w:val="00262C3C"/>
    <w:rsid w:val="00264C88"/>
    <w:rsid w:val="0026532C"/>
    <w:rsid w:val="0026575D"/>
    <w:rsid w:val="00266E35"/>
    <w:rsid w:val="002705B0"/>
    <w:rsid w:val="002717A6"/>
    <w:rsid w:val="00272015"/>
    <w:rsid w:val="00273C10"/>
    <w:rsid w:val="00274B4C"/>
    <w:rsid w:val="00276264"/>
    <w:rsid w:val="00281DCA"/>
    <w:rsid w:val="00297B04"/>
    <w:rsid w:val="002A056C"/>
    <w:rsid w:val="002A3992"/>
    <w:rsid w:val="002A66A5"/>
    <w:rsid w:val="002A6EBB"/>
    <w:rsid w:val="002B21E9"/>
    <w:rsid w:val="002B2B87"/>
    <w:rsid w:val="002B4E0F"/>
    <w:rsid w:val="002B5754"/>
    <w:rsid w:val="002C7026"/>
    <w:rsid w:val="002C7E08"/>
    <w:rsid w:val="002D089F"/>
    <w:rsid w:val="002D5635"/>
    <w:rsid w:val="002D6193"/>
    <w:rsid w:val="002D65E8"/>
    <w:rsid w:val="002D7D32"/>
    <w:rsid w:val="002E02E5"/>
    <w:rsid w:val="002E0478"/>
    <w:rsid w:val="002E0791"/>
    <w:rsid w:val="002E1B92"/>
    <w:rsid w:val="002E7B81"/>
    <w:rsid w:val="002F09FB"/>
    <w:rsid w:val="002F0FE3"/>
    <w:rsid w:val="002F1AF0"/>
    <w:rsid w:val="002F2530"/>
    <w:rsid w:val="002F272A"/>
    <w:rsid w:val="002F309A"/>
    <w:rsid w:val="002F3225"/>
    <w:rsid w:val="002F53B4"/>
    <w:rsid w:val="002F76D6"/>
    <w:rsid w:val="00303506"/>
    <w:rsid w:val="00307057"/>
    <w:rsid w:val="00312819"/>
    <w:rsid w:val="00312E9C"/>
    <w:rsid w:val="00313875"/>
    <w:rsid w:val="003169E3"/>
    <w:rsid w:val="003203BF"/>
    <w:rsid w:val="00321369"/>
    <w:rsid w:val="00330787"/>
    <w:rsid w:val="00333C10"/>
    <w:rsid w:val="00337493"/>
    <w:rsid w:val="0034100D"/>
    <w:rsid w:val="003425DF"/>
    <w:rsid w:val="0034285F"/>
    <w:rsid w:val="003464A4"/>
    <w:rsid w:val="00351684"/>
    <w:rsid w:val="00354458"/>
    <w:rsid w:val="00363653"/>
    <w:rsid w:val="0036509D"/>
    <w:rsid w:val="0037228C"/>
    <w:rsid w:val="003738FD"/>
    <w:rsid w:val="003810BE"/>
    <w:rsid w:val="00386F6C"/>
    <w:rsid w:val="00387709"/>
    <w:rsid w:val="00387794"/>
    <w:rsid w:val="00390971"/>
    <w:rsid w:val="00396632"/>
    <w:rsid w:val="00397162"/>
    <w:rsid w:val="003A08C5"/>
    <w:rsid w:val="003A335E"/>
    <w:rsid w:val="003A3DD2"/>
    <w:rsid w:val="003A4D8C"/>
    <w:rsid w:val="003A7956"/>
    <w:rsid w:val="003B13F1"/>
    <w:rsid w:val="003B28B5"/>
    <w:rsid w:val="003B3573"/>
    <w:rsid w:val="003B5813"/>
    <w:rsid w:val="003C03EA"/>
    <w:rsid w:val="003C196B"/>
    <w:rsid w:val="003C6E1D"/>
    <w:rsid w:val="003D058C"/>
    <w:rsid w:val="003D76B1"/>
    <w:rsid w:val="003E17A6"/>
    <w:rsid w:val="003E384D"/>
    <w:rsid w:val="003E4AA5"/>
    <w:rsid w:val="003F1CEC"/>
    <w:rsid w:val="003F43BF"/>
    <w:rsid w:val="003F6BE4"/>
    <w:rsid w:val="003F7C63"/>
    <w:rsid w:val="00400165"/>
    <w:rsid w:val="00403CF8"/>
    <w:rsid w:val="00407459"/>
    <w:rsid w:val="00414D01"/>
    <w:rsid w:val="004170FE"/>
    <w:rsid w:val="004209E6"/>
    <w:rsid w:val="0042324B"/>
    <w:rsid w:val="004234E8"/>
    <w:rsid w:val="00426805"/>
    <w:rsid w:val="00430150"/>
    <w:rsid w:val="004302F9"/>
    <w:rsid w:val="0043229B"/>
    <w:rsid w:val="00435287"/>
    <w:rsid w:val="004400D8"/>
    <w:rsid w:val="00440A22"/>
    <w:rsid w:val="004470EA"/>
    <w:rsid w:val="004476D8"/>
    <w:rsid w:val="0045550E"/>
    <w:rsid w:val="00456456"/>
    <w:rsid w:val="00462367"/>
    <w:rsid w:val="0046490C"/>
    <w:rsid w:val="00470287"/>
    <w:rsid w:val="00470733"/>
    <w:rsid w:val="00477C53"/>
    <w:rsid w:val="00484284"/>
    <w:rsid w:val="00485380"/>
    <w:rsid w:val="00493D87"/>
    <w:rsid w:val="004950D4"/>
    <w:rsid w:val="004A0506"/>
    <w:rsid w:val="004A2342"/>
    <w:rsid w:val="004A2F62"/>
    <w:rsid w:val="004B1DB8"/>
    <w:rsid w:val="004B2F01"/>
    <w:rsid w:val="004B4182"/>
    <w:rsid w:val="004B4538"/>
    <w:rsid w:val="004B6FB6"/>
    <w:rsid w:val="004B7FDA"/>
    <w:rsid w:val="004C024C"/>
    <w:rsid w:val="004C571D"/>
    <w:rsid w:val="004C5A8A"/>
    <w:rsid w:val="004D1898"/>
    <w:rsid w:val="004D35A2"/>
    <w:rsid w:val="004D5FD1"/>
    <w:rsid w:val="004F7C93"/>
    <w:rsid w:val="00506105"/>
    <w:rsid w:val="00513162"/>
    <w:rsid w:val="00522161"/>
    <w:rsid w:val="005228CD"/>
    <w:rsid w:val="00525809"/>
    <w:rsid w:val="00527FA9"/>
    <w:rsid w:val="005302D8"/>
    <w:rsid w:val="005303FE"/>
    <w:rsid w:val="00535130"/>
    <w:rsid w:val="00537302"/>
    <w:rsid w:val="00540AA4"/>
    <w:rsid w:val="005449B7"/>
    <w:rsid w:val="00544C40"/>
    <w:rsid w:val="00555509"/>
    <w:rsid w:val="00561C5B"/>
    <w:rsid w:val="00564F2D"/>
    <w:rsid w:val="0056596E"/>
    <w:rsid w:val="00566CDA"/>
    <w:rsid w:val="0056727E"/>
    <w:rsid w:val="00567BA6"/>
    <w:rsid w:val="00567EA7"/>
    <w:rsid w:val="00570033"/>
    <w:rsid w:val="00570147"/>
    <w:rsid w:val="0057307E"/>
    <w:rsid w:val="00573A4C"/>
    <w:rsid w:val="00574B79"/>
    <w:rsid w:val="00574D12"/>
    <w:rsid w:val="005800B4"/>
    <w:rsid w:val="0058070B"/>
    <w:rsid w:val="0058296F"/>
    <w:rsid w:val="00587B66"/>
    <w:rsid w:val="00593080"/>
    <w:rsid w:val="00594B6F"/>
    <w:rsid w:val="00595E80"/>
    <w:rsid w:val="0059650E"/>
    <w:rsid w:val="00596953"/>
    <w:rsid w:val="005A6030"/>
    <w:rsid w:val="005B57AD"/>
    <w:rsid w:val="005B722E"/>
    <w:rsid w:val="005C02FE"/>
    <w:rsid w:val="005C50AC"/>
    <w:rsid w:val="005C6406"/>
    <w:rsid w:val="005D69D1"/>
    <w:rsid w:val="005D6A9B"/>
    <w:rsid w:val="005E0ADF"/>
    <w:rsid w:val="005E210D"/>
    <w:rsid w:val="005E32C2"/>
    <w:rsid w:val="005F21A6"/>
    <w:rsid w:val="005F2425"/>
    <w:rsid w:val="005F5EC7"/>
    <w:rsid w:val="005F7207"/>
    <w:rsid w:val="005F7FCF"/>
    <w:rsid w:val="006025D0"/>
    <w:rsid w:val="00607691"/>
    <w:rsid w:val="0061062C"/>
    <w:rsid w:val="00613183"/>
    <w:rsid w:val="006133F0"/>
    <w:rsid w:val="00616888"/>
    <w:rsid w:val="006176BE"/>
    <w:rsid w:val="006212CB"/>
    <w:rsid w:val="006279F9"/>
    <w:rsid w:val="006369EE"/>
    <w:rsid w:val="0064700E"/>
    <w:rsid w:val="006505E8"/>
    <w:rsid w:val="00650677"/>
    <w:rsid w:val="006736A9"/>
    <w:rsid w:val="00673BC7"/>
    <w:rsid w:val="00674975"/>
    <w:rsid w:val="00675D39"/>
    <w:rsid w:val="00680F2D"/>
    <w:rsid w:val="0068362F"/>
    <w:rsid w:val="0068560B"/>
    <w:rsid w:val="006944BB"/>
    <w:rsid w:val="006A1277"/>
    <w:rsid w:val="006A2602"/>
    <w:rsid w:val="006A2D41"/>
    <w:rsid w:val="006A320C"/>
    <w:rsid w:val="006A67E1"/>
    <w:rsid w:val="006C36FB"/>
    <w:rsid w:val="006C3D85"/>
    <w:rsid w:val="006C7D62"/>
    <w:rsid w:val="006D0B23"/>
    <w:rsid w:val="006D2ED6"/>
    <w:rsid w:val="006D5685"/>
    <w:rsid w:val="006E1987"/>
    <w:rsid w:val="006E23B2"/>
    <w:rsid w:val="006E2A1A"/>
    <w:rsid w:val="006E5207"/>
    <w:rsid w:val="006F4CE2"/>
    <w:rsid w:val="006F5C70"/>
    <w:rsid w:val="006F6A20"/>
    <w:rsid w:val="007047B2"/>
    <w:rsid w:val="00704DE7"/>
    <w:rsid w:val="00706868"/>
    <w:rsid w:val="007078B8"/>
    <w:rsid w:val="00715E32"/>
    <w:rsid w:val="007162D1"/>
    <w:rsid w:val="00716463"/>
    <w:rsid w:val="0071706E"/>
    <w:rsid w:val="00724C22"/>
    <w:rsid w:val="00727292"/>
    <w:rsid w:val="00742F6A"/>
    <w:rsid w:val="007446E8"/>
    <w:rsid w:val="00744B30"/>
    <w:rsid w:val="00751553"/>
    <w:rsid w:val="0075165E"/>
    <w:rsid w:val="007544AB"/>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A4233"/>
    <w:rsid w:val="007A4471"/>
    <w:rsid w:val="007A4623"/>
    <w:rsid w:val="007B0381"/>
    <w:rsid w:val="007B0F3D"/>
    <w:rsid w:val="007B148D"/>
    <w:rsid w:val="007B18C8"/>
    <w:rsid w:val="007B28DE"/>
    <w:rsid w:val="007B2F06"/>
    <w:rsid w:val="007B7A5F"/>
    <w:rsid w:val="007C1021"/>
    <w:rsid w:val="007C33FD"/>
    <w:rsid w:val="007C36BE"/>
    <w:rsid w:val="007C7938"/>
    <w:rsid w:val="007D53ED"/>
    <w:rsid w:val="007D6001"/>
    <w:rsid w:val="007D7925"/>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3EB"/>
    <w:rsid w:val="00826686"/>
    <w:rsid w:val="00826AE4"/>
    <w:rsid w:val="00835563"/>
    <w:rsid w:val="00836511"/>
    <w:rsid w:val="00836B02"/>
    <w:rsid w:val="00836EC6"/>
    <w:rsid w:val="0083741E"/>
    <w:rsid w:val="00837985"/>
    <w:rsid w:val="00840E3D"/>
    <w:rsid w:val="00841D8C"/>
    <w:rsid w:val="00842220"/>
    <w:rsid w:val="00844111"/>
    <w:rsid w:val="0084452B"/>
    <w:rsid w:val="00844F74"/>
    <w:rsid w:val="00846382"/>
    <w:rsid w:val="008502A4"/>
    <w:rsid w:val="00850F57"/>
    <w:rsid w:val="008534C6"/>
    <w:rsid w:val="008536C2"/>
    <w:rsid w:val="008600C7"/>
    <w:rsid w:val="0086041F"/>
    <w:rsid w:val="008617D0"/>
    <w:rsid w:val="00861A60"/>
    <w:rsid w:val="00862357"/>
    <w:rsid w:val="00862D02"/>
    <w:rsid w:val="008637B9"/>
    <w:rsid w:val="00864194"/>
    <w:rsid w:val="00870399"/>
    <w:rsid w:val="008711EC"/>
    <w:rsid w:val="008718FE"/>
    <w:rsid w:val="00872946"/>
    <w:rsid w:val="00875F62"/>
    <w:rsid w:val="00883928"/>
    <w:rsid w:val="00883DDE"/>
    <w:rsid w:val="00884477"/>
    <w:rsid w:val="0088634D"/>
    <w:rsid w:val="00891D73"/>
    <w:rsid w:val="00892A44"/>
    <w:rsid w:val="008A2DE8"/>
    <w:rsid w:val="008A312D"/>
    <w:rsid w:val="008A3E09"/>
    <w:rsid w:val="008A3E57"/>
    <w:rsid w:val="008A77A7"/>
    <w:rsid w:val="008B0B50"/>
    <w:rsid w:val="008B3F34"/>
    <w:rsid w:val="008B7A77"/>
    <w:rsid w:val="008C26AE"/>
    <w:rsid w:val="008C288F"/>
    <w:rsid w:val="008C56B9"/>
    <w:rsid w:val="008D05E0"/>
    <w:rsid w:val="008D2600"/>
    <w:rsid w:val="008E0AC0"/>
    <w:rsid w:val="008E221A"/>
    <w:rsid w:val="008E3FFE"/>
    <w:rsid w:val="008E60BE"/>
    <w:rsid w:val="008E6B74"/>
    <w:rsid w:val="008F0FAF"/>
    <w:rsid w:val="008F46CD"/>
    <w:rsid w:val="008F6480"/>
    <w:rsid w:val="008F6E05"/>
    <w:rsid w:val="008F7740"/>
    <w:rsid w:val="00900CA2"/>
    <w:rsid w:val="00903653"/>
    <w:rsid w:val="00910A52"/>
    <w:rsid w:val="00911479"/>
    <w:rsid w:val="0091307C"/>
    <w:rsid w:val="0091484D"/>
    <w:rsid w:val="00921BB6"/>
    <w:rsid w:val="00925E71"/>
    <w:rsid w:val="00926B02"/>
    <w:rsid w:val="00926E7B"/>
    <w:rsid w:val="0093329F"/>
    <w:rsid w:val="00937043"/>
    <w:rsid w:val="009445D3"/>
    <w:rsid w:val="009518C3"/>
    <w:rsid w:val="00955A8A"/>
    <w:rsid w:val="00962D2B"/>
    <w:rsid w:val="0096400D"/>
    <w:rsid w:val="00966600"/>
    <w:rsid w:val="009671D9"/>
    <w:rsid w:val="00971352"/>
    <w:rsid w:val="00975E5B"/>
    <w:rsid w:val="00977C8F"/>
    <w:rsid w:val="00977F94"/>
    <w:rsid w:val="00980129"/>
    <w:rsid w:val="009829EC"/>
    <w:rsid w:val="009863E9"/>
    <w:rsid w:val="00991302"/>
    <w:rsid w:val="00992E20"/>
    <w:rsid w:val="009936FC"/>
    <w:rsid w:val="00993925"/>
    <w:rsid w:val="00993977"/>
    <w:rsid w:val="009A05D1"/>
    <w:rsid w:val="009A28AC"/>
    <w:rsid w:val="009A3A5B"/>
    <w:rsid w:val="009A3F2A"/>
    <w:rsid w:val="009A4D66"/>
    <w:rsid w:val="009B2AAC"/>
    <w:rsid w:val="009B3521"/>
    <w:rsid w:val="009B541C"/>
    <w:rsid w:val="009C0B4C"/>
    <w:rsid w:val="009C4460"/>
    <w:rsid w:val="009C4F69"/>
    <w:rsid w:val="009C5D5F"/>
    <w:rsid w:val="009D0D3A"/>
    <w:rsid w:val="009D7192"/>
    <w:rsid w:val="009D7440"/>
    <w:rsid w:val="009E0E38"/>
    <w:rsid w:val="009E1A35"/>
    <w:rsid w:val="009E73DE"/>
    <w:rsid w:val="009F09AA"/>
    <w:rsid w:val="009F2665"/>
    <w:rsid w:val="009F2C16"/>
    <w:rsid w:val="009F2C1B"/>
    <w:rsid w:val="009F335C"/>
    <w:rsid w:val="00A002B5"/>
    <w:rsid w:val="00A0260C"/>
    <w:rsid w:val="00A041B5"/>
    <w:rsid w:val="00A04F8C"/>
    <w:rsid w:val="00A05158"/>
    <w:rsid w:val="00A12E99"/>
    <w:rsid w:val="00A13BF5"/>
    <w:rsid w:val="00A14837"/>
    <w:rsid w:val="00A225E3"/>
    <w:rsid w:val="00A23A26"/>
    <w:rsid w:val="00A2429E"/>
    <w:rsid w:val="00A24A8F"/>
    <w:rsid w:val="00A25708"/>
    <w:rsid w:val="00A25BF0"/>
    <w:rsid w:val="00A3026E"/>
    <w:rsid w:val="00A32CE0"/>
    <w:rsid w:val="00A4309B"/>
    <w:rsid w:val="00A43DD2"/>
    <w:rsid w:val="00A4576A"/>
    <w:rsid w:val="00A45AD0"/>
    <w:rsid w:val="00A45EE9"/>
    <w:rsid w:val="00A53C14"/>
    <w:rsid w:val="00A61410"/>
    <w:rsid w:val="00A6198A"/>
    <w:rsid w:val="00A65108"/>
    <w:rsid w:val="00A7067F"/>
    <w:rsid w:val="00A707A7"/>
    <w:rsid w:val="00A70E56"/>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170D"/>
    <w:rsid w:val="00AA672F"/>
    <w:rsid w:val="00AA6BA8"/>
    <w:rsid w:val="00AA7F5A"/>
    <w:rsid w:val="00AB2340"/>
    <w:rsid w:val="00AB5FE4"/>
    <w:rsid w:val="00AB659D"/>
    <w:rsid w:val="00AB7736"/>
    <w:rsid w:val="00AC160A"/>
    <w:rsid w:val="00AC229F"/>
    <w:rsid w:val="00AC42FA"/>
    <w:rsid w:val="00AD7671"/>
    <w:rsid w:val="00AE53E8"/>
    <w:rsid w:val="00AE6FE4"/>
    <w:rsid w:val="00AF2059"/>
    <w:rsid w:val="00AF3D84"/>
    <w:rsid w:val="00AF4161"/>
    <w:rsid w:val="00AF580B"/>
    <w:rsid w:val="00AF632F"/>
    <w:rsid w:val="00B007C8"/>
    <w:rsid w:val="00B120B2"/>
    <w:rsid w:val="00B14410"/>
    <w:rsid w:val="00B15E61"/>
    <w:rsid w:val="00B16C86"/>
    <w:rsid w:val="00B20286"/>
    <w:rsid w:val="00B24F35"/>
    <w:rsid w:val="00B271A3"/>
    <w:rsid w:val="00B30C77"/>
    <w:rsid w:val="00B30F92"/>
    <w:rsid w:val="00B32C88"/>
    <w:rsid w:val="00B34747"/>
    <w:rsid w:val="00B35083"/>
    <w:rsid w:val="00B40DB6"/>
    <w:rsid w:val="00B42E49"/>
    <w:rsid w:val="00B469B9"/>
    <w:rsid w:val="00B47925"/>
    <w:rsid w:val="00B50903"/>
    <w:rsid w:val="00B51C5F"/>
    <w:rsid w:val="00B538B9"/>
    <w:rsid w:val="00B604C2"/>
    <w:rsid w:val="00B62FFE"/>
    <w:rsid w:val="00B65013"/>
    <w:rsid w:val="00B7123A"/>
    <w:rsid w:val="00B7435C"/>
    <w:rsid w:val="00B76F38"/>
    <w:rsid w:val="00B8085D"/>
    <w:rsid w:val="00B81EFF"/>
    <w:rsid w:val="00B82D35"/>
    <w:rsid w:val="00B836BB"/>
    <w:rsid w:val="00B84122"/>
    <w:rsid w:val="00B862B0"/>
    <w:rsid w:val="00B872AA"/>
    <w:rsid w:val="00BA2B7C"/>
    <w:rsid w:val="00BA4B27"/>
    <w:rsid w:val="00BB142A"/>
    <w:rsid w:val="00BB34B9"/>
    <w:rsid w:val="00BB35C2"/>
    <w:rsid w:val="00BB396D"/>
    <w:rsid w:val="00BB553B"/>
    <w:rsid w:val="00BC28D7"/>
    <w:rsid w:val="00BC376C"/>
    <w:rsid w:val="00BC6321"/>
    <w:rsid w:val="00BC7817"/>
    <w:rsid w:val="00BD3819"/>
    <w:rsid w:val="00BD642D"/>
    <w:rsid w:val="00BD6988"/>
    <w:rsid w:val="00BE00E8"/>
    <w:rsid w:val="00BE1A77"/>
    <w:rsid w:val="00BE4742"/>
    <w:rsid w:val="00BE7383"/>
    <w:rsid w:val="00BE754D"/>
    <w:rsid w:val="00BE76B0"/>
    <w:rsid w:val="00BF1ACA"/>
    <w:rsid w:val="00BF1DB9"/>
    <w:rsid w:val="00BF55EA"/>
    <w:rsid w:val="00BF6D10"/>
    <w:rsid w:val="00BF6E79"/>
    <w:rsid w:val="00C03F6C"/>
    <w:rsid w:val="00C05004"/>
    <w:rsid w:val="00C10EED"/>
    <w:rsid w:val="00C12108"/>
    <w:rsid w:val="00C121D9"/>
    <w:rsid w:val="00C13453"/>
    <w:rsid w:val="00C14BDA"/>
    <w:rsid w:val="00C220F9"/>
    <w:rsid w:val="00C246B4"/>
    <w:rsid w:val="00C2541C"/>
    <w:rsid w:val="00C26862"/>
    <w:rsid w:val="00C30458"/>
    <w:rsid w:val="00C31DA6"/>
    <w:rsid w:val="00C33260"/>
    <w:rsid w:val="00C40ABD"/>
    <w:rsid w:val="00C4598F"/>
    <w:rsid w:val="00C46890"/>
    <w:rsid w:val="00C50360"/>
    <w:rsid w:val="00C51D73"/>
    <w:rsid w:val="00C54E12"/>
    <w:rsid w:val="00C55468"/>
    <w:rsid w:val="00C55CDC"/>
    <w:rsid w:val="00C61B4A"/>
    <w:rsid w:val="00C622C3"/>
    <w:rsid w:val="00C63BD5"/>
    <w:rsid w:val="00C74906"/>
    <w:rsid w:val="00C81B40"/>
    <w:rsid w:val="00C81FEA"/>
    <w:rsid w:val="00C83969"/>
    <w:rsid w:val="00C86C95"/>
    <w:rsid w:val="00C96355"/>
    <w:rsid w:val="00CA05EB"/>
    <w:rsid w:val="00CA3515"/>
    <w:rsid w:val="00CA3A05"/>
    <w:rsid w:val="00CB14E9"/>
    <w:rsid w:val="00CB6D90"/>
    <w:rsid w:val="00CB72C3"/>
    <w:rsid w:val="00CB7D4E"/>
    <w:rsid w:val="00CC45E4"/>
    <w:rsid w:val="00CD019F"/>
    <w:rsid w:val="00CD27C5"/>
    <w:rsid w:val="00CD437C"/>
    <w:rsid w:val="00CE4169"/>
    <w:rsid w:val="00CE7894"/>
    <w:rsid w:val="00CE79C5"/>
    <w:rsid w:val="00CF06A1"/>
    <w:rsid w:val="00CF1467"/>
    <w:rsid w:val="00CF48D6"/>
    <w:rsid w:val="00CF57D6"/>
    <w:rsid w:val="00CF6C1B"/>
    <w:rsid w:val="00D019D5"/>
    <w:rsid w:val="00D040FE"/>
    <w:rsid w:val="00D0793A"/>
    <w:rsid w:val="00D168FD"/>
    <w:rsid w:val="00D16F64"/>
    <w:rsid w:val="00D20D29"/>
    <w:rsid w:val="00D2472C"/>
    <w:rsid w:val="00D2750B"/>
    <w:rsid w:val="00D279BA"/>
    <w:rsid w:val="00D37FFC"/>
    <w:rsid w:val="00D404B5"/>
    <w:rsid w:val="00D41B5B"/>
    <w:rsid w:val="00D41FF1"/>
    <w:rsid w:val="00D447CB"/>
    <w:rsid w:val="00D47D16"/>
    <w:rsid w:val="00D505F4"/>
    <w:rsid w:val="00D517BE"/>
    <w:rsid w:val="00D51CE1"/>
    <w:rsid w:val="00D537FD"/>
    <w:rsid w:val="00D543F9"/>
    <w:rsid w:val="00D562F2"/>
    <w:rsid w:val="00D61B93"/>
    <w:rsid w:val="00D67E4A"/>
    <w:rsid w:val="00D763FD"/>
    <w:rsid w:val="00D805F6"/>
    <w:rsid w:val="00D907E0"/>
    <w:rsid w:val="00D90AD1"/>
    <w:rsid w:val="00D93647"/>
    <w:rsid w:val="00D941F7"/>
    <w:rsid w:val="00DA1F9F"/>
    <w:rsid w:val="00DA4CD3"/>
    <w:rsid w:val="00DA4DDF"/>
    <w:rsid w:val="00DB0804"/>
    <w:rsid w:val="00DB2FC4"/>
    <w:rsid w:val="00DC382A"/>
    <w:rsid w:val="00DE1923"/>
    <w:rsid w:val="00DE2B33"/>
    <w:rsid w:val="00DE2B84"/>
    <w:rsid w:val="00DE638B"/>
    <w:rsid w:val="00DE72EE"/>
    <w:rsid w:val="00DF37E5"/>
    <w:rsid w:val="00E034FE"/>
    <w:rsid w:val="00E041E5"/>
    <w:rsid w:val="00E04888"/>
    <w:rsid w:val="00E0763B"/>
    <w:rsid w:val="00E10302"/>
    <w:rsid w:val="00E130D8"/>
    <w:rsid w:val="00E1587C"/>
    <w:rsid w:val="00E17799"/>
    <w:rsid w:val="00E17EC5"/>
    <w:rsid w:val="00E26BFD"/>
    <w:rsid w:val="00E27E90"/>
    <w:rsid w:val="00E33D02"/>
    <w:rsid w:val="00E34F2C"/>
    <w:rsid w:val="00E35D79"/>
    <w:rsid w:val="00E4641E"/>
    <w:rsid w:val="00E519AE"/>
    <w:rsid w:val="00E57AF7"/>
    <w:rsid w:val="00E6241B"/>
    <w:rsid w:val="00E63C0E"/>
    <w:rsid w:val="00E64FCC"/>
    <w:rsid w:val="00E703B6"/>
    <w:rsid w:val="00E72200"/>
    <w:rsid w:val="00E72B1B"/>
    <w:rsid w:val="00E75D47"/>
    <w:rsid w:val="00E766F5"/>
    <w:rsid w:val="00E81B25"/>
    <w:rsid w:val="00E82948"/>
    <w:rsid w:val="00E833B7"/>
    <w:rsid w:val="00E84C6E"/>
    <w:rsid w:val="00E85ACB"/>
    <w:rsid w:val="00E8658B"/>
    <w:rsid w:val="00E90218"/>
    <w:rsid w:val="00E913BB"/>
    <w:rsid w:val="00E92BCF"/>
    <w:rsid w:val="00E95F2E"/>
    <w:rsid w:val="00E96655"/>
    <w:rsid w:val="00E97702"/>
    <w:rsid w:val="00EA1508"/>
    <w:rsid w:val="00EA1541"/>
    <w:rsid w:val="00EA32E4"/>
    <w:rsid w:val="00EA7E36"/>
    <w:rsid w:val="00EB0898"/>
    <w:rsid w:val="00EB627B"/>
    <w:rsid w:val="00EB6D94"/>
    <w:rsid w:val="00EC4183"/>
    <w:rsid w:val="00EC6468"/>
    <w:rsid w:val="00EC6708"/>
    <w:rsid w:val="00ED207C"/>
    <w:rsid w:val="00ED31E9"/>
    <w:rsid w:val="00ED325A"/>
    <w:rsid w:val="00ED3F41"/>
    <w:rsid w:val="00ED5615"/>
    <w:rsid w:val="00ED5FC0"/>
    <w:rsid w:val="00ED692E"/>
    <w:rsid w:val="00ED69AF"/>
    <w:rsid w:val="00EE1847"/>
    <w:rsid w:val="00EE240E"/>
    <w:rsid w:val="00EE688E"/>
    <w:rsid w:val="00EE6A6D"/>
    <w:rsid w:val="00EE6AC2"/>
    <w:rsid w:val="00EF03E2"/>
    <w:rsid w:val="00EF7F8B"/>
    <w:rsid w:val="00F02536"/>
    <w:rsid w:val="00F03814"/>
    <w:rsid w:val="00F07A09"/>
    <w:rsid w:val="00F128AC"/>
    <w:rsid w:val="00F1390C"/>
    <w:rsid w:val="00F14D98"/>
    <w:rsid w:val="00F20C5E"/>
    <w:rsid w:val="00F325CF"/>
    <w:rsid w:val="00F36A1D"/>
    <w:rsid w:val="00F42761"/>
    <w:rsid w:val="00F43938"/>
    <w:rsid w:val="00F44278"/>
    <w:rsid w:val="00F51B65"/>
    <w:rsid w:val="00F52AAB"/>
    <w:rsid w:val="00F52EB6"/>
    <w:rsid w:val="00F5488A"/>
    <w:rsid w:val="00F55260"/>
    <w:rsid w:val="00F6316B"/>
    <w:rsid w:val="00F65AE0"/>
    <w:rsid w:val="00F74E38"/>
    <w:rsid w:val="00F7545E"/>
    <w:rsid w:val="00F76D6F"/>
    <w:rsid w:val="00F778B0"/>
    <w:rsid w:val="00F83BC2"/>
    <w:rsid w:val="00F90600"/>
    <w:rsid w:val="00F92EC1"/>
    <w:rsid w:val="00F94C47"/>
    <w:rsid w:val="00F96C73"/>
    <w:rsid w:val="00FA0421"/>
    <w:rsid w:val="00FA2AB6"/>
    <w:rsid w:val="00FA3389"/>
    <w:rsid w:val="00FA3476"/>
    <w:rsid w:val="00FA5D62"/>
    <w:rsid w:val="00FB0C10"/>
    <w:rsid w:val="00FB290A"/>
    <w:rsid w:val="00FB3A61"/>
    <w:rsid w:val="00FB3C36"/>
    <w:rsid w:val="00FB4280"/>
    <w:rsid w:val="00FB7CCE"/>
    <w:rsid w:val="00FC01C8"/>
    <w:rsid w:val="00FC5027"/>
    <w:rsid w:val="00FC50C7"/>
    <w:rsid w:val="00FC511D"/>
    <w:rsid w:val="00FC541F"/>
    <w:rsid w:val="00FC68BC"/>
    <w:rsid w:val="00FD11D4"/>
    <w:rsid w:val="00FD225D"/>
    <w:rsid w:val="00FD2384"/>
    <w:rsid w:val="00FE452E"/>
    <w:rsid w:val="00FE711B"/>
    <w:rsid w:val="00FF38A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EncabezadoCar">
    <w:name w:val="Encabezado Car"/>
    <w:link w:val="Encabezado"/>
    <w:locked/>
    <w:rsid w:val="006944BB"/>
    <w:rPr>
      <w:bCs/>
      <w:caps/>
      <w:sz w:val="14"/>
      <w:szCs w:val="12"/>
      <w:lang w:eastAsia="eu-ES"/>
    </w:rPr>
  </w:style>
  <w:style w:type="character" w:customStyle="1" w:styleId="PiedepginaCar">
    <w:name w:val="Pie de página Car"/>
    <w:link w:val="Piedepgina"/>
    <w:locked/>
    <w:rsid w:val="006944BB"/>
    <w:rPr>
      <w:spacing w:val="6"/>
      <w:lang w:eastAsia="eu-ES"/>
    </w:rPr>
  </w:style>
  <w:style w:type="paragraph" w:styleId="Textoindependiente">
    <w:name w:val="Body Text"/>
    <w:basedOn w:val="Normal"/>
    <w:link w:val="TextoindependienteCar"/>
    <w:rsid w:val="006944BB"/>
    <w:pPr>
      <w:spacing w:after="0"/>
      <w:ind w:firstLine="0"/>
    </w:pPr>
    <w:rPr>
      <w:rFonts w:ascii="Arial" w:hAnsi="Arial"/>
      <w:sz w:val="24"/>
    </w:rPr>
  </w:style>
  <w:style w:type="character" w:customStyle="1" w:styleId="TextoindependienteCar">
    <w:name w:val="Texto independiente Car"/>
    <w:basedOn w:val="Fuentedeprrafopredeter"/>
    <w:link w:val="Textoindependiente"/>
    <w:rsid w:val="006944BB"/>
    <w:rPr>
      <w:rFonts w:ascii="Arial" w:hAnsi="Arial"/>
      <w:sz w:val="24"/>
      <w:lang w:eastAsia="eu-ES"/>
    </w:rPr>
  </w:style>
  <w:style w:type="paragraph" w:styleId="NormalWeb">
    <w:name w:val="Normal (Web)"/>
    <w:basedOn w:val="Normal"/>
    <w:uiPriority w:val="99"/>
    <w:rsid w:val="006944BB"/>
    <w:pPr>
      <w:spacing w:before="100" w:beforeAutospacing="1" w:after="100" w:afterAutospacing="1"/>
      <w:ind w:firstLine="0"/>
      <w:jc w:val="left"/>
    </w:pPr>
    <w:rPr>
      <w:color w:val="000000"/>
      <w:sz w:val="24"/>
      <w:szCs w:val="24"/>
    </w:rPr>
  </w:style>
  <w:style w:type="character" w:customStyle="1" w:styleId="texto1">
    <w:name w:val="texto1"/>
    <w:rsid w:val="006944BB"/>
    <w:rPr>
      <w:rFonts w:ascii="Verdana" w:hAnsi="Verdana" w:hint="default"/>
      <w:color w:val="000033"/>
      <w:sz w:val="18"/>
      <w:szCs w:val="18"/>
    </w:rPr>
  </w:style>
  <w:style w:type="character" w:customStyle="1" w:styleId="tt-nara1">
    <w:name w:val="tt-nara1"/>
    <w:rsid w:val="006944BB"/>
    <w:rPr>
      <w:rFonts w:ascii="Verdana" w:hAnsi="Verdana" w:hint="default"/>
      <w:color w:val="E23C0C"/>
      <w:sz w:val="18"/>
      <w:szCs w:val="18"/>
    </w:rPr>
  </w:style>
  <w:style w:type="paragraph" w:styleId="Textosinformato">
    <w:name w:val="Plain Text"/>
    <w:basedOn w:val="Normal"/>
    <w:link w:val="TextosinformatoCar"/>
    <w:rsid w:val="006944BB"/>
    <w:pPr>
      <w:spacing w:after="0"/>
      <w:ind w:firstLine="0"/>
      <w:jc w:val="left"/>
    </w:pPr>
    <w:rPr>
      <w:rFonts w:ascii="Courier New" w:hAnsi="Courier New" w:cs="Courier New"/>
    </w:rPr>
  </w:style>
  <w:style w:type="character" w:customStyle="1" w:styleId="TextosinformatoCar">
    <w:name w:val="Texto sin formato Car"/>
    <w:basedOn w:val="Fuentedeprrafopredeter"/>
    <w:link w:val="Textosinformato"/>
    <w:rsid w:val="006944BB"/>
    <w:rPr>
      <w:rFonts w:ascii="Courier New" w:hAnsi="Courier New" w:cs="Courier New"/>
      <w:lang w:val="eu-ES" w:eastAsia="eu-ES"/>
    </w:rPr>
  </w:style>
  <w:style w:type="paragraph" w:customStyle="1" w:styleId="Default">
    <w:name w:val="Default"/>
    <w:rsid w:val="006944BB"/>
    <w:pPr>
      <w:autoSpaceDE w:val="0"/>
      <w:autoSpaceDN w:val="0"/>
      <w:adjustRightInd w:val="0"/>
    </w:pPr>
    <w:rPr>
      <w:rFonts w:ascii="Verdana" w:hAnsi="Verdana" w:cs="Verdana"/>
      <w:color w:val="000000"/>
      <w:sz w:val="24"/>
      <w:szCs w:val="24"/>
    </w:rPr>
  </w:style>
  <w:style w:type="paragraph" w:customStyle="1" w:styleId="Prrafodelista1">
    <w:name w:val="Párrafo de lista1"/>
    <w:basedOn w:val="Normal"/>
    <w:rsid w:val="006944BB"/>
    <w:pPr>
      <w:spacing w:after="200" w:line="276" w:lineRule="auto"/>
      <w:ind w:left="720" w:firstLine="0"/>
      <w:contextualSpacing/>
      <w:jc w:val="left"/>
    </w:pPr>
    <w:rPr>
      <w:rFonts w:ascii="Calibri" w:hAnsi="Calibri"/>
      <w:sz w:val="22"/>
      <w:szCs w:val="22"/>
    </w:rPr>
  </w:style>
  <w:style w:type="character" w:styleId="Hipervnculovisitado">
    <w:name w:val="FollowedHyperlink"/>
    <w:rsid w:val="006944BB"/>
    <w:rPr>
      <w:color w:val="800080"/>
      <w:u w:val="single"/>
    </w:rPr>
  </w:style>
  <w:style w:type="character" w:customStyle="1" w:styleId="category">
    <w:name w:val="category"/>
    <w:basedOn w:val="Fuentedeprrafopredeter"/>
    <w:rsid w:val="006944BB"/>
  </w:style>
  <w:style w:type="character" w:customStyle="1" w:styleId="atitulo3Car">
    <w:name w:val="atitulo3 Car"/>
    <w:link w:val="atitulo3"/>
    <w:rsid w:val="004470EA"/>
    <w:rPr>
      <w:rFonts w:ascii="Arial" w:hAnsi="Arial"/>
      <w:i/>
      <w:iCs/>
      <w:color w:val="000000"/>
      <w:spacing w:val="10"/>
      <w:kern w:val="28"/>
      <w:sz w:val="25"/>
      <w:szCs w:val="26"/>
      <w:lang w:eastAsia="eu-ES"/>
    </w:rPr>
  </w:style>
  <w:style w:type="paragraph" w:styleId="Textonotaalfinal">
    <w:name w:val="endnote text"/>
    <w:basedOn w:val="Normal"/>
    <w:link w:val="TextonotaalfinalCar"/>
    <w:rsid w:val="007C7938"/>
    <w:pPr>
      <w:spacing w:after="0"/>
    </w:pPr>
  </w:style>
  <w:style w:type="character" w:customStyle="1" w:styleId="TextonotaalfinalCar">
    <w:name w:val="Texto nota al final Car"/>
    <w:basedOn w:val="Fuentedeprrafopredeter"/>
    <w:link w:val="Textonotaalfinal"/>
    <w:rsid w:val="007C7938"/>
    <w:rPr>
      <w:lang w:eastAsia="eu-ES"/>
    </w:rPr>
  </w:style>
  <w:style w:type="character" w:styleId="Refdenotaalfinal">
    <w:name w:val="endnote reference"/>
    <w:basedOn w:val="Fuentedeprrafopredeter"/>
    <w:rsid w:val="007C7938"/>
    <w:rPr>
      <w:vertAlign w:val="superscript"/>
    </w:rPr>
  </w:style>
  <w:style w:type="paragraph" w:styleId="Textonotapie">
    <w:name w:val="footnote text"/>
    <w:basedOn w:val="Normal"/>
    <w:link w:val="TextonotapieCar"/>
    <w:rsid w:val="007C7938"/>
    <w:pPr>
      <w:spacing w:after="0"/>
    </w:pPr>
  </w:style>
  <w:style w:type="character" w:customStyle="1" w:styleId="TextonotapieCar">
    <w:name w:val="Texto nota pie Car"/>
    <w:basedOn w:val="Fuentedeprrafopredeter"/>
    <w:link w:val="Textonotapie"/>
    <w:rsid w:val="007C7938"/>
    <w:rPr>
      <w:lang w:eastAsia="eu-ES"/>
    </w:rPr>
  </w:style>
  <w:style w:type="character" w:styleId="Refdenotaalpie">
    <w:name w:val="footnote reference"/>
    <w:basedOn w:val="Fuentedeprrafopredeter"/>
    <w:rsid w:val="007C79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uiPriority="10" w:qFormat="1"/>
    <w:lsdException w:name="Subtitle" w:uiPriority="11"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uiPriority w:val="99"/>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EncabezadoCar">
    <w:name w:val="Encabezado Car"/>
    <w:link w:val="Encabezado"/>
    <w:locked/>
    <w:rsid w:val="006944BB"/>
    <w:rPr>
      <w:bCs/>
      <w:caps/>
      <w:sz w:val="14"/>
      <w:szCs w:val="12"/>
      <w:lang w:eastAsia="eu-ES"/>
    </w:rPr>
  </w:style>
  <w:style w:type="character" w:customStyle="1" w:styleId="PiedepginaCar">
    <w:name w:val="Pie de página Car"/>
    <w:link w:val="Piedepgina"/>
    <w:locked/>
    <w:rsid w:val="006944BB"/>
    <w:rPr>
      <w:spacing w:val="6"/>
      <w:lang w:eastAsia="eu-ES"/>
    </w:rPr>
  </w:style>
  <w:style w:type="paragraph" w:styleId="Textoindependiente">
    <w:name w:val="Body Text"/>
    <w:basedOn w:val="Normal"/>
    <w:link w:val="TextoindependienteCar"/>
    <w:rsid w:val="006944BB"/>
    <w:pPr>
      <w:spacing w:after="0"/>
      <w:ind w:firstLine="0"/>
    </w:pPr>
    <w:rPr>
      <w:rFonts w:ascii="Arial" w:hAnsi="Arial"/>
      <w:sz w:val="24"/>
    </w:rPr>
  </w:style>
  <w:style w:type="character" w:customStyle="1" w:styleId="TextoindependienteCar">
    <w:name w:val="Texto independiente Car"/>
    <w:basedOn w:val="Fuentedeprrafopredeter"/>
    <w:link w:val="Textoindependiente"/>
    <w:rsid w:val="006944BB"/>
    <w:rPr>
      <w:rFonts w:ascii="Arial" w:hAnsi="Arial"/>
      <w:sz w:val="24"/>
      <w:lang w:eastAsia="eu-ES"/>
    </w:rPr>
  </w:style>
  <w:style w:type="paragraph" w:styleId="NormalWeb">
    <w:name w:val="Normal (Web)"/>
    <w:basedOn w:val="Normal"/>
    <w:uiPriority w:val="99"/>
    <w:rsid w:val="006944BB"/>
    <w:pPr>
      <w:spacing w:before="100" w:beforeAutospacing="1" w:after="100" w:afterAutospacing="1"/>
      <w:ind w:firstLine="0"/>
      <w:jc w:val="left"/>
    </w:pPr>
    <w:rPr>
      <w:color w:val="000000"/>
      <w:sz w:val="24"/>
      <w:szCs w:val="24"/>
    </w:rPr>
  </w:style>
  <w:style w:type="character" w:customStyle="1" w:styleId="texto1">
    <w:name w:val="texto1"/>
    <w:rsid w:val="006944BB"/>
    <w:rPr>
      <w:rFonts w:ascii="Verdana" w:hAnsi="Verdana" w:hint="default"/>
      <w:color w:val="000033"/>
      <w:sz w:val="18"/>
      <w:szCs w:val="18"/>
    </w:rPr>
  </w:style>
  <w:style w:type="character" w:customStyle="1" w:styleId="tt-nara1">
    <w:name w:val="tt-nara1"/>
    <w:rsid w:val="006944BB"/>
    <w:rPr>
      <w:rFonts w:ascii="Verdana" w:hAnsi="Verdana" w:hint="default"/>
      <w:color w:val="E23C0C"/>
      <w:sz w:val="18"/>
      <w:szCs w:val="18"/>
    </w:rPr>
  </w:style>
  <w:style w:type="paragraph" w:styleId="Textosinformato">
    <w:name w:val="Plain Text"/>
    <w:basedOn w:val="Normal"/>
    <w:link w:val="TextosinformatoCar"/>
    <w:rsid w:val="006944BB"/>
    <w:pPr>
      <w:spacing w:after="0"/>
      <w:ind w:firstLine="0"/>
      <w:jc w:val="left"/>
    </w:pPr>
    <w:rPr>
      <w:rFonts w:ascii="Courier New" w:hAnsi="Courier New" w:cs="Courier New"/>
    </w:rPr>
  </w:style>
  <w:style w:type="character" w:customStyle="1" w:styleId="TextosinformatoCar">
    <w:name w:val="Texto sin formato Car"/>
    <w:basedOn w:val="Fuentedeprrafopredeter"/>
    <w:link w:val="Textosinformato"/>
    <w:rsid w:val="006944BB"/>
    <w:rPr>
      <w:rFonts w:ascii="Courier New" w:hAnsi="Courier New" w:cs="Courier New"/>
      <w:lang w:val="eu-ES" w:eastAsia="eu-ES"/>
    </w:rPr>
  </w:style>
  <w:style w:type="paragraph" w:customStyle="1" w:styleId="Default">
    <w:name w:val="Default"/>
    <w:rsid w:val="006944BB"/>
    <w:pPr>
      <w:autoSpaceDE w:val="0"/>
      <w:autoSpaceDN w:val="0"/>
      <w:adjustRightInd w:val="0"/>
    </w:pPr>
    <w:rPr>
      <w:rFonts w:ascii="Verdana" w:hAnsi="Verdana" w:cs="Verdana"/>
      <w:color w:val="000000"/>
      <w:sz w:val="24"/>
      <w:szCs w:val="24"/>
    </w:rPr>
  </w:style>
  <w:style w:type="paragraph" w:customStyle="1" w:styleId="Prrafodelista1">
    <w:name w:val="Párrafo de lista1"/>
    <w:basedOn w:val="Normal"/>
    <w:rsid w:val="006944BB"/>
    <w:pPr>
      <w:spacing w:after="200" w:line="276" w:lineRule="auto"/>
      <w:ind w:left="720" w:firstLine="0"/>
      <w:contextualSpacing/>
      <w:jc w:val="left"/>
    </w:pPr>
    <w:rPr>
      <w:rFonts w:ascii="Calibri" w:hAnsi="Calibri"/>
      <w:sz w:val="22"/>
      <w:szCs w:val="22"/>
    </w:rPr>
  </w:style>
  <w:style w:type="character" w:styleId="Hipervnculovisitado">
    <w:name w:val="FollowedHyperlink"/>
    <w:rsid w:val="006944BB"/>
    <w:rPr>
      <w:color w:val="800080"/>
      <w:u w:val="single"/>
    </w:rPr>
  </w:style>
  <w:style w:type="character" w:customStyle="1" w:styleId="category">
    <w:name w:val="category"/>
    <w:basedOn w:val="Fuentedeprrafopredeter"/>
    <w:rsid w:val="006944BB"/>
  </w:style>
  <w:style w:type="character" w:customStyle="1" w:styleId="atitulo3Car">
    <w:name w:val="atitulo3 Car"/>
    <w:link w:val="atitulo3"/>
    <w:rsid w:val="004470EA"/>
    <w:rPr>
      <w:rFonts w:ascii="Arial" w:hAnsi="Arial"/>
      <w:i/>
      <w:iCs/>
      <w:color w:val="000000"/>
      <w:spacing w:val="10"/>
      <w:kern w:val="28"/>
      <w:sz w:val="25"/>
      <w:szCs w:val="26"/>
      <w:lang w:eastAsia="eu-ES"/>
    </w:rPr>
  </w:style>
  <w:style w:type="paragraph" w:styleId="Textonotaalfinal">
    <w:name w:val="endnote text"/>
    <w:basedOn w:val="Normal"/>
    <w:link w:val="TextonotaalfinalCar"/>
    <w:rsid w:val="007C7938"/>
    <w:pPr>
      <w:spacing w:after="0"/>
    </w:pPr>
  </w:style>
  <w:style w:type="character" w:customStyle="1" w:styleId="TextonotaalfinalCar">
    <w:name w:val="Texto nota al final Car"/>
    <w:basedOn w:val="Fuentedeprrafopredeter"/>
    <w:link w:val="Textonotaalfinal"/>
    <w:rsid w:val="007C7938"/>
    <w:rPr>
      <w:lang w:eastAsia="eu-ES"/>
    </w:rPr>
  </w:style>
  <w:style w:type="character" w:styleId="Refdenotaalfinal">
    <w:name w:val="endnote reference"/>
    <w:basedOn w:val="Fuentedeprrafopredeter"/>
    <w:rsid w:val="007C7938"/>
    <w:rPr>
      <w:vertAlign w:val="superscript"/>
    </w:rPr>
  </w:style>
  <w:style w:type="paragraph" w:styleId="Textonotapie">
    <w:name w:val="footnote text"/>
    <w:basedOn w:val="Normal"/>
    <w:link w:val="TextonotapieCar"/>
    <w:rsid w:val="007C7938"/>
    <w:pPr>
      <w:spacing w:after="0"/>
    </w:pPr>
  </w:style>
  <w:style w:type="character" w:customStyle="1" w:styleId="TextonotapieCar">
    <w:name w:val="Texto nota pie Car"/>
    <w:basedOn w:val="Fuentedeprrafopredeter"/>
    <w:link w:val="Textonotapie"/>
    <w:rsid w:val="007C7938"/>
    <w:rPr>
      <w:lang w:eastAsia="eu-ES"/>
    </w:rPr>
  </w:style>
  <w:style w:type="character" w:styleId="Refdenotaalpie">
    <w:name w:val="footnote reference"/>
    <w:basedOn w:val="Fuentedeprrafopredeter"/>
    <w:rsid w:val="007C7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3B59-A9DA-4B43-8D61-64A8D326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7031</Words>
  <Characters>38676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45616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De Santiago, Iñaki</cp:lastModifiedBy>
  <cp:revision>2</cp:revision>
  <cp:lastPrinted>2016-01-21T11:20:00Z</cp:lastPrinted>
  <dcterms:created xsi:type="dcterms:W3CDTF">2016-03-23T08:49:00Z</dcterms:created>
  <dcterms:modified xsi:type="dcterms:W3CDTF">2016-03-23T08:49:00Z</dcterms:modified>
</cp:coreProperties>
</file>