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3E9D" w14:textId="1A2D3F08" w:rsidR="008D7F85" w:rsidRPr="00D816F7" w:rsidRDefault="00D816F7" w:rsidP="00D816F7">
      <w:pPr>
        <w:jc w:val="both"/>
        <w:rPr>
          <w:rFonts w:ascii="Calibri" w:hAnsi="Calibri" w:cs="Calibri"/>
          <w:sz w:val="22"/>
          <w:szCs w:val="22"/>
        </w:rPr>
      </w:pPr>
      <w:r>
        <w:rPr>
          <w:rFonts w:ascii="Calibri" w:hAnsi="Calibri"/>
          <w:sz w:val="22"/>
        </w:rPr>
        <w:t>25MOC-24</w:t>
      </w:r>
    </w:p>
    <w:p w14:paraId="5CE92AFD" w14:textId="03EBA3E4" w:rsidR="00D816F7" w:rsidRPr="00D816F7" w:rsidRDefault="00D816F7" w:rsidP="00D816F7">
      <w:pPr>
        <w:jc w:val="both"/>
        <w:rPr>
          <w:rFonts w:ascii="Calibri" w:hAnsi="Calibri" w:cs="Calibri"/>
          <w:sz w:val="22"/>
          <w:szCs w:val="22"/>
        </w:rPr>
      </w:pPr>
      <w:r>
        <w:rPr>
          <w:rFonts w:ascii="Calibri" w:hAnsi="Calibri"/>
          <w:sz w:val="22"/>
        </w:rPr>
        <w:t>Contigo Navarra-Zurekin Nafarroa talde parlamentarioko foru parlamentari Miguel Garrido Solak, Parlamentuko Erregelamenduan ezartzen denaren babesean, honako mozio hau aurkezten du, Osoko Bilkuran eztabaidatzeko:</w:t>
      </w:r>
    </w:p>
    <w:p w14:paraId="26603009" w14:textId="10D14420" w:rsidR="00D816F7" w:rsidRPr="00D816F7" w:rsidRDefault="00D816F7" w:rsidP="00D816F7">
      <w:pPr>
        <w:jc w:val="both"/>
        <w:rPr>
          <w:rFonts w:ascii="Calibri" w:hAnsi="Calibri" w:cs="Calibri"/>
          <w:sz w:val="22"/>
          <w:szCs w:val="22"/>
        </w:rPr>
      </w:pPr>
      <w:r>
        <w:rPr>
          <w:rFonts w:ascii="Calibri" w:hAnsi="Calibri"/>
          <w:sz w:val="22"/>
        </w:rPr>
        <w:t>Eskatzen dugu Nafarroako Parlamentuaren Industriako eta Enpresen Trantsizio Ekologiko eta Digitalerako Batzordean egin dadila mozio honen betetze-egoeraren jarraipena.</w:t>
      </w:r>
    </w:p>
    <w:p w14:paraId="531F80F1" w14:textId="1FE05DD7" w:rsidR="00D816F7" w:rsidRPr="00D816F7" w:rsidRDefault="00D816F7" w:rsidP="00D816F7">
      <w:pPr>
        <w:jc w:val="both"/>
        <w:rPr>
          <w:rFonts w:ascii="Calibri" w:hAnsi="Calibri" w:cs="Calibri"/>
          <w:sz w:val="22"/>
          <w:szCs w:val="22"/>
        </w:rPr>
      </w:pPr>
      <w:r>
        <w:rPr>
          <w:rFonts w:ascii="Calibri" w:hAnsi="Calibri"/>
          <w:sz w:val="22"/>
        </w:rPr>
        <w:t>Zioen azalpena</w:t>
      </w:r>
    </w:p>
    <w:p w14:paraId="508231E4" w14:textId="627DD0A8" w:rsidR="00D816F7" w:rsidRPr="00D816F7" w:rsidRDefault="00D816F7" w:rsidP="00D816F7">
      <w:pPr>
        <w:jc w:val="both"/>
        <w:rPr>
          <w:rFonts w:ascii="Calibri" w:hAnsi="Calibri" w:cs="Calibri"/>
          <w:sz w:val="22"/>
          <w:szCs w:val="22"/>
        </w:rPr>
      </w:pPr>
      <w:r>
        <w:rPr>
          <w:rFonts w:ascii="Calibri" w:hAnsi="Calibri"/>
          <w:sz w:val="22"/>
        </w:rPr>
        <w:t>Kapitalen askatasun delakoan, inolako erregulaziorik eta elkarrekikotasunik gabekoan, kapitalaren merkatuko eragile lehiakor huts bihurtzen dira lurraldeak. Hau da, elkarrekin lehiatzera bultzatzen ditu lurraldeak, batzuetatik besteetara kapitala erakartzeko borrokan, eta, beren burua liberaltzat dutenek gogorarazten duten eran, merkatu bateko lehia askeak prezioak jaistea eragin ohi du; bada, kasu honetan, prezioak dira soldatak eta langileen baldintzak, ingurumen- eta lege-bermeak eta justizia fiskala.</w:t>
      </w:r>
    </w:p>
    <w:p w14:paraId="450E24AD" w14:textId="17437A8D" w:rsidR="00D816F7" w:rsidRPr="00D816F7" w:rsidRDefault="00D816F7" w:rsidP="00D816F7">
      <w:pPr>
        <w:jc w:val="both"/>
        <w:rPr>
          <w:rFonts w:ascii="Calibri" w:hAnsi="Calibri" w:cs="Calibri"/>
          <w:sz w:val="22"/>
          <w:szCs w:val="22"/>
        </w:rPr>
      </w:pPr>
      <w:r>
        <w:rPr>
          <w:rFonts w:ascii="Calibri" w:hAnsi="Calibri"/>
          <w:sz w:val="22"/>
        </w:rPr>
        <w:t>Alabaina, eta dogmatismo neoliberaletik aterata, badago industria-politika lantzeko beste modu bat, oinarrizko hiru printzipio hauen araberakoa: lidergo publikoa, ekosistema sendoa eta lehia desleialaren eta deslokalizazioaren aurkako borroka.</w:t>
      </w:r>
    </w:p>
    <w:p w14:paraId="70E3D4D0" w14:textId="7BFC93A7" w:rsidR="00D816F7" w:rsidRDefault="00D816F7" w:rsidP="00D816F7">
      <w:pPr>
        <w:jc w:val="both"/>
        <w:rPr>
          <w:rFonts w:ascii="Calibri" w:hAnsi="Calibri" w:cs="Calibri"/>
          <w:sz w:val="22"/>
          <w:szCs w:val="22"/>
        </w:rPr>
      </w:pPr>
      <w:r>
        <w:rPr>
          <w:rFonts w:ascii="Calibri" w:hAnsi="Calibri"/>
          <w:sz w:val="22"/>
        </w:rPr>
        <w:t xml:space="preserve">Lidergo publikoaren printzipioa behar-beharrezkoa da politika industrial jakin bat sustatu nahi bada; zehazki, balio-kate </w:t>
      </w:r>
      <w:r w:rsidR="007255C2">
        <w:rPr>
          <w:rFonts w:ascii="Calibri" w:hAnsi="Calibri"/>
          <w:sz w:val="22"/>
        </w:rPr>
        <w:t>integralak</w:t>
      </w:r>
      <w:r>
        <w:rPr>
          <w:rFonts w:ascii="Calibri" w:hAnsi="Calibri"/>
          <w:sz w:val="22"/>
        </w:rPr>
        <w:t xml:space="preserve"> lurraldean ainguratuko dituen espezializazio adimenduna gauzatzeko gai dena, jakintza-transferentzia lortzeko lankidetza bultzatzen duena eta garapen ekonomiko, zientifiko, teknologiko eta sozialeko merkatu-hobi berrietan ekintzailetza sustatzen duena. Horiek guztiak balio erantsi handia duen eta lurraldean benetan errotuta dagoen ehundura bat lortzeko, herritarren benetako interesei erantzunen diena, eta ez kapitalaren jabeen interesei soilik.</w:t>
      </w:r>
    </w:p>
    <w:p w14:paraId="029F4053" w14:textId="40DAAE36" w:rsidR="00D816F7" w:rsidRPr="00D816F7" w:rsidRDefault="00D816F7" w:rsidP="00D816F7">
      <w:pPr>
        <w:jc w:val="both"/>
        <w:rPr>
          <w:rFonts w:ascii="Calibri" w:hAnsi="Calibri" w:cs="Calibri"/>
          <w:sz w:val="22"/>
          <w:szCs w:val="22"/>
        </w:rPr>
      </w:pPr>
      <w:r>
        <w:rPr>
          <w:rFonts w:ascii="Calibri" w:hAnsi="Calibri"/>
          <w:sz w:val="22"/>
        </w:rPr>
        <w:t>Bigarrenik, giltzarria da, orobat, produktibitate handiko industria-ekosistema bat sortzea, jakintza, energia berdea eta merkea, berrikuntza, giza kapitala, azpiegiturak, digitalizazioa eta administrazio publikoekiko harremanen bizkortasuna eta erraztasuna sustatuz, horiek baitira XXI. mendeko produktibitate-faktore nagusiak.</w:t>
      </w:r>
    </w:p>
    <w:p w14:paraId="4D9758DD" w14:textId="658B9C11" w:rsidR="00D816F7" w:rsidRPr="00D816F7" w:rsidRDefault="00D816F7" w:rsidP="00D816F7">
      <w:pPr>
        <w:jc w:val="both"/>
        <w:rPr>
          <w:rFonts w:ascii="Calibri" w:hAnsi="Calibri" w:cs="Calibri"/>
          <w:sz w:val="22"/>
          <w:szCs w:val="22"/>
        </w:rPr>
      </w:pPr>
      <w:r>
        <w:rPr>
          <w:rFonts w:ascii="Calibri" w:hAnsi="Calibri"/>
          <w:sz w:val="22"/>
        </w:rPr>
        <w:t>Baina, benetako lidergo publikoa eta ekosistema sendo bat izanik ere, ezinbestekoa da hirugarren ardatz bat sustatzea, lehia desleialaren eta deslokalizazioaren aurka borrokatzeko bidea emanen duena. Joko-arau komunak bermatu behar ditugu, ez dadin posible izan lan-eskubideak, ingurumenaren babesa eta justizia fiskala salerostea; azken finean, ekonomia interes orokorraren zerbitzura egon dadin, eta ez alderantziz.</w:t>
      </w:r>
    </w:p>
    <w:p w14:paraId="1E0697F1" w14:textId="3E8FF018" w:rsidR="00D816F7" w:rsidRPr="00D816F7" w:rsidRDefault="00D816F7" w:rsidP="00D816F7">
      <w:pPr>
        <w:jc w:val="both"/>
        <w:rPr>
          <w:rFonts w:ascii="Calibri" w:hAnsi="Calibri" w:cs="Calibri"/>
          <w:sz w:val="22"/>
          <w:szCs w:val="22"/>
        </w:rPr>
      </w:pPr>
      <w:r>
        <w:rPr>
          <w:rFonts w:ascii="Calibri" w:hAnsi="Calibri"/>
          <w:sz w:val="22"/>
        </w:rPr>
        <w:t>Hain zuzen ere, Nafarroan enpresa-deslokalizazioko prozesuak pairatzen ari gara azken aldian, oso mingarriak denak ere, hala nola BSHrena eta Nano Automotiverena, zeinak hirugarren herrialdeen lehia desleialaren ondorio diren hein batean. Prozesu horiek agerian utzi dute administrazio publikoek ez dutela tresnarik, ez horiek geldiarazteko, baina ezta horietan esku hartzeko eta eragindako langileei bermeak emateko ere.</w:t>
      </w:r>
    </w:p>
    <w:p w14:paraId="6D410230" w14:textId="1F2C8F8A" w:rsidR="00D816F7" w:rsidRPr="00D816F7" w:rsidRDefault="00D816F7" w:rsidP="00D816F7">
      <w:pPr>
        <w:jc w:val="both"/>
        <w:rPr>
          <w:rFonts w:ascii="Calibri" w:hAnsi="Calibri" w:cs="Calibri"/>
          <w:sz w:val="22"/>
          <w:szCs w:val="22"/>
        </w:rPr>
      </w:pPr>
      <w:r>
        <w:rPr>
          <w:rFonts w:ascii="Calibri" w:hAnsi="Calibri"/>
          <w:sz w:val="22"/>
        </w:rPr>
        <w:t>Hori dela-eta, honako erabaki proposamen hau aurkezten dugu:</w:t>
      </w:r>
    </w:p>
    <w:p w14:paraId="285CCB1D" w14:textId="3424535E" w:rsidR="00D816F7" w:rsidRPr="00D816F7" w:rsidRDefault="00D816F7" w:rsidP="00D816F7">
      <w:pPr>
        <w:pStyle w:val="Prrafodelista"/>
        <w:numPr>
          <w:ilvl w:val="0"/>
          <w:numId w:val="2"/>
        </w:numPr>
        <w:jc w:val="both"/>
        <w:rPr>
          <w:rFonts w:ascii="Calibri" w:hAnsi="Calibri" w:cs="Calibri"/>
          <w:sz w:val="22"/>
          <w:szCs w:val="22"/>
        </w:rPr>
      </w:pPr>
      <w:r>
        <w:rPr>
          <w:rFonts w:ascii="Calibri" w:hAnsi="Calibri"/>
          <w:sz w:val="22"/>
        </w:rPr>
        <w:lastRenderedPageBreak/>
        <w:t>Nafarroako Parlamentuak Nafarroako Gobernua premiatzen du deslokalizazioaren eta lehia desleialaren aurka eraginkortasunez borrokatzea ahalbidetuko duten tresna berariazkoak jaso ditzan industriari buruzko foru-lege proiektuan.</w:t>
      </w:r>
    </w:p>
    <w:p w14:paraId="444ACE65" w14:textId="1CAD5956" w:rsidR="00D816F7" w:rsidRPr="00D816F7" w:rsidRDefault="00D816F7" w:rsidP="00D816F7">
      <w:pPr>
        <w:pStyle w:val="Prrafodelista"/>
        <w:numPr>
          <w:ilvl w:val="0"/>
          <w:numId w:val="2"/>
        </w:numPr>
        <w:jc w:val="both"/>
        <w:rPr>
          <w:rFonts w:ascii="Calibri" w:hAnsi="Calibri" w:cs="Calibri"/>
          <w:sz w:val="22"/>
          <w:szCs w:val="22"/>
        </w:rPr>
      </w:pPr>
      <w:r>
        <w:rPr>
          <w:rFonts w:ascii="Calibri" w:hAnsi="Calibri"/>
          <w:sz w:val="22"/>
        </w:rPr>
        <w:t>Nafarroako Parlamentuak Nafarroako Gobernua premiatzen du Sozietateen gaineko Zergaren kenkariak lurralde-errotzearen eta enpleguari eustearen arabera baldintzatzeko.</w:t>
      </w:r>
    </w:p>
    <w:p w14:paraId="52EBF718" w14:textId="0094998C" w:rsidR="00D816F7" w:rsidRPr="00D816F7" w:rsidRDefault="00D816F7" w:rsidP="00D816F7">
      <w:pPr>
        <w:pStyle w:val="Prrafodelista"/>
        <w:numPr>
          <w:ilvl w:val="0"/>
          <w:numId w:val="2"/>
        </w:numPr>
        <w:jc w:val="both"/>
        <w:rPr>
          <w:rFonts w:ascii="Calibri" w:hAnsi="Calibri" w:cs="Calibri"/>
          <w:sz w:val="22"/>
          <w:szCs w:val="22"/>
        </w:rPr>
      </w:pPr>
      <w:r>
        <w:rPr>
          <w:rFonts w:ascii="Calibri" w:hAnsi="Calibri"/>
          <w:sz w:val="22"/>
        </w:rPr>
        <w:t>Nafarroako Parlamentuak Nafarroako Gobernua premiatzen du Europako Batzordeari helaraz diezaion erkidegoaren antolamendu juridikoan eta haren merkataritza-politikan elkarrekiko bermerako eta lehia desleialaren aurkako borrokarako mekanismoak sartzeko beharra.</w:t>
      </w:r>
    </w:p>
    <w:p w14:paraId="00C21CFD" w14:textId="28D61A49" w:rsidR="00D816F7" w:rsidRDefault="00D816F7" w:rsidP="00D816F7">
      <w:pPr>
        <w:jc w:val="both"/>
        <w:rPr>
          <w:rFonts w:ascii="Calibri" w:hAnsi="Calibri" w:cs="Calibri"/>
          <w:sz w:val="22"/>
          <w:szCs w:val="22"/>
        </w:rPr>
      </w:pPr>
      <w:r>
        <w:rPr>
          <w:rFonts w:ascii="Calibri" w:hAnsi="Calibri"/>
          <w:sz w:val="22"/>
        </w:rPr>
        <w:t>Iruñean, 2025eko otsailaren 13an</w:t>
      </w:r>
    </w:p>
    <w:p w14:paraId="7E1F1418" w14:textId="3BD48BBB" w:rsidR="00D816F7" w:rsidRPr="00D816F7" w:rsidRDefault="00D816F7" w:rsidP="00D816F7">
      <w:pPr>
        <w:jc w:val="both"/>
        <w:rPr>
          <w:rFonts w:ascii="Calibri" w:hAnsi="Calibri" w:cs="Calibri"/>
          <w:sz w:val="22"/>
          <w:szCs w:val="22"/>
        </w:rPr>
      </w:pPr>
      <w:r>
        <w:rPr>
          <w:rFonts w:ascii="Calibri" w:hAnsi="Calibri"/>
          <w:sz w:val="22"/>
        </w:rPr>
        <w:t>Foru parlamentaria: Miguel Garrido Sola</w:t>
      </w:r>
    </w:p>
    <w:sectPr w:rsidR="00D816F7" w:rsidRPr="00D816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F3591"/>
    <w:multiLevelType w:val="hybridMultilevel"/>
    <w:tmpl w:val="52D66B4E"/>
    <w:lvl w:ilvl="0" w:tplc="DEC27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C40F8E"/>
    <w:multiLevelType w:val="hybridMultilevel"/>
    <w:tmpl w:val="8758A004"/>
    <w:lvl w:ilvl="0" w:tplc="DEC275D8">
      <w:start w:val="1"/>
      <w:numFmt w:val="bullet"/>
      <w:lvlText w:val=""/>
      <w:lvlJc w:val="left"/>
      <w:pPr>
        <w:ind w:left="720" w:hanging="360"/>
      </w:pPr>
      <w:rPr>
        <w:rFonts w:ascii="Symbol" w:hAnsi="Symbol" w:hint="default"/>
      </w:rPr>
    </w:lvl>
    <w:lvl w:ilvl="1" w:tplc="5508AF9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3069882">
    <w:abstractNumId w:val="1"/>
  </w:num>
  <w:num w:numId="2" w16cid:durableId="210148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F7"/>
    <w:rsid w:val="003E3E22"/>
    <w:rsid w:val="005762CC"/>
    <w:rsid w:val="00600DE2"/>
    <w:rsid w:val="0066283F"/>
    <w:rsid w:val="007255C2"/>
    <w:rsid w:val="008253A9"/>
    <w:rsid w:val="008D7F85"/>
    <w:rsid w:val="00904E8A"/>
    <w:rsid w:val="00A36075"/>
    <w:rsid w:val="00A877BA"/>
    <w:rsid w:val="00B0049F"/>
    <w:rsid w:val="00C01BD6"/>
    <w:rsid w:val="00D816F7"/>
    <w:rsid w:val="00E2340F"/>
    <w:rsid w:val="00E872DF"/>
    <w:rsid w:val="00E91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D7EB"/>
  <w15:chartTrackingRefBased/>
  <w15:docId w15:val="{C831FB1B-EA70-479E-B037-CA9A1EC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1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1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16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16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16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16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16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16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16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6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16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16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16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16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16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16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16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16F7"/>
    <w:rPr>
      <w:rFonts w:eastAsiaTheme="majorEastAsia" w:cstheme="majorBidi"/>
      <w:color w:val="272727" w:themeColor="text1" w:themeTint="D8"/>
    </w:rPr>
  </w:style>
  <w:style w:type="paragraph" w:styleId="Ttulo">
    <w:name w:val="Title"/>
    <w:basedOn w:val="Normal"/>
    <w:next w:val="Normal"/>
    <w:link w:val="TtuloCar"/>
    <w:uiPriority w:val="10"/>
    <w:qFormat/>
    <w:rsid w:val="00D81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16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16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16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16F7"/>
    <w:pPr>
      <w:spacing w:before="160"/>
      <w:jc w:val="center"/>
    </w:pPr>
    <w:rPr>
      <w:i/>
      <w:iCs/>
      <w:color w:val="404040" w:themeColor="text1" w:themeTint="BF"/>
    </w:rPr>
  </w:style>
  <w:style w:type="character" w:customStyle="1" w:styleId="CitaCar">
    <w:name w:val="Cita Car"/>
    <w:basedOn w:val="Fuentedeprrafopredeter"/>
    <w:link w:val="Cita"/>
    <w:uiPriority w:val="29"/>
    <w:rsid w:val="00D816F7"/>
    <w:rPr>
      <w:i/>
      <w:iCs/>
      <w:color w:val="404040" w:themeColor="text1" w:themeTint="BF"/>
    </w:rPr>
  </w:style>
  <w:style w:type="paragraph" w:styleId="Prrafodelista">
    <w:name w:val="List Paragraph"/>
    <w:basedOn w:val="Normal"/>
    <w:uiPriority w:val="34"/>
    <w:qFormat/>
    <w:rsid w:val="00D816F7"/>
    <w:pPr>
      <w:ind w:left="720"/>
      <w:contextualSpacing/>
    </w:pPr>
  </w:style>
  <w:style w:type="character" w:styleId="nfasisintenso">
    <w:name w:val="Intense Emphasis"/>
    <w:basedOn w:val="Fuentedeprrafopredeter"/>
    <w:uiPriority w:val="21"/>
    <w:qFormat/>
    <w:rsid w:val="00D816F7"/>
    <w:rPr>
      <w:i/>
      <w:iCs/>
      <w:color w:val="0F4761" w:themeColor="accent1" w:themeShade="BF"/>
    </w:rPr>
  </w:style>
  <w:style w:type="paragraph" w:styleId="Citadestacada">
    <w:name w:val="Intense Quote"/>
    <w:basedOn w:val="Normal"/>
    <w:next w:val="Normal"/>
    <w:link w:val="CitadestacadaCar"/>
    <w:uiPriority w:val="30"/>
    <w:qFormat/>
    <w:rsid w:val="00D81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16F7"/>
    <w:rPr>
      <w:i/>
      <w:iCs/>
      <w:color w:val="0F4761" w:themeColor="accent1" w:themeShade="BF"/>
    </w:rPr>
  </w:style>
  <w:style w:type="character" w:styleId="Referenciaintensa">
    <w:name w:val="Intense Reference"/>
    <w:basedOn w:val="Fuentedeprrafopredeter"/>
    <w:uiPriority w:val="32"/>
    <w:qFormat/>
    <w:rsid w:val="00D816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3130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2025-02-14T07:17:00Z</dcterms:created>
  <dcterms:modified xsi:type="dcterms:W3CDTF">2025-02-21T08:18:00Z</dcterms:modified>
</cp:coreProperties>
</file>