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D1BAE" w14:textId="77777777" w:rsidR="001C3A32" w:rsidRPr="003A115E" w:rsidRDefault="00FA495F" w:rsidP="00075677">
      <w:pPr>
        <w:pStyle w:val="cuadroCabe"/>
      </w:pPr>
      <w:r w:rsidRPr="003A115E">
        <w:rPr>
          <w:noProof/>
          <w:lang w:val="es-ES" w:eastAsia="es-ES"/>
        </w:rPr>
        <mc:AlternateContent>
          <mc:Choice Requires="wps">
            <w:drawing>
              <wp:anchor distT="0" distB="0" distL="114300" distR="114300" simplePos="0" relativeHeight="251658240" behindDoc="0" locked="0" layoutInCell="1" allowOverlap="1" wp14:anchorId="44865297" wp14:editId="701B31BC">
                <wp:simplePos x="0" y="0"/>
                <wp:positionH relativeFrom="column">
                  <wp:posOffset>-156588</wp:posOffset>
                </wp:positionH>
                <wp:positionV relativeFrom="paragraph">
                  <wp:posOffset>-816377</wp:posOffset>
                </wp:positionV>
                <wp:extent cx="1157469" cy="1145894"/>
                <wp:effectExtent l="0" t="0" r="508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469" cy="1145894"/>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AA5F62" w:rsidRPr="003A7956" w:rsidRDefault="00AA5F62" w:rsidP="004C3423">
                            <w:pPr>
                              <w:jc w:val="center"/>
                              <w:rPr>
                                <w:sz w:val="18"/>
                                <w:szCs w:val="18"/>
                              </w:rPr>
                            </w:pPr>
                            <w:r w:rsidRPr="003A7956">
                              <w:rPr>
                                <w:sz w:val="18"/>
                                <w:szCs w:val="18"/>
                              </w:rPr>
                              <w:t>CAMARA DE</w:t>
                            </w:r>
                          </w:p>
                          <w:p w14:paraId="014AEEE6" w14:textId="77777777" w:rsidR="00AA5F62" w:rsidRPr="003A7956" w:rsidRDefault="00AA5F62" w:rsidP="004C3423">
                            <w:pPr>
                              <w:jc w:val="center"/>
                              <w:rPr>
                                <w:sz w:val="18"/>
                                <w:szCs w:val="18"/>
                              </w:rPr>
                            </w:pPr>
                            <w:r w:rsidRPr="003A7956">
                              <w:rPr>
                                <w:sz w:val="18"/>
                                <w:szCs w:val="18"/>
                              </w:rPr>
                              <w:t>COMPTOS</w:t>
                            </w:r>
                          </w:p>
                          <w:p w14:paraId="44471B96" w14:textId="77777777" w:rsidR="00AA5F62" w:rsidRPr="003A7956" w:rsidRDefault="00AA5F62" w:rsidP="004C3423">
                            <w:pPr>
                              <w:jc w:val="center"/>
                              <w:rPr>
                                <w:sz w:val="18"/>
                                <w:szCs w:val="18"/>
                              </w:rPr>
                            </w:pPr>
                            <w:r w:rsidRPr="003A7956">
                              <w:rPr>
                                <w:sz w:val="18"/>
                                <w:szCs w:val="18"/>
                              </w:rPr>
                              <w:t>DE NAVARRA</w:t>
                            </w:r>
                          </w:p>
                          <w:p w14:paraId="07A085F6" w14:textId="77777777" w:rsidR="00AA5F62" w:rsidRPr="003A7956" w:rsidRDefault="00AA5F62" w:rsidP="004C3423">
                            <w:pPr>
                              <w:jc w:val="center"/>
                              <w:rPr>
                                <w:color w:val="808080"/>
                                <w:sz w:val="18"/>
                                <w:szCs w:val="18"/>
                              </w:rPr>
                            </w:pPr>
                            <w:r w:rsidRPr="003A7956">
                              <w:rPr>
                                <w:color w:val="808080"/>
                                <w:sz w:val="18"/>
                                <w:szCs w:val="18"/>
                              </w:rPr>
                              <w:t>NAFARROAKO</w:t>
                            </w:r>
                          </w:p>
                          <w:p w14:paraId="0496B026" w14:textId="77777777" w:rsidR="00AA5F62" w:rsidRPr="003A7956" w:rsidRDefault="00AA5F62" w:rsidP="004C3423">
                            <w:pPr>
                              <w:jc w:val="center"/>
                              <w:rPr>
                                <w:color w:val="808080"/>
                                <w:sz w:val="18"/>
                                <w:szCs w:val="18"/>
                              </w:rPr>
                            </w:pPr>
                            <w:r w:rsidRPr="003A7956">
                              <w:rPr>
                                <w:color w:val="808080"/>
                                <w:sz w:val="18"/>
                                <w:szCs w:val="18"/>
                              </w:rPr>
                              <w:t>KONTUEN</w:t>
                            </w:r>
                          </w:p>
                          <w:p w14:paraId="376CDB4B" w14:textId="77777777" w:rsidR="00AA5F62" w:rsidRPr="003A7956" w:rsidRDefault="00AA5F62" w:rsidP="004C3423">
                            <w:pPr>
                              <w:jc w:val="center"/>
                              <w:rPr>
                                <w:color w:val="808080"/>
                                <w:sz w:val="18"/>
                                <w:szCs w:val="18"/>
                              </w:rPr>
                            </w:pPr>
                            <w:r w:rsidRPr="003A7956">
                              <w:rPr>
                                <w:color w:val="808080"/>
                                <w:sz w:val="18"/>
                                <w:szCs w:val="18"/>
                              </w:rPr>
                              <w:t>GANBERA</w:t>
                            </w:r>
                          </w:p>
                          <w:p w14:paraId="672A6659" w14:textId="77777777" w:rsidR="00AA5F62" w:rsidRPr="002C7026" w:rsidRDefault="00AA5F62" w:rsidP="002C7026">
                            <w:pPr>
                              <w:jc w:val="center"/>
                              <w:rPr>
                                <w:rFonts w:ascii="Trajan" w:hAnsi="Trajan"/>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35pt;margin-top:-64.3pt;width:91.15pt;height:9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" stroked="f" strokecolor="white">
                <v:textbox>
                  <w:txbxContent>
                    <w:p w14:paraId="7CE9EDB8" w14:textId="77777777" w:rsidR="00AA5F62" w:rsidRPr="003A7956" w:rsidRDefault="00AA5F62" w:rsidP="004C3423">
                      <w:pPr>
                        <w:jc w:val="center"/>
                        <w:rPr>
                          <w:sz w:val="18"/>
                          <w:szCs w:val="18"/>
                        </w:rPr>
                      </w:pPr>
                      <w:r w:rsidRPr="003A7956">
                        <w:rPr>
                          <w:sz w:val="18"/>
                          <w:szCs w:val="18"/>
                        </w:rPr>
                        <w:t>CAMARA DE</w:t>
                      </w:r>
                    </w:p>
                    <w:p w14:paraId="014AEEE6" w14:textId="77777777" w:rsidR="00AA5F62" w:rsidRPr="003A7956" w:rsidRDefault="00AA5F62" w:rsidP="004C3423">
                      <w:pPr>
                        <w:jc w:val="center"/>
                        <w:rPr>
                          <w:sz w:val="18"/>
                          <w:szCs w:val="18"/>
                        </w:rPr>
                      </w:pPr>
                      <w:r w:rsidRPr="003A7956">
                        <w:rPr>
                          <w:sz w:val="18"/>
                          <w:szCs w:val="18"/>
                        </w:rPr>
                        <w:t>COMPTOS</w:t>
                      </w:r>
                    </w:p>
                    <w:p w14:paraId="44471B96" w14:textId="77777777" w:rsidR="00AA5F62" w:rsidRPr="003A7956" w:rsidRDefault="00AA5F62" w:rsidP="004C3423">
                      <w:pPr>
                        <w:jc w:val="center"/>
                        <w:rPr>
                          <w:sz w:val="18"/>
                          <w:szCs w:val="18"/>
                        </w:rPr>
                      </w:pPr>
                      <w:r w:rsidRPr="003A7956">
                        <w:rPr>
                          <w:sz w:val="18"/>
                          <w:szCs w:val="18"/>
                        </w:rPr>
                        <w:t>DE NAVARRA</w:t>
                      </w:r>
                    </w:p>
                    <w:p w14:paraId="07A085F6" w14:textId="77777777" w:rsidR="00AA5F62" w:rsidRPr="003A7956" w:rsidRDefault="00AA5F62" w:rsidP="004C3423">
                      <w:pPr>
                        <w:jc w:val="center"/>
                        <w:rPr>
                          <w:color w:val="808080"/>
                          <w:sz w:val="18"/>
                          <w:szCs w:val="18"/>
                        </w:rPr>
                      </w:pPr>
                      <w:r w:rsidRPr="003A7956">
                        <w:rPr>
                          <w:color w:val="808080"/>
                          <w:sz w:val="18"/>
                          <w:szCs w:val="18"/>
                        </w:rPr>
                        <w:t>NAFARROAKO</w:t>
                      </w:r>
                    </w:p>
                    <w:p w14:paraId="0496B026" w14:textId="77777777" w:rsidR="00AA5F62" w:rsidRPr="003A7956" w:rsidRDefault="00AA5F62" w:rsidP="004C3423">
                      <w:pPr>
                        <w:jc w:val="center"/>
                        <w:rPr>
                          <w:color w:val="808080"/>
                          <w:sz w:val="18"/>
                          <w:szCs w:val="18"/>
                        </w:rPr>
                      </w:pPr>
                      <w:r w:rsidRPr="003A7956">
                        <w:rPr>
                          <w:color w:val="808080"/>
                          <w:sz w:val="18"/>
                          <w:szCs w:val="18"/>
                        </w:rPr>
                        <w:t>KONTUEN</w:t>
                      </w:r>
                    </w:p>
                    <w:p w14:paraId="376CDB4B" w14:textId="77777777" w:rsidR="00AA5F62" w:rsidRPr="003A7956" w:rsidRDefault="00AA5F62" w:rsidP="004C3423">
                      <w:pPr>
                        <w:jc w:val="center"/>
                        <w:rPr>
                          <w:color w:val="808080"/>
                          <w:sz w:val="18"/>
                          <w:szCs w:val="18"/>
                        </w:rPr>
                      </w:pPr>
                      <w:r w:rsidRPr="003A7956">
                        <w:rPr>
                          <w:color w:val="808080"/>
                          <w:sz w:val="18"/>
                          <w:szCs w:val="18"/>
                        </w:rPr>
                        <w:t>GANBERA</w:t>
                      </w:r>
                    </w:p>
                    <w:p w14:paraId="672A6659" w14:textId="77777777" w:rsidR="00AA5F62" w:rsidRPr="002C7026" w:rsidRDefault="00AA5F62" w:rsidP="002C7026">
                      <w:pPr>
                        <w:jc w:val="center"/>
                        <w:rPr>
                          <w:rFonts w:ascii="Trajan" w:hAnsi="Trajan"/>
                          <w:color w:val="808080"/>
                          <w:sz w:val="18"/>
                          <w:szCs w:val="18"/>
                        </w:rPr>
                      </w:pPr>
                    </w:p>
                  </w:txbxContent>
                </v:textbox>
              </v:shape>
            </w:pict>
          </mc:Fallback>
        </mc:AlternateContent>
      </w:r>
      <w:r w:rsidR="00844F74" w:rsidRPr="003A115E">
        <w:t xml:space="preserve">Borrador </w:t>
      </w:r>
      <w:r w:rsidR="00C13453" w:rsidRPr="003A115E">
        <w:t>final</w:t>
      </w:r>
    </w:p>
    <w:p w14:paraId="5DAB6C7B" w14:textId="77777777" w:rsidR="00345C6C" w:rsidRPr="003A115E" w:rsidRDefault="00345C6C" w:rsidP="00075677">
      <w:pPr>
        <w:pStyle w:val="cuadroCabe"/>
      </w:pPr>
    </w:p>
    <w:p w14:paraId="02EB378F" w14:textId="77777777" w:rsidR="00345C6C" w:rsidRPr="003A115E" w:rsidRDefault="00345C6C" w:rsidP="00075677">
      <w:pPr>
        <w:pStyle w:val="cuadroCabe"/>
      </w:pPr>
    </w:p>
    <w:p w14:paraId="29689F1E" w14:textId="435FBE22" w:rsidR="00345C6C" w:rsidRPr="003A115E" w:rsidRDefault="009D1EFE" w:rsidP="00551BB3">
      <w:pPr>
        <w:pStyle w:val="EstiloPortada"/>
        <w:ind w:left="3969" w:right="0" w:hanging="1417"/>
        <w:jc w:val="right"/>
        <w:rPr>
          <w:sz w:val="42"/>
          <w:szCs w:val="42"/>
        </w:rPr>
      </w:pPr>
      <w:r w:rsidRPr="003A115E">
        <w:rPr>
          <w:sz w:val="42"/>
          <w:szCs w:val="42"/>
        </w:rPr>
        <w:t>Informe</w:t>
      </w:r>
      <w:r w:rsidR="006770BE" w:rsidRPr="003A115E">
        <w:rPr>
          <w:sz w:val="42"/>
          <w:szCs w:val="42"/>
        </w:rPr>
        <w:t xml:space="preserve"> </w:t>
      </w:r>
      <w:r w:rsidR="001D606B">
        <w:rPr>
          <w:sz w:val="42"/>
          <w:szCs w:val="42"/>
        </w:rPr>
        <w:t>definitivo</w:t>
      </w:r>
      <w:r w:rsidRPr="003A115E">
        <w:rPr>
          <w:sz w:val="42"/>
          <w:szCs w:val="42"/>
        </w:rPr>
        <w:t xml:space="preserve"> </w:t>
      </w:r>
    </w:p>
    <w:p w14:paraId="200A98B4" w14:textId="77777777" w:rsidR="00107C61" w:rsidRPr="003A115E" w:rsidRDefault="00107C61" w:rsidP="00345C6C">
      <w:pPr>
        <w:pStyle w:val="EstiloPortada"/>
        <w:ind w:left="3780"/>
        <w:rPr>
          <w:sz w:val="56"/>
          <w:szCs w:val="56"/>
        </w:rPr>
      </w:pPr>
    </w:p>
    <w:p w14:paraId="4AFAD1CD" w14:textId="0FEFBC25" w:rsidR="00345C6C" w:rsidRPr="002F26DD" w:rsidRDefault="00551BB3" w:rsidP="002F26DD">
      <w:pPr>
        <w:pStyle w:val="EstiloPortada"/>
        <w:ind w:left="3969" w:right="-142"/>
        <w:rPr>
          <w:sz w:val="56"/>
          <w:szCs w:val="56"/>
        </w:rPr>
      </w:pPr>
      <w:r>
        <w:rPr>
          <w:sz w:val="56"/>
          <w:szCs w:val="56"/>
        </w:rPr>
        <w:t xml:space="preserve"> </w:t>
      </w:r>
      <w:r w:rsidR="00345C6C" w:rsidRPr="002F26DD">
        <w:rPr>
          <w:sz w:val="56"/>
          <w:szCs w:val="56"/>
        </w:rPr>
        <w:t>Sector público local</w:t>
      </w:r>
    </w:p>
    <w:p w14:paraId="0346A4EA" w14:textId="65176280" w:rsidR="00345C6C" w:rsidRPr="002F26DD" w:rsidRDefault="002F26DD" w:rsidP="002F26DD">
      <w:pPr>
        <w:pStyle w:val="EstiloPortada"/>
        <w:ind w:left="3828" w:right="-142"/>
        <w:rPr>
          <w:sz w:val="56"/>
          <w:szCs w:val="56"/>
        </w:rPr>
      </w:pPr>
      <w:r w:rsidRPr="002F26DD">
        <w:rPr>
          <w:sz w:val="56"/>
          <w:szCs w:val="56"/>
        </w:rPr>
        <w:t xml:space="preserve">de Navarra, </w:t>
      </w:r>
      <w:r w:rsidR="00174D8B" w:rsidRPr="002F26DD">
        <w:rPr>
          <w:sz w:val="56"/>
          <w:szCs w:val="56"/>
        </w:rPr>
        <w:t>ejerci</w:t>
      </w:r>
      <w:r w:rsidR="00915F33" w:rsidRPr="002F26DD">
        <w:rPr>
          <w:sz w:val="56"/>
          <w:szCs w:val="56"/>
        </w:rPr>
        <w:t>cio</w:t>
      </w:r>
    </w:p>
    <w:p w14:paraId="6A05A809" w14:textId="78814292" w:rsidR="001C3A32" w:rsidRPr="002F26DD" w:rsidRDefault="00253FF6" w:rsidP="002F26DD">
      <w:pPr>
        <w:pStyle w:val="texto"/>
        <w:tabs>
          <w:tab w:val="clear" w:pos="2835"/>
          <w:tab w:val="clear" w:pos="3969"/>
          <w:tab w:val="clear" w:pos="5103"/>
          <w:tab w:val="clear" w:pos="6237"/>
          <w:tab w:val="clear" w:pos="7371"/>
        </w:tabs>
        <w:ind w:left="3969" w:firstLine="0"/>
        <w:jc w:val="right"/>
        <w:rPr>
          <w:b/>
          <w:sz w:val="56"/>
          <w:szCs w:val="56"/>
        </w:rPr>
      </w:pPr>
      <w:r w:rsidRPr="002F26DD">
        <w:rPr>
          <w:b/>
          <w:sz w:val="56"/>
          <w:szCs w:val="56"/>
        </w:rPr>
        <w:t>2022</w:t>
      </w:r>
    </w:p>
    <w:p w14:paraId="5A39BBE3" w14:textId="77777777" w:rsidR="001C3A32" w:rsidRPr="003A115E" w:rsidRDefault="001C3A32" w:rsidP="00891D73">
      <w:pPr>
        <w:pStyle w:val="texto"/>
      </w:pPr>
    </w:p>
    <w:p w14:paraId="41C8F396" w14:textId="77777777" w:rsidR="002F2530" w:rsidRPr="003A115E" w:rsidRDefault="002F2530" w:rsidP="00891D73">
      <w:pPr>
        <w:pStyle w:val="texto"/>
      </w:pPr>
    </w:p>
    <w:p w14:paraId="72A3D3EC" w14:textId="77777777" w:rsidR="002F2530" w:rsidRPr="003A115E" w:rsidRDefault="002F2530" w:rsidP="00891D73">
      <w:pPr>
        <w:pStyle w:val="texto"/>
      </w:pPr>
    </w:p>
    <w:p w14:paraId="0D0B940D" w14:textId="77777777" w:rsidR="001C3A32" w:rsidRPr="003A115E" w:rsidRDefault="001C3A32" w:rsidP="00891D73">
      <w:pPr>
        <w:pStyle w:val="texto"/>
      </w:pPr>
    </w:p>
    <w:p w14:paraId="0E27B00A" w14:textId="77777777" w:rsidR="001C3A32" w:rsidRPr="003A115E" w:rsidRDefault="001C3A32" w:rsidP="00891D73">
      <w:pPr>
        <w:pStyle w:val="texto"/>
      </w:pPr>
    </w:p>
    <w:p w14:paraId="60061E4C" w14:textId="77777777" w:rsidR="001C3A32" w:rsidRPr="003A115E" w:rsidRDefault="001C3A32" w:rsidP="00891D73">
      <w:pPr>
        <w:pStyle w:val="texto"/>
      </w:pPr>
    </w:p>
    <w:p w14:paraId="44EAFD9C" w14:textId="77777777" w:rsidR="001C3A32" w:rsidRPr="003A115E" w:rsidRDefault="001C3A32" w:rsidP="00891D73">
      <w:pPr>
        <w:pStyle w:val="texto"/>
      </w:pPr>
    </w:p>
    <w:p w14:paraId="4B94D5A5" w14:textId="77777777" w:rsidR="001C3A32" w:rsidRPr="003A115E" w:rsidRDefault="001C3A32" w:rsidP="00891D73">
      <w:pPr>
        <w:pStyle w:val="texto"/>
      </w:pPr>
    </w:p>
    <w:p w14:paraId="3DEEC669" w14:textId="77777777" w:rsidR="001C3A32" w:rsidRPr="003A115E" w:rsidRDefault="001C3A32" w:rsidP="00891D73">
      <w:pPr>
        <w:pStyle w:val="texto"/>
      </w:pPr>
    </w:p>
    <w:p w14:paraId="3656B9AB" w14:textId="77777777" w:rsidR="001C3A32" w:rsidRPr="003A115E" w:rsidRDefault="001C3A32" w:rsidP="00891D73">
      <w:pPr>
        <w:pStyle w:val="texto"/>
      </w:pPr>
    </w:p>
    <w:p w14:paraId="45FB0818" w14:textId="77777777" w:rsidR="001C3A32" w:rsidRPr="003A115E" w:rsidRDefault="001C3A32" w:rsidP="00891D73">
      <w:pPr>
        <w:pStyle w:val="texto"/>
      </w:pPr>
    </w:p>
    <w:p w14:paraId="049F31CB" w14:textId="77777777" w:rsidR="001C3A32" w:rsidRPr="003A115E" w:rsidRDefault="001C3A32" w:rsidP="00891D73">
      <w:pPr>
        <w:pStyle w:val="texto"/>
      </w:pPr>
    </w:p>
    <w:p w14:paraId="53128261" w14:textId="77777777" w:rsidR="001C3A32" w:rsidRPr="003A115E" w:rsidRDefault="001C3A32" w:rsidP="00891D73">
      <w:pPr>
        <w:pStyle w:val="texto"/>
      </w:pPr>
    </w:p>
    <w:p w14:paraId="62486C05" w14:textId="77777777" w:rsidR="001C3A32" w:rsidRPr="003A115E" w:rsidRDefault="001C3A32" w:rsidP="00891D73">
      <w:pPr>
        <w:pStyle w:val="texto"/>
      </w:pPr>
    </w:p>
    <w:p w14:paraId="4101652C" w14:textId="77777777" w:rsidR="001C3A32" w:rsidRPr="003A115E" w:rsidRDefault="001C3A32" w:rsidP="00891D73">
      <w:pPr>
        <w:pStyle w:val="texto"/>
      </w:pPr>
    </w:p>
    <w:p w14:paraId="4B99056E" w14:textId="77777777" w:rsidR="001C3A32" w:rsidRPr="003A115E" w:rsidRDefault="001C3A32" w:rsidP="00891D73">
      <w:pPr>
        <w:pStyle w:val="texto"/>
      </w:pPr>
    </w:p>
    <w:p w14:paraId="0C410262" w14:textId="6FF8A2D4" w:rsidR="00716463" w:rsidRDefault="003E5F52" w:rsidP="0186A00D">
      <w:pPr>
        <w:pStyle w:val="Fechaportada"/>
        <w:rPr>
          <w:lang w:val="es-ES"/>
        </w:rPr>
      </w:pPr>
      <w:r>
        <w:rPr>
          <w:lang w:val="es-ES"/>
        </w:rPr>
        <w:t>Diciembre</w:t>
      </w:r>
      <w:r w:rsidRPr="003A115E">
        <w:rPr>
          <w:lang w:val="es-ES"/>
        </w:rPr>
        <w:t xml:space="preserve"> </w:t>
      </w:r>
      <w:r w:rsidR="00455B72">
        <w:rPr>
          <w:lang w:val="es-ES"/>
        </w:rPr>
        <w:t xml:space="preserve">de </w:t>
      </w:r>
      <w:r w:rsidR="00405DB3" w:rsidRPr="003A115E">
        <w:rPr>
          <w:lang w:val="es-ES"/>
        </w:rPr>
        <w:t>2024</w:t>
      </w:r>
    </w:p>
    <w:p w14:paraId="308B855E" w14:textId="79E62C3B" w:rsidR="003E5F52" w:rsidRDefault="003E5F52" w:rsidP="0186A00D">
      <w:pPr>
        <w:pStyle w:val="Fechaportada"/>
        <w:rPr>
          <w:lang w:val="es-ES"/>
        </w:rPr>
      </w:pPr>
    </w:p>
    <w:p w14:paraId="0E3BDFB4" w14:textId="4229B70B" w:rsidR="003E5F52" w:rsidRDefault="003E5F52" w:rsidP="0186A00D">
      <w:pPr>
        <w:pStyle w:val="Fechaportada"/>
        <w:rPr>
          <w:lang w:val="es-ES"/>
        </w:rPr>
      </w:pPr>
    </w:p>
    <w:p w14:paraId="55600300" w14:textId="2148BD74" w:rsidR="003E5F52" w:rsidRDefault="003E5F52" w:rsidP="0186A00D">
      <w:pPr>
        <w:pStyle w:val="Fechaportada"/>
        <w:rPr>
          <w:lang w:val="es-ES"/>
        </w:rPr>
      </w:pPr>
    </w:p>
    <w:p w14:paraId="7E98C821" w14:textId="4D9AEFDB" w:rsidR="003E5F52" w:rsidRDefault="003E5F52" w:rsidP="0186A00D">
      <w:pPr>
        <w:pStyle w:val="Fechaportada"/>
        <w:rPr>
          <w:lang w:val="es-ES"/>
        </w:rPr>
      </w:pPr>
    </w:p>
    <w:p w14:paraId="4BF07328" w14:textId="77777777" w:rsidR="003E5F52" w:rsidRPr="003A115E" w:rsidRDefault="003E5F52" w:rsidP="0186A00D">
      <w:pPr>
        <w:pStyle w:val="Fechaportada"/>
        <w:rPr>
          <w:lang w:val="es-ES"/>
        </w:rPr>
      </w:pPr>
    </w:p>
    <w:p w14:paraId="0562CB0E" w14:textId="59EC0D84" w:rsidR="005A2FD2" w:rsidRDefault="00AA5F62" w:rsidP="00891D73">
      <w:pPr>
        <w:pStyle w:val="ndice"/>
        <w:rPr>
          <w:rFonts w:ascii="Times New Roman" w:hAnsi="Times New Roman"/>
          <w:color w:val="auto"/>
        </w:rPr>
      </w:pPr>
      <w:r w:rsidRPr="00AA5F62">
        <w:rPr>
          <w:rFonts w:ascii="Times New Roman" w:hAnsi="Times New Roman"/>
          <w:noProof/>
          <w:color w:val="auto"/>
          <w:lang w:val="es-ES" w:eastAsia="es-ES"/>
        </w:rPr>
        <w:drawing>
          <wp:inline distT="0" distB="0" distL="0" distR="0" wp14:anchorId="59D2B86E" wp14:editId="08145E6B">
            <wp:extent cx="5581015" cy="4971237"/>
            <wp:effectExtent l="0" t="0" r="635" b="1270"/>
            <wp:docPr id="1" name="Imagen 1" descr="C:\Users\D611338\AppData\Local\Microsoft\Windows\INetCache\Content.Outlook\9F41F60Y\Sector local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611338\AppData\Local\Microsoft\Windows\INetCache\Content.Outlook\9F41F60Y\Sector local 202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1015" cy="4971237"/>
                    </a:xfrm>
                    <a:prstGeom prst="rect">
                      <a:avLst/>
                    </a:prstGeom>
                    <a:noFill/>
                    <a:ln>
                      <a:noFill/>
                    </a:ln>
                  </pic:spPr>
                </pic:pic>
              </a:graphicData>
            </a:graphic>
          </wp:inline>
        </w:drawing>
      </w:r>
    </w:p>
    <w:p w14:paraId="65C4A63E" w14:textId="7E3655D0" w:rsidR="00AA5F62" w:rsidRDefault="00AA5F62" w:rsidP="00891D73">
      <w:pPr>
        <w:pStyle w:val="ndice"/>
        <w:rPr>
          <w:rFonts w:ascii="Times New Roman" w:hAnsi="Times New Roman"/>
          <w:color w:val="auto"/>
        </w:rPr>
      </w:pPr>
    </w:p>
    <w:p w14:paraId="0586FF82" w14:textId="77777777" w:rsidR="00AA5F62" w:rsidRPr="003A115E" w:rsidRDefault="00AA5F62" w:rsidP="00891D73">
      <w:pPr>
        <w:pStyle w:val="ndice"/>
        <w:rPr>
          <w:rFonts w:ascii="Times New Roman" w:hAnsi="Times New Roman"/>
          <w:color w:val="auto"/>
        </w:rPr>
        <w:sectPr w:rsidR="00AA5F62" w:rsidRPr="003A115E" w:rsidSect="0019660E">
          <w:headerReference w:type="even" r:id="rId12"/>
          <w:headerReference w:type="default" r:id="rId13"/>
          <w:footerReference w:type="even" r:id="rId14"/>
          <w:footerReference w:type="default" r:id="rId15"/>
          <w:headerReference w:type="first" r:id="rId16"/>
          <w:footerReference w:type="first" r:id="rId17"/>
          <w:pgSz w:w="11907" w:h="16840" w:code="9"/>
          <w:pgMar w:top="2835" w:right="1559" w:bottom="1644" w:left="1559" w:header="369" w:footer="136" w:gutter="0"/>
          <w:pgNumType w:start="1"/>
          <w:cols w:space="720"/>
          <w:titlePg/>
          <w:docGrid w:linePitch="360"/>
        </w:sectPr>
      </w:pPr>
    </w:p>
    <w:p w14:paraId="6EC93065" w14:textId="6A1E09A3" w:rsidR="00345C6C" w:rsidRPr="00E0010B" w:rsidRDefault="00E0010B" w:rsidP="00CA055D">
      <w:pPr>
        <w:pStyle w:val="ndice"/>
        <w:spacing w:before="20"/>
        <w:ind w:right="-1"/>
        <w:jc w:val="right"/>
        <w:rPr>
          <w:b w:val="0"/>
          <w:i/>
          <w:color w:val="auto"/>
          <w:sz w:val="22"/>
          <w:szCs w:val="22"/>
        </w:rPr>
      </w:pPr>
      <w:r w:rsidRPr="00C65F68">
        <w:rPr>
          <w:b w:val="0"/>
          <w:bCs/>
          <w:i/>
          <w:color w:val="auto"/>
          <w:sz w:val="16"/>
          <w:szCs w:val="16"/>
        </w:rPr>
        <w:lastRenderedPageBreak/>
        <w:t>Pá</w:t>
      </w:r>
      <w:r w:rsidR="00DA7ACF" w:rsidRPr="00C65F68">
        <w:rPr>
          <w:b w:val="0"/>
          <w:bCs/>
          <w:i/>
          <w:color w:val="auto"/>
          <w:sz w:val="16"/>
          <w:szCs w:val="16"/>
        </w:rPr>
        <w:t>gina</w:t>
      </w:r>
    </w:p>
    <w:p w14:paraId="66F4621A" w14:textId="3C63BACE" w:rsidR="00584E6A" w:rsidRDefault="00345C6C">
      <w:pPr>
        <w:pStyle w:val="TDC1"/>
        <w:rPr>
          <w:rFonts w:asciiTheme="minorHAnsi" w:eastAsiaTheme="minorEastAsia" w:hAnsiTheme="minorHAnsi" w:cstheme="minorBidi"/>
          <w:smallCaps w:val="0"/>
          <w:noProof/>
          <w:szCs w:val="22"/>
          <w:lang w:val="es-ES" w:eastAsia="es-ES"/>
        </w:rPr>
      </w:pPr>
      <w:r w:rsidRPr="003A115E">
        <w:fldChar w:fldCharType="begin"/>
      </w:r>
      <w:r w:rsidRPr="003A115E">
        <w:instrText xml:space="preserve"> TOC \o "1-3" \h \z \t "atitulo1;1;atitulo2;2" </w:instrText>
      </w:r>
      <w:r w:rsidRPr="003A115E">
        <w:fldChar w:fldCharType="separate"/>
      </w:r>
      <w:hyperlink w:anchor="_Toc183679736" w:history="1">
        <w:r w:rsidR="00584E6A" w:rsidRPr="00B34C3F">
          <w:rPr>
            <w:rStyle w:val="Hipervnculo"/>
            <w:noProof/>
          </w:rPr>
          <w:t>I. Introducción</w:t>
        </w:r>
        <w:r w:rsidR="00584E6A">
          <w:rPr>
            <w:noProof/>
            <w:webHidden/>
          </w:rPr>
          <w:tab/>
        </w:r>
        <w:r w:rsidR="00584E6A">
          <w:rPr>
            <w:noProof/>
            <w:webHidden/>
          </w:rPr>
          <w:fldChar w:fldCharType="begin"/>
        </w:r>
        <w:r w:rsidR="00584E6A">
          <w:rPr>
            <w:noProof/>
            <w:webHidden/>
          </w:rPr>
          <w:instrText xml:space="preserve"> PAGEREF _Toc183679736 \h </w:instrText>
        </w:r>
        <w:r w:rsidR="00584E6A">
          <w:rPr>
            <w:noProof/>
            <w:webHidden/>
          </w:rPr>
        </w:r>
        <w:r w:rsidR="00584E6A">
          <w:rPr>
            <w:noProof/>
            <w:webHidden/>
          </w:rPr>
          <w:fldChar w:fldCharType="separate"/>
        </w:r>
        <w:r w:rsidR="006A62AF">
          <w:rPr>
            <w:noProof/>
            <w:webHidden/>
          </w:rPr>
          <w:t>3</w:t>
        </w:r>
        <w:r w:rsidR="00584E6A">
          <w:rPr>
            <w:noProof/>
            <w:webHidden/>
          </w:rPr>
          <w:fldChar w:fldCharType="end"/>
        </w:r>
      </w:hyperlink>
    </w:p>
    <w:p w14:paraId="4864704A" w14:textId="6B97384F" w:rsidR="00584E6A" w:rsidRDefault="00584E6A">
      <w:pPr>
        <w:pStyle w:val="TDC1"/>
        <w:rPr>
          <w:rFonts w:asciiTheme="minorHAnsi" w:eastAsiaTheme="minorEastAsia" w:hAnsiTheme="minorHAnsi" w:cstheme="minorBidi"/>
          <w:smallCaps w:val="0"/>
          <w:noProof/>
          <w:szCs w:val="22"/>
          <w:lang w:val="es-ES" w:eastAsia="es-ES"/>
        </w:rPr>
      </w:pPr>
      <w:hyperlink w:anchor="_Toc183679737" w:history="1">
        <w:r w:rsidRPr="00B34C3F">
          <w:rPr>
            <w:rStyle w:val="Hipervnculo"/>
            <w:noProof/>
          </w:rPr>
          <w:t>II. Objetivos, alcance y limitaciones</w:t>
        </w:r>
        <w:r>
          <w:rPr>
            <w:noProof/>
            <w:webHidden/>
          </w:rPr>
          <w:tab/>
        </w:r>
        <w:r>
          <w:rPr>
            <w:noProof/>
            <w:webHidden/>
          </w:rPr>
          <w:fldChar w:fldCharType="begin"/>
        </w:r>
        <w:r>
          <w:rPr>
            <w:noProof/>
            <w:webHidden/>
          </w:rPr>
          <w:instrText xml:space="preserve"> PAGEREF _Toc183679737 \h </w:instrText>
        </w:r>
        <w:r>
          <w:rPr>
            <w:noProof/>
            <w:webHidden/>
          </w:rPr>
        </w:r>
        <w:r>
          <w:rPr>
            <w:noProof/>
            <w:webHidden/>
          </w:rPr>
          <w:fldChar w:fldCharType="separate"/>
        </w:r>
        <w:r w:rsidR="006A62AF">
          <w:rPr>
            <w:noProof/>
            <w:webHidden/>
          </w:rPr>
          <w:t>4</w:t>
        </w:r>
        <w:r>
          <w:rPr>
            <w:noProof/>
            <w:webHidden/>
          </w:rPr>
          <w:fldChar w:fldCharType="end"/>
        </w:r>
      </w:hyperlink>
    </w:p>
    <w:p w14:paraId="50348F7D" w14:textId="7CFF5D66" w:rsidR="00584E6A" w:rsidRDefault="00584E6A">
      <w:pPr>
        <w:pStyle w:val="TDC1"/>
        <w:rPr>
          <w:rFonts w:asciiTheme="minorHAnsi" w:eastAsiaTheme="minorEastAsia" w:hAnsiTheme="minorHAnsi" w:cstheme="minorBidi"/>
          <w:smallCaps w:val="0"/>
          <w:noProof/>
          <w:szCs w:val="22"/>
          <w:lang w:val="es-ES" w:eastAsia="es-ES"/>
        </w:rPr>
      </w:pPr>
      <w:hyperlink w:anchor="_Toc183679738" w:history="1">
        <w:r w:rsidRPr="00B34C3F">
          <w:rPr>
            <w:rStyle w:val="Hipervnculo"/>
            <w:noProof/>
          </w:rPr>
          <w:t>III. Conclusiones y recomendaciones</w:t>
        </w:r>
        <w:r>
          <w:rPr>
            <w:noProof/>
            <w:webHidden/>
          </w:rPr>
          <w:tab/>
        </w:r>
        <w:r>
          <w:rPr>
            <w:noProof/>
            <w:webHidden/>
          </w:rPr>
          <w:fldChar w:fldCharType="begin"/>
        </w:r>
        <w:r>
          <w:rPr>
            <w:noProof/>
            <w:webHidden/>
          </w:rPr>
          <w:instrText xml:space="preserve"> PAGEREF _Toc183679738 \h </w:instrText>
        </w:r>
        <w:r>
          <w:rPr>
            <w:noProof/>
            <w:webHidden/>
          </w:rPr>
        </w:r>
        <w:r>
          <w:rPr>
            <w:noProof/>
            <w:webHidden/>
          </w:rPr>
          <w:fldChar w:fldCharType="separate"/>
        </w:r>
        <w:r w:rsidR="006A62AF">
          <w:rPr>
            <w:noProof/>
            <w:webHidden/>
          </w:rPr>
          <w:t>6</w:t>
        </w:r>
        <w:r>
          <w:rPr>
            <w:noProof/>
            <w:webHidden/>
          </w:rPr>
          <w:fldChar w:fldCharType="end"/>
        </w:r>
      </w:hyperlink>
    </w:p>
    <w:p w14:paraId="0B7188A1" w14:textId="71CFD41C" w:rsidR="00584E6A" w:rsidRDefault="00584E6A">
      <w:pPr>
        <w:pStyle w:val="TDC2"/>
        <w:rPr>
          <w:rFonts w:asciiTheme="minorHAnsi" w:eastAsiaTheme="minorEastAsia" w:hAnsiTheme="minorHAnsi" w:cstheme="minorBidi"/>
          <w:noProof/>
          <w:szCs w:val="22"/>
          <w:lang w:val="es-ES" w:eastAsia="es-ES"/>
        </w:rPr>
      </w:pPr>
      <w:hyperlink w:anchor="_Toc183679739" w:history="1">
        <w:r w:rsidRPr="00B34C3F">
          <w:rPr>
            <w:rStyle w:val="Hipervnculo"/>
            <w:noProof/>
          </w:rPr>
          <w:t>III.1 Conclusiones</w:t>
        </w:r>
        <w:r>
          <w:rPr>
            <w:noProof/>
            <w:webHidden/>
          </w:rPr>
          <w:tab/>
        </w:r>
        <w:r>
          <w:rPr>
            <w:noProof/>
            <w:webHidden/>
          </w:rPr>
          <w:fldChar w:fldCharType="begin"/>
        </w:r>
        <w:r>
          <w:rPr>
            <w:noProof/>
            <w:webHidden/>
          </w:rPr>
          <w:instrText xml:space="preserve"> PAGEREF _Toc183679739 \h </w:instrText>
        </w:r>
        <w:r>
          <w:rPr>
            <w:noProof/>
            <w:webHidden/>
          </w:rPr>
        </w:r>
        <w:r>
          <w:rPr>
            <w:noProof/>
            <w:webHidden/>
          </w:rPr>
          <w:fldChar w:fldCharType="separate"/>
        </w:r>
        <w:r w:rsidR="006A62AF">
          <w:rPr>
            <w:noProof/>
            <w:webHidden/>
          </w:rPr>
          <w:t>6</w:t>
        </w:r>
        <w:r>
          <w:rPr>
            <w:noProof/>
            <w:webHidden/>
          </w:rPr>
          <w:fldChar w:fldCharType="end"/>
        </w:r>
      </w:hyperlink>
    </w:p>
    <w:p w14:paraId="1D933047" w14:textId="7FFC7E10" w:rsidR="00584E6A" w:rsidRDefault="00584E6A">
      <w:pPr>
        <w:pStyle w:val="TDC2"/>
        <w:rPr>
          <w:rFonts w:asciiTheme="minorHAnsi" w:eastAsiaTheme="minorEastAsia" w:hAnsiTheme="minorHAnsi" w:cstheme="minorBidi"/>
          <w:noProof/>
          <w:szCs w:val="22"/>
          <w:lang w:val="es-ES" w:eastAsia="es-ES"/>
        </w:rPr>
      </w:pPr>
      <w:hyperlink w:anchor="_Toc183679740" w:history="1">
        <w:r w:rsidRPr="00B34C3F">
          <w:rPr>
            <w:rStyle w:val="Hipervnculo"/>
            <w:noProof/>
          </w:rPr>
          <w:t>III.2 Recomendaciones</w:t>
        </w:r>
        <w:r>
          <w:rPr>
            <w:noProof/>
            <w:webHidden/>
          </w:rPr>
          <w:tab/>
        </w:r>
        <w:r>
          <w:rPr>
            <w:noProof/>
            <w:webHidden/>
          </w:rPr>
          <w:fldChar w:fldCharType="begin"/>
        </w:r>
        <w:r>
          <w:rPr>
            <w:noProof/>
            <w:webHidden/>
          </w:rPr>
          <w:instrText xml:space="preserve"> PAGEREF _Toc183679740 \h </w:instrText>
        </w:r>
        <w:r>
          <w:rPr>
            <w:noProof/>
            <w:webHidden/>
          </w:rPr>
        </w:r>
        <w:r>
          <w:rPr>
            <w:noProof/>
            <w:webHidden/>
          </w:rPr>
          <w:fldChar w:fldCharType="separate"/>
        </w:r>
        <w:r w:rsidR="006A62AF">
          <w:rPr>
            <w:noProof/>
            <w:webHidden/>
          </w:rPr>
          <w:t>9</w:t>
        </w:r>
        <w:r>
          <w:rPr>
            <w:noProof/>
            <w:webHidden/>
          </w:rPr>
          <w:fldChar w:fldCharType="end"/>
        </w:r>
      </w:hyperlink>
    </w:p>
    <w:p w14:paraId="32AFD894" w14:textId="5AB5B55F" w:rsidR="00584E6A" w:rsidRDefault="00584E6A">
      <w:pPr>
        <w:pStyle w:val="TDC1"/>
        <w:rPr>
          <w:rFonts w:asciiTheme="minorHAnsi" w:eastAsiaTheme="minorEastAsia" w:hAnsiTheme="minorHAnsi" w:cstheme="minorBidi"/>
          <w:smallCaps w:val="0"/>
          <w:noProof/>
          <w:szCs w:val="22"/>
          <w:lang w:val="es-ES" w:eastAsia="es-ES"/>
        </w:rPr>
      </w:pPr>
      <w:hyperlink w:anchor="_Toc183679741" w:history="1">
        <w:r w:rsidRPr="00B34C3F">
          <w:rPr>
            <w:rStyle w:val="Hipervnculo"/>
            <w:noProof/>
          </w:rPr>
          <w:t>IV. Estructura organizativa y normativa del sector público local</w:t>
        </w:r>
        <w:r>
          <w:rPr>
            <w:noProof/>
            <w:webHidden/>
          </w:rPr>
          <w:tab/>
        </w:r>
        <w:r>
          <w:rPr>
            <w:noProof/>
            <w:webHidden/>
          </w:rPr>
          <w:fldChar w:fldCharType="begin"/>
        </w:r>
        <w:r>
          <w:rPr>
            <w:noProof/>
            <w:webHidden/>
          </w:rPr>
          <w:instrText xml:space="preserve"> PAGEREF _Toc183679741 \h </w:instrText>
        </w:r>
        <w:r>
          <w:rPr>
            <w:noProof/>
            <w:webHidden/>
          </w:rPr>
        </w:r>
        <w:r>
          <w:rPr>
            <w:noProof/>
            <w:webHidden/>
          </w:rPr>
          <w:fldChar w:fldCharType="separate"/>
        </w:r>
        <w:r w:rsidR="006A62AF">
          <w:rPr>
            <w:noProof/>
            <w:webHidden/>
          </w:rPr>
          <w:t>12</w:t>
        </w:r>
        <w:r>
          <w:rPr>
            <w:noProof/>
            <w:webHidden/>
          </w:rPr>
          <w:fldChar w:fldCharType="end"/>
        </w:r>
      </w:hyperlink>
    </w:p>
    <w:p w14:paraId="1F1475DE" w14:textId="07FBEEBB" w:rsidR="00584E6A" w:rsidRDefault="00584E6A">
      <w:pPr>
        <w:pStyle w:val="TDC2"/>
        <w:rPr>
          <w:rFonts w:asciiTheme="minorHAnsi" w:eastAsiaTheme="minorEastAsia" w:hAnsiTheme="minorHAnsi" w:cstheme="minorBidi"/>
          <w:noProof/>
          <w:szCs w:val="22"/>
          <w:lang w:val="es-ES" w:eastAsia="es-ES"/>
        </w:rPr>
      </w:pPr>
      <w:hyperlink w:anchor="_Toc183679742" w:history="1">
        <w:r w:rsidRPr="00B34C3F">
          <w:rPr>
            <w:rStyle w:val="Hipervnculo"/>
            <w:noProof/>
          </w:rPr>
          <w:t>IV.1 Estructura organizativa</w:t>
        </w:r>
        <w:r>
          <w:rPr>
            <w:noProof/>
            <w:webHidden/>
          </w:rPr>
          <w:tab/>
        </w:r>
        <w:r>
          <w:rPr>
            <w:noProof/>
            <w:webHidden/>
          </w:rPr>
          <w:fldChar w:fldCharType="begin"/>
        </w:r>
        <w:r>
          <w:rPr>
            <w:noProof/>
            <w:webHidden/>
          </w:rPr>
          <w:instrText xml:space="preserve"> PAGEREF _Toc183679742 \h </w:instrText>
        </w:r>
        <w:r>
          <w:rPr>
            <w:noProof/>
            <w:webHidden/>
          </w:rPr>
        </w:r>
        <w:r>
          <w:rPr>
            <w:noProof/>
            <w:webHidden/>
          </w:rPr>
          <w:fldChar w:fldCharType="separate"/>
        </w:r>
        <w:r w:rsidR="006A62AF">
          <w:rPr>
            <w:noProof/>
            <w:webHidden/>
          </w:rPr>
          <w:t>12</w:t>
        </w:r>
        <w:r>
          <w:rPr>
            <w:noProof/>
            <w:webHidden/>
          </w:rPr>
          <w:fldChar w:fldCharType="end"/>
        </w:r>
      </w:hyperlink>
    </w:p>
    <w:p w14:paraId="6EFA7FCA" w14:textId="67024104" w:rsidR="00584E6A" w:rsidRDefault="00584E6A">
      <w:pPr>
        <w:pStyle w:val="TDC2"/>
        <w:rPr>
          <w:rFonts w:asciiTheme="minorHAnsi" w:eastAsiaTheme="minorEastAsia" w:hAnsiTheme="minorHAnsi" w:cstheme="minorBidi"/>
          <w:noProof/>
          <w:szCs w:val="22"/>
          <w:lang w:val="es-ES" w:eastAsia="es-ES"/>
        </w:rPr>
      </w:pPr>
      <w:hyperlink w:anchor="_Toc183679743" w:history="1">
        <w:r w:rsidRPr="00B34C3F">
          <w:rPr>
            <w:rStyle w:val="Hipervnculo"/>
            <w:noProof/>
          </w:rPr>
          <w:t>IV.2 Racionalización del sector público local</w:t>
        </w:r>
        <w:r>
          <w:rPr>
            <w:noProof/>
            <w:webHidden/>
          </w:rPr>
          <w:tab/>
        </w:r>
        <w:r>
          <w:rPr>
            <w:noProof/>
            <w:webHidden/>
          </w:rPr>
          <w:fldChar w:fldCharType="begin"/>
        </w:r>
        <w:r>
          <w:rPr>
            <w:noProof/>
            <w:webHidden/>
          </w:rPr>
          <w:instrText xml:space="preserve"> PAGEREF _Toc183679743 \h </w:instrText>
        </w:r>
        <w:r>
          <w:rPr>
            <w:noProof/>
            <w:webHidden/>
          </w:rPr>
        </w:r>
        <w:r>
          <w:rPr>
            <w:noProof/>
            <w:webHidden/>
          </w:rPr>
          <w:fldChar w:fldCharType="separate"/>
        </w:r>
        <w:r w:rsidR="006A62AF">
          <w:rPr>
            <w:noProof/>
            <w:webHidden/>
          </w:rPr>
          <w:t>14</w:t>
        </w:r>
        <w:r>
          <w:rPr>
            <w:noProof/>
            <w:webHidden/>
          </w:rPr>
          <w:fldChar w:fldCharType="end"/>
        </w:r>
      </w:hyperlink>
    </w:p>
    <w:p w14:paraId="1B0566CA" w14:textId="5C85226C" w:rsidR="00584E6A" w:rsidRDefault="00584E6A">
      <w:pPr>
        <w:pStyle w:val="TDC2"/>
        <w:rPr>
          <w:rFonts w:asciiTheme="minorHAnsi" w:eastAsiaTheme="minorEastAsia" w:hAnsiTheme="minorHAnsi" w:cstheme="minorBidi"/>
          <w:noProof/>
          <w:szCs w:val="22"/>
          <w:lang w:val="es-ES" w:eastAsia="es-ES"/>
        </w:rPr>
      </w:pPr>
      <w:hyperlink w:anchor="_Toc183679744" w:history="1">
        <w:r w:rsidRPr="00B34C3F">
          <w:rPr>
            <w:rStyle w:val="Hipervnculo"/>
            <w:noProof/>
          </w:rPr>
          <w:t>IV.3 Normativa aplicable a las entidades locales de Navarra</w:t>
        </w:r>
        <w:r>
          <w:rPr>
            <w:noProof/>
            <w:webHidden/>
          </w:rPr>
          <w:tab/>
        </w:r>
        <w:r>
          <w:rPr>
            <w:noProof/>
            <w:webHidden/>
          </w:rPr>
          <w:fldChar w:fldCharType="begin"/>
        </w:r>
        <w:r>
          <w:rPr>
            <w:noProof/>
            <w:webHidden/>
          </w:rPr>
          <w:instrText xml:space="preserve"> PAGEREF _Toc183679744 \h </w:instrText>
        </w:r>
        <w:r>
          <w:rPr>
            <w:noProof/>
            <w:webHidden/>
          </w:rPr>
        </w:r>
        <w:r>
          <w:rPr>
            <w:noProof/>
            <w:webHidden/>
          </w:rPr>
          <w:fldChar w:fldCharType="separate"/>
        </w:r>
        <w:r w:rsidR="006A62AF">
          <w:rPr>
            <w:noProof/>
            <w:webHidden/>
          </w:rPr>
          <w:t>15</w:t>
        </w:r>
        <w:r>
          <w:rPr>
            <w:noProof/>
            <w:webHidden/>
          </w:rPr>
          <w:fldChar w:fldCharType="end"/>
        </w:r>
      </w:hyperlink>
    </w:p>
    <w:p w14:paraId="39451758" w14:textId="7A867F9E" w:rsidR="00584E6A" w:rsidRDefault="00584E6A">
      <w:pPr>
        <w:pStyle w:val="TDC1"/>
        <w:rPr>
          <w:rFonts w:asciiTheme="minorHAnsi" w:eastAsiaTheme="minorEastAsia" w:hAnsiTheme="minorHAnsi" w:cstheme="minorBidi"/>
          <w:smallCaps w:val="0"/>
          <w:noProof/>
          <w:szCs w:val="22"/>
          <w:lang w:val="es-ES" w:eastAsia="es-ES"/>
        </w:rPr>
      </w:pPr>
      <w:hyperlink w:anchor="_Toc183679745" w:history="1">
        <w:r w:rsidRPr="00B34C3F">
          <w:rPr>
            <w:rStyle w:val="Hipervnculo"/>
            <w:noProof/>
          </w:rPr>
          <w:t>V. Memoria-resumen de las actuaciones de fiscalización referidas al ejercicio 2022</w:t>
        </w:r>
        <w:r>
          <w:rPr>
            <w:noProof/>
            <w:webHidden/>
          </w:rPr>
          <w:tab/>
        </w:r>
        <w:r>
          <w:rPr>
            <w:noProof/>
            <w:webHidden/>
          </w:rPr>
          <w:fldChar w:fldCharType="begin"/>
        </w:r>
        <w:r>
          <w:rPr>
            <w:noProof/>
            <w:webHidden/>
          </w:rPr>
          <w:instrText xml:space="preserve"> PAGEREF _Toc183679745 \h </w:instrText>
        </w:r>
        <w:r>
          <w:rPr>
            <w:noProof/>
            <w:webHidden/>
          </w:rPr>
        </w:r>
        <w:r>
          <w:rPr>
            <w:noProof/>
            <w:webHidden/>
          </w:rPr>
          <w:fldChar w:fldCharType="separate"/>
        </w:r>
        <w:r w:rsidR="006A62AF">
          <w:rPr>
            <w:noProof/>
            <w:webHidden/>
          </w:rPr>
          <w:t>17</w:t>
        </w:r>
        <w:r>
          <w:rPr>
            <w:noProof/>
            <w:webHidden/>
          </w:rPr>
          <w:fldChar w:fldCharType="end"/>
        </w:r>
      </w:hyperlink>
    </w:p>
    <w:p w14:paraId="2A9D5B25" w14:textId="14DAD04E" w:rsidR="00584E6A" w:rsidRDefault="00584E6A">
      <w:pPr>
        <w:pStyle w:val="TDC1"/>
        <w:rPr>
          <w:rFonts w:asciiTheme="minorHAnsi" w:eastAsiaTheme="minorEastAsia" w:hAnsiTheme="minorHAnsi" w:cstheme="minorBidi"/>
          <w:smallCaps w:val="0"/>
          <w:noProof/>
          <w:szCs w:val="22"/>
          <w:lang w:val="es-ES" w:eastAsia="es-ES"/>
        </w:rPr>
      </w:pPr>
      <w:hyperlink w:anchor="_Toc183679746" w:history="1">
        <w:r w:rsidRPr="00B34C3F">
          <w:rPr>
            <w:rStyle w:val="Hipervnculo"/>
            <w:noProof/>
          </w:rPr>
          <w:t>VI. Situación financiera del sector público local</w:t>
        </w:r>
        <w:r>
          <w:rPr>
            <w:noProof/>
            <w:webHidden/>
          </w:rPr>
          <w:tab/>
        </w:r>
        <w:r>
          <w:rPr>
            <w:noProof/>
            <w:webHidden/>
          </w:rPr>
          <w:fldChar w:fldCharType="begin"/>
        </w:r>
        <w:r>
          <w:rPr>
            <w:noProof/>
            <w:webHidden/>
          </w:rPr>
          <w:instrText xml:space="preserve"> PAGEREF _Toc183679746 \h </w:instrText>
        </w:r>
        <w:r>
          <w:rPr>
            <w:noProof/>
            <w:webHidden/>
          </w:rPr>
        </w:r>
        <w:r>
          <w:rPr>
            <w:noProof/>
            <w:webHidden/>
          </w:rPr>
          <w:fldChar w:fldCharType="separate"/>
        </w:r>
        <w:r w:rsidR="006A62AF">
          <w:rPr>
            <w:noProof/>
            <w:webHidden/>
          </w:rPr>
          <w:t>20</w:t>
        </w:r>
        <w:r>
          <w:rPr>
            <w:noProof/>
            <w:webHidden/>
          </w:rPr>
          <w:fldChar w:fldCharType="end"/>
        </w:r>
      </w:hyperlink>
    </w:p>
    <w:p w14:paraId="71BE5B8D" w14:textId="2975F636" w:rsidR="00584E6A" w:rsidRDefault="00584E6A">
      <w:pPr>
        <w:pStyle w:val="TDC2"/>
        <w:rPr>
          <w:rFonts w:asciiTheme="minorHAnsi" w:eastAsiaTheme="minorEastAsia" w:hAnsiTheme="minorHAnsi" w:cstheme="minorBidi"/>
          <w:noProof/>
          <w:szCs w:val="22"/>
          <w:lang w:val="es-ES" w:eastAsia="es-ES"/>
        </w:rPr>
      </w:pPr>
      <w:hyperlink w:anchor="_Toc183679747" w:history="1">
        <w:r w:rsidRPr="00B34C3F">
          <w:rPr>
            <w:rStyle w:val="Hipervnculo"/>
            <w:noProof/>
          </w:rPr>
          <w:t>VI.1 Ingresos</w:t>
        </w:r>
        <w:r>
          <w:rPr>
            <w:noProof/>
            <w:webHidden/>
          </w:rPr>
          <w:tab/>
        </w:r>
        <w:r>
          <w:rPr>
            <w:noProof/>
            <w:webHidden/>
          </w:rPr>
          <w:fldChar w:fldCharType="begin"/>
        </w:r>
        <w:r>
          <w:rPr>
            <w:noProof/>
            <w:webHidden/>
          </w:rPr>
          <w:instrText xml:space="preserve"> PAGEREF _Toc183679747 \h </w:instrText>
        </w:r>
        <w:r>
          <w:rPr>
            <w:noProof/>
            <w:webHidden/>
          </w:rPr>
        </w:r>
        <w:r>
          <w:rPr>
            <w:noProof/>
            <w:webHidden/>
          </w:rPr>
          <w:fldChar w:fldCharType="separate"/>
        </w:r>
        <w:r w:rsidR="006A62AF">
          <w:rPr>
            <w:noProof/>
            <w:webHidden/>
          </w:rPr>
          <w:t>20</w:t>
        </w:r>
        <w:r>
          <w:rPr>
            <w:noProof/>
            <w:webHidden/>
          </w:rPr>
          <w:fldChar w:fldCharType="end"/>
        </w:r>
      </w:hyperlink>
    </w:p>
    <w:p w14:paraId="2ECB2A82" w14:textId="2D734019" w:rsidR="00584E6A" w:rsidRDefault="00584E6A">
      <w:pPr>
        <w:pStyle w:val="TDC2"/>
        <w:rPr>
          <w:rFonts w:asciiTheme="minorHAnsi" w:eastAsiaTheme="minorEastAsia" w:hAnsiTheme="minorHAnsi" w:cstheme="minorBidi"/>
          <w:noProof/>
          <w:szCs w:val="22"/>
          <w:lang w:val="es-ES" w:eastAsia="es-ES"/>
        </w:rPr>
      </w:pPr>
      <w:hyperlink w:anchor="_Toc183679748" w:history="1">
        <w:r w:rsidRPr="00B34C3F">
          <w:rPr>
            <w:rStyle w:val="Hipervnculo"/>
            <w:noProof/>
          </w:rPr>
          <w:t>VI.2 Gastos</w:t>
        </w:r>
        <w:r>
          <w:rPr>
            <w:noProof/>
            <w:webHidden/>
          </w:rPr>
          <w:tab/>
        </w:r>
        <w:r>
          <w:rPr>
            <w:noProof/>
            <w:webHidden/>
          </w:rPr>
          <w:fldChar w:fldCharType="begin"/>
        </w:r>
        <w:r>
          <w:rPr>
            <w:noProof/>
            <w:webHidden/>
          </w:rPr>
          <w:instrText xml:space="preserve"> PAGEREF _Toc183679748 \h </w:instrText>
        </w:r>
        <w:r>
          <w:rPr>
            <w:noProof/>
            <w:webHidden/>
          </w:rPr>
        </w:r>
        <w:r>
          <w:rPr>
            <w:noProof/>
            <w:webHidden/>
          </w:rPr>
          <w:fldChar w:fldCharType="separate"/>
        </w:r>
        <w:r w:rsidR="006A62AF">
          <w:rPr>
            <w:noProof/>
            <w:webHidden/>
          </w:rPr>
          <w:t>23</w:t>
        </w:r>
        <w:r>
          <w:rPr>
            <w:noProof/>
            <w:webHidden/>
          </w:rPr>
          <w:fldChar w:fldCharType="end"/>
        </w:r>
      </w:hyperlink>
    </w:p>
    <w:p w14:paraId="432A817D" w14:textId="396EC7B0" w:rsidR="00584E6A" w:rsidRDefault="00584E6A">
      <w:pPr>
        <w:pStyle w:val="TDC2"/>
        <w:rPr>
          <w:rFonts w:asciiTheme="minorHAnsi" w:eastAsiaTheme="minorEastAsia" w:hAnsiTheme="minorHAnsi" w:cstheme="minorBidi"/>
          <w:noProof/>
          <w:szCs w:val="22"/>
          <w:lang w:val="es-ES" w:eastAsia="es-ES"/>
        </w:rPr>
      </w:pPr>
      <w:hyperlink w:anchor="_Toc183679749" w:history="1">
        <w:r w:rsidRPr="00B34C3F">
          <w:rPr>
            <w:rStyle w:val="Hipervnculo"/>
            <w:noProof/>
          </w:rPr>
          <w:t>VI.3 Fondos del Mecanismo de Recuperación y Resiliencia</w:t>
        </w:r>
        <w:r>
          <w:rPr>
            <w:noProof/>
            <w:webHidden/>
          </w:rPr>
          <w:tab/>
        </w:r>
        <w:r>
          <w:rPr>
            <w:noProof/>
            <w:webHidden/>
          </w:rPr>
          <w:fldChar w:fldCharType="begin"/>
        </w:r>
        <w:r>
          <w:rPr>
            <w:noProof/>
            <w:webHidden/>
          </w:rPr>
          <w:instrText xml:space="preserve"> PAGEREF _Toc183679749 \h </w:instrText>
        </w:r>
        <w:r>
          <w:rPr>
            <w:noProof/>
            <w:webHidden/>
          </w:rPr>
        </w:r>
        <w:r>
          <w:rPr>
            <w:noProof/>
            <w:webHidden/>
          </w:rPr>
          <w:fldChar w:fldCharType="separate"/>
        </w:r>
        <w:r w:rsidR="006A62AF">
          <w:rPr>
            <w:noProof/>
            <w:webHidden/>
          </w:rPr>
          <w:t>25</w:t>
        </w:r>
        <w:r>
          <w:rPr>
            <w:noProof/>
            <w:webHidden/>
          </w:rPr>
          <w:fldChar w:fldCharType="end"/>
        </w:r>
      </w:hyperlink>
    </w:p>
    <w:p w14:paraId="50B65E18" w14:textId="69EF8526" w:rsidR="00584E6A" w:rsidRDefault="00584E6A">
      <w:pPr>
        <w:pStyle w:val="TDC2"/>
        <w:rPr>
          <w:rFonts w:asciiTheme="minorHAnsi" w:eastAsiaTheme="minorEastAsia" w:hAnsiTheme="minorHAnsi" w:cstheme="minorBidi"/>
          <w:noProof/>
          <w:szCs w:val="22"/>
          <w:lang w:val="es-ES" w:eastAsia="es-ES"/>
        </w:rPr>
      </w:pPr>
      <w:hyperlink w:anchor="_Toc183679750" w:history="1">
        <w:r w:rsidRPr="00B34C3F">
          <w:rPr>
            <w:rStyle w:val="Hipervnculo"/>
            <w:noProof/>
          </w:rPr>
          <w:t>VI.4 Indicadores</w:t>
        </w:r>
        <w:r>
          <w:rPr>
            <w:noProof/>
            <w:webHidden/>
          </w:rPr>
          <w:tab/>
        </w:r>
        <w:r>
          <w:rPr>
            <w:noProof/>
            <w:webHidden/>
          </w:rPr>
          <w:fldChar w:fldCharType="begin"/>
        </w:r>
        <w:r>
          <w:rPr>
            <w:noProof/>
            <w:webHidden/>
          </w:rPr>
          <w:instrText xml:space="preserve"> PAGEREF _Toc183679750 \h </w:instrText>
        </w:r>
        <w:r>
          <w:rPr>
            <w:noProof/>
            <w:webHidden/>
          </w:rPr>
        </w:r>
        <w:r>
          <w:rPr>
            <w:noProof/>
            <w:webHidden/>
          </w:rPr>
          <w:fldChar w:fldCharType="separate"/>
        </w:r>
        <w:r w:rsidR="006A62AF">
          <w:rPr>
            <w:noProof/>
            <w:webHidden/>
          </w:rPr>
          <w:t>25</w:t>
        </w:r>
        <w:r>
          <w:rPr>
            <w:noProof/>
            <w:webHidden/>
          </w:rPr>
          <w:fldChar w:fldCharType="end"/>
        </w:r>
      </w:hyperlink>
    </w:p>
    <w:p w14:paraId="7F4495B5" w14:textId="24D3F752" w:rsidR="00584E6A" w:rsidRDefault="00584E6A">
      <w:pPr>
        <w:pStyle w:val="TDC2"/>
        <w:rPr>
          <w:rFonts w:asciiTheme="minorHAnsi" w:eastAsiaTheme="minorEastAsia" w:hAnsiTheme="minorHAnsi" w:cstheme="minorBidi"/>
          <w:noProof/>
          <w:szCs w:val="22"/>
          <w:lang w:val="es-ES" w:eastAsia="es-ES"/>
        </w:rPr>
      </w:pPr>
      <w:hyperlink w:anchor="_Toc183679751" w:history="1">
        <w:r w:rsidRPr="00B34C3F">
          <w:rPr>
            <w:rStyle w:val="Hipervnculo"/>
            <w:noProof/>
          </w:rPr>
          <w:t>VI.5 Análisis comparativo de ayuntamientos navarros por tramo de población</w:t>
        </w:r>
        <w:r>
          <w:rPr>
            <w:noProof/>
            <w:webHidden/>
          </w:rPr>
          <w:tab/>
        </w:r>
        <w:r>
          <w:rPr>
            <w:noProof/>
            <w:webHidden/>
          </w:rPr>
          <w:fldChar w:fldCharType="begin"/>
        </w:r>
        <w:r>
          <w:rPr>
            <w:noProof/>
            <w:webHidden/>
          </w:rPr>
          <w:instrText xml:space="preserve"> PAGEREF _Toc183679751 \h </w:instrText>
        </w:r>
        <w:r>
          <w:rPr>
            <w:noProof/>
            <w:webHidden/>
          </w:rPr>
        </w:r>
        <w:r>
          <w:rPr>
            <w:noProof/>
            <w:webHidden/>
          </w:rPr>
          <w:fldChar w:fldCharType="separate"/>
        </w:r>
        <w:r w:rsidR="006A62AF">
          <w:rPr>
            <w:noProof/>
            <w:webHidden/>
          </w:rPr>
          <w:t>27</w:t>
        </w:r>
        <w:r>
          <w:rPr>
            <w:noProof/>
            <w:webHidden/>
          </w:rPr>
          <w:fldChar w:fldCharType="end"/>
        </w:r>
      </w:hyperlink>
    </w:p>
    <w:p w14:paraId="05303C8A" w14:textId="72C3C992" w:rsidR="00584E6A" w:rsidRDefault="00584E6A">
      <w:pPr>
        <w:pStyle w:val="TDC2"/>
        <w:rPr>
          <w:rFonts w:asciiTheme="minorHAnsi" w:eastAsiaTheme="minorEastAsia" w:hAnsiTheme="minorHAnsi" w:cstheme="minorBidi"/>
          <w:noProof/>
          <w:szCs w:val="22"/>
          <w:lang w:val="es-ES" w:eastAsia="es-ES"/>
        </w:rPr>
      </w:pPr>
      <w:hyperlink w:anchor="_Toc183679752" w:history="1">
        <w:r w:rsidRPr="00B34C3F">
          <w:rPr>
            <w:rStyle w:val="Hipervnculo"/>
            <w:noProof/>
          </w:rPr>
          <w:t>VI.6 Objetivos de estabilidad presupuestaria y sostenibilidad financiera</w:t>
        </w:r>
        <w:r>
          <w:rPr>
            <w:noProof/>
            <w:webHidden/>
          </w:rPr>
          <w:tab/>
        </w:r>
        <w:r>
          <w:rPr>
            <w:noProof/>
            <w:webHidden/>
          </w:rPr>
          <w:fldChar w:fldCharType="begin"/>
        </w:r>
        <w:r>
          <w:rPr>
            <w:noProof/>
            <w:webHidden/>
          </w:rPr>
          <w:instrText xml:space="preserve"> PAGEREF _Toc183679752 \h </w:instrText>
        </w:r>
        <w:r>
          <w:rPr>
            <w:noProof/>
            <w:webHidden/>
          </w:rPr>
        </w:r>
        <w:r>
          <w:rPr>
            <w:noProof/>
            <w:webHidden/>
          </w:rPr>
          <w:fldChar w:fldCharType="separate"/>
        </w:r>
        <w:r w:rsidR="006A62AF">
          <w:rPr>
            <w:noProof/>
            <w:webHidden/>
          </w:rPr>
          <w:t>28</w:t>
        </w:r>
        <w:r>
          <w:rPr>
            <w:noProof/>
            <w:webHidden/>
          </w:rPr>
          <w:fldChar w:fldCharType="end"/>
        </w:r>
      </w:hyperlink>
    </w:p>
    <w:p w14:paraId="268F304F" w14:textId="5C18DC80" w:rsidR="00584E6A" w:rsidRDefault="00584E6A">
      <w:pPr>
        <w:pStyle w:val="TDC1"/>
        <w:rPr>
          <w:rFonts w:asciiTheme="minorHAnsi" w:eastAsiaTheme="minorEastAsia" w:hAnsiTheme="minorHAnsi" w:cstheme="minorBidi"/>
          <w:smallCaps w:val="0"/>
          <w:noProof/>
          <w:szCs w:val="22"/>
          <w:lang w:val="es-ES" w:eastAsia="es-ES"/>
        </w:rPr>
      </w:pPr>
      <w:hyperlink w:anchor="_Toc183679753" w:history="1">
        <w:r w:rsidRPr="00B34C3F">
          <w:rPr>
            <w:rStyle w:val="Hipervnculo"/>
            <w:noProof/>
          </w:rPr>
          <w:t>VII. Contratación administrativa</w:t>
        </w:r>
        <w:r>
          <w:rPr>
            <w:noProof/>
            <w:webHidden/>
          </w:rPr>
          <w:tab/>
        </w:r>
        <w:r>
          <w:rPr>
            <w:noProof/>
            <w:webHidden/>
          </w:rPr>
          <w:fldChar w:fldCharType="begin"/>
        </w:r>
        <w:r>
          <w:rPr>
            <w:noProof/>
            <w:webHidden/>
          </w:rPr>
          <w:instrText xml:space="preserve"> PAGEREF _Toc183679753 \h </w:instrText>
        </w:r>
        <w:r>
          <w:rPr>
            <w:noProof/>
            <w:webHidden/>
          </w:rPr>
        </w:r>
        <w:r>
          <w:rPr>
            <w:noProof/>
            <w:webHidden/>
          </w:rPr>
          <w:fldChar w:fldCharType="separate"/>
        </w:r>
        <w:r w:rsidR="006A62AF">
          <w:rPr>
            <w:noProof/>
            <w:webHidden/>
          </w:rPr>
          <w:t>30</w:t>
        </w:r>
        <w:r>
          <w:rPr>
            <w:noProof/>
            <w:webHidden/>
          </w:rPr>
          <w:fldChar w:fldCharType="end"/>
        </w:r>
      </w:hyperlink>
    </w:p>
    <w:p w14:paraId="5E3D06B0" w14:textId="40CFFB15" w:rsidR="00584E6A" w:rsidRDefault="00584E6A">
      <w:pPr>
        <w:pStyle w:val="TDC1"/>
        <w:rPr>
          <w:rFonts w:asciiTheme="minorHAnsi" w:eastAsiaTheme="minorEastAsia" w:hAnsiTheme="minorHAnsi" w:cstheme="minorBidi"/>
          <w:smallCaps w:val="0"/>
          <w:noProof/>
          <w:szCs w:val="22"/>
          <w:lang w:val="es-ES" w:eastAsia="es-ES"/>
        </w:rPr>
      </w:pPr>
      <w:hyperlink w:anchor="_Toc183679754" w:history="1">
        <w:r w:rsidRPr="00B34C3F">
          <w:rPr>
            <w:rStyle w:val="Hipervnculo"/>
            <w:noProof/>
          </w:rPr>
          <w:t>VIII. Rendición de cuentas y aprobación de presupuestos</w:t>
        </w:r>
        <w:r>
          <w:rPr>
            <w:noProof/>
            <w:webHidden/>
          </w:rPr>
          <w:tab/>
        </w:r>
        <w:r>
          <w:rPr>
            <w:noProof/>
            <w:webHidden/>
          </w:rPr>
          <w:fldChar w:fldCharType="begin"/>
        </w:r>
        <w:r>
          <w:rPr>
            <w:noProof/>
            <w:webHidden/>
          </w:rPr>
          <w:instrText xml:space="preserve"> PAGEREF _Toc183679754 \h </w:instrText>
        </w:r>
        <w:r>
          <w:rPr>
            <w:noProof/>
            <w:webHidden/>
          </w:rPr>
        </w:r>
        <w:r>
          <w:rPr>
            <w:noProof/>
            <w:webHidden/>
          </w:rPr>
          <w:fldChar w:fldCharType="separate"/>
        </w:r>
        <w:r w:rsidR="006A62AF">
          <w:rPr>
            <w:noProof/>
            <w:webHidden/>
          </w:rPr>
          <w:t>32</w:t>
        </w:r>
        <w:r>
          <w:rPr>
            <w:noProof/>
            <w:webHidden/>
          </w:rPr>
          <w:fldChar w:fldCharType="end"/>
        </w:r>
      </w:hyperlink>
    </w:p>
    <w:p w14:paraId="66366C6C" w14:textId="05E033A4" w:rsidR="00584E6A" w:rsidRDefault="00584E6A">
      <w:pPr>
        <w:pStyle w:val="TDC2"/>
        <w:rPr>
          <w:rFonts w:asciiTheme="minorHAnsi" w:eastAsiaTheme="minorEastAsia" w:hAnsiTheme="minorHAnsi" w:cstheme="minorBidi"/>
          <w:noProof/>
          <w:szCs w:val="22"/>
          <w:lang w:val="es-ES" w:eastAsia="es-ES"/>
        </w:rPr>
      </w:pPr>
      <w:hyperlink w:anchor="_Toc183679755" w:history="1">
        <w:r w:rsidRPr="00B34C3F">
          <w:rPr>
            <w:rStyle w:val="Hipervnculo"/>
            <w:noProof/>
          </w:rPr>
          <w:t>VIII.1 Cumplimiento de la obligación de rendición de cuentas</w:t>
        </w:r>
        <w:r>
          <w:rPr>
            <w:noProof/>
            <w:webHidden/>
          </w:rPr>
          <w:tab/>
        </w:r>
        <w:r>
          <w:rPr>
            <w:noProof/>
            <w:webHidden/>
          </w:rPr>
          <w:fldChar w:fldCharType="begin"/>
        </w:r>
        <w:r>
          <w:rPr>
            <w:noProof/>
            <w:webHidden/>
          </w:rPr>
          <w:instrText xml:space="preserve"> PAGEREF _Toc183679755 \h </w:instrText>
        </w:r>
        <w:r>
          <w:rPr>
            <w:noProof/>
            <w:webHidden/>
          </w:rPr>
        </w:r>
        <w:r>
          <w:rPr>
            <w:noProof/>
            <w:webHidden/>
          </w:rPr>
          <w:fldChar w:fldCharType="separate"/>
        </w:r>
        <w:r w:rsidR="006A62AF">
          <w:rPr>
            <w:noProof/>
            <w:webHidden/>
          </w:rPr>
          <w:t>32</w:t>
        </w:r>
        <w:r>
          <w:rPr>
            <w:noProof/>
            <w:webHidden/>
          </w:rPr>
          <w:fldChar w:fldCharType="end"/>
        </w:r>
      </w:hyperlink>
    </w:p>
    <w:p w14:paraId="50EA46F2" w14:textId="0529DA59" w:rsidR="00584E6A" w:rsidRDefault="00584E6A">
      <w:pPr>
        <w:pStyle w:val="TDC2"/>
        <w:rPr>
          <w:rFonts w:asciiTheme="minorHAnsi" w:eastAsiaTheme="minorEastAsia" w:hAnsiTheme="minorHAnsi" w:cstheme="minorBidi"/>
          <w:noProof/>
          <w:szCs w:val="22"/>
          <w:lang w:val="es-ES" w:eastAsia="es-ES"/>
        </w:rPr>
      </w:pPr>
      <w:hyperlink w:anchor="_Toc183679756" w:history="1">
        <w:r w:rsidRPr="00B34C3F">
          <w:rPr>
            <w:rStyle w:val="Hipervnculo"/>
            <w:noProof/>
          </w:rPr>
          <w:t>VIII.2 Aprobación y remisión del presupuesto</w:t>
        </w:r>
        <w:r>
          <w:rPr>
            <w:noProof/>
            <w:webHidden/>
          </w:rPr>
          <w:tab/>
        </w:r>
        <w:r>
          <w:rPr>
            <w:noProof/>
            <w:webHidden/>
          </w:rPr>
          <w:fldChar w:fldCharType="begin"/>
        </w:r>
        <w:r>
          <w:rPr>
            <w:noProof/>
            <w:webHidden/>
          </w:rPr>
          <w:instrText xml:space="preserve"> PAGEREF _Toc183679756 \h </w:instrText>
        </w:r>
        <w:r>
          <w:rPr>
            <w:noProof/>
            <w:webHidden/>
          </w:rPr>
        </w:r>
        <w:r>
          <w:rPr>
            <w:noProof/>
            <w:webHidden/>
          </w:rPr>
          <w:fldChar w:fldCharType="separate"/>
        </w:r>
        <w:r w:rsidR="006A62AF">
          <w:rPr>
            <w:noProof/>
            <w:webHidden/>
          </w:rPr>
          <w:t>33</w:t>
        </w:r>
        <w:r>
          <w:rPr>
            <w:noProof/>
            <w:webHidden/>
          </w:rPr>
          <w:fldChar w:fldCharType="end"/>
        </w:r>
      </w:hyperlink>
    </w:p>
    <w:p w14:paraId="46B09857" w14:textId="31AA2B8D" w:rsidR="00584E6A" w:rsidRDefault="00584E6A">
      <w:pPr>
        <w:pStyle w:val="TDC1"/>
        <w:rPr>
          <w:rFonts w:asciiTheme="minorHAnsi" w:eastAsiaTheme="minorEastAsia" w:hAnsiTheme="minorHAnsi" w:cstheme="minorBidi"/>
          <w:smallCaps w:val="0"/>
          <w:noProof/>
          <w:szCs w:val="22"/>
          <w:lang w:val="es-ES" w:eastAsia="es-ES"/>
        </w:rPr>
      </w:pPr>
      <w:hyperlink w:anchor="_Toc183679757" w:history="1">
        <w:r w:rsidRPr="00B34C3F">
          <w:rPr>
            <w:rStyle w:val="Hipervnculo"/>
            <w:noProof/>
          </w:rPr>
          <w:t>IX. Control interno y reparos emitidos por los órganos interventores</w:t>
        </w:r>
        <w:r>
          <w:rPr>
            <w:noProof/>
            <w:webHidden/>
          </w:rPr>
          <w:tab/>
        </w:r>
        <w:r>
          <w:rPr>
            <w:noProof/>
            <w:webHidden/>
          </w:rPr>
          <w:fldChar w:fldCharType="begin"/>
        </w:r>
        <w:r>
          <w:rPr>
            <w:noProof/>
            <w:webHidden/>
          </w:rPr>
          <w:instrText xml:space="preserve"> PAGEREF _Toc183679757 \h </w:instrText>
        </w:r>
        <w:r>
          <w:rPr>
            <w:noProof/>
            <w:webHidden/>
          </w:rPr>
        </w:r>
        <w:r>
          <w:rPr>
            <w:noProof/>
            <w:webHidden/>
          </w:rPr>
          <w:fldChar w:fldCharType="separate"/>
        </w:r>
        <w:r w:rsidR="006A62AF">
          <w:rPr>
            <w:noProof/>
            <w:webHidden/>
          </w:rPr>
          <w:t>35</w:t>
        </w:r>
        <w:r>
          <w:rPr>
            <w:noProof/>
            <w:webHidden/>
          </w:rPr>
          <w:fldChar w:fldCharType="end"/>
        </w:r>
      </w:hyperlink>
    </w:p>
    <w:p w14:paraId="7FD1270E" w14:textId="685581EF" w:rsidR="00584E6A" w:rsidRDefault="00584E6A">
      <w:pPr>
        <w:pStyle w:val="TDC2"/>
        <w:rPr>
          <w:rFonts w:asciiTheme="minorHAnsi" w:eastAsiaTheme="minorEastAsia" w:hAnsiTheme="minorHAnsi" w:cstheme="minorBidi"/>
          <w:noProof/>
          <w:szCs w:val="22"/>
          <w:lang w:val="es-ES" w:eastAsia="es-ES"/>
        </w:rPr>
      </w:pPr>
      <w:hyperlink w:anchor="_Toc183679758" w:history="1">
        <w:r w:rsidRPr="00B34C3F">
          <w:rPr>
            <w:rStyle w:val="Hipervnculo"/>
            <w:noProof/>
          </w:rPr>
          <w:t>IX.1 Cumplimiento de la obligación de remisión de la información solicitada</w:t>
        </w:r>
        <w:r>
          <w:rPr>
            <w:noProof/>
            <w:webHidden/>
          </w:rPr>
          <w:tab/>
        </w:r>
        <w:r>
          <w:rPr>
            <w:noProof/>
            <w:webHidden/>
          </w:rPr>
          <w:fldChar w:fldCharType="begin"/>
        </w:r>
        <w:r>
          <w:rPr>
            <w:noProof/>
            <w:webHidden/>
          </w:rPr>
          <w:instrText xml:space="preserve"> PAGEREF _Toc183679758 \h </w:instrText>
        </w:r>
        <w:r>
          <w:rPr>
            <w:noProof/>
            <w:webHidden/>
          </w:rPr>
        </w:r>
        <w:r>
          <w:rPr>
            <w:noProof/>
            <w:webHidden/>
          </w:rPr>
          <w:fldChar w:fldCharType="separate"/>
        </w:r>
        <w:r w:rsidR="006A62AF">
          <w:rPr>
            <w:noProof/>
            <w:webHidden/>
          </w:rPr>
          <w:t>35</w:t>
        </w:r>
        <w:r>
          <w:rPr>
            <w:noProof/>
            <w:webHidden/>
          </w:rPr>
          <w:fldChar w:fldCharType="end"/>
        </w:r>
      </w:hyperlink>
    </w:p>
    <w:p w14:paraId="15D4420B" w14:textId="33669321" w:rsidR="00584E6A" w:rsidRDefault="00584E6A">
      <w:pPr>
        <w:pStyle w:val="TDC2"/>
        <w:rPr>
          <w:rFonts w:asciiTheme="minorHAnsi" w:eastAsiaTheme="minorEastAsia" w:hAnsiTheme="minorHAnsi" w:cstheme="minorBidi"/>
          <w:noProof/>
          <w:szCs w:val="22"/>
          <w:lang w:val="es-ES" w:eastAsia="es-ES"/>
        </w:rPr>
      </w:pPr>
      <w:hyperlink w:anchor="_Toc183679759" w:history="1">
        <w:r w:rsidRPr="00B34C3F">
          <w:rPr>
            <w:rStyle w:val="Hipervnculo"/>
            <w:noProof/>
          </w:rPr>
          <w:t>IX.2 Control interno</w:t>
        </w:r>
        <w:r>
          <w:rPr>
            <w:noProof/>
            <w:webHidden/>
          </w:rPr>
          <w:tab/>
        </w:r>
        <w:r>
          <w:rPr>
            <w:noProof/>
            <w:webHidden/>
          </w:rPr>
          <w:fldChar w:fldCharType="begin"/>
        </w:r>
        <w:r>
          <w:rPr>
            <w:noProof/>
            <w:webHidden/>
          </w:rPr>
          <w:instrText xml:space="preserve"> PAGEREF _Toc183679759 \h </w:instrText>
        </w:r>
        <w:r>
          <w:rPr>
            <w:noProof/>
            <w:webHidden/>
          </w:rPr>
        </w:r>
        <w:r>
          <w:rPr>
            <w:noProof/>
            <w:webHidden/>
          </w:rPr>
          <w:fldChar w:fldCharType="separate"/>
        </w:r>
        <w:r w:rsidR="006A62AF">
          <w:rPr>
            <w:noProof/>
            <w:webHidden/>
          </w:rPr>
          <w:t>35</w:t>
        </w:r>
        <w:r>
          <w:rPr>
            <w:noProof/>
            <w:webHidden/>
          </w:rPr>
          <w:fldChar w:fldCharType="end"/>
        </w:r>
      </w:hyperlink>
    </w:p>
    <w:p w14:paraId="0AF66083" w14:textId="012722A6" w:rsidR="00584E6A" w:rsidRDefault="00584E6A">
      <w:pPr>
        <w:pStyle w:val="TDC2"/>
        <w:rPr>
          <w:rFonts w:asciiTheme="minorHAnsi" w:eastAsiaTheme="minorEastAsia" w:hAnsiTheme="minorHAnsi" w:cstheme="minorBidi"/>
          <w:noProof/>
          <w:szCs w:val="22"/>
          <w:lang w:val="es-ES" w:eastAsia="es-ES"/>
        </w:rPr>
      </w:pPr>
      <w:hyperlink w:anchor="_Toc183679760" w:history="1">
        <w:r w:rsidRPr="00B34C3F">
          <w:rPr>
            <w:rStyle w:val="Hipervnculo"/>
            <w:noProof/>
          </w:rPr>
          <w:t>IX.3 Reparos</w:t>
        </w:r>
        <w:r>
          <w:rPr>
            <w:noProof/>
            <w:webHidden/>
          </w:rPr>
          <w:tab/>
        </w:r>
        <w:r>
          <w:rPr>
            <w:noProof/>
            <w:webHidden/>
          </w:rPr>
          <w:fldChar w:fldCharType="begin"/>
        </w:r>
        <w:r>
          <w:rPr>
            <w:noProof/>
            <w:webHidden/>
          </w:rPr>
          <w:instrText xml:space="preserve"> PAGEREF _Toc183679760 \h </w:instrText>
        </w:r>
        <w:r>
          <w:rPr>
            <w:noProof/>
            <w:webHidden/>
          </w:rPr>
        </w:r>
        <w:r>
          <w:rPr>
            <w:noProof/>
            <w:webHidden/>
          </w:rPr>
          <w:fldChar w:fldCharType="separate"/>
        </w:r>
        <w:r w:rsidR="006A62AF">
          <w:rPr>
            <w:noProof/>
            <w:webHidden/>
          </w:rPr>
          <w:t>36</w:t>
        </w:r>
        <w:r>
          <w:rPr>
            <w:noProof/>
            <w:webHidden/>
          </w:rPr>
          <w:fldChar w:fldCharType="end"/>
        </w:r>
      </w:hyperlink>
    </w:p>
    <w:p w14:paraId="28E14421" w14:textId="5568DC9F" w:rsidR="00584E6A" w:rsidRDefault="00584E6A">
      <w:pPr>
        <w:pStyle w:val="TDC2"/>
        <w:rPr>
          <w:rFonts w:asciiTheme="minorHAnsi" w:eastAsiaTheme="minorEastAsia" w:hAnsiTheme="minorHAnsi" w:cstheme="minorBidi"/>
          <w:noProof/>
          <w:szCs w:val="22"/>
          <w:lang w:val="es-ES" w:eastAsia="es-ES"/>
        </w:rPr>
      </w:pPr>
      <w:hyperlink w:anchor="_Toc183679761" w:history="1">
        <w:r w:rsidRPr="00B34C3F">
          <w:rPr>
            <w:rStyle w:val="Hipervnculo"/>
            <w:noProof/>
          </w:rPr>
          <w:t>IX.4 Principales anomalías en materia de ingresos</w:t>
        </w:r>
        <w:r>
          <w:rPr>
            <w:noProof/>
            <w:webHidden/>
          </w:rPr>
          <w:tab/>
        </w:r>
        <w:r>
          <w:rPr>
            <w:noProof/>
            <w:webHidden/>
          </w:rPr>
          <w:fldChar w:fldCharType="begin"/>
        </w:r>
        <w:r>
          <w:rPr>
            <w:noProof/>
            <w:webHidden/>
          </w:rPr>
          <w:instrText xml:space="preserve"> PAGEREF _Toc183679761 \h </w:instrText>
        </w:r>
        <w:r>
          <w:rPr>
            <w:noProof/>
            <w:webHidden/>
          </w:rPr>
        </w:r>
        <w:r>
          <w:rPr>
            <w:noProof/>
            <w:webHidden/>
          </w:rPr>
          <w:fldChar w:fldCharType="separate"/>
        </w:r>
        <w:r w:rsidR="006A62AF">
          <w:rPr>
            <w:noProof/>
            <w:webHidden/>
          </w:rPr>
          <w:t>38</w:t>
        </w:r>
        <w:r>
          <w:rPr>
            <w:noProof/>
            <w:webHidden/>
          </w:rPr>
          <w:fldChar w:fldCharType="end"/>
        </w:r>
      </w:hyperlink>
    </w:p>
    <w:p w14:paraId="64FF64DA" w14:textId="32E4A0F2" w:rsidR="00584E6A" w:rsidRDefault="00584E6A">
      <w:pPr>
        <w:pStyle w:val="TDC1"/>
        <w:rPr>
          <w:rFonts w:asciiTheme="minorHAnsi" w:eastAsiaTheme="minorEastAsia" w:hAnsiTheme="minorHAnsi" w:cstheme="minorBidi"/>
          <w:smallCaps w:val="0"/>
          <w:noProof/>
          <w:szCs w:val="22"/>
          <w:lang w:val="es-ES" w:eastAsia="es-ES"/>
        </w:rPr>
      </w:pPr>
      <w:hyperlink w:anchor="_Toc183679762" w:history="1">
        <w:r w:rsidRPr="00B34C3F">
          <w:rPr>
            <w:rStyle w:val="Hipervnculo"/>
            <w:noProof/>
          </w:rPr>
          <w:t>Anexos</w:t>
        </w:r>
        <w:r>
          <w:rPr>
            <w:noProof/>
            <w:webHidden/>
          </w:rPr>
          <w:tab/>
        </w:r>
        <w:r>
          <w:rPr>
            <w:noProof/>
            <w:webHidden/>
          </w:rPr>
          <w:fldChar w:fldCharType="begin"/>
        </w:r>
        <w:r>
          <w:rPr>
            <w:noProof/>
            <w:webHidden/>
          </w:rPr>
          <w:instrText xml:space="preserve"> PAGEREF _Toc183679762 \h </w:instrText>
        </w:r>
        <w:r>
          <w:rPr>
            <w:noProof/>
            <w:webHidden/>
          </w:rPr>
        </w:r>
        <w:r>
          <w:rPr>
            <w:noProof/>
            <w:webHidden/>
          </w:rPr>
          <w:fldChar w:fldCharType="separate"/>
        </w:r>
        <w:r w:rsidR="006A62AF">
          <w:rPr>
            <w:noProof/>
            <w:webHidden/>
          </w:rPr>
          <w:t>39</w:t>
        </w:r>
        <w:r>
          <w:rPr>
            <w:noProof/>
            <w:webHidden/>
          </w:rPr>
          <w:fldChar w:fldCharType="end"/>
        </w:r>
      </w:hyperlink>
    </w:p>
    <w:p w14:paraId="34CCE83F" w14:textId="07FF3969" w:rsidR="00584E6A" w:rsidRDefault="00584E6A">
      <w:pPr>
        <w:pStyle w:val="TDC1"/>
        <w:rPr>
          <w:rFonts w:asciiTheme="minorHAnsi" w:eastAsiaTheme="minorEastAsia" w:hAnsiTheme="minorHAnsi" w:cstheme="minorBidi"/>
          <w:smallCaps w:val="0"/>
          <w:noProof/>
          <w:szCs w:val="22"/>
          <w:lang w:val="es-ES" w:eastAsia="es-ES"/>
        </w:rPr>
      </w:pPr>
      <w:hyperlink w:anchor="_Toc183679763" w:history="1">
        <w:r w:rsidRPr="00B34C3F">
          <w:rPr>
            <w:rStyle w:val="Hipervnculo"/>
            <w:noProof/>
          </w:rPr>
          <w:t>Anexo I. Normativa aplicable a las entidades locales</w:t>
        </w:r>
        <w:r>
          <w:rPr>
            <w:noProof/>
            <w:webHidden/>
          </w:rPr>
          <w:tab/>
        </w:r>
        <w:r>
          <w:rPr>
            <w:noProof/>
            <w:webHidden/>
          </w:rPr>
          <w:fldChar w:fldCharType="begin"/>
        </w:r>
        <w:r>
          <w:rPr>
            <w:noProof/>
            <w:webHidden/>
          </w:rPr>
          <w:instrText xml:space="preserve"> PAGEREF _Toc183679763 \h </w:instrText>
        </w:r>
        <w:r>
          <w:rPr>
            <w:noProof/>
            <w:webHidden/>
          </w:rPr>
        </w:r>
        <w:r>
          <w:rPr>
            <w:noProof/>
            <w:webHidden/>
          </w:rPr>
          <w:fldChar w:fldCharType="separate"/>
        </w:r>
        <w:r w:rsidR="006A62AF">
          <w:rPr>
            <w:noProof/>
            <w:webHidden/>
          </w:rPr>
          <w:t>40</w:t>
        </w:r>
        <w:r>
          <w:rPr>
            <w:noProof/>
            <w:webHidden/>
          </w:rPr>
          <w:fldChar w:fldCharType="end"/>
        </w:r>
      </w:hyperlink>
    </w:p>
    <w:p w14:paraId="33F685B0" w14:textId="654A2E49" w:rsidR="00584E6A" w:rsidRDefault="00584E6A">
      <w:pPr>
        <w:pStyle w:val="TDC1"/>
        <w:rPr>
          <w:rFonts w:asciiTheme="minorHAnsi" w:eastAsiaTheme="minorEastAsia" w:hAnsiTheme="minorHAnsi" w:cstheme="minorBidi"/>
          <w:smallCaps w:val="0"/>
          <w:noProof/>
          <w:szCs w:val="22"/>
          <w:lang w:val="es-ES" w:eastAsia="es-ES"/>
        </w:rPr>
      </w:pPr>
      <w:hyperlink w:anchor="_Toc183679764" w:history="1">
        <w:r w:rsidRPr="00B34C3F">
          <w:rPr>
            <w:rStyle w:val="Hipervnculo"/>
            <w:noProof/>
          </w:rPr>
          <w:t>Principales normas aplicables al sector público local de Navarra en 2022</w:t>
        </w:r>
        <w:r>
          <w:rPr>
            <w:noProof/>
            <w:webHidden/>
          </w:rPr>
          <w:tab/>
        </w:r>
        <w:r>
          <w:rPr>
            <w:noProof/>
            <w:webHidden/>
          </w:rPr>
          <w:fldChar w:fldCharType="begin"/>
        </w:r>
        <w:r>
          <w:rPr>
            <w:noProof/>
            <w:webHidden/>
          </w:rPr>
          <w:instrText xml:space="preserve"> PAGEREF _Toc183679764 \h </w:instrText>
        </w:r>
        <w:r>
          <w:rPr>
            <w:noProof/>
            <w:webHidden/>
          </w:rPr>
        </w:r>
        <w:r>
          <w:rPr>
            <w:noProof/>
            <w:webHidden/>
          </w:rPr>
          <w:fldChar w:fldCharType="separate"/>
        </w:r>
        <w:r w:rsidR="006A62AF">
          <w:rPr>
            <w:noProof/>
            <w:webHidden/>
          </w:rPr>
          <w:t>40</w:t>
        </w:r>
        <w:r>
          <w:rPr>
            <w:noProof/>
            <w:webHidden/>
          </w:rPr>
          <w:fldChar w:fldCharType="end"/>
        </w:r>
      </w:hyperlink>
    </w:p>
    <w:p w14:paraId="137391BF" w14:textId="07A6B932" w:rsidR="00584E6A" w:rsidRDefault="00584E6A">
      <w:pPr>
        <w:pStyle w:val="TDC1"/>
        <w:rPr>
          <w:rFonts w:asciiTheme="minorHAnsi" w:eastAsiaTheme="minorEastAsia" w:hAnsiTheme="minorHAnsi" w:cstheme="minorBidi"/>
          <w:smallCaps w:val="0"/>
          <w:noProof/>
          <w:szCs w:val="22"/>
          <w:lang w:val="es-ES" w:eastAsia="es-ES"/>
        </w:rPr>
      </w:pPr>
      <w:hyperlink w:anchor="_Toc183679765" w:history="1">
        <w:r w:rsidRPr="00B34C3F">
          <w:rPr>
            <w:rStyle w:val="Hipervnculo"/>
            <w:noProof/>
          </w:rPr>
          <w:t>Anexo II. Situación financiera del sector público local de Navarra, año 2022</w:t>
        </w:r>
        <w:r>
          <w:rPr>
            <w:noProof/>
            <w:webHidden/>
          </w:rPr>
          <w:tab/>
        </w:r>
        <w:r>
          <w:rPr>
            <w:noProof/>
            <w:webHidden/>
          </w:rPr>
          <w:fldChar w:fldCharType="begin"/>
        </w:r>
        <w:r>
          <w:rPr>
            <w:noProof/>
            <w:webHidden/>
          </w:rPr>
          <w:instrText xml:space="preserve"> PAGEREF _Toc183679765 \h </w:instrText>
        </w:r>
        <w:r>
          <w:rPr>
            <w:noProof/>
            <w:webHidden/>
          </w:rPr>
        </w:r>
        <w:r>
          <w:rPr>
            <w:noProof/>
            <w:webHidden/>
          </w:rPr>
          <w:fldChar w:fldCharType="separate"/>
        </w:r>
        <w:r w:rsidR="006A62AF">
          <w:rPr>
            <w:noProof/>
            <w:webHidden/>
          </w:rPr>
          <w:t>46</w:t>
        </w:r>
        <w:r>
          <w:rPr>
            <w:noProof/>
            <w:webHidden/>
          </w:rPr>
          <w:fldChar w:fldCharType="end"/>
        </w:r>
      </w:hyperlink>
    </w:p>
    <w:p w14:paraId="6D98A12B" w14:textId="2541C377" w:rsidR="00345C6C" w:rsidRPr="003A115E" w:rsidRDefault="00345C6C" w:rsidP="00345C6C">
      <w:pPr>
        <w:pStyle w:val="texto"/>
      </w:pPr>
      <w:r w:rsidRPr="003A115E">
        <w:fldChar w:fldCharType="end"/>
      </w:r>
    </w:p>
    <w:p w14:paraId="1292D628" w14:textId="77777777" w:rsidR="000E5DE1" w:rsidRPr="003A115E" w:rsidRDefault="000E5DE1" w:rsidP="00345C6C">
      <w:pPr>
        <w:pStyle w:val="texto"/>
        <w:sectPr w:rsidR="000E5DE1" w:rsidRPr="003A115E" w:rsidSect="000E5DE1">
          <w:headerReference w:type="even" r:id="rId18"/>
          <w:footerReference w:type="default" r:id="rId19"/>
          <w:type w:val="oddPage"/>
          <w:pgSz w:w="11907" w:h="16840" w:code="9"/>
          <w:pgMar w:top="2109" w:right="1559" w:bottom="1644" w:left="1560" w:header="369" w:footer="136" w:gutter="0"/>
          <w:pgNumType w:start="2"/>
          <w:cols w:space="720"/>
          <w:docGrid w:linePitch="360"/>
        </w:sectPr>
      </w:pPr>
    </w:p>
    <w:p w14:paraId="38D4FC4A" w14:textId="16EFED74" w:rsidR="00345C6C" w:rsidRPr="003A115E" w:rsidRDefault="00345C6C" w:rsidP="00345C6C">
      <w:pPr>
        <w:pStyle w:val="atitulo1"/>
        <w:rPr>
          <w:color w:val="auto"/>
        </w:rPr>
      </w:pPr>
      <w:bookmarkStart w:id="0" w:name="_Toc291067874"/>
      <w:bookmarkStart w:id="1" w:name="_Toc121293081"/>
      <w:bookmarkStart w:id="2" w:name="_Toc121292758"/>
      <w:bookmarkStart w:id="3" w:name="_Toc399916257"/>
      <w:bookmarkStart w:id="4" w:name="_Toc465686680"/>
      <w:bookmarkStart w:id="5" w:name="_Toc529773874"/>
      <w:bookmarkStart w:id="6" w:name="_Toc24100135"/>
      <w:bookmarkStart w:id="7" w:name="_Toc52348283"/>
      <w:bookmarkStart w:id="8" w:name="_Toc183679736"/>
      <w:r w:rsidRPr="003A115E">
        <w:rPr>
          <w:color w:val="auto"/>
        </w:rPr>
        <w:lastRenderedPageBreak/>
        <w:t>I. Introducción</w:t>
      </w:r>
      <w:bookmarkEnd w:id="0"/>
      <w:bookmarkEnd w:id="1"/>
      <w:bookmarkEnd w:id="2"/>
      <w:bookmarkEnd w:id="3"/>
      <w:bookmarkEnd w:id="4"/>
      <w:bookmarkEnd w:id="5"/>
      <w:bookmarkEnd w:id="6"/>
      <w:bookmarkEnd w:id="7"/>
      <w:bookmarkEnd w:id="8"/>
    </w:p>
    <w:p w14:paraId="6FE33F63" w14:textId="51F02BA0" w:rsidR="009A7A48" w:rsidRPr="003A115E" w:rsidRDefault="009A7A48" w:rsidP="009A7A48">
      <w:pPr>
        <w:pStyle w:val="texto"/>
      </w:pPr>
      <w:r w:rsidRPr="003A115E">
        <w:t>El informe sobre el sector público local de Navarra se realiza, de acuerdo con la Ley Foral 19/1984</w:t>
      </w:r>
      <w:r w:rsidR="006E47E5" w:rsidRPr="003A115E">
        <w:t>, de 20 de diciembre,</w:t>
      </w:r>
      <w:r w:rsidRPr="003A115E">
        <w:t xml:space="preserve"> de la Cámara de Comptos, en cumplimiento de la Ley Foral 6/1990, de 2 de julio, de la Administración Local de Navarra, cuyo artículo 350.2 establece la obligación de remitir anualmente al Parlamento y al Gobierno de Navarra una memoria-resumen de las actuaciones de fiscalización y control de la Cámara de Comptos en el ámbito de las entidades locales de Navarra.</w:t>
      </w:r>
    </w:p>
    <w:p w14:paraId="62863064" w14:textId="394C9EA5" w:rsidR="009A7A48" w:rsidRPr="003A115E" w:rsidRDefault="009A7A48" w:rsidP="31020D79">
      <w:pPr>
        <w:pStyle w:val="texto"/>
        <w:rPr>
          <w:lang w:val="es-ES"/>
        </w:rPr>
      </w:pPr>
      <w:r w:rsidRPr="003A115E">
        <w:rPr>
          <w:lang w:val="es-ES"/>
        </w:rPr>
        <w:t>Los plazos establecidos en la Ley Foral 2/1995, de 10 de marzo, de Haciendas Locales (LFHL</w:t>
      </w:r>
      <w:r w:rsidR="00915F33" w:rsidRPr="003A115E">
        <w:rPr>
          <w:lang w:val="es-ES"/>
        </w:rPr>
        <w:t>, en adelante</w:t>
      </w:r>
      <w:r w:rsidRPr="003A115E">
        <w:rPr>
          <w:lang w:val="es-ES"/>
        </w:rPr>
        <w:t xml:space="preserve">) para la aprobación y remisión </w:t>
      </w:r>
      <w:r w:rsidR="007F1518" w:rsidRPr="003A115E">
        <w:rPr>
          <w:lang w:val="es-ES"/>
        </w:rPr>
        <w:t>a la Administración de la Comunidad Foral de Navarra</w:t>
      </w:r>
      <w:r w:rsidRPr="003A115E">
        <w:rPr>
          <w:lang w:val="es-ES"/>
        </w:rPr>
        <w:t xml:space="preserve"> </w:t>
      </w:r>
      <w:r w:rsidR="004C6B49" w:rsidRPr="003A115E">
        <w:rPr>
          <w:rFonts w:cs="Arial"/>
          <w:spacing w:val="4"/>
        </w:rPr>
        <w:t>(ACFN, en adelante)</w:t>
      </w:r>
      <w:r w:rsidR="004C6B49" w:rsidRPr="003A115E">
        <w:rPr>
          <w:rFonts w:cs="Arial"/>
        </w:rPr>
        <w:t xml:space="preserve">, </w:t>
      </w:r>
      <w:r w:rsidRPr="003A115E">
        <w:rPr>
          <w:lang w:val="es-ES"/>
        </w:rPr>
        <w:t>de la Cuenta General de cada ejercicio por las entidades locales, y la complejidad del tratamiento de dicha información, explican que el infor</w:t>
      </w:r>
      <w:r w:rsidR="006E47E5" w:rsidRPr="003A115E">
        <w:rPr>
          <w:lang w:val="es-ES"/>
        </w:rPr>
        <w:t>me relativo al ejercicio de 2022</w:t>
      </w:r>
      <w:r w:rsidRPr="003A115E">
        <w:rPr>
          <w:lang w:val="es-ES"/>
        </w:rPr>
        <w:t xml:space="preserve"> no haya podido realizarse con anterioridad.</w:t>
      </w:r>
    </w:p>
    <w:p w14:paraId="2D38D3E4" w14:textId="5E64B1D7" w:rsidR="009A7A48" w:rsidRPr="003A115E" w:rsidRDefault="00BB1B40" w:rsidP="00D20DD4">
      <w:pPr>
        <w:pStyle w:val="texto"/>
      </w:pPr>
      <w:r w:rsidRPr="003A115E">
        <w:t>El informe se acompaña</w:t>
      </w:r>
      <w:r w:rsidRPr="003A115E">
        <w:rPr>
          <w:rStyle w:val="Refdenotaalpie"/>
        </w:rPr>
        <w:footnoteReference w:id="2"/>
      </w:r>
      <w:r w:rsidRPr="003A115E">
        <w:t xml:space="preserve"> </w:t>
      </w:r>
      <w:r w:rsidR="00A06694" w:rsidRPr="003A115E">
        <w:t>d</w:t>
      </w:r>
      <w:r w:rsidR="009A7A48" w:rsidRPr="003A115E">
        <w:t xml:space="preserve">el </w:t>
      </w:r>
      <w:r w:rsidR="0041650C" w:rsidRPr="003A115E">
        <w:t>documento</w:t>
      </w:r>
      <w:r w:rsidR="009A7A48" w:rsidRPr="003A115E">
        <w:t xml:space="preserve"> elaborado </w:t>
      </w:r>
      <w:r w:rsidR="0005705F" w:rsidRPr="003A115E">
        <w:t xml:space="preserve">por el Departamento de </w:t>
      </w:r>
      <w:r w:rsidR="0005705F" w:rsidRPr="003A115E">
        <w:rPr>
          <w:lang w:val="es-ES"/>
        </w:rPr>
        <w:t>Cohesión</w:t>
      </w:r>
      <w:r w:rsidR="0005705F" w:rsidRPr="003A115E">
        <w:t xml:space="preserve"> Territorial</w:t>
      </w:r>
      <w:r w:rsidR="006F591D" w:rsidRPr="003A115E">
        <w:t xml:space="preserve"> </w:t>
      </w:r>
      <w:r w:rsidR="00951C4E" w:rsidRPr="003A115E">
        <w:t>(</w:t>
      </w:r>
      <w:r w:rsidR="006F591D" w:rsidRPr="003A115E">
        <w:t>departamento, en adelante)</w:t>
      </w:r>
      <w:r w:rsidR="009A7A48" w:rsidRPr="003A115E">
        <w:t xml:space="preserve"> sobre la situación financiera del sector público local en </w:t>
      </w:r>
      <w:r w:rsidR="006E47E5" w:rsidRPr="003A115E">
        <w:t>2022</w:t>
      </w:r>
      <w:r w:rsidR="009A7A48" w:rsidRPr="003A115E">
        <w:t>.</w:t>
      </w:r>
    </w:p>
    <w:p w14:paraId="20A4A702" w14:textId="05AD592F" w:rsidR="009A7A48" w:rsidRPr="003A115E" w:rsidRDefault="009A7A48" w:rsidP="009A7A48">
      <w:pPr>
        <w:pStyle w:val="texto"/>
      </w:pPr>
      <w:r w:rsidRPr="003A115E">
        <w:t xml:space="preserve">El trabajo lo realizó en los meses de </w:t>
      </w:r>
      <w:r w:rsidR="005A0C13" w:rsidRPr="003A115E">
        <w:t>mayo</w:t>
      </w:r>
      <w:r w:rsidRPr="003A115E">
        <w:t xml:space="preserve"> y </w:t>
      </w:r>
      <w:r w:rsidR="005A0C13" w:rsidRPr="003A115E">
        <w:t>agosto de 2024</w:t>
      </w:r>
      <w:r w:rsidRPr="003A115E">
        <w:t xml:space="preserve"> un equipo integrado por dos técnicas de auditoría y un auditor, con la colaboración de los servicios jurídicos, informáticos y administrativos de la Cámara de Comptos.</w:t>
      </w:r>
    </w:p>
    <w:p w14:paraId="13F08D3B" w14:textId="72D8145E" w:rsidR="009A7A48" w:rsidRPr="003A115E" w:rsidRDefault="009A7A48" w:rsidP="009A7A48">
      <w:pPr>
        <w:pStyle w:val="texto"/>
      </w:pPr>
      <w:r w:rsidRPr="003A115E">
        <w:t xml:space="preserve">Agradecemos al personal de la </w:t>
      </w:r>
      <w:r w:rsidR="00951C4E" w:rsidRPr="003A115E">
        <w:t>Dirección General de Administración Local y Despoblación</w:t>
      </w:r>
      <w:r w:rsidRPr="003A115E">
        <w:t>, de la Federación Navarra de Municipios y Concejos y de las entidades locales de Navarra, la colaboración prestada en la realización del presente trabajo.</w:t>
      </w:r>
    </w:p>
    <w:p w14:paraId="10C6D643" w14:textId="77777777" w:rsidR="009A7A48" w:rsidRPr="003A115E" w:rsidRDefault="009A7A48" w:rsidP="009A7A48">
      <w:pPr>
        <w:pStyle w:val="texto"/>
      </w:pPr>
      <w:r w:rsidRPr="003A115E">
        <w:t>En relación con los importes monetarios del informe, se ha efectuado un redondeo para no mostrar los céntimos. Los datos presentados muestran siempre el redondeo de cada valor exacto y no la suma de los datos redondeados. Los porcentajes también se calculan sobre los valores exactos y no sobre los redondeados.</w:t>
      </w:r>
    </w:p>
    <w:p w14:paraId="110FFD37" w14:textId="72BE30C7" w:rsidR="001D196E" w:rsidRPr="003A115E" w:rsidRDefault="001D196E">
      <w:pPr>
        <w:rPr>
          <w:spacing w:val="6"/>
          <w:sz w:val="26"/>
        </w:rPr>
      </w:pPr>
      <w:r w:rsidRPr="003A115E">
        <w:br w:type="page"/>
      </w:r>
    </w:p>
    <w:p w14:paraId="6753B2EF" w14:textId="77777777" w:rsidR="00683931" w:rsidRPr="003A115E" w:rsidRDefault="00683931" w:rsidP="00683931">
      <w:pPr>
        <w:pStyle w:val="atitulo1"/>
        <w:rPr>
          <w:color w:val="auto"/>
        </w:rPr>
      </w:pPr>
      <w:bookmarkStart w:id="9" w:name="_Toc217455261"/>
      <w:bookmarkStart w:id="10" w:name="_Toc527634608"/>
      <w:bookmarkStart w:id="11" w:name="_Toc529773875"/>
      <w:bookmarkStart w:id="12" w:name="_Toc531088341"/>
      <w:bookmarkStart w:id="13" w:name="_Toc24100140"/>
      <w:bookmarkStart w:id="14" w:name="_Toc52348288"/>
      <w:bookmarkStart w:id="15" w:name="_Toc183679737"/>
      <w:bookmarkStart w:id="16" w:name="_Toc121292759"/>
      <w:bookmarkStart w:id="17" w:name="_Toc121293082"/>
      <w:bookmarkStart w:id="18" w:name="_Toc291067875"/>
      <w:bookmarkStart w:id="19" w:name="_Toc399916258"/>
      <w:bookmarkStart w:id="20" w:name="_Toc465686681"/>
      <w:r w:rsidRPr="003A115E">
        <w:rPr>
          <w:color w:val="auto"/>
        </w:rPr>
        <w:lastRenderedPageBreak/>
        <w:t>II. Objetivo</w:t>
      </w:r>
      <w:bookmarkEnd w:id="9"/>
      <w:r w:rsidR="004B35F2" w:rsidRPr="003A115E">
        <w:rPr>
          <w:color w:val="auto"/>
        </w:rPr>
        <w:t>s</w:t>
      </w:r>
      <w:r w:rsidRPr="003A115E">
        <w:rPr>
          <w:color w:val="auto"/>
        </w:rPr>
        <w:t>, alcance y limitaciones</w:t>
      </w:r>
      <w:bookmarkEnd w:id="10"/>
      <w:bookmarkEnd w:id="11"/>
      <w:bookmarkEnd w:id="12"/>
      <w:bookmarkEnd w:id="13"/>
      <w:bookmarkEnd w:id="14"/>
      <w:bookmarkEnd w:id="15"/>
      <w:r w:rsidRPr="003A115E">
        <w:rPr>
          <w:color w:val="auto"/>
        </w:rPr>
        <w:t xml:space="preserve"> </w:t>
      </w:r>
    </w:p>
    <w:p w14:paraId="6957FF19" w14:textId="77777777" w:rsidR="009A7A48" w:rsidRPr="003A115E" w:rsidRDefault="009A7A48" w:rsidP="009A7A48">
      <w:pPr>
        <w:pStyle w:val="texto"/>
        <w:rPr>
          <w:szCs w:val="26"/>
        </w:rPr>
      </w:pPr>
      <w:r w:rsidRPr="003A115E">
        <w:rPr>
          <w:szCs w:val="26"/>
        </w:rPr>
        <w:t>Los objetivos de este trabajo han sido:</w:t>
      </w:r>
    </w:p>
    <w:p w14:paraId="422C5567" w14:textId="743C8462" w:rsidR="009A7A48" w:rsidRPr="003A115E" w:rsidRDefault="21B8DB18"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3A115E">
        <w:rPr>
          <w:rFonts w:cs="Arial"/>
        </w:rPr>
        <w:t>Resumir las actuaciones de fiscalización que esta Cámara ha realizado en el ámbito de las entidades locales de Navarra e</w:t>
      </w:r>
      <w:r w:rsidR="000225F2" w:rsidRPr="003A115E">
        <w:rPr>
          <w:rFonts w:cs="Arial"/>
        </w:rPr>
        <w:t>n relación con el ejercicio 2022</w:t>
      </w:r>
      <w:r w:rsidRPr="003A115E">
        <w:rPr>
          <w:rFonts w:cs="Arial"/>
        </w:rPr>
        <w:t>.</w:t>
      </w:r>
    </w:p>
    <w:p w14:paraId="50377D50" w14:textId="53D6CE5E" w:rsidR="009A7A48" w:rsidRPr="003A115E" w:rsidRDefault="21B8DB18"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3A115E">
        <w:rPr>
          <w:rFonts w:cs="Arial"/>
        </w:rPr>
        <w:t xml:space="preserve">Ofrecer al Parlamento, a </w:t>
      </w:r>
      <w:r w:rsidRPr="003A115E">
        <w:rPr>
          <w:rFonts w:cs="Arial"/>
          <w:spacing w:val="4"/>
        </w:rPr>
        <w:t>las</w:t>
      </w:r>
      <w:r w:rsidRPr="003A115E">
        <w:rPr>
          <w:rFonts w:cs="Arial"/>
        </w:rPr>
        <w:t xml:space="preserve"> administraciones públicas y a la sociedad de Navarra una visión de la organización y de la situación financiera de las entidades l</w:t>
      </w:r>
      <w:r w:rsidR="000225F2" w:rsidRPr="003A115E">
        <w:rPr>
          <w:rFonts w:cs="Arial"/>
        </w:rPr>
        <w:t>ocales de Navarra en el año 2022</w:t>
      </w:r>
      <w:r w:rsidRPr="003A115E">
        <w:rPr>
          <w:rFonts w:cs="Arial"/>
        </w:rPr>
        <w:t>.</w:t>
      </w:r>
    </w:p>
    <w:p w14:paraId="2C9DE746" w14:textId="3F20BC82" w:rsidR="009A7A48" w:rsidRPr="003A115E" w:rsidRDefault="00C95EBA"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spacing w:val="2"/>
        </w:rPr>
      </w:pPr>
      <w:r w:rsidRPr="003A115E">
        <w:rPr>
          <w:rFonts w:cs="Arial"/>
          <w:spacing w:val="2"/>
        </w:rPr>
        <w:t>Analizar</w:t>
      </w:r>
      <w:r w:rsidR="21B8DB18" w:rsidRPr="003A115E">
        <w:rPr>
          <w:rFonts w:cs="Arial"/>
          <w:spacing w:val="2"/>
        </w:rPr>
        <w:t xml:space="preserve"> la contratación realizada por las entidades locales en dicho ejercicio.</w:t>
      </w:r>
    </w:p>
    <w:p w14:paraId="7361C6DF" w14:textId="77777777" w:rsidR="009A7A48" w:rsidRPr="003A115E" w:rsidRDefault="21B8DB18"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3A115E">
        <w:rPr>
          <w:rFonts w:cs="Arial"/>
        </w:rPr>
        <w:t xml:space="preserve">Analizar </w:t>
      </w:r>
      <w:r w:rsidR="7594A72B" w:rsidRPr="003A115E">
        <w:rPr>
          <w:rFonts w:cs="Arial"/>
        </w:rPr>
        <w:t xml:space="preserve">el control interno, así como </w:t>
      </w:r>
      <w:r w:rsidRPr="003A115E">
        <w:rPr>
          <w:rFonts w:cs="Arial"/>
        </w:rPr>
        <w:t>los reparos y las anomalías en materia de ingresos reportados por la Intervención de las entidades locales.</w:t>
      </w:r>
    </w:p>
    <w:p w14:paraId="066FB059" w14:textId="290E1B31" w:rsidR="009A7A48" w:rsidRPr="003A115E" w:rsidRDefault="21B8DB18"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3A115E">
        <w:rPr>
          <w:rFonts w:cs="Arial"/>
        </w:rPr>
        <w:t>Comparar un conjunto de indicadores entre los ayuntamientos navarros de diferentes tramos de población.</w:t>
      </w:r>
    </w:p>
    <w:p w14:paraId="0A251D37" w14:textId="77777777" w:rsidR="00683603" w:rsidRPr="003A115E" w:rsidRDefault="009A7A48" w:rsidP="00321FB2">
      <w:pPr>
        <w:pStyle w:val="texto"/>
        <w:tabs>
          <w:tab w:val="clear" w:pos="2835"/>
          <w:tab w:val="clear" w:pos="3969"/>
          <w:tab w:val="clear" w:pos="5103"/>
          <w:tab w:val="clear" w:pos="6237"/>
          <w:tab w:val="clear" w:pos="7371"/>
          <w:tab w:val="left" w:pos="480"/>
          <w:tab w:val="num" w:pos="644"/>
          <w:tab w:val="num" w:pos="720"/>
          <w:tab w:val="num" w:pos="1320"/>
          <w:tab w:val="num" w:pos="5606"/>
        </w:tabs>
        <w:ind w:firstLine="289"/>
        <w:rPr>
          <w:rFonts w:cs="Arial"/>
        </w:rPr>
      </w:pPr>
      <w:r w:rsidRPr="003A115E">
        <w:rPr>
          <w:rFonts w:cs="Arial"/>
        </w:rPr>
        <w:t>El alcance de</w:t>
      </w:r>
      <w:r w:rsidR="00B11572" w:rsidRPr="003A115E">
        <w:rPr>
          <w:rFonts w:cs="Arial"/>
        </w:rPr>
        <w:t>l trabajo es</w:t>
      </w:r>
      <w:r w:rsidR="00683603" w:rsidRPr="003A115E">
        <w:rPr>
          <w:rFonts w:cs="Arial"/>
        </w:rPr>
        <w:t>:</w:t>
      </w:r>
    </w:p>
    <w:p w14:paraId="1BA32584" w14:textId="69E96BD7" w:rsidR="00321FB2" w:rsidRPr="003A115E" w:rsidRDefault="00683603" w:rsidP="00683603">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3A115E">
        <w:rPr>
          <w:rFonts w:cs="Arial"/>
        </w:rPr>
        <w:t>C</w:t>
      </w:r>
      <w:r w:rsidR="00B11572" w:rsidRPr="003A115E">
        <w:rPr>
          <w:rFonts w:cs="Arial"/>
        </w:rPr>
        <w:t>uenta g</w:t>
      </w:r>
      <w:r w:rsidR="00C95EBA" w:rsidRPr="003A115E">
        <w:rPr>
          <w:rFonts w:cs="Arial"/>
        </w:rPr>
        <w:t>eneral del ejercicio 2022</w:t>
      </w:r>
      <w:r w:rsidR="009A7A48" w:rsidRPr="003A115E">
        <w:rPr>
          <w:rFonts w:cs="Arial"/>
        </w:rPr>
        <w:t xml:space="preserve"> de las e</w:t>
      </w:r>
      <w:r w:rsidR="001B4B71" w:rsidRPr="003A115E">
        <w:rPr>
          <w:rFonts w:cs="Arial"/>
        </w:rPr>
        <w:t>ntidades locales, integrada por l</w:t>
      </w:r>
      <w:r w:rsidR="21B8DB18" w:rsidRPr="003A115E">
        <w:rPr>
          <w:rFonts w:cs="Arial"/>
        </w:rPr>
        <w:t>a de la propia entidad local y la de sus organismos autónomos</w:t>
      </w:r>
      <w:r w:rsidR="1D10AC8D" w:rsidRPr="003A115E">
        <w:rPr>
          <w:rFonts w:cs="Arial"/>
        </w:rPr>
        <w:t xml:space="preserve"> (</w:t>
      </w:r>
      <w:r w:rsidR="00683192" w:rsidRPr="003A115E">
        <w:rPr>
          <w:rFonts w:cs="Arial"/>
        </w:rPr>
        <w:t>OO. AA</w:t>
      </w:r>
      <w:r w:rsidR="00342DA8" w:rsidRPr="003A115E">
        <w:rPr>
          <w:rFonts w:cs="Arial"/>
        </w:rPr>
        <w:t>, en adelante</w:t>
      </w:r>
      <w:r w:rsidR="1D10AC8D" w:rsidRPr="003A115E">
        <w:rPr>
          <w:rFonts w:cs="Arial"/>
        </w:rPr>
        <w:t>)</w:t>
      </w:r>
      <w:r w:rsidR="00702BAF" w:rsidRPr="003A115E">
        <w:rPr>
          <w:rFonts w:cs="Arial"/>
        </w:rPr>
        <w:t>, l</w:t>
      </w:r>
      <w:r w:rsidR="009A7A48" w:rsidRPr="003A115E">
        <w:rPr>
          <w:rFonts w:cs="Arial"/>
        </w:rPr>
        <w:t>a de las sociedades mercantiles de capital íntegrament</w:t>
      </w:r>
      <w:r w:rsidR="00702BAF" w:rsidRPr="003A115E">
        <w:rPr>
          <w:rFonts w:cs="Arial"/>
        </w:rPr>
        <w:t>e propiedad de la entidad local y l</w:t>
      </w:r>
      <w:r w:rsidR="009A7A48" w:rsidRPr="003A115E">
        <w:rPr>
          <w:rFonts w:cs="Arial"/>
        </w:rPr>
        <w:t xml:space="preserve">os </w:t>
      </w:r>
      <w:r w:rsidR="00702BAF" w:rsidRPr="003A115E">
        <w:rPr>
          <w:rFonts w:cs="Arial"/>
        </w:rPr>
        <w:t xml:space="preserve">respectivos </w:t>
      </w:r>
      <w:r w:rsidR="009A7A48" w:rsidRPr="003A115E">
        <w:rPr>
          <w:rFonts w:cs="Arial"/>
        </w:rPr>
        <w:t>anexos.</w:t>
      </w:r>
      <w:r w:rsidR="001320C1" w:rsidRPr="003A115E">
        <w:rPr>
          <w:rFonts w:cs="Arial"/>
        </w:rPr>
        <w:t xml:space="preserve"> </w:t>
      </w:r>
    </w:p>
    <w:p w14:paraId="58502668" w14:textId="77777777" w:rsidR="00321FB2" w:rsidRPr="003A115E" w:rsidRDefault="001B4B71" w:rsidP="00321FB2">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zCs w:val="26"/>
        </w:rPr>
      </w:pPr>
      <w:r w:rsidRPr="003A115E">
        <w:rPr>
          <w:szCs w:val="26"/>
        </w:rPr>
        <w:t>D</w:t>
      </w:r>
      <w:r w:rsidR="009A7A48" w:rsidRPr="003A115E">
        <w:rPr>
          <w:szCs w:val="26"/>
        </w:rPr>
        <w:t xml:space="preserve">atos del Registro de Entidades Locales gestionado por esa misma dirección general, así como información obtenida del Registro de Contratos dependiente de la Junta de Contratación Pública. </w:t>
      </w:r>
    </w:p>
    <w:p w14:paraId="27662142" w14:textId="0378C7D4" w:rsidR="009A7A48" w:rsidRPr="003A115E" w:rsidRDefault="00321FB2" w:rsidP="00321FB2">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zCs w:val="26"/>
        </w:rPr>
      </w:pPr>
      <w:r w:rsidRPr="003A115E">
        <w:rPr>
          <w:szCs w:val="26"/>
        </w:rPr>
        <w:t>I</w:t>
      </w:r>
      <w:r w:rsidR="009A7A48" w:rsidRPr="003A115E">
        <w:rPr>
          <w:szCs w:val="26"/>
        </w:rPr>
        <w:t>nformes de fiscalización emitidos por esta Cámara referidos al citado ejercicio y las respuestas de los órganos de intervención de las entidades locales al requerimiento de información sobre el control interno y los reparos formulados que les ha dirigido esta Cámara.</w:t>
      </w:r>
    </w:p>
    <w:p w14:paraId="2E5A0293" w14:textId="12DBE459" w:rsidR="00482AB6" w:rsidRPr="003A115E" w:rsidRDefault="00683603" w:rsidP="00FB673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lang w:val="es-ES"/>
        </w:rPr>
      </w:pPr>
      <w:r w:rsidRPr="003A115E">
        <w:rPr>
          <w:lang w:val="es-ES"/>
        </w:rPr>
        <w:t xml:space="preserve">Informe </w:t>
      </w:r>
      <w:r w:rsidR="009939AA" w:rsidRPr="003A115E">
        <w:t>elaborado por el departamento</w:t>
      </w:r>
      <w:r w:rsidR="00FB673E" w:rsidRPr="003A115E">
        <w:t xml:space="preserve"> </w:t>
      </w:r>
      <w:r w:rsidR="009939AA" w:rsidRPr="003A115E">
        <w:t>sobre la situación financiera del sector público local en 2022.</w:t>
      </w:r>
      <w:r w:rsidR="00EE51C3" w:rsidRPr="003A115E">
        <w:rPr>
          <w:lang w:val="es-ES"/>
        </w:rPr>
        <w:t xml:space="preserve"> </w:t>
      </w:r>
      <w:r w:rsidR="00FB673E" w:rsidRPr="003A115E">
        <w:rPr>
          <w:lang w:val="es-ES"/>
        </w:rPr>
        <w:t>S</w:t>
      </w:r>
      <w:r w:rsidR="00482AB6" w:rsidRPr="003A115E">
        <w:rPr>
          <w:lang w:val="es-ES"/>
        </w:rPr>
        <w:t xml:space="preserve">e elabora fundamentalmente a partir de los datos presupuestarios consolidados de las entidades locales y sus </w:t>
      </w:r>
      <w:r w:rsidR="00A51F9A" w:rsidRPr="003A115E">
        <w:rPr>
          <w:lang w:val="es-ES"/>
        </w:rPr>
        <w:t>OO.AA</w:t>
      </w:r>
      <w:r w:rsidR="00482AB6" w:rsidRPr="003A115E">
        <w:rPr>
          <w:lang w:val="es-ES"/>
        </w:rPr>
        <w:t xml:space="preserve">. No obstante, en ciertos aspectos se presenta información que incluye también la sociedad Servicios de la Comarca </w:t>
      </w:r>
      <w:r w:rsidR="00DE7A06" w:rsidRPr="003A115E">
        <w:rPr>
          <w:lang w:val="es-ES"/>
        </w:rPr>
        <w:t>de Pamplona, S.A. (</w:t>
      </w:r>
      <w:r w:rsidR="00482AB6" w:rsidRPr="003A115E">
        <w:rPr>
          <w:lang w:val="es-ES"/>
        </w:rPr>
        <w:t>SCPSA</w:t>
      </w:r>
      <w:r w:rsidR="00DE7A06" w:rsidRPr="003A115E">
        <w:rPr>
          <w:lang w:val="es-ES"/>
        </w:rPr>
        <w:t>, en adelante</w:t>
      </w:r>
      <w:r w:rsidR="00482AB6" w:rsidRPr="003A115E">
        <w:rPr>
          <w:lang w:val="es-ES"/>
        </w:rPr>
        <w:t xml:space="preserve">). El análisis del endeudamiento sí incluye la consolidación de todas las sociedades dependientes de municipios y mancomunidades. Por su parte, las fundaciones públicas y los consorcios no se incluyen en ninguna información consolidada. </w:t>
      </w:r>
    </w:p>
    <w:p w14:paraId="323F7D34" w14:textId="53644891" w:rsidR="009A7A48" w:rsidRPr="003A115E" w:rsidRDefault="001C7FBC" w:rsidP="00EE51C3">
      <w:pPr>
        <w:pStyle w:val="texto"/>
        <w:rPr>
          <w:szCs w:val="26"/>
        </w:rPr>
      </w:pPr>
      <w:r w:rsidRPr="003A115E">
        <w:t xml:space="preserve">El </w:t>
      </w:r>
      <w:r w:rsidR="00027C49" w:rsidRPr="003A115E">
        <w:t>citado informe</w:t>
      </w:r>
      <w:r w:rsidRPr="003A115E">
        <w:t xml:space="preserve"> no recoge</w:t>
      </w:r>
      <w:r w:rsidR="21B8DB18" w:rsidRPr="003A115E">
        <w:t xml:space="preserve"> información económico-financiera y presupuestaria sobre los entes locales que no </w:t>
      </w:r>
      <w:r w:rsidR="2C7397AF" w:rsidRPr="003A115E">
        <w:t>remitieron su</w:t>
      </w:r>
      <w:r w:rsidR="21B8DB18" w:rsidRPr="003A115E">
        <w:t xml:space="preserve"> </w:t>
      </w:r>
      <w:r w:rsidR="2C7397AF" w:rsidRPr="003A115E">
        <w:t>cuenta g</w:t>
      </w:r>
      <w:r w:rsidR="21B8DB18" w:rsidRPr="003A115E">
        <w:t xml:space="preserve">eneral o liquidación </w:t>
      </w:r>
      <w:r w:rsidR="21B8DB18" w:rsidRPr="003A115E">
        <w:lastRenderedPageBreak/>
        <w:t>del presupuesto del ejercicio 202</w:t>
      </w:r>
      <w:r w:rsidR="00877BEB" w:rsidRPr="003A115E">
        <w:t>2</w:t>
      </w:r>
      <w:r w:rsidR="21B8DB18" w:rsidRPr="003A115E">
        <w:t xml:space="preserve"> </w:t>
      </w:r>
      <w:r w:rsidR="006F591D" w:rsidRPr="003A115E">
        <w:t>al departamento</w:t>
      </w:r>
      <w:r w:rsidR="21B8DB18" w:rsidRPr="003A115E">
        <w:t xml:space="preserve"> a </w:t>
      </w:r>
      <w:r w:rsidR="163AF7C9" w:rsidRPr="003A115E">
        <w:t xml:space="preserve">fecha </w:t>
      </w:r>
      <w:r w:rsidR="2C7397AF" w:rsidRPr="003A115E">
        <w:t xml:space="preserve">del </w:t>
      </w:r>
      <w:r w:rsidR="005E5687" w:rsidRPr="003A115E">
        <w:t>19</w:t>
      </w:r>
      <w:r w:rsidR="2C7397AF" w:rsidRPr="003A115E">
        <w:t xml:space="preserve"> de </w:t>
      </w:r>
      <w:r w:rsidR="00C0378F" w:rsidRPr="003A115E">
        <w:t>marzo de 2024</w:t>
      </w:r>
      <w:r w:rsidR="21B8DB18" w:rsidRPr="003A115E">
        <w:rPr>
          <w:rStyle w:val="Refdenotaalpie"/>
        </w:rPr>
        <w:footnoteReference w:id="3"/>
      </w:r>
      <w:r w:rsidR="21B8DB18" w:rsidRPr="003A115E">
        <w:t>, que son:</w:t>
      </w:r>
      <w:r w:rsidR="006F591D" w:rsidRPr="003A115E">
        <w:t xml:space="preserve"> </w:t>
      </w:r>
    </w:p>
    <w:p w14:paraId="4FA575D3" w14:textId="65609529" w:rsidR="00C84D07" w:rsidRPr="003A115E" w:rsidRDefault="2C7397AF" w:rsidP="00D77CFE">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lang w:val="es-ES"/>
        </w:rPr>
      </w:pPr>
      <w:r w:rsidRPr="003A115E">
        <w:rPr>
          <w:rFonts w:cs="Arial"/>
          <w:lang w:val="es-ES"/>
        </w:rPr>
        <w:t xml:space="preserve">Un total de </w:t>
      </w:r>
      <w:r w:rsidR="00C0378F" w:rsidRPr="003A115E">
        <w:rPr>
          <w:rFonts w:cs="Arial"/>
          <w:lang w:val="es-ES"/>
        </w:rPr>
        <w:t>20</w:t>
      </w:r>
      <w:r w:rsidR="21B8DB18" w:rsidRPr="003A115E">
        <w:rPr>
          <w:rFonts w:cs="Arial"/>
          <w:lang w:val="es-ES"/>
        </w:rPr>
        <w:t xml:space="preserve"> de los 272 municipios: </w:t>
      </w:r>
      <w:r w:rsidR="00DE6F8A" w:rsidRPr="003A115E">
        <w:rPr>
          <w:rFonts w:cs="Arial"/>
          <w:lang w:val="es-ES"/>
        </w:rPr>
        <w:t>Abaurreaga</w:t>
      </w:r>
      <w:r w:rsidR="00455B72">
        <w:rPr>
          <w:rFonts w:cs="Arial"/>
          <w:lang w:val="es-ES"/>
        </w:rPr>
        <w:t>ina/Abaurrea Alta, Abaurrepea/</w:t>
      </w:r>
      <w:r w:rsidR="00DE6F8A" w:rsidRPr="003A115E">
        <w:rPr>
          <w:rFonts w:cs="Arial"/>
          <w:lang w:val="es-ES"/>
        </w:rPr>
        <w:t xml:space="preserve">Abaurrea Baja, </w:t>
      </w:r>
      <w:r w:rsidR="00DD6701" w:rsidRPr="003A115E">
        <w:rPr>
          <w:rFonts w:cs="Arial"/>
          <w:lang w:val="es-ES"/>
        </w:rPr>
        <w:t>Aras, Azagra, Cabredo, Desojo, El Busto, Eratsun, E</w:t>
      </w:r>
      <w:r w:rsidR="00D1546D" w:rsidRPr="003A115E">
        <w:rPr>
          <w:rFonts w:cs="Arial"/>
          <w:lang w:val="es-ES"/>
        </w:rPr>
        <w:t>zk</w:t>
      </w:r>
      <w:r w:rsidR="00DD6701" w:rsidRPr="003A115E">
        <w:rPr>
          <w:rFonts w:cs="Arial"/>
          <w:lang w:val="es-ES"/>
        </w:rPr>
        <w:t>urra,</w:t>
      </w:r>
      <w:r w:rsidR="002C5ECA" w:rsidRPr="003A115E">
        <w:rPr>
          <w:rFonts w:cs="Arial"/>
          <w:lang w:val="es-ES"/>
        </w:rPr>
        <w:t xml:space="preserve"> Fitero, Genevilla, </w:t>
      </w:r>
      <w:r w:rsidR="00455B72">
        <w:rPr>
          <w:rFonts w:cs="Arial"/>
          <w:lang w:val="es-ES"/>
        </w:rPr>
        <w:t>I</w:t>
      </w:r>
      <w:r w:rsidR="0001045A" w:rsidRPr="003A115E">
        <w:rPr>
          <w:rFonts w:cs="Arial"/>
          <w:lang w:val="es-ES"/>
        </w:rPr>
        <w:t>motz, Izalzu</w:t>
      </w:r>
      <w:r w:rsidR="002C5ECA" w:rsidRPr="003A115E">
        <w:rPr>
          <w:rFonts w:cs="Arial"/>
          <w:lang w:val="es-ES"/>
        </w:rPr>
        <w:t xml:space="preserve">/Itzaltzu, </w:t>
      </w:r>
      <w:proofErr w:type="spellStart"/>
      <w:r w:rsidR="002C5ECA" w:rsidRPr="003A115E">
        <w:rPr>
          <w:rFonts w:cs="Arial"/>
          <w:lang w:val="es-ES"/>
        </w:rPr>
        <w:t>Marañon</w:t>
      </w:r>
      <w:proofErr w:type="spellEnd"/>
      <w:r w:rsidR="002C5ECA" w:rsidRPr="003A115E">
        <w:rPr>
          <w:rFonts w:cs="Arial"/>
          <w:lang w:val="es-ES"/>
        </w:rPr>
        <w:t xml:space="preserve">, Marcilla, </w:t>
      </w:r>
      <w:proofErr w:type="spellStart"/>
      <w:r w:rsidR="002C5ECA" w:rsidRPr="003A115E">
        <w:rPr>
          <w:rFonts w:cs="Arial"/>
          <w:lang w:val="es-ES"/>
        </w:rPr>
        <w:t>Olazti</w:t>
      </w:r>
      <w:proofErr w:type="spellEnd"/>
      <w:r w:rsidR="002C5ECA" w:rsidRPr="003A115E">
        <w:rPr>
          <w:rFonts w:cs="Arial"/>
          <w:lang w:val="es-ES"/>
        </w:rPr>
        <w:t>/</w:t>
      </w:r>
      <w:proofErr w:type="spellStart"/>
      <w:r w:rsidR="002C5ECA" w:rsidRPr="003A115E">
        <w:rPr>
          <w:rFonts w:cs="Arial"/>
          <w:lang w:val="es-ES"/>
        </w:rPr>
        <w:t>Olazagutía</w:t>
      </w:r>
      <w:proofErr w:type="spellEnd"/>
      <w:r w:rsidR="002C5ECA" w:rsidRPr="003A115E">
        <w:rPr>
          <w:rFonts w:cs="Arial"/>
          <w:lang w:val="es-ES"/>
        </w:rPr>
        <w:t>,</w:t>
      </w:r>
      <w:r w:rsidR="00A277C2" w:rsidRPr="003A115E">
        <w:rPr>
          <w:rFonts w:cs="Arial"/>
          <w:lang w:val="es-ES"/>
        </w:rPr>
        <w:t xml:space="preserve"> Sald</w:t>
      </w:r>
      <w:r w:rsidR="006A62AF">
        <w:rPr>
          <w:rFonts w:cs="Arial"/>
          <w:lang w:val="es-ES"/>
        </w:rPr>
        <w:t>i</w:t>
      </w:r>
      <w:r w:rsidR="00455B72">
        <w:rPr>
          <w:rFonts w:cs="Arial"/>
          <w:lang w:val="es-ES"/>
        </w:rPr>
        <w:t xml:space="preserve">as, San Martín </w:t>
      </w:r>
      <w:proofErr w:type="spellStart"/>
      <w:r w:rsidR="00455B72">
        <w:rPr>
          <w:rFonts w:cs="Arial"/>
          <w:lang w:val="es-ES"/>
        </w:rPr>
        <w:t>Unx</w:t>
      </w:r>
      <w:proofErr w:type="spellEnd"/>
      <w:r w:rsidR="00455B72">
        <w:rPr>
          <w:rFonts w:cs="Arial"/>
          <w:lang w:val="es-ES"/>
        </w:rPr>
        <w:t>, Urzainqui/U</w:t>
      </w:r>
      <w:r w:rsidR="00A277C2" w:rsidRPr="003A115E">
        <w:rPr>
          <w:rFonts w:cs="Arial"/>
          <w:lang w:val="es-ES"/>
        </w:rPr>
        <w:t>rzainki y Zugarramurdi</w:t>
      </w:r>
      <w:r w:rsidRPr="003A115E">
        <w:rPr>
          <w:rFonts w:cs="Arial"/>
          <w:lang w:val="es-ES"/>
        </w:rPr>
        <w:t xml:space="preserve">. </w:t>
      </w:r>
    </w:p>
    <w:p w14:paraId="29AC7595" w14:textId="77777777" w:rsidR="00B02CA0" w:rsidRPr="003A115E" w:rsidRDefault="2C7397AF" w:rsidP="00B02CA0">
      <w:pPr>
        <w:pStyle w:val="texto"/>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rPr>
          <w:rFonts w:cs="Arial"/>
          <w:lang w:val="es-ES"/>
        </w:rPr>
      </w:pPr>
      <w:r w:rsidRPr="003A115E">
        <w:rPr>
          <w:rFonts w:cs="Arial"/>
          <w:lang w:val="es-ES"/>
        </w:rPr>
        <w:t>La población total de estos municip</w:t>
      </w:r>
      <w:r w:rsidR="0C2FEC9E" w:rsidRPr="003A115E">
        <w:rPr>
          <w:rFonts w:cs="Arial"/>
          <w:lang w:val="es-ES"/>
        </w:rPr>
        <w:t>i</w:t>
      </w:r>
      <w:r w:rsidRPr="003A115E">
        <w:rPr>
          <w:rFonts w:cs="Arial"/>
          <w:lang w:val="es-ES"/>
        </w:rPr>
        <w:t xml:space="preserve">os es de </w:t>
      </w:r>
      <w:r w:rsidR="00145A20" w:rsidRPr="003A115E">
        <w:rPr>
          <w:rFonts w:cs="Arial"/>
          <w:lang w:val="es-ES"/>
        </w:rPr>
        <w:t>12.345</w:t>
      </w:r>
      <w:r w:rsidRPr="003A115E">
        <w:rPr>
          <w:rFonts w:cs="Arial"/>
          <w:lang w:val="es-ES"/>
        </w:rPr>
        <w:t xml:space="preserve"> habitantes, equivalente al </w:t>
      </w:r>
      <w:r w:rsidR="00145A20" w:rsidRPr="003A115E">
        <w:rPr>
          <w:rFonts w:cs="Arial"/>
          <w:lang w:val="es-ES"/>
        </w:rPr>
        <w:t>1,86</w:t>
      </w:r>
      <w:r w:rsidR="00C45A95" w:rsidRPr="003A115E">
        <w:rPr>
          <w:rFonts w:cs="Arial"/>
          <w:lang w:val="es-ES"/>
        </w:rPr>
        <w:t xml:space="preserve"> </w:t>
      </w:r>
      <w:r w:rsidRPr="003A115E">
        <w:rPr>
          <w:rFonts w:cs="Arial"/>
          <w:lang w:val="es-ES"/>
        </w:rPr>
        <w:t>por ciento de la población</w:t>
      </w:r>
      <w:r w:rsidR="007C5C0C" w:rsidRPr="003A115E">
        <w:rPr>
          <w:rFonts w:cs="Arial"/>
          <w:lang w:val="es-ES"/>
        </w:rPr>
        <w:t xml:space="preserve"> de Navarra a 1 de enero de 2022</w:t>
      </w:r>
      <w:r w:rsidRPr="003A115E">
        <w:rPr>
          <w:rFonts w:cs="Arial"/>
          <w:lang w:val="es-ES"/>
        </w:rPr>
        <w:t>.</w:t>
      </w:r>
    </w:p>
    <w:p w14:paraId="5527F5D5" w14:textId="2DCC7490" w:rsidR="00C031FC" w:rsidRPr="003A115E" w:rsidRDefault="00B02CA0" w:rsidP="00D3350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3A115E">
        <w:rPr>
          <w:rFonts w:cs="Arial"/>
          <w:lang w:val="es-ES"/>
        </w:rPr>
        <w:t xml:space="preserve"> </w:t>
      </w:r>
      <w:r w:rsidR="21B8DB18" w:rsidRPr="003A115E">
        <w:rPr>
          <w:rFonts w:cs="Arial"/>
          <w:lang w:val="es-ES"/>
        </w:rPr>
        <w:t xml:space="preserve">Un total de </w:t>
      </w:r>
      <w:r w:rsidR="00EC1E5E" w:rsidRPr="003A115E">
        <w:rPr>
          <w:rFonts w:cs="Arial"/>
          <w:lang w:val="es-ES"/>
        </w:rPr>
        <w:t>54</w:t>
      </w:r>
      <w:r w:rsidR="21B8DB18" w:rsidRPr="003A115E">
        <w:rPr>
          <w:rFonts w:cs="Arial"/>
          <w:lang w:val="es-ES"/>
        </w:rPr>
        <w:t xml:space="preserve"> de los 346 concejos: </w:t>
      </w:r>
      <w:r w:rsidR="00F72C99" w:rsidRPr="003A115E">
        <w:rPr>
          <w:rFonts w:cs="Arial"/>
          <w:lang w:val="es-ES"/>
        </w:rPr>
        <w:t>Aizpún,</w:t>
      </w:r>
      <w:r w:rsidR="005F3E5A" w:rsidRPr="003A115E">
        <w:rPr>
          <w:rFonts w:cs="Arial"/>
          <w:lang w:val="es-ES"/>
        </w:rPr>
        <w:t xml:space="preserve"> </w:t>
      </w:r>
      <w:r w:rsidR="00F72C99" w:rsidRPr="003A115E">
        <w:rPr>
          <w:rFonts w:cs="Arial"/>
          <w:lang w:val="es-ES"/>
        </w:rPr>
        <w:t>Alloz/</w:t>
      </w:r>
      <w:r w:rsidR="00E7503B" w:rsidRPr="003A115E">
        <w:rPr>
          <w:rFonts w:cs="Arial"/>
          <w:lang w:val="es-ES"/>
        </w:rPr>
        <w:t>Allotz,</w:t>
      </w:r>
      <w:r w:rsidR="00DA1A2B" w:rsidRPr="003A115E">
        <w:rPr>
          <w:rFonts w:cs="Arial"/>
          <w:lang w:val="es-ES"/>
        </w:rPr>
        <w:t xml:space="preserve"> </w:t>
      </w:r>
      <w:r w:rsidR="00E7503B" w:rsidRPr="003A115E">
        <w:rPr>
          <w:rFonts w:cs="Arial"/>
          <w:lang w:val="es-ES"/>
        </w:rPr>
        <w:t>Amillano,</w:t>
      </w:r>
      <w:r w:rsidR="00DA1A2B" w:rsidRPr="003A115E">
        <w:rPr>
          <w:rFonts w:cs="Arial"/>
          <w:lang w:val="es-ES"/>
        </w:rPr>
        <w:t xml:space="preserve"> </w:t>
      </w:r>
      <w:r w:rsidR="00E7503B" w:rsidRPr="003A115E">
        <w:rPr>
          <w:rFonts w:cs="Arial"/>
          <w:lang w:val="es-ES"/>
        </w:rPr>
        <w:t>Arandigoyen/</w:t>
      </w:r>
      <w:r w:rsidR="00DA1A2B" w:rsidRPr="003A115E">
        <w:rPr>
          <w:rFonts w:cs="Arial"/>
          <w:lang w:val="es-ES"/>
        </w:rPr>
        <w:t>Arandigoien</w:t>
      </w:r>
      <w:r w:rsidR="00B75A56" w:rsidRPr="003A115E">
        <w:rPr>
          <w:szCs w:val="26"/>
        </w:rPr>
        <w:t>,</w:t>
      </w:r>
      <w:r w:rsidR="00A00D2E" w:rsidRPr="003A115E">
        <w:rPr>
          <w:szCs w:val="26"/>
        </w:rPr>
        <w:t xml:space="preserve"> </w:t>
      </w:r>
      <w:r w:rsidR="00B75A56" w:rsidRPr="003A115E">
        <w:rPr>
          <w:szCs w:val="26"/>
        </w:rPr>
        <w:t>Arguiñano,</w:t>
      </w:r>
      <w:r w:rsidR="00A00D2E" w:rsidRPr="003A115E">
        <w:rPr>
          <w:szCs w:val="26"/>
        </w:rPr>
        <w:t xml:space="preserve"> </w:t>
      </w:r>
      <w:r w:rsidR="00F72C99" w:rsidRPr="003A115E">
        <w:rPr>
          <w:rFonts w:cs="Arial"/>
          <w:lang w:val="es-ES"/>
        </w:rPr>
        <w:t>Artavia,</w:t>
      </w:r>
      <w:r w:rsidR="00DA1A2B" w:rsidRPr="003A115E">
        <w:rPr>
          <w:rFonts w:cs="Arial"/>
          <w:lang w:val="es-ES"/>
        </w:rPr>
        <w:t xml:space="preserve"> </w:t>
      </w:r>
      <w:r w:rsidR="00F72C99" w:rsidRPr="003A115E">
        <w:rPr>
          <w:rFonts w:cs="Arial"/>
          <w:lang w:val="es-ES"/>
        </w:rPr>
        <w:t>Ar</w:t>
      </w:r>
      <w:r w:rsidR="00E7503B" w:rsidRPr="003A115E">
        <w:rPr>
          <w:rFonts w:cs="Arial"/>
          <w:lang w:val="es-ES"/>
        </w:rPr>
        <w:t>tázcoz,</w:t>
      </w:r>
      <w:r w:rsidR="00DA1A2B" w:rsidRPr="003A115E">
        <w:rPr>
          <w:rFonts w:cs="Arial"/>
          <w:lang w:val="es-ES"/>
        </w:rPr>
        <w:t xml:space="preserve"> </w:t>
      </w:r>
      <w:r w:rsidR="00E7503B" w:rsidRPr="003A115E">
        <w:rPr>
          <w:rFonts w:cs="Arial"/>
          <w:lang w:val="es-ES"/>
        </w:rPr>
        <w:t>Astráin,</w:t>
      </w:r>
      <w:r w:rsidR="00DA1A2B" w:rsidRPr="003A115E">
        <w:rPr>
          <w:rFonts w:cs="Arial"/>
          <w:lang w:val="es-ES"/>
        </w:rPr>
        <w:t xml:space="preserve"> </w:t>
      </w:r>
      <w:r w:rsidR="00E7503B" w:rsidRPr="003A115E">
        <w:rPr>
          <w:rFonts w:cs="Arial"/>
          <w:lang w:val="es-ES"/>
        </w:rPr>
        <w:t>Azanza,</w:t>
      </w:r>
      <w:r w:rsidR="00DA1A2B" w:rsidRPr="003A115E">
        <w:rPr>
          <w:rFonts w:cs="Arial"/>
          <w:lang w:val="es-ES"/>
        </w:rPr>
        <w:t xml:space="preserve"> </w:t>
      </w:r>
      <w:r w:rsidR="00E7503B" w:rsidRPr="003A115E">
        <w:rPr>
          <w:rFonts w:cs="Arial"/>
          <w:lang w:val="es-ES"/>
        </w:rPr>
        <w:t>Baquedano</w:t>
      </w:r>
      <w:r w:rsidR="00F72C99" w:rsidRPr="003A115E">
        <w:rPr>
          <w:rFonts w:cs="Arial"/>
          <w:lang w:val="es-ES"/>
        </w:rPr>
        <w:t>/Bakedao,</w:t>
      </w:r>
      <w:r w:rsidR="00DA1A2B" w:rsidRPr="003A115E">
        <w:rPr>
          <w:rFonts w:cs="Arial"/>
          <w:lang w:val="es-ES"/>
        </w:rPr>
        <w:t xml:space="preserve"> </w:t>
      </w:r>
      <w:r w:rsidR="00F72C99" w:rsidRPr="003A115E">
        <w:rPr>
          <w:rFonts w:cs="Arial"/>
          <w:lang w:val="es-ES"/>
        </w:rPr>
        <w:t>Bigüézal,</w:t>
      </w:r>
      <w:r w:rsidR="00DA1A2B" w:rsidRPr="003A115E">
        <w:rPr>
          <w:rFonts w:cs="Arial"/>
          <w:lang w:val="es-ES"/>
        </w:rPr>
        <w:t xml:space="preserve"> </w:t>
      </w:r>
      <w:r w:rsidR="00F72C99" w:rsidRPr="003A115E">
        <w:rPr>
          <w:rFonts w:cs="Arial"/>
          <w:lang w:val="es-ES"/>
        </w:rPr>
        <w:t>Bizkarreta-Gerendiain,</w:t>
      </w:r>
      <w:r w:rsidR="00DA1A2B" w:rsidRPr="003A115E">
        <w:rPr>
          <w:rFonts w:cs="Arial"/>
          <w:lang w:val="es-ES"/>
        </w:rPr>
        <w:t xml:space="preserve"> </w:t>
      </w:r>
      <w:r w:rsidR="00F72C99" w:rsidRPr="003A115E">
        <w:rPr>
          <w:rFonts w:cs="Arial"/>
          <w:lang w:val="es-ES"/>
        </w:rPr>
        <w:t>Cizur</w:t>
      </w:r>
      <w:r w:rsidR="00E7503B" w:rsidRPr="003A115E">
        <w:rPr>
          <w:rFonts w:cs="Arial"/>
          <w:lang w:val="es-ES"/>
        </w:rPr>
        <w:t xml:space="preserve"> </w:t>
      </w:r>
      <w:r w:rsidR="00F72C99" w:rsidRPr="003A115E">
        <w:rPr>
          <w:rFonts w:cs="Arial"/>
          <w:lang w:val="es-ES"/>
        </w:rPr>
        <w:t>Menor,</w:t>
      </w:r>
      <w:r w:rsidR="00DA1A2B" w:rsidRPr="003A115E">
        <w:rPr>
          <w:rFonts w:cs="Arial"/>
          <w:lang w:val="es-ES"/>
        </w:rPr>
        <w:t xml:space="preserve"> </w:t>
      </w:r>
      <w:r w:rsidR="00F72C99" w:rsidRPr="003A115E">
        <w:rPr>
          <w:rFonts w:cs="Arial"/>
          <w:lang w:val="es-ES"/>
        </w:rPr>
        <w:t>Eraul,</w:t>
      </w:r>
      <w:r w:rsidR="00DA1A2B" w:rsidRPr="003A115E">
        <w:rPr>
          <w:rFonts w:cs="Arial"/>
          <w:lang w:val="es-ES"/>
        </w:rPr>
        <w:t xml:space="preserve"> </w:t>
      </w:r>
      <w:r w:rsidR="00F72C99" w:rsidRPr="003A115E">
        <w:rPr>
          <w:rFonts w:cs="Arial"/>
          <w:lang w:val="es-ES"/>
        </w:rPr>
        <w:t>Erro,</w:t>
      </w:r>
      <w:r w:rsidR="00DA1A2B" w:rsidRPr="003A115E">
        <w:rPr>
          <w:rFonts w:cs="Arial"/>
          <w:lang w:val="es-ES"/>
        </w:rPr>
        <w:t xml:space="preserve"> </w:t>
      </w:r>
      <w:r w:rsidR="00F72C99" w:rsidRPr="003A115E">
        <w:rPr>
          <w:rFonts w:cs="Arial"/>
          <w:lang w:val="es-ES"/>
        </w:rPr>
        <w:t>Esnotz,</w:t>
      </w:r>
      <w:r w:rsidR="00DA1A2B" w:rsidRPr="003A115E">
        <w:rPr>
          <w:rFonts w:cs="Arial"/>
          <w:lang w:val="es-ES"/>
        </w:rPr>
        <w:t xml:space="preserve"> </w:t>
      </w:r>
      <w:r w:rsidR="00F72C99" w:rsidRPr="003A115E">
        <w:rPr>
          <w:rFonts w:cs="Arial"/>
          <w:lang w:val="es-ES"/>
        </w:rPr>
        <w:t>Eulz,</w:t>
      </w:r>
      <w:r w:rsidR="00DA1A2B" w:rsidRPr="003A115E">
        <w:rPr>
          <w:rFonts w:cs="Arial"/>
          <w:lang w:val="es-ES"/>
        </w:rPr>
        <w:t xml:space="preserve"> </w:t>
      </w:r>
      <w:r w:rsidR="00F72C99" w:rsidRPr="003A115E">
        <w:rPr>
          <w:rFonts w:cs="Arial"/>
          <w:lang w:val="es-ES"/>
        </w:rPr>
        <w:t>Figarol,</w:t>
      </w:r>
      <w:r w:rsidR="00DA1A2B" w:rsidRPr="003A115E">
        <w:rPr>
          <w:rFonts w:cs="Arial"/>
          <w:lang w:val="es-ES"/>
        </w:rPr>
        <w:t xml:space="preserve"> </w:t>
      </w:r>
      <w:r w:rsidR="00F72C99" w:rsidRPr="003A115E">
        <w:rPr>
          <w:rFonts w:cs="Arial"/>
          <w:lang w:val="es-ES"/>
        </w:rPr>
        <w:t>Galdea</w:t>
      </w:r>
      <w:r w:rsidR="00E7503B" w:rsidRPr="003A115E">
        <w:rPr>
          <w:rFonts w:cs="Arial"/>
          <w:lang w:val="es-ES"/>
        </w:rPr>
        <w:t>no,</w:t>
      </w:r>
      <w:r w:rsidR="00DA1A2B" w:rsidRPr="003A115E">
        <w:rPr>
          <w:rFonts w:cs="Arial"/>
          <w:lang w:val="es-ES"/>
        </w:rPr>
        <w:t xml:space="preserve"> </w:t>
      </w:r>
      <w:r w:rsidR="00E7503B" w:rsidRPr="003A115E">
        <w:rPr>
          <w:rFonts w:cs="Arial"/>
          <w:lang w:val="es-ES"/>
        </w:rPr>
        <w:t>Gazólaz,</w:t>
      </w:r>
      <w:r w:rsidR="00DA1A2B" w:rsidRPr="003A115E">
        <w:rPr>
          <w:rFonts w:cs="Arial"/>
          <w:lang w:val="es-ES"/>
        </w:rPr>
        <w:t xml:space="preserve"> </w:t>
      </w:r>
      <w:r w:rsidR="00E7503B" w:rsidRPr="003A115E">
        <w:rPr>
          <w:rFonts w:cs="Arial"/>
          <w:lang w:val="es-ES"/>
        </w:rPr>
        <w:t>Goldaratz,</w:t>
      </w:r>
      <w:r w:rsidR="00DA1A2B" w:rsidRPr="003A115E">
        <w:rPr>
          <w:rFonts w:cs="Arial"/>
          <w:lang w:val="es-ES"/>
        </w:rPr>
        <w:t xml:space="preserve"> </w:t>
      </w:r>
      <w:r w:rsidR="00E7503B" w:rsidRPr="003A115E">
        <w:rPr>
          <w:rFonts w:cs="Arial"/>
          <w:lang w:val="es-ES"/>
        </w:rPr>
        <w:t>Goñi,</w:t>
      </w:r>
      <w:r w:rsidR="00DA1A2B" w:rsidRPr="003A115E">
        <w:rPr>
          <w:rFonts w:cs="Arial"/>
          <w:lang w:val="es-ES"/>
        </w:rPr>
        <w:t xml:space="preserve"> </w:t>
      </w:r>
      <w:r w:rsidR="00E7503B" w:rsidRPr="003A115E">
        <w:rPr>
          <w:rFonts w:cs="Arial"/>
          <w:lang w:val="es-ES"/>
        </w:rPr>
        <w:t>Güesa/Gorza,</w:t>
      </w:r>
      <w:r w:rsidR="00DA1A2B" w:rsidRPr="003A115E">
        <w:rPr>
          <w:rFonts w:cs="Arial"/>
          <w:lang w:val="es-ES"/>
        </w:rPr>
        <w:t xml:space="preserve"> </w:t>
      </w:r>
      <w:r w:rsidR="00E7503B" w:rsidRPr="003A115E">
        <w:rPr>
          <w:rFonts w:cs="Arial"/>
          <w:lang w:val="es-ES"/>
        </w:rPr>
        <w:t>Ibiricu de Yerri/</w:t>
      </w:r>
      <w:r w:rsidR="00024B9D" w:rsidRPr="003A115E">
        <w:rPr>
          <w:rFonts w:cs="Arial"/>
          <w:lang w:val="es-ES"/>
        </w:rPr>
        <w:t>Ibiriku</w:t>
      </w:r>
      <w:r w:rsidR="007F6E01" w:rsidRPr="003A115E">
        <w:rPr>
          <w:rFonts w:cs="Arial"/>
          <w:lang w:val="es-ES"/>
        </w:rPr>
        <w:t xml:space="preserve"> </w:t>
      </w:r>
      <w:r w:rsidR="00F72C99" w:rsidRPr="003A115E">
        <w:rPr>
          <w:rFonts w:cs="Arial"/>
          <w:lang w:val="es-ES"/>
        </w:rPr>
        <w:t>Deierri,</w:t>
      </w:r>
      <w:r w:rsidR="00DA1A2B" w:rsidRPr="003A115E">
        <w:rPr>
          <w:rFonts w:cs="Arial"/>
          <w:lang w:val="es-ES"/>
        </w:rPr>
        <w:t xml:space="preserve"> </w:t>
      </w:r>
      <w:r w:rsidR="00F72C99" w:rsidRPr="003A115E">
        <w:rPr>
          <w:rFonts w:cs="Arial"/>
          <w:lang w:val="es-ES"/>
        </w:rPr>
        <w:t>Igoa,</w:t>
      </w:r>
      <w:r w:rsidR="00DA1A2B" w:rsidRPr="003A115E">
        <w:rPr>
          <w:rFonts w:cs="Arial"/>
          <w:lang w:val="es-ES"/>
        </w:rPr>
        <w:t xml:space="preserve"> </w:t>
      </w:r>
      <w:r w:rsidR="00F72C99" w:rsidRPr="003A115E">
        <w:rPr>
          <w:rFonts w:cs="Arial"/>
          <w:lang w:val="es-ES"/>
        </w:rPr>
        <w:t>Inbuluzketa,</w:t>
      </w:r>
      <w:r w:rsidR="00DA1A2B" w:rsidRPr="003A115E">
        <w:rPr>
          <w:rFonts w:cs="Arial"/>
          <w:lang w:val="es-ES"/>
        </w:rPr>
        <w:t xml:space="preserve"> </w:t>
      </w:r>
      <w:r w:rsidR="00E7503B" w:rsidRPr="003A115E">
        <w:rPr>
          <w:rFonts w:cs="Arial"/>
          <w:lang w:val="es-ES"/>
        </w:rPr>
        <w:t>Iragi,</w:t>
      </w:r>
      <w:r w:rsidR="00DA1A2B" w:rsidRPr="003A115E">
        <w:rPr>
          <w:rFonts w:cs="Arial"/>
          <w:lang w:val="es-ES"/>
        </w:rPr>
        <w:t xml:space="preserve"> </w:t>
      </w:r>
      <w:r w:rsidR="00E7503B" w:rsidRPr="003A115E">
        <w:rPr>
          <w:rFonts w:cs="Arial"/>
          <w:lang w:val="es-ES"/>
        </w:rPr>
        <w:t>Iruñela,</w:t>
      </w:r>
      <w:r w:rsidR="00DA1A2B" w:rsidRPr="003A115E">
        <w:rPr>
          <w:rFonts w:cs="Arial"/>
          <w:lang w:val="es-ES"/>
        </w:rPr>
        <w:t xml:space="preserve"> </w:t>
      </w:r>
      <w:r w:rsidR="00A00D2E" w:rsidRPr="003A115E">
        <w:rPr>
          <w:szCs w:val="26"/>
        </w:rPr>
        <w:t xml:space="preserve">Iturgoyen, </w:t>
      </w:r>
      <w:r w:rsidR="00E7503B" w:rsidRPr="003A115E">
        <w:rPr>
          <w:rFonts w:cs="Arial"/>
          <w:lang w:val="es-ES"/>
        </w:rPr>
        <w:t>Labeaga,</w:t>
      </w:r>
      <w:r w:rsidR="00DA1A2B" w:rsidRPr="003A115E">
        <w:rPr>
          <w:rFonts w:cs="Arial"/>
          <w:lang w:val="es-ES"/>
        </w:rPr>
        <w:t xml:space="preserve"> </w:t>
      </w:r>
      <w:r w:rsidR="00E7503B" w:rsidRPr="003A115E">
        <w:rPr>
          <w:rFonts w:cs="Arial"/>
          <w:lang w:val="es-ES"/>
        </w:rPr>
        <w:t>Lácar</w:t>
      </w:r>
      <w:r w:rsidR="00F72C99" w:rsidRPr="003A115E">
        <w:rPr>
          <w:rFonts w:cs="Arial"/>
          <w:lang w:val="es-ES"/>
        </w:rPr>
        <w:t>/Lakar,</w:t>
      </w:r>
      <w:r w:rsidR="00DA1A2B" w:rsidRPr="003A115E">
        <w:rPr>
          <w:rFonts w:cs="Arial"/>
          <w:lang w:val="es-ES"/>
        </w:rPr>
        <w:t xml:space="preserve"> </w:t>
      </w:r>
      <w:r w:rsidR="00F72C99" w:rsidRPr="003A115E">
        <w:rPr>
          <w:rFonts w:cs="Arial"/>
          <w:lang w:val="es-ES"/>
        </w:rPr>
        <w:t>Larraintzar,</w:t>
      </w:r>
      <w:r w:rsidR="00DA1A2B" w:rsidRPr="003A115E">
        <w:rPr>
          <w:rFonts w:cs="Arial"/>
          <w:lang w:val="es-ES"/>
        </w:rPr>
        <w:t xml:space="preserve"> </w:t>
      </w:r>
      <w:r w:rsidR="00F72C99" w:rsidRPr="003A115E">
        <w:rPr>
          <w:rFonts w:cs="Arial"/>
          <w:lang w:val="es-ES"/>
        </w:rPr>
        <w:t>Larraya,</w:t>
      </w:r>
      <w:r w:rsidR="00DA1A2B" w:rsidRPr="003A115E">
        <w:rPr>
          <w:rFonts w:cs="Arial"/>
          <w:lang w:val="es-ES"/>
        </w:rPr>
        <w:t xml:space="preserve"> </w:t>
      </w:r>
      <w:r w:rsidR="00F72C99" w:rsidRPr="003A115E">
        <w:rPr>
          <w:rFonts w:cs="Arial"/>
          <w:lang w:val="es-ES"/>
        </w:rPr>
        <w:t>Larráyoz,</w:t>
      </w:r>
      <w:r w:rsidR="00DA1A2B" w:rsidRPr="003A115E">
        <w:rPr>
          <w:rFonts w:cs="Arial"/>
          <w:lang w:val="es-ES"/>
        </w:rPr>
        <w:t xml:space="preserve"> </w:t>
      </w:r>
      <w:r w:rsidR="00F72C99" w:rsidRPr="003A115E">
        <w:rPr>
          <w:rFonts w:cs="Arial"/>
          <w:lang w:val="es-ES"/>
        </w:rPr>
        <w:t>Larrión,</w:t>
      </w:r>
      <w:r w:rsidR="00DA1A2B" w:rsidRPr="003A115E">
        <w:rPr>
          <w:rFonts w:cs="Arial"/>
          <w:lang w:val="es-ES"/>
        </w:rPr>
        <w:t xml:space="preserve"> </w:t>
      </w:r>
      <w:r w:rsidR="00024B9D" w:rsidRPr="003A115E">
        <w:rPr>
          <w:rFonts w:cs="Arial"/>
          <w:lang w:val="es-ES"/>
        </w:rPr>
        <w:t>Lintzoain,</w:t>
      </w:r>
      <w:r w:rsidR="00DA1A2B" w:rsidRPr="003A115E">
        <w:rPr>
          <w:rFonts w:cs="Arial"/>
          <w:lang w:val="es-ES"/>
        </w:rPr>
        <w:t xml:space="preserve"> </w:t>
      </w:r>
      <w:r w:rsidR="00024B9D" w:rsidRPr="003A115E">
        <w:rPr>
          <w:rFonts w:cs="Arial"/>
          <w:lang w:val="es-ES"/>
        </w:rPr>
        <w:t>Lizarragabengoa,</w:t>
      </w:r>
      <w:r w:rsidR="00DA1A2B" w:rsidRPr="003A115E">
        <w:rPr>
          <w:rFonts w:cs="Arial"/>
          <w:lang w:val="es-ES"/>
        </w:rPr>
        <w:t xml:space="preserve"> </w:t>
      </w:r>
      <w:r w:rsidR="00024B9D" w:rsidRPr="003A115E">
        <w:rPr>
          <w:rFonts w:cs="Arial"/>
          <w:lang w:val="es-ES"/>
        </w:rPr>
        <w:t>Lorca/Lorka,</w:t>
      </w:r>
      <w:r w:rsidR="00DA1A2B" w:rsidRPr="003A115E">
        <w:rPr>
          <w:rFonts w:cs="Arial"/>
          <w:lang w:val="es-ES"/>
        </w:rPr>
        <w:t xml:space="preserve"> </w:t>
      </w:r>
      <w:r w:rsidR="00024B9D" w:rsidRPr="003A115E">
        <w:rPr>
          <w:rFonts w:cs="Arial"/>
          <w:lang w:val="es-ES"/>
        </w:rPr>
        <w:t>Muneta,</w:t>
      </w:r>
      <w:r w:rsidR="00DA1A2B" w:rsidRPr="003A115E">
        <w:rPr>
          <w:rFonts w:cs="Arial"/>
          <w:lang w:val="es-ES"/>
        </w:rPr>
        <w:t xml:space="preserve"> </w:t>
      </w:r>
      <w:r w:rsidR="00024B9D" w:rsidRPr="003A115E">
        <w:rPr>
          <w:rFonts w:cs="Arial"/>
          <w:lang w:val="es-ES"/>
        </w:rPr>
        <w:t xml:space="preserve">Murillo de Yerri/Murelu </w:t>
      </w:r>
      <w:r w:rsidR="00F72C99" w:rsidRPr="003A115E">
        <w:rPr>
          <w:rFonts w:cs="Arial"/>
          <w:lang w:val="es-ES"/>
        </w:rPr>
        <w:t>Deierri,</w:t>
      </w:r>
      <w:r w:rsidR="00DA1A2B" w:rsidRPr="003A115E">
        <w:rPr>
          <w:rFonts w:cs="Arial"/>
          <w:lang w:val="es-ES"/>
        </w:rPr>
        <w:t xml:space="preserve"> </w:t>
      </w:r>
      <w:r w:rsidR="00F72C99" w:rsidRPr="003A115E">
        <w:rPr>
          <w:rFonts w:cs="Arial"/>
          <w:lang w:val="es-ES"/>
        </w:rPr>
        <w:t>Muru-Astráin,</w:t>
      </w:r>
      <w:r w:rsidR="00DA1A2B" w:rsidRPr="003A115E">
        <w:rPr>
          <w:rFonts w:cs="Arial"/>
          <w:lang w:val="es-ES"/>
        </w:rPr>
        <w:t xml:space="preserve"> </w:t>
      </w:r>
      <w:r w:rsidR="00F72C99" w:rsidRPr="003A115E">
        <w:rPr>
          <w:rFonts w:cs="Arial"/>
          <w:lang w:val="es-ES"/>
        </w:rPr>
        <w:t>Murugarren,</w:t>
      </w:r>
      <w:r w:rsidR="00DA1A2B" w:rsidRPr="003A115E">
        <w:rPr>
          <w:rFonts w:cs="Arial"/>
          <w:lang w:val="es-ES"/>
        </w:rPr>
        <w:t xml:space="preserve"> </w:t>
      </w:r>
      <w:r w:rsidR="00F72C99" w:rsidRPr="003A115E">
        <w:rPr>
          <w:rFonts w:cs="Arial"/>
          <w:lang w:val="es-ES"/>
        </w:rPr>
        <w:t>Orondritz,</w:t>
      </w:r>
      <w:r w:rsidR="00DA1A2B" w:rsidRPr="003A115E">
        <w:rPr>
          <w:rFonts w:cs="Arial"/>
          <w:lang w:val="es-ES"/>
        </w:rPr>
        <w:t xml:space="preserve"> </w:t>
      </w:r>
      <w:r w:rsidR="00F72C99" w:rsidRPr="003A115E">
        <w:rPr>
          <w:rFonts w:cs="Arial"/>
          <w:lang w:val="es-ES"/>
        </w:rPr>
        <w:t>Osácar,</w:t>
      </w:r>
      <w:r w:rsidR="00DA1A2B" w:rsidRPr="003A115E">
        <w:rPr>
          <w:rFonts w:cs="Arial"/>
          <w:lang w:val="es-ES"/>
        </w:rPr>
        <w:t xml:space="preserve"> </w:t>
      </w:r>
      <w:r w:rsidR="00F72C99" w:rsidRPr="003A115E">
        <w:rPr>
          <w:rFonts w:cs="Arial"/>
          <w:lang w:val="es-ES"/>
        </w:rPr>
        <w:t>Paternáin,</w:t>
      </w:r>
      <w:r w:rsidR="00DA1A2B" w:rsidRPr="003A115E">
        <w:rPr>
          <w:rFonts w:cs="Arial"/>
          <w:lang w:val="es-ES"/>
        </w:rPr>
        <w:t xml:space="preserve"> </w:t>
      </w:r>
      <w:r w:rsidR="00F72C99" w:rsidRPr="003A115E">
        <w:rPr>
          <w:rFonts w:cs="Arial"/>
          <w:lang w:val="es-ES"/>
        </w:rPr>
        <w:t>Salinas de Ibargoiti</w:t>
      </w:r>
      <w:r w:rsidR="00024B9D" w:rsidRPr="003A115E">
        <w:rPr>
          <w:rFonts w:cs="Arial"/>
          <w:lang w:val="es-ES"/>
        </w:rPr>
        <w:t>/Getze Ibargoiti, Sarriés/Sartze,</w:t>
      </w:r>
      <w:r w:rsidR="00DA1A2B" w:rsidRPr="003A115E">
        <w:rPr>
          <w:rFonts w:cs="Arial"/>
          <w:lang w:val="es-ES"/>
        </w:rPr>
        <w:t xml:space="preserve"> </w:t>
      </w:r>
      <w:r w:rsidR="00024B9D" w:rsidRPr="003A115E">
        <w:rPr>
          <w:rFonts w:cs="Arial"/>
          <w:lang w:val="es-ES"/>
        </w:rPr>
        <w:t>Subiza,</w:t>
      </w:r>
      <w:r w:rsidR="00DA1A2B" w:rsidRPr="003A115E">
        <w:rPr>
          <w:rFonts w:cs="Arial"/>
          <w:lang w:val="es-ES"/>
        </w:rPr>
        <w:t xml:space="preserve"> </w:t>
      </w:r>
      <w:r w:rsidR="00024B9D" w:rsidRPr="003A115E">
        <w:rPr>
          <w:rFonts w:cs="Arial"/>
          <w:lang w:val="es-ES"/>
        </w:rPr>
        <w:t>Torres,</w:t>
      </w:r>
      <w:r w:rsidR="00DA1A2B" w:rsidRPr="003A115E">
        <w:rPr>
          <w:rFonts w:cs="Arial"/>
          <w:lang w:val="es-ES"/>
        </w:rPr>
        <w:t xml:space="preserve"> </w:t>
      </w:r>
      <w:r w:rsidR="00024B9D" w:rsidRPr="003A115E">
        <w:rPr>
          <w:rFonts w:cs="Arial"/>
          <w:lang w:val="es-ES"/>
        </w:rPr>
        <w:t>Undiano/</w:t>
      </w:r>
      <w:r w:rsidR="00F72C99" w:rsidRPr="003A115E">
        <w:rPr>
          <w:rFonts w:cs="Arial"/>
          <w:lang w:val="es-ES"/>
        </w:rPr>
        <w:t>Undio,</w:t>
      </w:r>
      <w:r w:rsidR="00DA1A2B" w:rsidRPr="003A115E">
        <w:rPr>
          <w:rFonts w:cs="Arial"/>
          <w:lang w:val="es-ES"/>
        </w:rPr>
        <w:t xml:space="preserve"> </w:t>
      </w:r>
      <w:r w:rsidR="00F72C99" w:rsidRPr="003A115E">
        <w:rPr>
          <w:rFonts w:cs="Arial"/>
          <w:lang w:val="es-ES"/>
        </w:rPr>
        <w:t>Urdánoz,</w:t>
      </w:r>
      <w:r w:rsidR="00DA1A2B" w:rsidRPr="003A115E">
        <w:rPr>
          <w:rFonts w:cs="Arial"/>
          <w:lang w:val="es-ES"/>
        </w:rPr>
        <w:t xml:space="preserve"> </w:t>
      </w:r>
      <w:r w:rsidR="00F72C99" w:rsidRPr="003A115E">
        <w:rPr>
          <w:rFonts w:cs="Arial"/>
          <w:lang w:val="es-ES"/>
        </w:rPr>
        <w:t>Zariquiegui,</w:t>
      </w:r>
      <w:r w:rsidR="00DA1A2B" w:rsidRPr="003A115E">
        <w:rPr>
          <w:rFonts w:cs="Arial"/>
          <w:lang w:val="es-ES"/>
        </w:rPr>
        <w:t xml:space="preserve"> </w:t>
      </w:r>
      <w:r w:rsidR="00F72C99" w:rsidRPr="003A115E">
        <w:rPr>
          <w:rFonts w:cs="Arial"/>
          <w:lang w:val="es-ES"/>
        </w:rPr>
        <w:t>Zubielqui,</w:t>
      </w:r>
      <w:r w:rsidR="00DA1A2B" w:rsidRPr="003A115E">
        <w:rPr>
          <w:rFonts w:cs="Arial"/>
          <w:lang w:val="es-ES"/>
        </w:rPr>
        <w:t xml:space="preserve"> </w:t>
      </w:r>
      <w:r w:rsidR="00455B72">
        <w:rPr>
          <w:rFonts w:cs="Arial"/>
          <w:lang w:val="es-ES"/>
        </w:rPr>
        <w:t>Zurucuáin/</w:t>
      </w:r>
      <w:r w:rsidR="00F72C99" w:rsidRPr="003A115E">
        <w:rPr>
          <w:rFonts w:cs="Arial"/>
          <w:lang w:val="es-ES"/>
        </w:rPr>
        <w:t>Zurukuain</w:t>
      </w:r>
      <w:r w:rsidR="00C031FC" w:rsidRPr="003A115E">
        <w:rPr>
          <w:rFonts w:cs="Arial"/>
          <w:lang w:val="es-ES"/>
        </w:rPr>
        <w:t>.</w:t>
      </w:r>
      <w:r w:rsidR="009645DE" w:rsidRPr="003A115E">
        <w:rPr>
          <w:rFonts w:cs="Arial"/>
          <w:lang w:val="es-ES"/>
        </w:rPr>
        <w:t xml:space="preserve"> </w:t>
      </w:r>
    </w:p>
    <w:p w14:paraId="30982AD6" w14:textId="6D4DDC64" w:rsidR="009A7A48" w:rsidRPr="003A115E" w:rsidRDefault="21B8DB18" w:rsidP="0BC76529">
      <w:pPr>
        <w:pStyle w:val="texto"/>
        <w:rPr>
          <w:rFonts w:cs="Arial"/>
          <w:lang w:val="es-ES"/>
        </w:rPr>
      </w:pPr>
      <w:r w:rsidRPr="003A115E">
        <w:rPr>
          <w:rFonts w:cs="Arial"/>
          <w:lang w:val="es-ES"/>
        </w:rPr>
        <w:t xml:space="preserve">La población de estos concejos es de </w:t>
      </w:r>
      <w:r w:rsidR="00EC1E5E" w:rsidRPr="003A115E">
        <w:rPr>
          <w:rFonts w:cs="Arial"/>
          <w:lang w:val="es-ES"/>
        </w:rPr>
        <w:t>7.436</w:t>
      </w:r>
      <w:r w:rsidRPr="003A115E">
        <w:rPr>
          <w:rFonts w:cs="Arial"/>
          <w:lang w:val="es-ES"/>
        </w:rPr>
        <w:t xml:space="preserve"> personas, lo que equivale al 1,</w:t>
      </w:r>
      <w:r w:rsidR="00F9048F" w:rsidRPr="003A115E">
        <w:rPr>
          <w:rFonts w:cs="Arial"/>
          <w:lang w:val="es-ES"/>
        </w:rPr>
        <w:t>12</w:t>
      </w:r>
      <w:r w:rsidRPr="003A115E">
        <w:rPr>
          <w:rFonts w:cs="Arial"/>
          <w:lang w:val="es-ES"/>
        </w:rPr>
        <w:t xml:space="preserve"> por ciento de la población total de Navarra y al </w:t>
      </w:r>
      <w:r w:rsidR="00B75A56" w:rsidRPr="003A115E">
        <w:rPr>
          <w:rFonts w:cs="Arial"/>
          <w:lang w:val="es-ES"/>
        </w:rPr>
        <w:t>17,73</w:t>
      </w:r>
      <w:r w:rsidR="3C175D43" w:rsidRPr="003A115E">
        <w:rPr>
          <w:rFonts w:cs="Arial"/>
          <w:lang w:val="es-ES"/>
        </w:rPr>
        <w:t xml:space="preserve"> </w:t>
      </w:r>
      <w:r w:rsidRPr="003A115E">
        <w:rPr>
          <w:rFonts w:cs="Arial"/>
          <w:lang w:val="es-ES"/>
        </w:rPr>
        <w:t xml:space="preserve">por ciento de la residente en concejos. </w:t>
      </w:r>
      <w:r w:rsidR="003E76C2" w:rsidRPr="003A115E">
        <w:rPr>
          <w:rFonts w:cs="Arial"/>
          <w:lang w:val="es-ES"/>
        </w:rPr>
        <w:t xml:space="preserve"> </w:t>
      </w:r>
    </w:p>
    <w:p w14:paraId="0448C694" w14:textId="5291E73D" w:rsidR="00C84D07" w:rsidRPr="003A115E" w:rsidRDefault="00420C6D" w:rsidP="009F5307">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lang w:val="es-ES"/>
        </w:rPr>
      </w:pPr>
      <w:r w:rsidRPr="003A115E">
        <w:rPr>
          <w:rFonts w:cs="Arial"/>
          <w:lang w:val="es-ES"/>
        </w:rPr>
        <w:t>Un total de o</w:t>
      </w:r>
      <w:r w:rsidR="00250200" w:rsidRPr="003A115E">
        <w:rPr>
          <w:rFonts w:cs="Arial"/>
          <w:lang w:val="es-ES"/>
        </w:rPr>
        <w:t>nce</w:t>
      </w:r>
      <w:r w:rsidR="009A7A48" w:rsidRPr="003A115E">
        <w:rPr>
          <w:rFonts w:cs="Arial"/>
          <w:lang w:val="es-ES"/>
        </w:rPr>
        <w:t xml:space="preserve"> de las 8</w:t>
      </w:r>
      <w:r w:rsidR="00C84D07" w:rsidRPr="003A115E">
        <w:rPr>
          <w:rFonts w:cs="Arial"/>
          <w:lang w:val="es-ES"/>
        </w:rPr>
        <w:t>4</w:t>
      </w:r>
      <w:r w:rsidR="009A7A48" w:rsidRPr="003A115E">
        <w:rPr>
          <w:rFonts w:cs="Arial"/>
          <w:lang w:val="es-ES"/>
        </w:rPr>
        <w:t xml:space="preserve"> </w:t>
      </w:r>
      <w:r w:rsidR="009A7A48" w:rsidRPr="003A115E">
        <w:rPr>
          <w:rFonts w:cs="Arial"/>
          <w:spacing w:val="4"/>
          <w:lang w:val="es-ES"/>
        </w:rPr>
        <w:t>mancomunidades</w:t>
      </w:r>
      <w:r w:rsidR="009A7A48" w:rsidRPr="003A115E">
        <w:rPr>
          <w:rFonts w:cs="Arial"/>
          <w:lang w:val="es-ES"/>
        </w:rPr>
        <w:t xml:space="preserve"> y agrupaciones: </w:t>
      </w:r>
      <w:r w:rsidR="009F5307" w:rsidRPr="003A115E">
        <w:rPr>
          <w:rFonts w:cs="Arial"/>
          <w:lang w:val="es-ES"/>
        </w:rPr>
        <w:t>Agrupación de Servicios Administrativos Calibus, Agrupación de Servicios Administrativos de los Municipios de Falces y Miranda de Arga, Mancomunidad de Personal de Aberin-Arellano-Morentin, Mancomunidad de Personal de Beire-Pitillas, Mancomunidad de Servicios Bibliotecarios Berragu, Mancomunidad de Servicios Deportivos y Socioculturales de la Zona Media de Navarra, Mancomunidad de Servicios Generales de Malerreka, Mancomunidad de Servicios Sociales de Base de la Zona de Olite, Mancomunidad del Alto Araxes, Mancomunidad del Norte de Navarra para la Gestión del Euskera y Mancomunidad Deportiva Orreaga</w:t>
      </w:r>
      <w:r w:rsidR="00C84D07" w:rsidRPr="003A115E">
        <w:rPr>
          <w:rFonts w:cs="Arial"/>
          <w:lang w:val="es-ES"/>
        </w:rPr>
        <w:t xml:space="preserve">. </w:t>
      </w:r>
    </w:p>
    <w:p w14:paraId="44FBB7B8" w14:textId="6879CD4D" w:rsidR="009A7A48" w:rsidRPr="003A115E" w:rsidRDefault="007A55CE" w:rsidP="00C84D07">
      <w:pPr>
        <w:pStyle w:val="texto"/>
      </w:pPr>
      <w:r w:rsidRPr="003A115E">
        <w:t xml:space="preserve">Si bien no hemos dispuesto de esta información, consideramos que </w:t>
      </w:r>
      <w:r w:rsidR="009A7A48" w:rsidRPr="003A115E">
        <w:t xml:space="preserve">las conclusiones alcanzadas </w:t>
      </w:r>
      <w:r w:rsidR="00C84D07" w:rsidRPr="003A115E">
        <w:t>en nuestro trabajo no hubieran</w:t>
      </w:r>
      <w:r w:rsidR="009A7A48" w:rsidRPr="003A115E">
        <w:t xml:space="preserve"> variado significativamente.</w:t>
      </w:r>
    </w:p>
    <w:p w14:paraId="07459315" w14:textId="77777777" w:rsidR="00683931" w:rsidRPr="003A115E" w:rsidRDefault="00683931" w:rsidP="00543D5A">
      <w:pPr>
        <w:rPr>
          <w:rFonts w:cs="Arial"/>
          <w:spacing w:val="6"/>
          <w:sz w:val="26"/>
        </w:rPr>
      </w:pPr>
      <w:r w:rsidRPr="003A115E">
        <w:br w:type="page"/>
      </w:r>
      <w:bookmarkEnd w:id="16"/>
      <w:bookmarkEnd w:id="17"/>
      <w:bookmarkEnd w:id="18"/>
      <w:bookmarkEnd w:id="19"/>
      <w:bookmarkEnd w:id="20"/>
    </w:p>
    <w:p w14:paraId="1326DB96" w14:textId="77777777" w:rsidR="00683931" w:rsidRPr="003A115E" w:rsidRDefault="00683931" w:rsidP="00796A87">
      <w:pPr>
        <w:pStyle w:val="atitulo1"/>
        <w:rPr>
          <w:color w:val="auto"/>
        </w:rPr>
      </w:pPr>
      <w:bookmarkStart w:id="21" w:name="_Toc24100149"/>
      <w:bookmarkStart w:id="22" w:name="_Toc52348327"/>
      <w:bookmarkStart w:id="23" w:name="_Toc183679738"/>
      <w:r w:rsidRPr="003A115E">
        <w:rPr>
          <w:color w:val="auto"/>
        </w:rPr>
        <w:lastRenderedPageBreak/>
        <w:t>III. Conclusiones y recomendaciones</w:t>
      </w:r>
      <w:bookmarkEnd w:id="21"/>
      <w:bookmarkEnd w:id="22"/>
      <w:bookmarkEnd w:id="23"/>
    </w:p>
    <w:p w14:paraId="3B56117B" w14:textId="77777777" w:rsidR="009A7A48" w:rsidRPr="003A115E" w:rsidRDefault="009A7A48" w:rsidP="004A2F4D">
      <w:pPr>
        <w:pStyle w:val="atitulo2"/>
        <w:rPr>
          <w:color w:val="auto"/>
        </w:rPr>
      </w:pPr>
      <w:bookmarkStart w:id="24" w:name="_Toc123547399"/>
      <w:bookmarkStart w:id="25" w:name="_Toc183679739"/>
      <w:bookmarkStart w:id="26" w:name="_Toc311633164"/>
      <w:bookmarkStart w:id="27" w:name="_Toc311633173"/>
      <w:bookmarkStart w:id="28" w:name="_Toc399916259"/>
      <w:bookmarkStart w:id="29" w:name="_Toc465686682"/>
      <w:bookmarkStart w:id="30" w:name="_Toc529773876"/>
      <w:bookmarkStart w:id="31" w:name="_Toc24100136"/>
      <w:bookmarkStart w:id="32" w:name="_Toc52348284"/>
      <w:r w:rsidRPr="003A115E">
        <w:rPr>
          <w:color w:val="auto"/>
        </w:rPr>
        <w:t>III.1 Conclusiones</w:t>
      </w:r>
      <w:bookmarkEnd w:id="24"/>
      <w:bookmarkEnd w:id="25"/>
    </w:p>
    <w:p w14:paraId="42A06408" w14:textId="5187F46A" w:rsidR="009A7A48" w:rsidRPr="003A115E" w:rsidRDefault="009A7A48" w:rsidP="002B51BC">
      <w:pPr>
        <w:pStyle w:val="atitulo3"/>
        <w:rPr>
          <w:color w:val="auto"/>
        </w:rPr>
      </w:pPr>
      <w:r w:rsidRPr="003A115E">
        <w:rPr>
          <w:color w:val="auto"/>
        </w:rPr>
        <w:t xml:space="preserve">Composición </w:t>
      </w:r>
      <w:r w:rsidR="00F008D9" w:rsidRPr="003A115E">
        <w:rPr>
          <w:color w:val="auto"/>
        </w:rPr>
        <w:t>del sector público local en 202</w:t>
      </w:r>
      <w:r w:rsidR="5360E5DC" w:rsidRPr="003A115E">
        <w:rPr>
          <w:color w:val="auto"/>
        </w:rPr>
        <w:t>2</w:t>
      </w:r>
    </w:p>
    <w:p w14:paraId="01FC537A" w14:textId="35A9BFD9" w:rsidR="00F008D9" w:rsidRPr="003A115E" w:rsidRDefault="00F008D9" w:rsidP="0BC76529">
      <w:pPr>
        <w:pStyle w:val="texto"/>
        <w:rPr>
          <w:w w:val="103"/>
          <w:lang w:val="es-ES"/>
        </w:rPr>
      </w:pPr>
      <w:r w:rsidRPr="003A115E">
        <w:rPr>
          <w:w w:val="103"/>
          <w:lang w:val="es-ES"/>
        </w:rPr>
        <w:t>El sector público local est</w:t>
      </w:r>
      <w:r w:rsidR="009830B9" w:rsidRPr="003A115E">
        <w:rPr>
          <w:w w:val="103"/>
          <w:lang w:val="es-ES"/>
        </w:rPr>
        <w:t>á integrado por 70</w:t>
      </w:r>
      <w:r w:rsidR="309BF835" w:rsidRPr="003A115E">
        <w:rPr>
          <w:w w:val="103"/>
          <w:lang w:val="es-ES"/>
        </w:rPr>
        <w:t xml:space="preserve">2 </w:t>
      </w:r>
      <w:r w:rsidRPr="003A115E">
        <w:rPr>
          <w:w w:val="103"/>
          <w:lang w:val="es-ES"/>
        </w:rPr>
        <w:t>entidades locales: 272 municipios, 34</w:t>
      </w:r>
      <w:r w:rsidR="09A17324" w:rsidRPr="003A115E">
        <w:rPr>
          <w:w w:val="103"/>
          <w:lang w:val="es-ES"/>
        </w:rPr>
        <w:t>6</w:t>
      </w:r>
      <w:r w:rsidRPr="003A115E">
        <w:rPr>
          <w:w w:val="103"/>
          <w:lang w:val="es-ES"/>
        </w:rPr>
        <w:t xml:space="preserve"> </w:t>
      </w:r>
      <w:r w:rsidR="00785832" w:rsidRPr="003A115E">
        <w:rPr>
          <w:w w:val="103"/>
          <w:lang w:val="es-ES"/>
        </w:rPr>
        <w:t>concejos,</w:t>
      </w:r>
      <w:r w:rsidRPr="003A115E">
        <w:rPr>
          <w:w w:val="103"/>
          <w:lang w:val="es-ES"/>
        </w:rPr>
        <w:t xml:space="preserve"> 62 mancomunidades y 22 agrupaciones de municipios. Para la prestación de servicios, estas entidades cuentan con un </w:t>
      </w:r>
      <w:r w:rsidR="0089597D" w:rsidRPr="003A115E">
        <w:rPr>
          <w:w w:val="103"/>
          <w:lang w:val="es-ES"/>
        </w:rPr>
        <w:t xml:space="preserve">total de </w:t>
      </w:r>
      <w:r w:rsidR="009B0626" w:rsidRPr="003A115E">
        <w:rPr>
          <w:w w:val="103"/>
          <w:lang w:val="es-ES"/>
        </w:rPr>
        <w:t>119</w:t>
      </w:r>
      <w:r w:rsidR="0089597D" w:rsidRPr="003A115E">
        <w:rPr>
          <w:w w:val="103"/>
          <w:lang w:val="es-ES"/>
        </w:rPr>
        <w:t xml:space="preserve"> entes dependientes</w:t>
      </w:r>
      <w:r w:rsidRPr="003A115E">
        <w:rPr>
          <w:w w:val="103"/>
          <w:lang w:val="es-ES"/>
        </w:rPr>
        <w:t xml:space="preserve"> y forman parte de </w:t>
      </w:r>
      <w:r w:rsidR="009B0626" w:rsidRPr="003A115E">
        <w:rPr>
          <w:w w:val="103"/>
          <w:lang w:val="es-ES"/>
        </w:rPr>
        <w:t>16</w:t>
      </w:r>
      <w:r w:rsidRPr="003A115E">
        <w:rPr>
          <w:w w:val="103"/>
          <w:lang w:val="es-ES"/>
        </w:rPr>
        <w:t xml:space="preserve"> consorcios.</w:t>
      </w:r>
    </w:p>
    <w:p w14:paraId="7F698B66" w14:textId="2B7FB0B1" w:rsidR="00F008D9" w:rsidRPr="003A115E" w:rsidRDefault="7343BDE8" w:rsidP="31020D79">
      <w:pPr>
        <w:pStyle w:val="texto"/>
        <w:rPr>
          <w:w w:val="103"/>
          <w:lang w:val="es-ES"/>
        </w:rPr>
      </w:pPr>
      <w:r w:rsidRPr="003A115E">
        <w:rPr>
          <w:w w:val="103"/>
          <w:lang w:val="es-ES"/>
        </w:rPr>
        <w:t xml:space="preserve">Como en informes anteriores, señalamos el problema de la falta de racionalización de la actual planta </w:t>
      </w:r>
      <w:r w:rsidR="745FF654" w:rsidRPr="003A115E">
        <w:rPr>
          <w:w w:val="103"/>
          <w:lang w:val="es-ES"/>
        </w:rPr>
        <w:t>local</w:t>
      </w:r>
      <w:r w:rsidRPr="003A115E">
        <w:rPr>
          <w:w w:val="103"/>
          <w:lang w:val="es-ES"/>
        </w:rPr>
        <w:t xml:space="preserve"> de Navarra. La reducida dimensión </w:t>
      </w:r>
      <w:r w:rsidR="385B2BD0" w:rsidRPr="003A115E">
        <w:rPr>
          <w:w w:val="103"/>
          <w:lang w:val="es-ES"/>
        </w:rPr>
        <w:t>poblacional</w:t>
      </w:r>
      <w:r w:rsidRPr="003A115E">
        <w:rPr>
          <w:w w:val="103"/>
          <w:lang w:val="es-ES"/>
        </w:rPr>
        <w:t xml:space="preserve"> de la mayor parte de los </w:t>
      </w:r>
      <w:r w:rsidR="0AFF1D90" w:rsidRPr="003A115E">
        <w:rPr>
          <w:w w:val="103"/>
          <w:lang w:val="es-ES"/>
        </w:rPr>
        <w:t>municipios</w:t>
      </w:r>
      <w:r w:rsidRPr="003A115E">
        <w:rPr>
          <w:w w:val="103"/>
          <w:lang w:val="es-ES"/>
        </w:rPr>
        <w:t xml:space="preserve"> afecta a la dotación de recursos y a la posibilidad de disponer de una estructura administrativa adecuada para el ejercici</w:t>
      </w:r>
      <w:r w:rsidR="6A28BBB8" w:rsidRPr="003A115E">
        <w:rPr>
          <w:w w:val="103"/>
          <w:lang w:val="es-ES"/>
        </w:rPr>
        <w:t>o de las propias competencias y</w:t>
      </w:r>
      <w:r w:rsidR="00F2572D" w:rsidRPr="003A115E">
        <w:rPr>
          <w:w w:val="103"/>
          <w:lang w:val="es-ES"/>
        </w:rPr>
        <w:t xml:space="preserve"> dificulta</w:t>
      </w:r>
      <w:r w:rsidR="6A28BBB8" w:rsidRPr="003A115E">
        <w:rPr>
          <w:w w:val="103"/>
          <w:lang w:val="es-ES"/>
        </w:rPr>
        <w:t xml:space="preserve"> el cumplimiento de algunas obligaciones legales, así como para </w:t>
      </w:r>
      <w:r w:rsidRPr="003A115E">
        <w:rPr>
          <w:w w:val="103"/>
          <w:lang w:val="es-ES"/>
        </w:rPr>
        <w:t>la prestación de servicios públicos con eficacia,</w:t>
      </w:r>
      <w:r w:rsidR="6A28BBB8" w:rsidRPr="003A115E">
        <w:rPr>
          <w:w w:val="103"/>
          <w:lang w:val="es-ES"/>
        </w:rPr>
        <w:t xml:space="preserve"> eficiencia</w:t>
      </w:r>
      <w:r w:rsidR="003C1366" w:rsidRPr="003A115E">
        <w:rPr>
          <w:w w:val="103"/>
          <w:lang w:val="es-ES"/>
        </w:rPr>
        <w:t xml:space="preserve"> </w:t>
      </w:r>
      <w:r w:rsidR="6A28BBB8" w:rsidRPr="003A115E">
        <w:rPr>
          <w:w w:val="103"/>
          <w:lang w:val="es-ES"/>
        </w:rPr>
        <w:t>y calidad.</w:t>
      </w:r>
    </w:p>
    <w:p w14:paraId="6537F28F" w14:textId="5EEDE61E" w:rsidR="009A7A48" w:rsidRPr="003A115E" w:rsidRDefault="7343BDE8" w:rsidP="00D77CFE">
      <w:pPr>
        <w:pStyle w:val="texto"/>
      </w:pPr>
      <w:r w:rsidRPr="003A115E">
        <w:rPr>
          <w:spacing w:val="4"/>
          <w:w w:val="103"/>
        </w:rPr>
        <w:t xml:space="preserve">La Ley Foral 4/2019, de 4 de febrero, de Reforma de la Administración Local de Navarra previó una reforma del mapa local, introduciendo la figura de las comarcas, y el establecimiento de un nuevo sistema de financiación. La reforma del </w:t>
      </w:r>
      <w:r w:rsidR="3A2AB8B2" w:rsidRPr="003A115E">
        <w:rPr>
          <w:spacing w:val="4"/>
          <w:w w:val="103"/>
        </w:rPr>
        <w:t>mapa local no se ha desarrollado</w:t>
      </w:r>
      <w:r w:rsidRPr="003A115E">
        <w:rPr>
          <w:spacing w:val="4"/>
          <w:w w:val="103"/>
        </w:rPr>
        <w:t>. En cambio, sí se ha configurado un nuevo sistema de financiación, regulado por tres le</w:t>
      </w:r>
      <w:r w:rsidR="745FF654" w:rsidRPr="003A115E">
        <w:rPr>
          <w:spacing w:val="4"/>
          <w:w w:val="103"/>
        </w:rPr>
        <w:t>yes forales aprobadas en 2022.</w:t>
      </w:r>
    </w:p>
    <w:p w14:paraId="21F4389F" w14:textId="4CF58FDF" w:rsidR="009A7A48" w:rsidRPr="003A115E" w:rsidRDefault="009A7A48" w:rsidP="002B51BC">
      <w:pPr>
        <w:pStyle w:val="atitulo3"/>
        <w:rPr>
          <w:color w:val="auto"/>
        </w:rPr>
      </w:pPr>
      <w:r w:rsidRPr="003A115E">
        <w:rPr>
          <w:color w:val="auto"/>
        </w:rPr>
        <w:t xml:space="preserve">Trabajos de fiscalización </w:t>
      </w:r>
      <w:r w:rsidR="00FA5548" w:rsidRPr="003A115E">
        <w:rPr>
          <w:color w:val="auto"/>
        </w:rPr>
        <w:t>en el ámbito local</w:t>
      </w:r>
      <w:r w:rsidR="00A90022" w:rsidRPr="003A115E">
        <w:rPr>
          <w:color w:val="auto"/>
        </w:rPr>
        <w:t xml:space="preserve"> referidos a 202</w:t>
      </w:r>
      <w:r w:rsidR="0049688A" w:rsidRPr="003A115E">
        <w:rPr>
          <w:color w:val="auto"/>
        </w:rPr>
        <w:t>2</w:t>
      </w:r>
    </w:p>
    <w:p w14:paraId="7739C885" w14:textId="081E2733" w:rsidR="00511918" w:rsidRPr="003A115E" w:rsidRDefault="6C54C311" w:rsidP="0BC76529">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strike/>
          <w:lang w:val="es-ES"/>
        </w:rPr>
      </w:pPr>
      <w:r w:rsidRPr="003A115E">
        <w:rPr>
          <w:rFonts w:cs="Arial"/>
          <w:lang w:val="es-ES"/>
        </w:rPr>
        <w:t>Esta Cámara realizó una fiscalización financiera y de legalidad de la actividad económico-financiera del Ay</w:t>
      </w:r>
      <w:r w:rsidR="2A3ED489" w:rsidRPr="003A115E">
        <w:rPr>
          <w:rFonts w:cs="Arial"/>
          <w:lang w:val="es-ES"/>
        </w:rPr>
        <w:t>untamiento de Pamplona en 202</w:t>
      </w:r>
      <w:r w:rsidR="0006616A" w:rsidRPr="003A115E">
        <w:rPr>
          <w:rFonts w:cs="Arial"/>
          <w:lang w:val="es-ES"/>
        </w:rPr>
        <w:t>2</w:t>
      </w:r>
      <w:r w:rsidR="2A3ED489" w:rsidRPr="003A115E">
        <w:rPr>
          <w:rFonts w:cs="Arial"/>
          <w:lang w:val="es-ES"/>
        </w:rPr>
        <w:t xml:space="preserve">. </w:t>
      </w:r>
      <w:r w:rsidR="00F9036B" w:rsidRPr="003A115E">
        <w:rPr>
          <w:rFonts w:cs="Arial"/>
          <w:lang w:val="es-ES"/>
        </w:rPr>
        <w:t xml:space="preserve">La opinión de auditoría financiera fue favorable y la de cumplimiento de legalidad, favorable con dos </w:t>
      </w:r>
      <w:r w:rsidR="000F5C71" w:rsidRPr="003A115E">
        <w:rPr>
          <w:rFonts w:cs="Arial"/>
          <w:lang w:val="es-ES"/>
        </w:rPr>
        <w:t>salvedades</w:t>
      </w:r>
      <w:r w:rsidR="009D4196" w:rsidRPr="003A115E">
        <w:rPr>
          <w:rFonts w:cs="Arial"/>
          <w:lang w:val="es-ES"/>
        </w:rPr>
        <w:t>.</w:t>
      </w:r>
      <w:r w:rsidR="000F5C71" w:rsidRPr="003A115E">
        <w:rPr>
          <w:rFonts w:cs="Arial"/>
          <w:lang w:val="es-ES"/>
        </w:rPr>
        <w:t xml:space="preserve"> </w:t>
      </w:r>
    </w:p>
    <w:p w14:paraId="434ED387" w14:textId="77777777" w:rsidR="00174471" w:rsidRPr="003A115E" w:rsidRDefault="3D28AFDF" w:rsidP="005E08F2">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lang w:val="es-ES"/>
        </w:rPr>
      </w:pPr>
      <w:r w:rsidRPr="003A115E">
        <w:rPr>
          <w:rFonts w:cs="Arial"/>
          <w:lang w:val="es-ES"/>
        </w:rPr>
        <w:t>E</w:t>
      </w:r>
      <w:r w:rsidR="6C54C311" w:rsidRPr="003A115E">
        <w:rPr>
          <w:rFonts w:cs="Arial"/>
          <w:lang w:val="es-ES"/>
        </w:rPr>
        <w:t xml:space="preserve">n los ayuntamientos de </w:t>
      </w:r>
      <w:r w:rsidR="00D338D1" w:rsidRPr="003A115E">
        <w:rPr>
          <w:rFonts w:cs="Arial"/>
          <w:lang w:val="es-ES"/>
        </w:rPr>
        <w:t>Estella-Lizarra, Tudela, Valle de Aranguren, Valle de Egüés, Zizur Mayor, Tafalla, Burlada, Ansoáin, Villava, Barañáin y C</w:t>
      </w:r>
      <w:r w:rsidR="005E08F2" w:rsidRPr="003A115E">
        <w:rPr>
          <w:rFonts w:cs="Arial"/>
          <w:lang w:val="es-ES"/>
        </w:rPr>
        <w:t>orella</w:t>
      </w:r>
      <w:r w:rsidR="00717B65" w:rsidRPr="003A115E">
        <w:rPr>
          <w:rFonts w:cs="Arial"/>
          <w:lang w:val="es-ES"/>
        </w:rPr>
        <w:t xml:space="preserve"> realizamos </w:t>
      </w:r>
      <w:r w:rsidR="6C54C311" w:rsidRPr="003A115E">
        <w:rPr>
          <w:rFonts w:cs="Arial"/>
          <w:lang w:val="es-ES"/>
        </w:rPr>
        <w:t xml:space="preserve">una fiscalización del cumplimiento de la legalidad </w:t>
      </w:r>
      <w:r w:rsidR="00A11FD0" w:rsidRPr="003A115E">
        <w:rPr>
          <w:rFonts w:cs="Arial"/>
          <w:lang w:val="es-ES"/>
        </w:rPr>
        <w:t xml:space="preserve">en las materias de personal, </w:t>
      </w:r>
      <w:r w:rsidR="6C54C311" w:rsidRPr="003A115E">
        <w:rPr>
          <w:rFonts w:cs="Arial"/>
          <w:lang w:val="es-ES"/>
        </w:rPr>
        <w:t>contratación pública</w:t>
      </w:r>
      <w:r w:rsidR="00D338D1" w:rsidRPr="003A115E">
        <w:rPr>
          <w:rFonts w:cs="Arial"/>
          <w:lang w:val="es-ES"/>
        </w:rPr>
        <w:t xml:space="preserve"> y subvenciones</w:t>
      </w:r>
      <w:r w:rsidR="00A11FD0" w:rsidRPr="003A115E">
        <w:rPr>
          <w:rFonts w:cs="Arial"/>
          <w:lang w:val="es-ES"/>
        </w:rPr>
        <w:t xml:space="preserve">. Adicionalmente, en </w:t>
      </w:r>
      <w:r w:rsidR="00D338D1" w:rsidRPr="003A115E">
        <w:rPr>
          <w:rFonts w:cs="Arial"/>
          <w:lang w:val="es-ES"/>
        </w:rPr>
        <w:t>Corella, se realizó una fisca</w:t>
      </w:r>
      <w:r w:rsidR="00A11FD0" w:rsidRPr="003A115E">
        <w:rPr>
          <w:rFonts w:cs="Arial"/>
          <w:lang w:val="es-ES"/>
        </w:rPr>
        <w:t xml:space="preserve">lización financiera del festival “Corella Music Fest” y, en Tafalla, se ha extendido la fiscalización, </w:t>
      </w:r>
      <w:r w:rsidR="009676E6" w:rsidRPr="003A115E">
        <w:rPr>
          <w:rFonts w:cs="Arial"/>
          <w:lang w:val="es-ES"/>
        </w:rPr>
        <w:t>en el</w:t>
      </w:r>
      <w:r w:rsidR="00A11FD0" w:rsidRPr="003A115E">
        <w:rPr>
          <w:rFonts w:cs="Arial"/>
          <w:lang w:val="es-ES"/>
        </w:rPr>
        <w:t xml:space="preserve"> ámbito de la contratación, a la sociedad pública municipa</w:t>
      </w:r>
      <w:r w:rsidR="00D338D1" w:rsidRPr="003A115E">
        <w:rPr>
          <w:rFonts w:cs="Arial"/>
          <w:lang w:val="es-ES"/>
        </w:rPr>
        <w:t>l “Ciudad deportiva de Tafalla”</w:t>
      </w:r>
      <w:r w:rsidR="6C54C311" w:rsidRPr="003A115E">
        <w:rPr>
          <w:rFonts w:cs="Arial"/>
          <w:lang w:val="es-ES"/>
        </w:rPr>
        <w:t xml:space="preserve">. </w:t>
      </w:r>
    </w:p>
    <w:p w14:paraId="14CF79F0" w14:textId="77777777" w:rsidR="00184DF9" w:rsidRPr="003A115E" w:rsidRDefault="00511918" w:rsidP="005E08F2">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lang w:val="es-ES"/>
        </w:rPr>
      </w:pPr>
      <w:r w:rsidRPr="003A115E">
        <w:rPr>
          <w:rFonts w:cs="Arial"/>
          <w:lang w:val="es-ES"/>
        </w:rPr>
        <w:t>Las fiscalizaciones de cumplimiento de la legalidad fueron</w:t>
      </w:r>
      <w:r w:rsidR="656987FC" w:rsidRPr="003A115E">
        <w:rPr>
          <w:rFonts w:cs="Arial"/>
          <w:lang w:val="es-ES"/>
        </w:rPr>
        <w:t xml:space="preserve"> favorables en el Valle de Egüés, y </w:t>
      </w:r>
      <w:r w:rsidR="00174471" w:rsidRPr="003A115E">
        <w:rPr>
          <w:rFonts w:cs="Arial"/>
          <w:lang w:val="es-ES"/>
        </w:rPr>
        <w:t xml:space="preserve">en </w:t>
      </w:r>
      <w:r w:rsidR="656987FC" w:rsidRPr="003A115E">
        <w:rPr>
          <w:rFonts w:cs="Arial"/>
          <w:lang w:val="es-ES"/>
        </w:rPr>
        <w:t>el resto</w:t>
      </w:r>
      <w:r w:rsidRPr="003A115E">
        <w:rPr>
          <w:rFonts w:cs="Arial"/>
          <w:lang w:val="es-ES"/>
        </w:rPr>
        <w:t xml:space="preserve"> favorables con salvedades, salvo </w:t>
      </w:r>
      <w:r w:rsidR="00174471" w:rsidRPr="003A115E">
        <w:rPr>
          <w:rFonts w:cs="Arial"/>
          <w:lang w:val="es-ES"/>
        </w:rPr>
        <w:t xml:space="preserve">en </w:t>
      </w:r>
      <w:r w:rsidRPr="003A115E">
        <w:rPr>
          <w:rFonts w:cs="Arial"/>
          <w:lang w:val="es-ES"/>
        </w:rPr>
        <w:t xml:space="preserve">Corella que fue desfavorable. </w:t>
      </w:r>
    </w:p>
    <w:p w14:paraId="047A1258" w14:textId="087893EC" w:rsidR="00CD1876" w:rsidRPr="003A115E" w:rsidRDefault="00511918" w:rsidP="005E08F2">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lang w:val="es-ES"/>
        </w:rPr>
      </w:pPr>
      <w:r w:rsidRPr="003A115E">
        <w:rPr>
          <w:rFonts w:cs="Arial"/>
          <w:lang w:val="es-ES"/>
        </w:rPr>
        <w:t>La opinión de auditoría financiera de Corella fue favorable con una salvedad</w:t>
      </w:r>
      <w:r w:rsidR="00441869" w:rsidRPr="003A115E">
        <w:rPr>
          <w:rFonts w:cs="Arial"/>
          <w:lang w:val="es-ES"/>
        </w:rPr>
        <w:t>.</w:t>
      </w:r>
      <w:r w:rsidR="009B3A61" w:rsidRPr="003A115E">
        <w:rPr>
          <w:rFonts w:cs="Arial"/>
          <w:lang w:val="es-ES"/>
        </w:rPr>
        <w:t xml:space="preserve"> </w:t>
      </w:r>
    </w:p>
    <w:p w14:paraId="6DFB9E20" w14:textId="36F6BA16" w:rsidR="00A90022" w:rsidRPr="003A115E" w:rsidRDefault="00A90022" w:rsidP="00736D0B">
      <w:pPr>
        <w:pStyle w:val="texto"/>
        <w:spacing w:after="0"/>
        <w:rPr>
          <w:rFonts w:cs="Arial"/>
        </w:rPr>
      </w:pPr>
    </w:p>
    <w:p w14:paraId="357A130C" w14:textId="77777777" w:rsidR="00C46BA1" w:rsidRPr="003A115E" w:rsidRDefault="00C46BA1" w:rsidP="00736D0B">
      <w:pPr>
        <w:pStyle w:val="texto"/>
        <w:spacing w:after="0"/>
        <w:rPr>
          <w:rFonts w:cs="Arial"/>
        </w:rPr>
      </w:pPr>
    </w:p>
    <w:p w14:paraId="22B4DD61" w14:textId="4A16A259" w:rsidR="009A7A48" w:rsidRPr="003A115E" w:rsidRDefault="009A7A48" w:rsidP="002B51BC">
      <w:pPr>
        <w:pStyle w:val="atitulo3"/>
        <w:rPr>
          <w:color w:val="auto"/>
        </w:rPr>
      </w:pPr>
      <w:r w:rsidRPr="003A115E">
        <w:rPr>
          <w:color w:val="auto"/>
        </w:rPr>
        <w:lastRenderedPageBreak/>
        <w:t>Situación financiera del sector público local en 202</w:t>
      </w:r>
      <w:r w:rsidR="5B12411A" w:rsidRPr="003A115E">
        <w:rPr>
          <w:color w:val="auto"/>
        </w:rPr>
        <w:t>2</w:t>
      </w:r>
    </w:p>
    <w:p w14:paraId="607B88D6" w14:textId="77777777" w:rsidR="009D5351" w:rsidRPr="003A115E" w:rsidRDefault="745FF654" w:rsidP="00D06B5D">
      <w:pPr>
        <w:pStyle w:val="texto"/>
        <w:rPr>
          <w:w w:val="103"/>
        </w:rPr>
      </w:pPr>
      <w:r w:rsidRPr="003A115E">
        <w:rPr>
          <w:w w:val="103"/>
        </w:rPr>
        <w:t xml:space="preserve">El conjunto de las entidades locales y </w:t>
      </w:r>
      <w:r w:rsidR="1D10AC8D" w:rsidRPr="003A115E">
        <w:rPr>
          <w:w w:val="103"/>
        </w:rPr>
        <w:t>OO.AA.</w:t>
      </w:r>
      <w:r w:rsidR="00F04427" w:rsidRPr="003A115E">
        <w:rPr>
          <w:w w:val="103"/>
        </w:rPr>
        <w:t xml:space="preserve"> dependientes obtuvo en 2022</w:t>
      </w:r>
      <w:r w:rsidRPr="003A115E">
        <w:rPr>
          <w:w w:val="103"/>
        </w:rPr>
        <w:t xml:space="preserve"> unos ingresos de </w:t>
      </w:r>
      <w:r w:rsidR="00F41492" w:rsidRPr="003A115E">
        <w:rPr>
          <w:w w:val="103"/>
        </w:rPr>
        <w:t>1.041</w:t>
      </w:r>
      <w:r w:rsidRPr="003A115E">
        <w:rPr>
          <w:w w:val="103"/>
        </w:rPr>
        <w:t xml:space="preserve"> millones, de los que el </w:t>
      </w:r>
      <w:r w:rsidR="00D06B5D" w:rsidRPr="003A115E">
        <w:rPr>
          <w:w w:val="103"/>
        </w:rPr>
        <w:t>48</w:t>
      </w:r>
      <w:r w:rsidRPr="003A115E">
        <w:rPr>
          <w:w w:val="103"/>
        </w:rPr>
        <w:t xml:space="preserve"> por ciento provienen de transferencias y el </w:t>
      </w:r>
      <w:r w:rsidR="00D06B5D" w:rsidRPr="003A115E">
        <w:rPr>
          <w:w w:val="103"/>
        </w:rPr>
        <w:t>42</w:t>
      </w:r>
      <w:r w:rsidRPr="003A115E">
        <w:rPr>
          <w:w w:val="103"/>
        </w:rPr>
        <w:t xml:space="preserve"> por ciento, de ingresos tributarios. </w:t>
      </w:r>
    </w:p>
    <w:p w14:paraId="196F5F97" w14:textId="722A6BEE" w:rsidR="0089597D" w:rsidRPr="003A115E" w:rsidRDefault="745FF654" w:rsidP="00D06B5D">
      <w:pPr>
        <w:pStyle w:val="texto"/>
        <w:rPr>
          <w:w w:val="103"/>
        </w:rPr>
      </w:pPr>
      <w:r w:rsidRPr="003A115E">
        <w:rPr>
          <w:w w:val="103"/>
        </w:rPr>
        <w:t xml:space="preserve">Los gastos sumaron </w:t>
      </w:r>
      <w:r w:rsidR="00F41492" w:rsidRPr="003A115E">
        <w:rPr>
          <w:w w:val="103"/>
        </w:rPr>
        <w:t xml:space="preserve">965 </w:t>
      </w:r>
      <w:r w:rsidRPr="003A115E">
        <w:rPr>
          <w:w w:val="103"/>
        </w:rPr>
        <w:t xml:space="preserve">millones, de los que el </w:t>
      </w:r>
      <w:r w:rsidR="008714CA" w:rsidRPr="003A115E">
        <w:rPr>
          <w:w w:val="103"/>
        </w:rPr>
        <w:t>80</w:t>
      </w:r>
      <w:r w:rsidRPr="003A115E">
        <w:rPr>
          <w:w w:val="103"/>
        </w:rPr>
        <w:t xml:space="preserve"> por ciento fueron gastos de funcionamiento, principalmente </w:t>
      </w:r>
      <w:r w:rsidR="00733EBB" w:rsidRPr="003A115E">
        <w:rPr>
          <w:w w:val="103"/>
        </w:rPr>
        <w:t xml:space="preserve">bienes corrientes y servicios </w:t>
      </w:r>
      <w:r w:rsidRPr="003A115E">
        <w:rPr>
          <w:w w:val="103"/>
        </w:rPr>
        <w:t xml:space="preserve">(36 por ciento) y </w:t>
      </w:r>
      <w:r w:rsidR="00733EBB" w:rsidRPr="003A115E">
        <w:rPr>
          <w:w w:val="103"/>
        </w:rPr>
        <w:t>personal (35</w:t>
      </w:r>
      <w:r w:rsidRPr="003A115E">
        <w:rPr>
          <w:w w:val="103"/>
        </w:rPr>
        <w:t xml:space="preserve"> por ciento).</w:t>
      </w:r>
    </w:p>
    <w:p w14:paraId="6384A12A" w14:textId="7D67BEB1" w:rsidR="0089597D" w:rsidRPr="003A115E" w:rsidRDefault="0089597D" w:rsidP="0089597D">
      <w:pPr>
        <w:pStyle w:val="texto"/>
        <w:rPr>
          <w:w w:val="103"/>
        </w:rPr>
      </w:pPr>
      <w:r w:rsidRPr="003A115E">
        <w:rPr>
          <w:w w:val="103"/>
        </w:rPr>
        <w:t xml:space="preserve">Con respecto al ejercicio anterior, los ingresos y gastos totales aumentan un </w:t>
      </w:r>
      <w:r w:rsidR="001B0D76" w:rsidRPr="003A115E">
        <w:rPr>
          <w:w w:val="103"/>
        </w:rPr>
        <w:t>16</w:t>
      </w:r>
      <w:r w:rsidRPr="003A115E">
        <w:rPr>
          <w:w w:val="103"/>
        </w:rPr>
        <w:t xml:space="preserve"> y un </w:t>
      </w:r>
      <w:r w:rsidR="009D5351" w:rsidRPr="003A115E">
        <w:rPr>
          <w:w w:val="103"/>
        </w:rPr>
        <w:t>ocho</w:t>
      </w:r>
      <w:r w:rsidRPr="003A115E">
        <w:rPr>
          <w:w w:val="103"/>
        </w:rPr>
        <w:t xml:space="preserve"> por ciento, respectivamente</w:t>
      </w:r>
      <w:r w:rsidR="00952EF6" w:rsidRPr="003A115E">
        <w:rPr>
          <w:w w:val="103"/>
        </w:rPr>
        <w:t>.</w:t>
      </w:r>
    </w:p>
    <w:p w14:paraId="5ADEE954" w14:textId="521D049A" w:rsidR="00952EF6" w:rsidRPr="003A115E" w:rsidRDefault="00141327" w:rsidP="7A999140">
      <w:pPr>
        <w:pStyle w:val="texto"/>
        <w:rPr>
          <w:w w:val="103"/>
          <w:lang w:val="es-ES"/>
        </w:rPr>
      </w:pPr>
      <w:r w:rsidRPr="003A115E">
        <w:rPr>
          <w:w w:val="103"/>
          <w:lang w:val="es-ES"/>
        </w:rPr>
        <w:t>L</w:t>
      </w:r>
      <w:r w:rsidR="00952EF6" w:rsidRPr="003A115E">
        <w:rPr>
          <w:w w:val="103"/>
          <w:lang w:val="es-ES"/>
        </w:rPr>
        <w:t xml:space="preserve">os ingresos </w:t>
      </w:r>
      <w:r w:rsidR="007E323B" w:rsidRPr="003A115E">
        <w:rPr>
          <w:w w:val="103"/>
          <w:lang w:val="es-ES"/>
        </w:rPr>
        <w:t xml:space="preserve">totales </w:t>
      </w:r>
      <w:r w:rsidR="00991E65" w:rsidRPr="003A115E">
        <w:rPr>
          <w:w w:val="103"/>
          <w:lang w:val="es-ES"/>
        </w:rPr>
        <w:t>aumentaron con</w:t>
      </w:r>
      <w:r w:rsidR="005C0FB4" w:rsidRPr="003A115E">
        <w:rPr>
          <w:w w:val="103"/>
          <w:lang w:val="es-ES"/>
        </w:rPr>
        <w:t xml:space="preserve"> carácter genera</w:t>
      </w:r>
      <w:r w:rsidR="00793908" w:rsidRPr="003A115E">
        <w:rPr>
          <w:w w:val="103"/>
          <w:lang w:val="es-ES"/>
        </w:rPr>
        <w:t>l. L</w:t>
      </w:r>
      <w:r w:rsidR="0051314A" w:rsidRPr="003A115E">
        <w:rPr>
          <w:w w:val="103"/>
          <w:lang w:val="es-ES"/>
        </w:rPr>
        <w:t>os</w:t>
      </w:r>
      <w:r w:rsidR="000472C4" w:rsidRPr="003A115E">
        <w:rPr>
          <w:w w:val="103"/>
          <w:lang w:val="es-ES"/>
        </w:rPr>
        <w:t xml:space="preserve"> principales incrementos</w:t>
      </w:r>
      <w:r w:rsidR="0051314A" w:rsidRPr="003A115E">
        <w:rPr>
          <w:w w:val="103"/>
          <w:lang w:val="es-ES"/>
        </w:rPr>
        <w:t xml:space="preserve"> </w:t>
      </w:r>
      <w:r w:rsidR="005C0FB4" w:rsidRPr="003A115E">
        <w:rPr>
          <w:w w:val="103"/>
          <w:lang w:val="es-ES"/>
        </w:rPr>
        <w:t xml:space="preserve">de los </w:t>
      </w:r>
      <w:r w:rsidR="0051314A" w:rsidRPr="003A115E">
        <w:rPr>
          <w:w w:val="103"/>
          <w:lang w:val="es-ES"/>
        </w:rPr>
        <w:t>ingresos corrientes</w:t>
      </w:r>
      <w:r w:rsidR="00BE3B6C" w:rsidRPr="003A115E">
        <w:rPr>
          <w:w w:val="103"/>
          <w:lang w:val="es-ES"/>
        </w:rPr>
        <w:t xml:space="preserve"> </w:t>
      </w:r>
      <w:r w:rsidR="005C0FB4" w:rsidRPr="003A115E">
        <w:rPr>
          <w:w w:val="103"/>
          <w:lang w:val="es-ES"/>
        </w:rPr>
        <w:t>se dieron en</w:t>
      </w:r>
      <w:r w:rsidR="00BE3B6C" w:rsidRPr="003A115E">
        <w:rPr>
          <w:w w:val="103"/>
          <w:lang w:val="es-ES"/>
        </w:rPr>
        <w:t xml:space="preserve"> las transferencias corrientes, las tasas y precios públicos y los impuestos directos</w:t>
      </w:r>
      <w:r w:rsidR="005C0FB4" w:rsidRPr="003A115E">
        <w:rPr>
          <w:w w:val="103"/>
          <w:lang w:val="es-ES"/>
        </w:rPr>
        <w:t>,</w:t>
      </w:r>
      <w:r w:rsidR="001836B7" w:rsidRPr="003A115E">
        <w:rPr>
          <w:w w:val="103"/>
          <w:lang w:val="es-ES"/>
        </w:rPr>
        <w:t xml:space="preserve"> </w:t>
      </w:r>
      <w:r w:rsidR="00FB48EE" w:rsidRPr="003A115E">
        <w:rPr>
          <w:w w:val="103"/>
          <w:lang w:val="es-ES"/>
        </w:rPr>
        <w:t>que crecieron en</w:t>
      </w:r>
      <w:r w:rsidR="001836B7" w:rsidRPr="003A115E">
        <w:rPr>
          <w:w w:val="103"/>
          <w:lang w:val="es-ES"/>
        </w:rPr>
        <w:t xml:space="preserve"> 32, 18 y 12</w:t>
      </w:r>
      <w:r w:rsidR="00061FFC" w:rsidRPr="003A115E">
        <w:rPr>
          <w:w w:val="103"/>
          <w:lang w:val="es-ES"/>
        </w:rPr>
        <w:t xml:space="preserve"> millones</w:t>
      </w:r>
      <w:r w:rsidR="000550D8" w:rsidRPr="003A115E">
        <w:rPr>
          <w:w w:val="103"/>
          <w:lang w:val="es-ES"/>
        </w:rPr>
        <w:t xml:space="preserve"> respectivamente. L</w:t>
      </w:r>
      <w:r w:rsidR="002C109B" w:rsidRPr="003A115E">
        <w:rPr>
          <w:w w:val="103"/>
          <w:lang w:val="es-ES"/>
        </w:rPr>
        <w:t>o</w:t>
      </w:r>
      <w:r w:rsidR="00545473" w:rsidRPr="003A115E">
        <w:rPr>
          <w:w w:val="103"/>
          <w:lang w:val="es-ES"/>
        </w:rPr>
        <w:t xml:space="preserve">s </w:t>
      </w:r>
      <w:r w:rsidR="002C109B" w:rsidRPr="003A115E">
        <w:rPr>
          <w:w w:val="103"/>
          <w:lang w:val="es-ES"/>
        </w:rPr>
        <w:t>ingresos</w:t>
      </w:r>
      <w:r w:rsidR="00545473" w:rsidRPr="003A115E">
        <w:rPr>
          <w:w w:val="103"/>
          <w:lang w:val="es-ES"/>
        </w:rPr>
        <w:t xml:space="preserve"> de capital </w:t>
      </w:r>
      <w:r w:rsidR="00E44DF9" w:rsidRPr="003A115E">
        <w:rPr>
          <w:w w:val="103"/>
          <w:lang w:val="es-ES"/>
        </w:rPr>
        <w:t xml:space="preserve">aumentaron </w:t>
      </w:r>
      <w:r w:rsidR="00D7436B" w:rsidRPr="003A115E">
        <w:rPr>
          <w:w w:val="103"/>
          <w:lang w:val="es-ES"/>
        </w:rPr>
        <w:t>significativamente</w:t>
      </w:r>
      <w:r w:rsidR="006A62AF">
        <w:rPr>
          <w:w w:val="103"/>
          <w:lang w:val="es-ES"/>
        </w:rPr>
        <w:t>,</w:t>
      </w:r>
      <w:r w:rsidR="00D7436B" w:rsidRPr="003A115E">
        <w:rPr>
          <w:w w:val="103"/>
          <w:lang w:val="es-ES"/>
        </w:rPr>
        <w:t xml:space="preserve"> destacando el incremento de </w:t>
      </w:r>
      <w:r w:rsidR="2600737A" w:rsidRPr="003A115E">
        <w:rPr>
          <w:w w:val="103"/>
          <w:lang w:val="es-ES"/>
        </w:rPr>
        <w:t xml:space="preserve">49 </w:t>
      </w:r>
      <w:r w:rsidR="00E44DF9" w:rsidRPr="003A115E">
        <w:rPr>
          <w:w w:val="103"/>
          <w:lang w:val="es-ES"/>
        </w:rPr>
        <w:t xml:space="preserve">millones </w:t>
      </w:r>
      <w:r w:rsidR="00991E65" w:rsidRPr="003A115E">
        <w:rPr>
          <w:w w:val="103"/>
          <w:lang w:val="es-ES"/>
        </w:rPr>
        <w:t xml:space="preserve">de </w:t>
      </w:r>
      <w:r w:rsidR="00E44DF9" w:rsidRPr="003A115E">
        <w:rPr>
          <w:w w:val="103"/>
          <w:lang w:val="es-ES"/>
        </w:rPr>
        <w:t>las transferencias de capital</w:t>
      </w:r>
      <w:r w:rsidR="000550D8" w:rsidRPr="003A115E">
        <w:rPr>
          <w:w w:val="103"/>
          <w:lang w:val="es-ES"/>
        </w:rPr>
        <w:t>. L</w:t>
      </w:r>
      <w:r w:rsidR="00BD6744" w:rsidRPr="003A115E">
        <w:rPr>
          <w:w w:val="103"/>
          <w:lang w:val="es-ES"/>
        </w:rPr>
        <w:t>os ingresos financieros</w:t>
      </w:r>
      <w:r w:rsidR="00D46800" w:rsidRPr="003A115E">
        <w:rPr>
          <w:w w:val="103"/>
          <w:lang w:val="es-ES"/>
        </w:rPr>
        <w:t xml:space="preserve"> crecieron en 16 millones </w:t>
      </w:r>
      <w:r w:rsidR="000550D8" w:rsidRPr="003A115E">
        <w:rPr>
          <w:w w:val="103"/>
          <w:lang w:val="es-ES"/>
        </w:rPr>
        <w:t>debido</w:t>
      </w:r>
      <w:r w:rsidR="678E8312" w:rsidRPr="003A115E">
        <w:rPr>
          <w:w w:val="103"/>
          <w:lang w:val="es-ES"/>
        </w:rPr>
        <w:t xml:space="preserve">, principalmente, </w:t>
      </w:r>
      <w:r w:rsidR="000550D8" w:rsidRPr="003A115E">
        <w:rPr>
          <w:w w:val="103"/>
          <w:lang w:val="es-ES"/>
        </w:rPr>
        <w:t>a la</w:t>
      </w:r>
      <w:r w:rsidR="00C12113" w:rsidRPr="003A115E">
        <w:rPr>
          <w:w w:val="103"/>
          <w:lang w:val="es-ES"/>
        </w:rPr>
        <w:t xml:space="preserve"> concertación de </w:t>
      </w:r>
      <w:r w:rsidR="00793908" w:rsidRPr="003A115E">
        <w:rPr>
          <w:w w:val="103"/>
          <w:lang w:val="es-ES"/>
        </w:rPr>
        <w:t>dos</w:t>
      </w:r>
      <w:r w:rsidR="00C12113" w:rsidRPr="003A115E">
        <w:rPr>
          <w:w w:val="103"/>
          <w:lang w:val="es-ES"/>
        </w:rPr>
        <w:t xml:space="preserve"> préstamo</w:t>
      </w:r>
      <w:r w:rsidR="00793908" w:rsidRPr="003A115E">
        <w:rPr>
          <w:w w:val="103"/>
          <w:lang w:val="es-ES"/>
        </w:rPr>
        <w:t>s</w:t>
      </w:r>
      <w:r w:rsidR="00C12113" w:rsidRPr="003A115E">
        <w:rPr>
          <w:w w:val="103"/>
          <w:lang w:val="es-ES"/>
        </w:rPr>
        <w:t xml:space="preserve"> </w:t>
      </w:r>
      <w:r w:rsidR="006E4546" w:rsidRPr="003A115E">
        <w:rPr>
          <w:w w:val="103"/>
          <w:lang w:val="es-ES"/>
        </w:rPr>
        <w:t xml:space="preserve">por </w:t>
      </w:r>
      <w:r w:rsidR="00AB66A4" w:rsidRPr="003A115E">
        <w:rPr>
          <w:w w:val="103"/>
          <w:lang w:val="es-ES"/>
        </w:rPr>
        <w:t>el Ayuntamiento de Pamplona</w:t>
      </w:r>
      <w:r w:rsidR="00AE1FC2" w:rsidRPr="003A115E">
        <w:rPr>
          <w:w w:val="103"/>
          <w:lang w:val="es-ES"/>
        </w:rPr>
        <w:t>.</w:t>
      </w:r>
      <w:r w:rsidR="00E7532D" w:rsidRPr="003A115E">
        <w:rPr>
          <w:w w:val="103"/>
          <w:lang w:val="es-ES"/>
        </w:rPr>
        <w:t xml:space="preserve"> </w:t>
      </w:r>
      <w:r w:rsidR="006E4546" w:rsidRPr="003A115E">
        <w:rPr>
          <w:w w:val="103"/>
          <w:lang w:val="es-ES"/>
        </w:rPr>
        <w:t xml:space="preserve">El incremento de las transferencias </w:t>
      </w:r>
      <w:r w:rsidR="00E7532D" w:rsidRPr="003A115E">
        <w:rPr>
          <w:w w:val="103"/>
          <w:lang w:val="es-ES"/>
        </w:rPr>
        <w:t>se explica por el aumento del fondo de participación de las entidades locales en los tributos de Navarra</w:t>
      </w:r>
      <w:r w:rsidR="00355790" w:rsidRPr="003A115E">
        <w:rPr>
          <w:w w:val="103"/>
          <w:lang w:val="es-ES"/>
        </w:rPr>
        <w:t xml:space="preserve"> </w:t>
      </w:r>
      <w:r w:rsidR="0018666B" w:rsidRPr="003A115E">
        <w:rPr>
          <w:w w:val="103"/>
          <w:lang w:val="es-ES"/>
        </w:rPr>
        <w:t xml:space="preserve">(corriente y capital), en </w:t>
      </w:r>
      <w:r w:rsidR="7CD85485" w:rsidRPr="003A115E">
        <w:rPr>
          <w:w w:val="103"/>
          <w:lang w:val="es-ES"/>
        </w:rPr>
        <w:t xml:space="preserve">18 </w:t>
      </w:r>
      <w:r w:rsidR="0018666B" w:rsidRPr="003A115E">
        <w:rPr>
          <w:w w:val="103"/>
          <w:lang w:val="es-ES"/>
        </w:rPr>
        <w:t xml:space="preserve">y 33 millones </w:t>
      </w:r>
      <w:r w:rsidR="00C072DA" w:rsidRPr="003A115E">
        <w:rPr>
          <w:w w:val="103"/>
          <w:lang w:val="es-ES"/>
        </w:rPr>
        <w:t>y por el fondo extraordinario para paliar las consecuencias de la guerra en Ucrania</w:t>
      </w:r>
      <w:r w:rsidR="0018666B" w:rsidRPr="003A115E">
        <w:rPr>
          <w:w w:val="103"/>
          <w:lang w:val="es-ES"/>
        </w:rPr>
        <w:t>.</w:t>
      </w:r>
      <w:r w:rsidR="00355790" w:rsidRPr="003A115E">
        <w:rPr>
          <w:w w:val="103"/>
          <w:lang w:val="es-ES"/>
        </w:rPr>
        <w:t xml:space="preserve"> </w:t>
      </w:r>
    </w:p>
    <w:p w14:paraId="31E88DDA" w14:textId="7BEF15D5" w:rsidR="00141327" w:rsidRPr="003A115E" w:rsidRDefault="450814B0" w:rsidP="3710BB4A">
      <w:pPr>
        <w:pStyle w:val="texto"/>
      </w:pPr>
      <w:r w:rsidRPr="003A115E">
        <w:rPr>
          <w:w w:val="103"/>
          <w:lang w:val="es-ES"/>
        </w:rPr>
        <w:t>E</w:t>
      </w:r>
      <w:r w:rsidR="16211F15" w:rsidRPr="003A115E">
        <w:rPr>
          <w:w w:val="103"/>
          <w:lang w:val="es-ES"/>
        </w:rPr>
        <w:t xml:space="preserve">l aumento del gasto total viene motivado por </w:t>
      </w:r>
      <w:r w:rsidR="00B82315" w:rsidRPr="003A115E">
        <w:rPr>
          <w:w w:val="103"/>
          <w:lang w:val="es-ES"/>
        </w:rPr>
        <w:t>el incremento</w:t>
      </w:r>
      <w:r w:rsidR="16211F15" w:rsidRPr="003A115E">
        <w:rPr>
          <w:w w:val="103"/>
          <w:lang w:val="es-ES"/>
        </w:rPr>
        <w:t xml:space="preserve"> de los gastos de funcionamiento </w:t>
      </w:r>
      <w:r w:rsidR="00C24EA0" w:rsidRPr="003A115E">
        <w:rPr>
          <w:w w:val="103"/>
          <w:lang w:val="es-ES"/>
        </w:rPr>
        <w:t>en</w:t>
      </w:r>
      <w:r w:rsidR="16211F15" w:rsidRPr="003A115E">
        <w:rPr>
          <w:w w:val="103"/>
          <w:lang w:val="es-ES"/>
        </w:rPr>
        <w:t xml:space="preserve"> </w:t>
      </w:r>
      <w:r w:rsidR="00DB743B" w:rsidRPr="003A115E">
        <w:rPr>
          <w:w w:val="103"/>
          <w:lang w:val="es-ES"/>
        </w:rPr>
        <w:t>84 millones</w:t>
      </w:r>
      <w:r w:rsidR="16211F15" w:rsidRPr="003A115E">
        <w:rPr>
          <w:w w:val="103"/>
          <w:lang w:val="es-ES"/>
        </w:rPr>
        <w:t xml:space="preserve">. </w:t>
      </w:r>
      <w:r w:rsidR="00F43581" w:rsidRPr="003A115E">
        <w:rPr>
          <w:w w:val="103"/>
          <w:lang w:val="es-ES"/>
        </w:rPr>
        <w:t xml:space="preserve">Destaca el aumento de los gastos en bienes corrientes y servicios en 59 millones motivado por el </w:t>
      </w:r>
      <w:r w:rsidR="00C24EA0" w:rsidRPr="003A115E">
        <w:rPr>
          <w:w w:val="103"/>
          <w:lang w:val="es-ES"/>
        </w:rPr>
        <w:t>alza</w:t>
      </w:r>
      <w:r w:rsidR="00F43581" w:rsidRPr="003A115E">
        <w:rPr>
          <w:w w:val="103"/>
          <w:lang w:val="es-ES"/>
        </w:rPr>
        <w:t xml:space="preserve"> de</w:t>
      </w:r>
      <w:r w:rsidR="00C24EA0" w:rsidRPr="003A115E">
        <w:rPr>
          <w:w w:val="103"/>
          <w:lang w:val="es-ES"/>
        </w:rPr>
        <w:t>l</w:t>
      </w:r>
      <w:r w:rsidR="00F43581" w:rsidRPr="003A115E">
        <w:rPr>
          <w:w w:val="103"/>
          <w:lang w:val="es-ES"/>
        </w:rPr>
        <w:t xml:space="preserve"> gasto en </w:t>
      </w:r>
      <w:r w:rsidR="00B82315" w:rsidRPr="003A115E">
        <w:rPr>
          <w:w w:val="103"/>
          <w:lang w:val="es-ES"/>
        </w:rPr>
        <w:t xml:space="preserve">fiestas </w:t>
      </w:r>
      <w:r w:rsidR="00355C5E" w:rsidRPr="003A115E">
        <w:rPr>
          <w:w w:val="103"/>
          <w:lang w:val="es-ES"/>
        </w:rPr>
        <w:t>patronales</w:t>
      </w:r>
      <w:r w:rsidR="007F4190" w:rsidRPr="003A115E">
        <w:rPr>
          <w:w w:val="103"/>
          <w:lang w:val="es-ES"/>
        </w:rPr>
        <w:t xml:space="preserve"> </w:t>
      </w:r>
      <w:r w:rsidR="00B82315" w:rsidRPr="003A115E">
        <w:rPr>
          <w:w w:val="103"/>
          <w:lang w:val="es-ES"/>
        </w:rPr>
        <w:t>(</w:t>
      </w:r>
      <w:r w:rsidR="00355C5E" w:rsidRPr="003A115E">
        <w:rPr>
          <w:w w:val="103"/>
          <w:lang w:val="es-ES"/>
        </w:rPr>
        <w:t>en muchos casos suspendidas en 2021 por la pandemia Covid-19</w:t>
      </w:r>
      <w:r w:rsidR="00B82315" w:rsidRPr="003A115E">
        <w:rPr>
          <w:w w:val="103"/>
          <w:lang w:val="es-ES"/>
        </w:rPr>
        <w:t xml:space="preserve">) y el aumento de los costes energéticos, cifrado en </w:t>
      </w:r>
      <w:r w:rsidR="00CD7EDE" w:rsidRPr="003A115E">
        <w:rPr>
          <w:w w:val="103"/>
          <w:lang w:val="es-ES"/>
        </w:rPr>
        <w:t>22</w:t>
      </w:r>
      <w:r w:rsidR="00C24EA0" w:rsidRPr="003A115E">
        <w:rPr>
          <w:w w:val="103"/>
          <w:lang w:val="es-ES"/>
        </w:rPr>
        <w:t xml:space="preserve"> y </w:t>
      </w:r>
      <w:r w:rsidR="00B82315" w:rsidRPr="003A115E">
        <w:rPr>
          <w:w w:val="103"/>
          <w:lang w:val="es-ES"/>
        </w:rPr>
        <w:t>21 millones de euros</w:t>
      </w:r>
      <w:r w:rsidR="00A75E8B" w:rsidRPr="003A115E">
        <w:rPr>
          <w:w w:val="103"/>
          <w:lang w:val="es-ES"/>
        </w:rPr>
        <w:t xml:space="preserve"> </w:t>
      </w:r>
      <w:r w:rsidR="00C24EA0" w:rsidRPr="003A115E">
        <w:rPr>
          <w:w w:val="103"/>
          <w:lang w:val="es-ES"/>
        </w:rPr>
        <w:t>respectivamente</w:t>
      </w:r>
      <w:r w:rsidR="00B82315" w:rsidRPr="003A115E">
        <w:rPr>
          <w:w w:val="103"/>
          <w:lang w:val="es-ES"/>
        </w:rPr>
        <w:t>.</w:t>
      </w:r>
    </w:p>
    <w:p w14:paraId="31A89553" w14:textId="51B4B9D4" w:rsidR="00F04F7B" w:rsidRPr="003A115E" w:rsidRDefault="00830BB7" w:rsidP="0089597D">
      <w:pPr>
        <w:pStyle w:val="texto"/>
        <w:rPr>
          <w:w w:val="103"/>
        </w:rPr>
      </w:pPr>
      <w:r w:rsidRPr="003A115E">
        <w:t>El</w:t>
      </w:r>
      <w:r w:rsidR="0DF3048D" w:rsidRPr="003A115E">
        <w:t xml:space="preserve"> ahorro neto </w:t>
      </w:r>
      <w:r w:rsidR="004069E9" w:rsidRPr="003A115E">
        <w:t>de las entidades locales en 2022</w:t>
      </w:r>
      <w:r w:rsidR="0DF3048D" w:rsidRPr="003A115E">
        <w:t xml:space="preserve">, una vez atendidos los gastos de funcionamiento y la carga financiera, ha sido de </w:t>
      </w:r>
      <w:r w:rsidR="00CD7EDE" w:rsidRPr="003A115E">
        <w:t>107</w:t>
      </w:r>
      <w:r w:rsidR="0DF3048D" w:rsidRPr="003A115E">
        <w:t xml:space="preserve"> millones, </w:t>
      </w:r>
      <w:r w:rsidR="000A7696" w:rsidRPr="003A115E">
        <w:t>manteniéndose estable en los últimos cuatro ejercicios</w:t>
      </w:r>
      <w:r w:rsidR="3CA4BE8C" w:rsidRPr="003A115E">
        <w:t>.</w:t>
      </w:r>
    </w:p>
    <w:p w14:paraId="2C0C7227" w14:textId="63A50DC4" w:rsidR="00F04F7B" w:rsidRPr="003A115E" w:rsidRDefault="00FD3275" w:rsidP="00BE580B">
      <w:pPr>
        <w:pStyle w:val="texto"/>
        <w:rPr>
          <w:w w:val="103"/>
          <w:lang w:val="es-ES"/>
        </w:rPr>
      </w:pPr>
      <w:r w:rsidRPr="003A115E">
        <w:t>La</w:t>
      </w:r>
      <w:r w:rsidRPr="003A115E">
        <w:rPr>
          <w:w w:val="103"/>
          <w:lang w:val="es-ES"/>
        </w:rPr>
        <w:t xml:space="preserve"> deuda viva del sector público local, incluyendo las entidades locales, sus organismos públicos dependientes y las sociedades públicas participadas íntegramente por ellas, se reduce un </w:t>
      </w:r>
      <w:r w:rsidR="00E73D84" w:rsidRPr="003A115E">
        <w:rPr>
          <w:w w:val="103"/>
          <w:lang w:val="es-ES"/>
        </w:rPr>
        <w:t>tres</w:t>
      </w:r>
      <w:r w:rsidRPr="003A115E">
        <w:rPr>
          <w:w w:val="103"/>
          <w:lang w:val="es-ES"/>
        </w:rPr>
        <w:t xml:space="preserve"> por ciento para situarse en </w:t>
      </w:r>
      <w:r w:rsidR="00CD7EDE" w:rsidRPr="003A115E">
        <w:rPr>
          <w:w w:val="103"/>
          <w:lang w:val="es-ES"/>
        </w:rPr>
        <w:t>119</w:t>
      </w:r>
      <w:r w:rsidR="000A7696" w:rsidRPr="003A115E">
        <w:rPr>
          <w:w w:val="103"/>
          <w:lang w:val="es-ES"/>
        </w:rPr>
        <w:t xml:space="preserve"> millones a cierre de 2022</w:t>
      </w:r>
      <w:r w:rsidRPr="003A115E">
        <w:rPr>
          <w:w w:val="103"/>
          <w:lang w:val="es-ES"/>
        </w:rPr>
        <w:t xml:space="preserve">. </w:t>
      </w:r>
      <w:r w:rsidR="00BE580B" w:rsidRPr="003A115E">
        <w:rPr>
          <w:rFonts w:cs="Arial"/>
          <w:lang w:val="es-ES"/>
        </w:rPr>
        <w:t>El tipo de interés medio se sitúa en el 1,3 por ciento y el plazo medio de vencimiento pendiente, en 8,96 años</w:t>
      </w:r>
      <w:r w:rsidR="00BE580B" w:rsidRPr="003A115E">
        <w:rPr>
          <w:w w:val="103"/>
          <w:lang w:val="es-ES"/>
        </w:rPr>
        <w:t xml:space="preserve">. </w:t>
      </w:r>
      <w:r w:rsidR="00D71879" w:rsidRPr="003A115E">
        <w:rPr>
          <w:w w:val="103"/>
          <w:lang w:val="es-ES"/>
        </w:rPr>
        <w:t>Representa el</w:t>
      </w:r>
      <w:r w:rsidRPr="003A115E">
        <w:rPr>
          <w:w w:val="103"/>
          <w:lang w:val="es-ES"/>
        </w:rPr>
        <w:t xml:space="preserve"> </w:t>
      </w:r>
      <w:r w:rsidR="00D14EFB" w:rsidRPr="003A115E">
        <w:rPr>
          <w:w w:val="103"/>
          <w:lang w:val="es-ES"/>
        </w:rPr>
        <w:t>13</w:t>
      </w:r>
      <w:r w:rsidRPr="003A115E">
        <w:rPr>
          <w:w w:val="103"/>
          <w:lang w:val="es-ES"/>
        </w:rPr>
        <w:t xml:space="preserve"> por ciento</w:t>
      </w:r>
      <w:r w:rsidR="00275BC0" w:rsidRPr="003A115E">
        <w:rPr>
          <w:w w:val="103"/>
          <w:lang w:val="es-ES"/>
        </w:rPr>
        <w:t xml:space="preserve"> </w:t>
      </w:r>
      <w:r w:rsidRPr="003A115E">
        <w:rPr>
          <w:w w:val="103"/>
          <w:lang w:val="es-ES"/>
        </w:rPr>
        <w:t>de los ingresos corrientes</w:t>
      </w:r>
      <w:r w:rsidR="00263ABE" w:rsidRPr="003A115E">
        <w:rPr>
          <w:w w:val="103"/>
          <w:lang w:val="es-ES"/>
        </w:rPr>
        <w:t>, muy lejos del 110 por ciento que establece</w:t>
      </w:r>
      <w:r w:rsidR="00D76017" w:rsidRPr="003A115E">
        <w:rPr>
          <w:w w:val="103"/>
          <w:lang w:val="es-ES"/>
        </w:rPr>
        <w:t xml:space="preserve"> la norma.</w:t>
      </w:r>
      <w:r w:rsidR="00BE580B" w:rsidRPr="003A115E">
        <w:rPr>
          <w:rFonts w:cs="Arial"/>
          <w:lang w:val="es-ES"/>
        </w:rPr>
        <w:t xml:space="preserve"> </w:t>
      </w:r>
    </w:p>
    <w:p w14:paraId="586A433A" w14:textId="4AFC88A5" w:rsidR="00FD3275" w:rsidRPr="003A115E" w:rsidRDefault="00FD3275" w:rsidP="0089597D">
      <w:pPr>
        <w:pStyle w:val="texto"/>
        <w:rPr>
          <w:w w:val="103"/>
        </w:rPr>
      </w:pPr>
      <w:r w:rsidRPr="003A115E">
        <w:rPr>
          <w:w w:val="103"/>
        </w:rPr>
        <w:t xml:space="preserve">Por su parte, el remanente de tesorería para gastos generales </w:t>
      </w:r>
      <w:r w:rsidR="00D71879" w:rsidRPr="003A115E">
        <w:rPr>
          <w:w w:val="103"/>
        </w:rPr>
        <w:t xml:space="preserve">alcanza los </w:t>
      </w:r>
      <w:r w:rsidR="00B35433" w:rsidRPr="003A115E">
        <w:rPr>
          <w:w w:val="103"/>
        </w:rPr>
        <w:t>374</w:t>
      </w:r>
      <w:r w:rsidR="00D71879" w:rsidRPr="003A115E">
        <w:rPr>
          <w:w w:val="103"/>
        </w:rPr>
        <w:t xml:space="preserve"> millones, un </w:t>
      </w:r>
      <w:r w:rsidR="00D76017" w:rsidRPr="003A115E">
        <w:rPr>
          <w:w w:val="103"/>
        </w:rPr>
        <w:t>siete</w:t>
      </w:r>
      <w:r w:rsidR="00D71879" w:rsidRPr="003A115E">
        <w:rPr>
          <w:w w:val="103"/>
        </w:rPr>
        <w:t xml:space="preserve"> por ciento más que a cierre del año anterior.</w:t>
      </w:r>
      <w:r w:rsidR="00BF2A59" w:rsidRPr="003A115E">
        <w:rPr>
          <w:w w:val="103"/>
        </w:rPr>
        <w:t xml:space="preserve"> </w:t>
      </w:r>
    </w:p>
    <w:p w14:paraId="4334A843" w14:textId="77777777" w:rsidR="00F3754E" w:rsidRPr="003A115E" w:rsidRDefault="00AE1D5B" w:rsidP="002B51BC">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lang w:val="es-ES"/>
        </w:rPr>
      </w:pPr>
      <w:r w:rsidRPr="003A115E">
        <w:rPr>
          <w:rFonts w:cs="Arial"/>
          <w:lang w:val="es-ES"/>
        </w:rPr>
        <w:t xml:space="preserve">Analizando los principales indicadores financieros de los ayuntamientos comprendidos en distintos tramos de población, se observa que, con la excepción de </w:t>
      </w:r>
      <w:r w:rsidRPr="003A115E">
        <w:rPr>
          <w:rFonts w:cs="Arial"/>
          <w:lang w:val="es-ES"/>
        </w:rPr>
        <w:lastRenderedPageBreak/>
        <w:t>Pamplona, conforme aumenta el tamaño del municipio, disminuyen los ingresos corrientes, los gastos de funcionamiento y el ahorro bruto por habitante.</w:t>
      </w:r>
      <w:r w:rsidR="00EC6718" w:rsidRPr="003A115E">
        <w:rPr>
          <w:rFonts w:cs="Arial"/>
          <w:lang w:val="es-ES"/>
        </w:rPr>
        <w:t xml:space="preserve"> </w:t>
      </w:r>
    </w:p>
    <w:p w14:paraId="7A2991FA" w14:textId="35C829DE" w:rsidR="0089597D" w:rsidRPr="003A115E" w:rsidRDefault="3CA4BE8C" w:rsidP="00CD0A7C">
      <w:pPr>
        <w:pStyle w:val="texto"/>
        <w:rPr>
          <w:w w:val="103"/>
        </w:rPr>
      </w:pPr>
      <w:r w:rsidRPr="003A115E">
        <w:rPr>
          <w:w w:val="103"/>
        </w:rPr>
        <w:t xml:space="preserve">En definitiva, la situación económica global </w:t>
      </w:r>
      <w:r w:rsidR="002D43C4" w:rsidRPr="003A115E">
        <w:rPr>
          <w:w w:val="103"/>
        </w:rPr>
        <w:t>del sector público local en 2022</w:t>
      </w:r>
      <w:r w:rsidRPr="003A115E">
        <w:rPr>
          <w:w w:val="103"/>
        </w:rPr>
        <w:t xml:space="preserve"> </w:t>
      </w:r>
      <w:r w:rsidR="2B0C57FC" w:rsidRPr="003A115E">
        <w:rPr>
          <w:w w:val="103"/>
        </w:rPr>
        <w:t xml:space="preserve">es </w:t>
      </w:r>
      <w:r w:rsidRPr="003A115E">
        <w:rPr>
          <w:w w:val="103"/>
        </w:rPr>
        <w:t xml:space="preserve">saneada. Por su parte, la deuda viva </w:t>
      </w:r>
      <w:r w:rsidR="2444559A" w:rsidRPr="003A115E">
        <w:rPr>
          <w:w w:val="103"/>
        </w:rPr>
        <w:t>ha seguido</w:t>
      </w:r>
      <w:r w:rsidRPr="003A115E">
        <w:rPr>
          <w:w w:val="103"/>
        </w:rPr>
        <w:t xml:space="preserve"> descendiendo y el remanente de tesorería para gastos generales aumentando, continuando con la tendencia </w:t>
      </w:r>
      <w:r w:rsidR="00427A66" w:rsidRPr="003A115E">
        <w:rPr>
          <w:w w:val="103"/>
        </w:rPr>
        <w:t>creciente</w:t>
      </w:r>
      <w:r w:rsidRPr="003A115E">
        <w:rPr>
          <w:w w:val="103"/>
        </w:rPr>
        <w:t xml:space="preserve"> de los años anteriores. </w:t>
      </w:r>
    </w:p>
    <w:p w14:paraId="306A9CB6" w14:textId="77777777" w:rsidR="009A7A48" w:rsidRPr="003A115E" w:rsidRDefault="009A7A48" w:rsidP="004A2F4D">
      <w:pPr>
        <w:pStyle w:val="atitulo3"/>
        <w:spacing w:before="240"/>
        <w:rPr>
          <w:color w:val="auto"/>
        </w:rPr>
      </w:pPr>
      <w:r w:rsidRPr="003A115E">
        <w:rPr>
          <w:color w:val="auto"/>
        </w:rPr>
        <w:t>Contratación pública</w:t>
      </w:r>
    </w:p>
    <w:p w14:paraId="0C6D36CC" w14:textId="7F400317" w:rsidR="00FA5548" w:rsidRPr="003A115E" w:rsidRDefault="1ADFC0D5" w:rsidP="00FA5548">
      <w:pPr>
        <w:pStyle w:val="texto"/>
      </w:pPr>
      <w:r w:rsidRPr="003A115E">
        <w:rPr>
          <w:w w:val="103"/>
          <w:lang w:val="es-ES"/>
        </w:rPr>
        <w:t>Las entidades locales y sus entes dependientes adjudicaron</w:t>
      </w:r>
      <w:r w:rsidR="00293A9B" w:rsidRPr="003A115E">
        <w:rPr>
          <w:w w:val="103"/>
          <w:lang w:val="es-ES"/>
        </w:rPr>
        <w:t>, de acuerdo al registro de contratos,</w:t>
      </w:r>
      <w:r w:rsidRPr="003A115E">
        <w:rPr>
          <w:w w:val="103"/>
          <w:lang w:val="es-ES"/>
        </w:rPr>
        <w:t xml:space="preserve"> </w:t>
      </w:r>
      <w:r w:rsidR="00AD0EE0" w:rsidRPr="003A115E">
        <w:rPr>
          <w:w w:val="103"/>
          <w:lang w:val="es-ES"/>
        </w:rPr>
        <w:t>679</w:t>
      </w:r>
      <w:r w:rsidRPr="003A115E">
        <w:rPr>
          <w:w w:val="103"/>
          <w:lang w:val="es-ES"/>
        </w:rPr>
        <w:t xml:space="preserve"> contratos, por un importe total de </w:t>
      </w:r>
      <w:r w:rsidR="00AD0EE0" w:rsidRPr="003A115E">
        <w:rPr>
          <w:w w:val="103"/>
          <w:lang w:val="es-ES"/>
        </w:rPr>
        <w:t>145,98</w:t>
      </w:r>
      <w:r w:rsidRPr="003A115E">
        <w:rPr>
          <w:w w:val="103"/>
          <w:lang w:val="es-ES"/>
        </w:rPr>
        <w:t xml:space="preserve"> millones, sin computar las contrataciones a través del régimen de menor cuantía.</w:t>
      </w:r>
      <w:r w:rsidR="21653AF6" w:rsidRPr="003A115E">
        <w:rPr>
          <w:w w:val="103"/>
          <w:lang w:val="es-ES"/>
        </w:rPr>
        <w:t xml:space="preserve"> El volumen de contratación está muy concentrado: los 37 contratos de mayor importe representan un </w:t>
      </w:r>
      <w:r w:rsidR="00DB4C94" w:rsidRPr="003A115E">
        <w:rPr>
          <w:w w:val="103"/>
          <w:lang w:val="es-ES"/>
        </w:rPr>
        <w:t>58</w:t>
      </w:r>
      <w:r w:rsidR="21653AF6" w:rsidRPr="003A115E">
        <w:rPr>
          <w:w w:val="103"/>
          <w:lang w:val="es-ES"/>
        </w:rPr>
        <w:t xml:space="preserve"> por ciento del volumen total</w:t>
      </w:r>
      <w:r w:rsidR="0003117C" w:rsidRPr="003A115E">
        <w:rPr>
          <w:w w:val="103"/>
          <w:lang w:val="es-ES"/>
        </w:rPr>
        <w:t xml:space="preserve"> adjudicado</w:t>
      </w:r>
      <w:r w:rsidR="21653AF6" w:rsidRPr="003A115E">
        <w:rPr>
          <w:w w:val="103"/>
          <w:lang w:val="es-ES"/>
        </w:rPr>
        <w:t xml:space="preserve">.  </w:t>
      </w:r>
    </w:p>
    <w:p w14:paraId="7EFE8FA5" w14:textId="41D47D9C" w:rsidR="00FA5548" w:rsidRPr="003A115E" w:rsidRDefault="1ADFC0D5" w:rsidP="00FA5548">
      <w:pPr>
        <w:pStyle w:val="texto"/>
      </w:pPr>
      <w:r w:rsidRPr="003A115E">
        <w:rPr>
          <w:w w:val="103"/>
        </w:rPr>
        <w:t xml:space="preserve">Los ayuntamientos adjudicaron el </w:t>
      </w:r>
      <w:r w:rsidR="00D526D4" w:rsidRPr="003A115E">
        <w:rPr>
          <w:w w:val="103"/>
        </w:rPr>
        <w:t>79</w:t>
      </w:r>
      <w:r w:rsidRPr="003A115E">
        <w:rPr>
          <w:w w:val="103"/>
        </w:rPr>
        <w:t xml:space="preserve"> por ciento de los contratos y</w:t>
      </w:r>
      <w:r w:rsidR="21653AF6" w:rsidRPr="003A115E">
        <w:rPr>
          <w:w w:val="103"/>
        </w:rPr>
        <w:t xml:space="preserve"> el </w:t>
      </w:r>
      <w:r w:rsidR="00D526D4" w:rsidRPr="003A115E">
        <w:rPr>
          <w:w w:val="103"/>
        </w:rPr>
        <w:t>73</w:t>
      </w:r>
      <w:r w:rsidR="21653AF6" w:rsidRPr="003A115E">
        <w:rPr>
          <w:w w:val="103"/>
        </w:rPr>
        <w:t xml:space="preserve"> por ciento del importe</w:t>
      </w:r>
      <w:r w:rsidR="02A05813" w:rsidRPr="003A115E">
        <w:rPr>
          <w:w w:val="103"/>
        </w:rPr>
        <w:t xml:space="preserve"> total</w:t>
      </w:r>
      <w:r w:rsidR="21653AF6" w:rsidRPr="003A115E">
        <w:rPr>
          <w:w w:val="103"/>
        </w:rPr>
        <w:t>.</w:t>
      </w:r>
      <w:r w:rsidR="6A28BBB8" w:rsidRPr="003A115E">
        <w:rPr>
          <w:w w:val="103"/>
        </w:rPr>
        <w:t xml:space="preserve"> </w:t>
      </w:r>
      <w:r w:rsidRPr="003A115E">
        <w:rPr>
          <w:w w:val="103"/>
        </w:rPr>
        <w:t xml:space="preserve">Por su parte, las sociedades públicas adjudicaron el </w:t>
      </w:r>
      <w:r w:rsidR="001C66D0" w:rsidRPr="003A115E">
        <w:rPr>
          <w:w w:val="103"/>
        </w:rPr>
        <w:t>11</w:t>
      </w:r>
      <w:r w:rsidRPr="003A115E">
        <w:rPr>
          <w:w w:val="103"/>
        </w:rPr>
        <w:t xml:space="preserve"> por ciento de los contratos y el </w:t>
      </w:r>
      <w:r w:rsidR="001C66D0" w:rsidRPr="003A115E">
        <w:rPr>
          <w:w w:val="103"/>
        </w:rPr>
        <w:t>20</w:t>
      </w:r>
      <w:r w:rsidRPr="003A115E">
        <w:rPr>
          <w:w w:val="103"/>
        </w:rPr>
        <w:t xml:space="preserve"> por ciento del importe total. </w:t>
      </w:r>
    </w:p>
    <w:p w14:paraId="0FE3B353" w14:textId="26C6AF49" w:rsidR="00F96A5F" w:rsidRPr="003A115E" w:rsidRDefault="0054536D" w:rsidP="004B49BD">
      <w:pPr>
        <w:pStyle w:val="texto"/>
      </w:pPr>
      <w:r w:rsidRPr="003A115E">
        <w:rPr>
          <w:w w:val="103"/>
        </w:rPr>
        <w:t>Destacan l</w:t>
      </w:r>
      <w:r w:rsidR="00EE700E" w:rsidRPr="003A115E">
        <w:rPr>
          <w:w w:val="103"/>
        </w:rPr>
        <w:t>os contratos de obras y servicios</w:t>
      </w:r>
      <w:r w:rsidRPr="003A115E">
        <w:rPr>
          <w:w w:val="103"/>
        </w:rPr>
        <w:t xml:space="preserve"> que representan el 63 y el 25 por ciento del importe total respectivamente</w:t>
      </w:r>
    </w:p>
    <w:p w14:paraId="144A5D23" w14:textId="392E4B94" w:rsidR="00EC4C05" w:rsidRPr="003A115E" w:rsidRDefault="00603D03" w:rsidP="00A75E8B">
      <w:pPr>
        <w:pStyle w:val="texto"/>
        <w:rPr>
          <w:w w:val="103"/>
        </w:rPr>
      </w:pPr>
      <w:r w:rsidRPr="003A115E">
        <w:rPr>
          <w:w w:val="103"/>
        </w:rPr>
        <w:t>El procedimiento de adjudicación más utilizado e</w:t>
      </w:r>
      <w:r w:rsidR="00F96A5F" w:rsidRPr="003A115E">
        <w:rPr>
          <w:w w:val="103"/>
        </w:rPr>
        <w:t>s el abierto, que canaliza el 71</w:t>
      </w:r>
      <w:r w:rsidRPr="003A115E">
        <w:rPr>
          <w:w w:val="103"/>
        </w:rPr>
        <w:t xml:space="preserve"> por</w:t>
      </w:r>
      <w:r w:rsidR="00F96A5F" w:rsidRPr="003A115E">
        <w:rPr>
          <w:w w:val="103"/>
        </w:rPr>
        <w:t xml:space="preserve"> ciento de los contratos y el 91</w:t>
      </w:r>
      <w:r w:rsidRPr="003A115E">
        <w:rPr>
          <w:w w:val="103"/>
        </w:rPr>
        <w:t xml:space="preserve"> por ciento de su importe. </w:t>
      </w:r>
    </w:p>
    <w:p w14:paraId="334CB46B" w14:textId="77777777" w:rsidR="009A7A48" w:rsidRPr="003A115E" w:rsidRDefault="009A7A48" w:rsidP="00D77CFE">
      <w:pPr>
        <w:pStyle w:val="atitulo3"/>
        <w:spacing w:before="240"/>
        <w:rPr>
          <w:color w:val="auto"/>
        </w:rPr>
      </w:pPr>
      <w:r w:rsidRPr="003A115E">
        <w:rPr>
          <w:color w:val="auto"/>
        </w:rPr>
        <w:t>Rendición de cuentas y presupuestos</w:t>
      </w:r>
    </w:p>
    <w:p w14:paraId="0ABBE9E6" w14:textId="77777777" w:rsidR="00CA5A9B" w:rsidRPr="003A115E" w:rsidRDefault="009A7A48" w:rsidP="00BB427D">
      <w:pPr>
        <w:pStyle w:val="texto"/>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rPr>
          <w:rFonts w:cs="Arial"/>
        </w:rPr>
      </w:pPr>
      <w:r w:rsidRPr="003A115E">
        <w:rPr>
          <w:rFonts w:cs="Arial"/>
        </w:rPr>
        <w:t>En general, las entidades locales aprueba</w:t>
      </w:r>
      <w:r w:rsidR="0003117C" w:rsidRPr="003A115E">
        <w:rPr>
          <w:rFonts w:cs="Arial"/>
        </w:rPr>
        <w:t>n sus cuentas y las remiten a</w:t>
      </w:r>
      <w:r w:rsidR="0079472A" w:rsidRPr="003A115E">
        <w:rPr>
          <w:rFonts w:cs="Arial"/>
        </w:rPr>
        <w:t xml:space="preserve"> la</w:t>
      </w:r>
      <w:r w:rsidR="0003117C" w:rsidRPr="003A115E">
        <w:rPr>
          <w:rFonts w:cs="Arial"/>
        </w:rPr>
        <w:t xml:space="preserve"> </w:t>
      </w:r>
      <w:r w:rsidR="0079472A" w:rsidRPr="003A115E">
        <w:rPr>
          <w:rFonts w:cs="Arial"/>
          <w:spacing w:val="4"/>
        </w:rPr>
        <w:t>ACFN</w:t>
      </w:r>
      <w:r w:rsidRPr="003A115E">
        <w:rPr>
          <w:rFonts w:cs="Arial"/>
        </w:rPr>
        <w:t xml:space="preserve">, pero en muchos casos existen demoras significativas con respecto a los plazos legales. En concreto, estas obligaciones de aprobación y remisión han sido cumplidas dentro del plazo máximo legalmente previsto por el </w:t>
      </w:r>
      <w:r w:rsidR="00583F3D" w:rsidRPr="003A115E">
        <w:rPr>
          <w:rFonts w:cs="Arial"/>
        </w:rPr>
        <w:t>61</w:t>
      </w:r>
      <w:r w:rsidRPr="003A115E">
        <w:rPr>
          <w:rFonts w:cs="Arial"/>
        </w:rPr>
        <w:t xml:space="preserve"> y el </w:t>
      </w:r>
      <w:r w:rsidR="00583F3D" w:rsidRPr="003A115E">
        <w:rPr>
          <w:rFonts w:cs="Arial"/>
        </w:rPr>
        <w:t>50</w:t>
      </w:r>
      <w:r w:rsidRPr="003A115E">
        <w:rPr>
          <w:rFonts w:cs="Arial"/>
        </w:rPr>
        <w:t xml:space="preserve"> por ciento de las entidades locales, respectivamente, si bien a fecha de elaboración de este informe el </w:t>
      </w:r>
      <w:r w:rsidR="00583F3D" w:rsidRPr="003A115E">
        <w:rPr>
          <w:rFonts w:cs="Arial"/>
        </w:rPr>
        <w:t>8</w:t>
      </w:r>
      <w:r w:rsidR="00CA5829" w:rsidRPr="003A115E">
        <w:rPr>
          <w:rFonts w:cs="Arial"/>
        </w:rPr>
        <w:t xml:space="preserve">7 </w:t>
      </w:r>
      <w:r w:rsidRPr="003A115E">
        <w:rPr>
          <w:rFonts w:cs="Arial"/>
        </w:rPr>
        <w:t xml:space="preserve">por ciento de las entidades locales ya ha remitido sus cuentas </w:t>
      </w:r>
      <w:r w:rsidR="003F62EF" w:rsidRPr="003A115E">
        <w:rPr>
          <w:rFonts w:cs="Arial"/>
        </w:rPr>
        <w:t>de 2022</w:t>
      </w:r>
      <w:r w:rsidRPr="003A115E">
        <w:rPr>
          <w:rFonts w:cs="Arial"/>
        </w:rPr>
        <w:t>.</w:t>
      </w:r>
    </w:p>
    <w:p w14:paraId="1FE9DF8B" w14:textId="247286B7" w:rsidR="009A7A48" w:rsidRPr="003A115E" w:rsidRDefault="21B8DB18" w:rsidP="00BB427D">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rPr>
      </w:pPr>
      <w:r w:rsidRPr="003A115E">
        <w:rPr>
          <w:rFonts w:cs="Arial"/>
        </w:rPr>
        <w:t xml:space="preserve">En lo referido al presupuesto, solo el </w:t>
      </w:r>
      <w:r w:rsidR="003F62EF" w:rsidRPr="003A115E">
        <w:rPr>
          <w:rFonts w:cs="Arial"/>
        </w:rPr>
        <w:t>23</w:t>
      </w:r>
      <w:r w:rsidRPr="003A115E">
        <w:rPr>
          <w:rFonts w:cs="Arial"/>
        </w:rPr>
        <w:t xml:space="preserve"> por ciento de las entidades locales lo aprueba antes iniciarse el ejercicio correspondiente y solo el tres por ciento lo remite a la DGALD dentro del plazo máximo legalmente previsto. </w:t>
      </w:r>
    </w:p>
    <w:p w14:paraId="22F43A71" w14:textId="321AE3CD" w:rsidR="009A7A48" w:rsidRPr="003A115E" w:rsidRDefault="009A7A48" w:rsidP="00D77CFE">
      <w:pPr>
        <w:pStyle w:val="atitulo3"/>
        <w:spacing w:before="240"/>
        <w:rPr>
          <w:color w:val="auto"/>
        </w:rPr>
      </w:pPr>
      <w:r w:rsidRPr="003A115E">
        <w:rPr>
          <w:color w:val="auto"/>
        </w:rPr>
        <w:t>Control interno</w:t>
      </w:r>
      <w:r w:rsidR="008E50A9" w:rsidRPr="003A115E">
        <w:rPr>
          <w:color w:val="auto"/>
        </w:rPr>
        <w:t xml:space="preserve"> </w:t>
      </w:r>
    </w:p>
    <w:p w14:paraId="4C518210" w14:textId="1CF5A29B" w:rsidR="0023366C" w:rsidRPr="003A115E" w:rsidRDefault="00BB427D" w:rsidP="00144023">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lang w:val="es-ES"/>
        </w:rPr>
      </w:pPr>
      <w:r w:rsidRPr="003A115E">
        <w:rPr>
          <w:rFonts w:cs="Arial"/>
          <w:lang w:val="es-ES"/>
        </w:rPr>
        <w:t>De las tres modalidades de control interno establecidas por la normativa, solo la función interventora se ejerce de manera gen</w:t>
      </w:r>
      <w:r w:rsidR="00FB4B12" w:rsidRPr="003A115E">
        <w:rPr>
          <w:rFonts w:cs="Arial"/>
          <w:lang w:val="es-ES"/>
        </w:rPr>
        <w:t xml:space="preserve">eralizada. </w:t>
      </w:r>
      <w:r w:rsidR="00CE4EA2" w:rsidRPr="003A115E">
        <w:rPr>
          <w:rFonts w:cs="Arial"/>
          <w:lang w:val="es-ES"/>
        </w:rPr>
        <w:t xml:space="preserve">Las funciones de control financiero y de control de eficacia la </w:t>
      </w:r>
      <w:r w:rsidR="008F7B61" w:rsidRPr="003A115E">
        <w:rPr>
          <w:rFonts w:cs="Arial"/>
          <w:lang w:val="es-ES"/>
        </w:rPr>
        <w:t>declaran ejercer</w:t>
      </w:r>
      <w:r w:rsidR="00CE4EA2" w:rsidRPr="003A115E">
        <w:rPr>
          <w:rFonts w:cs="Arial"/>
          <w:lang w:val="es-ES"/>
        </w:rPr>
        <w:t xml:space="preserve"> el 59 y 44 por ciento, respectivamente, de las entidades locales</w:t>
      </w:r>
      <w:r w:rsidRPr="003A115E">
        <w:rPr>
          <w:rFonts w:cs="Arial"/>
          <w:lang w:val="es-ES"/>
        </w:rPr>
        <w:t>.</w:t>
      </w:r>
      <w:r w:rsidR="00144023" w:rsidRPr="003A115E">
        <w:rPr>
          <w:rFonts w:cs="Arial"/>
          <w:lang w:val="es-ES"/>
        </w:rPr>
        <w:t xml:space="preserve"> </w:t>
      </w:r>
    </w:p>
    <w:p w14:paraId="28C6685C" w14:textId="77777777" w:rsidR="00144023" w:rsidRPr="003A115E" w:rsidRDefault="00144023" w:rsidP="31020D79">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lang w:val="es-ES"/>
        </w:rPr>
      </w:pPr>
      <w:r w:rsidRPr="003A115E">
        <w:rPr>
          <w:rFonts w:cs="Arial"/>
          <w:lang w:val="es-ES"/>
        </w:rPr>
        <w:lastRenderedPageBreak/>
        <w:t>A este respecto, destacamos que en Navarra no se ha efectuado el desarrollo reglamentario del régimen jurídico del control interno, a diferencia de lo que sucede en el Es</w:t>
      </w:r>
      <w:r w:rsidR="0023366C" w:rsidRPr="003A115E">
        <w:rPr>
          <w:rFonts w:cs="Arial"/>
          <w:lang w:val="es-ES"/>
        </w:rPr>
        <w:t>tado, donde se aprobó el Real Decreto 424/2017, de 28 de abril, por el que se regula el régimen jurídico del control interno de las entidades del sector público local.</w:t>
      </w:r>
    </w:p>
    <w:p w14:paraId="3B7B4B86" w14:textId="76B0F133" w:rsidR="00EC4C05" w:rsidRPr="003A115E" w:rsidRDefault="08678C8D" w:rsidP="00EC6718">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lang w:val="es-ES"/>
        </w:rPr>
      </w:pPr>
      <w:r w:rsidRPr="003A115E">
        <w:rPr>
          <w:rFonts w:cs="Arial"/>
          <w:lang w:val="es-ES"/>
        </w:rPr>
        <w:t>E</w:t>
      </w:r>
      <w:r w:rsidR="00283570" w:rsidRPr="003A115E">
        <w:rPr>
          <w:rFonts w:cs="Arial"/>
          <w:lang w:val="es-ES"/>
        </w:rPr>
        <w:t>n 2022</w:t>
      </w:r>
      <w:r w:rsidR="60C23F7E" w:rsidRPr="003A115E">
        <w:rPr>
          <w:rFonts w:cs="Arial"/>
          <w:lang w:val="es-ES"/>
        </w:rPr>
        <w:t xml:space="preserve">, los órganos interventores de </w:t>
      </w:r>
      <w:r w:rsidR="00283570" w:rsidRPr="003A115E">
        <w:rPr>
          <w:rFonts w:cs="Arial"/>
          <w:lang w:val="es-ES"/>
        </w:rPr>
        <w:t>30</w:t>
      </w:r>
      <w:r w:rsidR="60C23F7E" w:rsidRPr="003A115E">
        <w:rPr>
          <w:rFonts w:cs="Arial"/>
          <w:lang w:val="es-ES"/>
        </w:rPr>
        <w:t xml:space="preserve"> entidades locales </w:t>
      </w:r>
      <w:r w:rsidR="00F31986" w:rsidRPr="003A115E">
        <w:rPr>
          <w:rFonts w:cs="Arial"/>
          <w:lang w:val="es-ES"/>
        </w:rPr>
        <w:t>formularon</w:t>
      </w:r>
      <w:r w:rsidR="60C23F7E" w:rsidRPr="003A115E">
        <w:rPr>
          <w:rFonts w:cs="Arial"/>
          <w:lang w:val="es-ES"/>
        </w:rPr>
        <w:t xml:space="preserve"> </w:t>
      </w:r>
      <w:r w:rsidR="008F6256" w:rsidRPr="003A115E">
        <w:rPr>
          <w:rFonts w:cs="Arial"/>
          <w:lang w:val="es-ES"/>
        </w:rPr>
        <w:t>188</w:t>
      </w:r>
      <w:r w:rsidR="60C23F7E" w:rsidRPr="003A115E">
        <w:rPr>
          <w:rFonts w:cs="Arial"/>
          <w:lang w:val="es-ES"/>
        </w:rPr>
        <w:t xml:space="preserve"> reparos, que </w:t>
      </w:r>
      <w:r w:rsidRPr="003A115E">
        <w:rPr>
          <w:rFonts w:cs="Arial"/>
          <w:lang w:val="es-ES"/>
        </w:rPr>
        <w:t xml:space="preserve">afectan a un importe total de </w:t>
      </w:r>
      <w:r w:rsidR="008F6256" w:rsidRPr="003A115E">
        <w:rPr>
          <w:rFonts w:cs="Arial"/>
          <w:lang w:val="es-ES"/>
        </w:rPr>
        <w:t>7,15</w:t>
      </w:r>
      <w:r w:rsidRPr="003A115E">
        <w:rPr>
          <w:rFonts w:cs="Arial"/>
          <w:lang w:val="es-ES"/>
        </w:rPr>
        <w:t xml:space="preserve"> millones.</w:t>
      </w:r>
      <w:r w:rsidR="60C23F7E" w:rsidRPr="003A115E">
        <w:rPr>
          <w:rFonts w:cs="Arial"/>
          <w:lang w:val="es-ES"/>
        </w:rPr>
        <w:t xml:space="preserve"> </w:t>
      </w:r>
      <w:r w:rsidRPr="003A115E">
        <w:rPr>
          <w:rFonts w:cs="Arial"/>
          <w:lang w:val="es-ES"/>
        </w:rPr>
        <w:t xml:space="preserve">El </w:t>
      </w:r>
      <w:r w:rsidR="02A05813" w:rsidRPr="003A115E">
        <w:rPr>
          <w:rFonts w:cs="Arial"/>
          <w:lang w:val="es-ES"/>
        </w:rPr>
        <w:t xml:space="preserve">área con mayor número de </w:t>
      </w:r>
      <w:r w:rsidRPr="003A115E">
        <w:rPr>
          <w:rFonts w:cs="Arial"/>
          <w:lang w:val="es-ES"/>
        </w:rPr>
        <w:t>reparos es la de contratación pública</w:t>
      </w:r>
      <w:r w:rsidR="02A05813" w:rsidRPr="003A115E">
        <w:rPr>
          <w:rFonts w:cs="Arial"/>
          <w:lang w:val="es-ES"/>
        </w:rPr>
        <w:t>, en la que se han interpuesto</w:t>
      </w:r>
      <w:r w:rsidR="60C23F7E" w:rsidRPr="003A115E">
        <w:rPr>
          <w:rFonts w:cs="Arial"/>
          <w:lang w:val="es-ES"/>
        </w:rPr>
        <w:t xml:space="preserve"> </w:t>
      </w:r>
      <w:r w:rsidR="008F6256" w:rsidRPr="003A115E">
        <w:rPr>
          <w:rFonts w:cs="Arial"/>
          <w:lang w:val="es-ES"/>
        </w:rPr>
        <w:t>141</w:t>
      </w:r>
      <w:r w:rsidR="60C23F7E" w:rsidRPr="003A115E">
        <w:rPr>
          <w:rFonts w:cs="Arial"/>
          <w:lang w:val="es-ES"/>
        </w:rPr>
        <w:t xml:space="preserve"> reparos</w:t>
      </w:r>
      <w:r w:rsidR="1D39334B" w:rsidRPr="003A115E">
        <w:rPr>
          <w:rFonts w:cs="Arial"/>
          <w:lang w:val="es-ES"/>
        </w:rPr>
        <w:t xml:space="preserve"> que afectan a </w:t>
      </w:r>
      <w:r w:rsidR="00AE1D5B" w:rsidRPr="003A115E">
        <w:rPr>
          <w:rFonts w:cs="Arial"/>
          <w:lang w:val="es-ES"/>
        </w:rPr>
        <w:t>5,53</w:t>
      </w:r>
      <w:r w:rsidR="1D39334B" w:rsidRPr="003A115E">
        <w:rPr>
          <w:rFonts w:cs="Arial"/>
          <w:lang w:val="es-ES"/>
        </w:rPr>
        <w:t xml:space="preserve"> millones</w:t>
      </w:r>
      <w:r w:rsidR="00E013A0" w:rsidRPr="003A115E">
        <w:rPr>
          <w:rFonts w:cs="Arial"/>
          <w:lang w:val="es-ES"/>
        </w:rPr>
        <w:t xml:space="preserve"> de gasto</w:t>
      </w:r>
      <w:r w:rsidR="1D39334B" w:rsidRPr="003A115E">
        <w:rPr>
          <w:rFonts w:cs="Arial"/>
          <w:lang w:val="es-ES"/>
        </w:rPr>
        <w:t xml:space="preserve">. </w:t>
      </w:r>
    </w:p>
    <w:p w14:paraId="2FB5DBF5" w14:textId="77777777" w:rsidR="009A7A48" w:rsidRPr="003A115E" w:rsidRDefault="009A7A48" w:rsidP="00D77CFE">
      <w:pPr>
        <w:pStyle w:val="atitulo3"/>
        <w:spacing w:before="240"/>
        <w:rPr>
          <w:color w:val="auto"/>
        </w:rPr>
      </w:pPr>
      <w:r w:rsidRPr="003A115E">
        <w:rPr>
          <w:color w:val="auto"/>
        </w:rPr>
        <w:t xml:space="preserve">Normativa </w:t>
      </w:r>
      <w:r w:rsidR="00144023" w:rsidRPr="003A115E">
        <w:rPr>
          <w:color w:val="auto"/>
        </w:rPr>
        <w:t>presupuestaria y contable</w:t>
      </w:r>
    </w:p>
    <w:p w14:paraId="5630AD66" w14:textId="605E922B" w:rsidR="009A7A48" w:rsidRPr="003A115E" w:rsidRDefault="002120E8" w:rsidP="00D77CFE">
      <w:pPr>
        <w:pStyle w:val="texto"/>
      </w:pPr>
      <w:r w:rsidRPr="003A115E">
        <w:t>D</w:t>
      </w:r>
      <w:r w:rsidR="60C23F7E" w:rsidRPr="003A115E">
        <w:t>estacamos que la contabilidad local en Navarra está regulada por los decretos forales 272/1998 y 273/1998, de 21 de septiembre, basados en el Plan General de Contabilidad Pública adaptado a la administración local aprobado por Orden Ministerial de 17 de julio de 1990. No se ha</w:t>
      </w:r>
      <w:r w:rsidR="5A675AF2" w:rsidRPr="003A115E">
        <w:t xml:space="preserve"> adaptado esta regulación al Plan General de Contabilidad Pública de 2010 y tampoco se ha</w:t>
      </w:r>
      <w:r w:rsidR="60C23F7E" w:rsidRPr="003A115E">
        <w:t>n dictado normas sobre consolidación de los estados contables de la</w:t>
      </w:r>
      <w:r w:rsidR="4139EA78" w:rsidRPr="003A115E">
        <w:t>s</w:t>
      </w:r>
      <w:r w:rsidR="60C23F7E" w:rsidRPr="003A115E">
        <w:t xml:space="preserve"> entidad</w:t>
      </w:r>
      <w:r w:rsidR="47BEE3C6" w:rsidRPr="003A115E">
        <w:t>es</w:t>
      </w:r>
      <w:r w:rsidR="60C23F7E" w:rsidRPr="003A115E">
        <w:t xml:space="preserve"> local</w:t>
      </w:r>
      <w:r w:rsidR="22FCB1BE" w:rsidRPr="003A115E">
        <w:t>es</w:t>
      </w:r>
      <w:r w:rsidR="3CAC0282" w:rsidRPr="003A115E">
        <w:t xml:space="preserve"> </w:t>
      </w:r>
      <w:r w:rsidR="60C23F7E" w:rsidRPr="003A115E">
        <w:t>y sus entes dependientes.</w:t>
      </w:r>
    </w:p>
    <w:p w14:paraId="636B80B5" w14:textId="2485DBD9" w:rsidR="009A7A48" w:rsidRPr="003A115E" w:rsidRDefault="009A7A48" w:rsidP="00D77CFE">
      <w:pPr>
        <w:pStyle w:val="atitulo2"/>
        <w:spacing w:before="240"/>
        <w:rPr>
          <w:b/>
          <w:i/>
          <w:color w:val="auto"/>
        </w:rPr>
      </w:pPr>
      <w:bookmarkStart w:id="33" w:name="_Toc123547400"/>
      <w:bookmarkStart w:id="34" w:name="_Toc183679740"/>
      <w:r w:rsidRPr="003A115E">
        <w:rPr>
          <w:color w:val="auto"/>
        </w:rPr>
        <w:t>III.2 Recomendaciones</w:t>
      </w:r>
      <w:bookmarkEnd w:id="33"/>
      <w:bookmarkEnd w:id="34"/>
    </w:p>
    <w:p w14:paraId="4DE81923" w14:textId="6C63E866" w:rsidR="009A7A48" w:rsidRPr="003A115E" w:rsidRDefault="009A7A48" w:rsidP="0023366C">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rPr>
      </w:pPr>
      <w:r w:rsidRPr="003A115E">
        <w:rPr>
          <w:rFonts w:cs="Arial"/>
        </w:rPr>
        <w:t xml:space="preserve">Teniendo en cuenta las conclusiones señaladas y las recomendaciones incluidas en informes anteriores que siguen vigentes, </w:t>
      </w:r>
      <w:r w:rsidR="0008308A" w:rsidRPr="003A115E">
        <w:rPr>
          <w:rFonts w:cs="Arial"/>
        </w:rPr>
        <w:t>formulamos</w:t>
      </w:r>
      <w:r w:rsidRPr="003A115E">
        <w:rPr>
          <w:rFonts w:cs="Arial"/>
        </w:rPr>
        <w:t xml:space="preserve"> las siguientes recomendaciones:</w:t>
      </w:r>
      <w:r w:rsidR="00A31597" w:rsidRPr="003A115E">
        <w:rPr>
          <w:rFonts w:cs="Arial"/>
        </w:rPr>
        <w:t xml:space="preserve"> </w:t>
      </w:r>
    </w:p>
    <w:p w14:paraId="2CC07A36" w14:textId="488C1C74" w:rsidR="009A7A48" w:rsidRPr="003A115E" w:rsidRDefault="009A7A48" w:rsidP="0023366C">
      <w:pPr>
        <w:pStyle w:val="texto"/>
        <w:spacing w:before="240"/>
        <w:ind w:firstLine="0"/>
        <w:rPr>
          <w:b/>
          <w:i/>
        </w:rPr>
      </w:pPr>
      <w:r w:rsidRPr="003A115E">
        <w:rPr>
          <w:b/>
          <w:bCs/>
          <w:i/>
          <w:iCs/>
        </w:rPr>
        <w:t>A la Administración de la Comunidad Foral y al Parlamento de Navarra</w:t>
      </w:r>
    </w:p>
    <w:p w14:paraId="2B4FF219" w14:textId="0FE2D4E4" w:rsidR="0034719C" w:rsidRPr="003A115E" w:rsidRDefault="000F7D8C" w:rsidP="0034719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rPr>
      </w:pPr>
      <w:r w:rsidRPr="003A115E">
        <w:rPr>
          <w:rFonts w:cs="Arial"/>
          <w:i/>
          <w:iCs/>
        </w:rPr>
        <w:t>Aprobar las medidas legislativas y administrativas precisas para completar la reestructuración de la administración local Navarra establecida en la Ley Foral 4/2019, de 4 de febrero, de Reforma de la Administración Local de Navarra, con la finalidad de lograr una gestión pública eficiente y eficaz.</w:t>
      </w:r>
    </w:p>
    <w:p w14:paraId="796CE187" w14:textId="615C41AA" w:rsidR="00EC3B45" w:rsidRPr="003A115E" w:rsidRDefault="00EC3B45" w:rsidP="00EC3B45">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rPr>
      </w:pPr>
      <w:r w:rsidRPr="003A115E">
        <w:rPr>
          <w:rFonts w:cs="Arial"/>
          <w:i/>
          <w:iCs/>
        </w:rPr>
        <w:t xml:space="preserve">Aprobar urgentemente el desarrollo reglamentario del régimen jurídico del control interno de las entidades locales conjugando la agilidad en la gestión con el necesario rigor en el control interno.  </w:t>
      </w:r>
    </w:p>
    <w:p w14:paraId="6067E084" w14:textId="78562157" w:rsidR="0034719C" w:rsidRPr="003A115E" w:rsidRDefault="0034719C" w:rsidP="0034719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spacing w:val="4"/>
          <w:lang w:val="es-ES"/>
        </w:rPr>
      </w:pPr>
      <w:r w:rsidRPr="003A115E">
        <w:rPr>
          <w:rFonts w:cs="Arial"/>
          <w:i/>
          <w:iCs/>
        </w:rPr>
        <w:t>Acometer</w:t>
      </w:r>
      <w:r w:rsidRPr="003A115E">
        <w:rPr>
          <w:rFonts w:cs="Arial"/>
          <w:i/>
          <w:iCs/>
          <w:lang w:val="es-ES"/>
        </w:rPr>
        <w:t xml:space="preserve"> urgentemente la reforma de la contabilidad local, adaptándola al vigente Plan General de Contabilidad Pública de 2010, así como la elaboración de las</w:t>
      </w:r>
      <w:r w:rsidRPr="003A115E">
        <w:rPr>
          <w:rFonts w:cs="Arial"/>
          <w:i/>
          <w:iCs/>
          <w:spacing w:val="4"/>
          <w:lang w:val="es-ES"/>
        </w:rPr>
        <w:t xml:space="preserve"> normas para la consolidación de los estados contables de las entidades locales y sus entes dependientes.</w:t>
      </w:r>
      <w:r w:rsidR="003E76C2" w:rsidRPr="003A115E">
        <w:rPr>
          <w:rFonts w:cs="Arial"/>
          <w:i/>
          <w:iCs/>
          <w:spacing w:val="4"/>
          <w:lang w:val="es-ES"/>
        </w:rPr>
        <w:t xml:space="preserve"> </w:t>
      </w:r>
    </w:p>
    <w:p w14:paraId="56A32FD2" w14:textId="48C6B881" w:rsidR="008E04A7" w:rsidRPr="003A115E" w:rsidRDefault="00A8133B" w:rsidP="0DF82E94">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i/>
          <w:iCs/>
          <w:szCs w:val="26"/>
          <w:lang w:val="es-ES"/>
        </w:rPr>
      </w:pPr>
      <w:r w:rsidRPr="003A115E">
        <w:rPr>
          <w:rFonts w:cs="Arial"/>
          <w:i/>
          <w:iCs/>
        </w:rPr>
        <w:t xml:space="preserve">Elaborar un modelo de plantilla orgánica de personal que contemple, de forma clara y concreta, los requisitos e información </w:t>
      </w:r>
      <w:r w:rsidR="00527EE8" w:rsidRPr="003A115E">
        <w:rPr>
          <w:rFonts w:cs="Arial"/>
          <w:i/>
          <w:iCs/>
        </w:rPr>
        <w:t>que debe contener tal documento</w:t>
      </w:r>
      <w:r w:rsidR="00527EE8" w:rsidRPr="003A115E">
        <w:rPr>
          <w:rFonts w:cs="Arial"/>
          <w:bCs/>
          <w:i/>
          <w:iCs/>
          <w:lang w:val="es-ES"/>
        </w:rPr>
        <w:t>, incluyendo todo el personal vinculado con la entidad cualquiera que sea su régimen jurídico.</w:t>
      </w:r>
    </w:p>
    <w:p w14:paraId="24BDE7DC" w14:textId="799BB4BF" w:rsidR="00260CF2" w:rsidRPr="003A115E" w:rsidRDefault="00260CF2" w:rsidP="00260CF2">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lang w:val="es-ES"/>
        </w:rPr>
      </w:pPr>
      <w:r w:rsidRPr="003A115E">
        <w:rPr>
          <w:rFonts w:cs="Arial"/>
          <w:i/>
          <w:iCs/>
          <w:lang w:val="es-ES"/>
        </w:rPr>
        <w:lastRenderedPageBreak/>
        <w:t>Modificar el Decreto Foral Legislativo 251/1993, de 30 de agosto, por el que se aprueba el Texto Refundido del Estatuto del personal al servicio de las Administraciones Públicas de Navarra, para extender al personal al servicio de las entidades locales, lo dispuesto en el Decreto-Ley Foral 1/2018, de 24 de octubre, de medidas en materia de personal, por el que el colectivo de personal al servicio de la Administración de la Comunidad Foral de Navarra y sus organismos autónomos, perteneciente al nivel/grupo E, quedó directamente encuadrado en el nivel/grupo D, equiparando las condiciones del personal de todas las Administraciones Públicas de Navarra.</w:t>
      </w:r>
    </w:p>
    <w:p w14:paraId="7317AD6F" w14:textId="197C5004" w:rsidR="00A8133B" w:rsidRPr="003A115E" w:rsidRDefault="00381032" w:rsidP="0DF82E94">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i/>
          <w:iCs/>
          <w:szCs w:val="26"/>
          <w:lang w:val="es-ES"/>
        </w:rPr>
      </w:pPr>
      <w:r w:rsidRPr="003A115E">
        <w:rPr>
          <w:i/>
          <w:iCs/>
          <w:szCs w:val="26"/>
          <w:lang w:val="es-ES"/>
        </w:rPr>
        <w:t>Establecer un modelo normalizado para la publicación de los contratos de menor cuantía en el Portal de Contratación de Navarra, de manera que la información se presente y almacene de manera estructurada, en un formato que permita el tratamiento automatizado de los datos.</w:t>
      </w:r>
    </w:p>
    <w:p w14:paraId="4A4938C4" w14:textId="0C027DDD" w:rsidR="2B38951E" w:rsidRPr="003A115E" w:rsidRDefault="2B38951E" w:rsidP="0DF82E94">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i/>
          <w:iCs/>
          <w:szCs w:val="26"/>
          <w:lang w:val="es-ES"/>
        </w:rPr>
      </w:pPr>
      <w:r w:rsidRPr="003A115E">
        <w:rPr>
          <w:i/>
          <w:iCs/>
          <w:szCs w:val="26"/>
          <w:lang w:val="es-ES"/>
        </w:rPr>
        <w:t>Modificar la legislación foral para posibilitar que las entidades locales de Navarra puedan utilizar, cuando esté debidamente justificado, y con la suficiente seguridad jurídica, el procedimiento de concesión de subvenciones en régimen de evaluación individualizada.</w:t>
      </w:r>
    </w:p>
    <w:p w14:paraId="6544FC49" w14:textId="6C2DAC0D" w:rsidR="00B21B32" w:rsidRPr="003A115E" w:rsidRDefault="16E7D7EA" w:rsidP="00364DAD">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line="259" w:lineRule="auto"/>
        <w:ind w:left="0" w:firstLine="289"/>
        <w:rPr>
          <w:rFonts w:cs="Arial"/>
          <w:i/>
          <w:lang w:val="es-ES"/>
        </w:rPr>
      </w:pPr>
      <w:r w:rsidRPr="003A115E">
        <w:rPr>
          <w:rFonts w:cs="Arial"/>
          <w:i/>
          <w:iCs/>
          <w:lang w:val="es-ES"/>
        </w:rPr>
        <w:t xml:space="preserve">Regular legalmente </w:t>
      </w:r>
      <w:r w:rsidR="43F877B4" w:rsidRPr="003A115E">
        <w:rPr>
          <w:rFonts w:cs="Arial"/>
          <w:i/>
          <w:iCs/>
          <w:lang w:val="es-ES"/>
        </w:rPr>
        <w:t xml:space="preserve">los </w:t>
      </w:r>
      <w:r w:rsidR="05539283" w:rsidRPr="003A115E">
        <w:rPr>
          <w:rFonts w:cs="Arial"/>
          <w:i/>
          <w:iCs/>
          <w:lang w:val="es-ES"/>
        </w:rPr>
        <w:t xml:space="preserve">supuestos, requisitos y </w:t>
      </w:r>
      <w:r w:rsidR="7143B0AE" w:rsidRPr="003A115E">
        <w:rPr>
          <w:rFonts w:cs="Arial"/>
          <w:i/>
          <w:iCs/>
          <w:lang w:val="es-ES"/>
        </w:rPr>
        <w:t xml:space="preserve">procedimiento para </w:t>
      </w:r>
      <w:r w:rsidR="05539283" w:rsidRPr="003A115E">
        <w:rPr>
          <w:rFonts w:cs="Arial"/>
          <w:i/>
          <w:iCs/>
          <w:lang w:val="es-ES"/>
        </w:rPr>
        <w:t xml:space="preserve">el pago de </w:t>
      </w:r>
      <w:r w:rsidR="6BBD3DE9" w:rsidRPr="003A115E">
        <w:rPr>
          <w:rFonts w:cs="Arial"/>
          <w:i/>
          <w:iCs/>
          <w:lang w:val="es-ES"/>
        </w:rPr>
        <w:t>l</w:t>
      </w:r>
      <w:r w:rsidR="05539283" w:rsidRPr="003A115E">
        <w:rPr>
          <w:rFonts w:cs="Arial"/>
          <w:i/>
          <w:iCs/>
          <w:lang w:val="es-ES"/>
        </w:rPr>
        <w:t>as prestaciones realizadas por terceros</w:t>
      </w:r>
      <w:r w:rsidR="37D018FB" w:rsidRPr="003A115E">
        <w:rPr>
          <w:rFonts w:cs="Arial"/>
          <w:i/>
          <w:iCs/>
          <w:lang w:val="es-ES"/>
        </w:rPr>
        <w:t xml:space="preserve"> cuando,</w:t>
      </w:r>
      <w:r w:rsidR="05539283" w:rsidRPr="003A115E">
        <w:rPr>
          <w:rFonts w:cs="Arial"/>
          <w:i/>
          <w:iCs/>
          <w:lang w:val="es-ES"/>
        </w:rPr>
        <w:t xml:space="preserve"> </w:t>
      </w:r>
      <w:r w:rsidR="7D589654" w:rsidRPr="003A115E">
        <w:rPr>
          <w:rFonts w:cs="Arial"/>
          <w:i/>
          <w:iCs/>
          <w:lang w:val="es-ES"/>
        </w:rPr>
        <w:t>una vez vencido el correspondiente contrato</w:t>
      </w:r>
      <w:r w:rsidR="3859A7A5" w:rsidRPr="003A115E">
        <w:rPr>
          <w:rFonts w:cs="Arial"/>
          <w:i/>
          <w:iCs/>
          <w:lang w:val="es-ES"/>
        </w:rPr>
        <w:t>, no se haya formalizado uno nuevo que garantice la continuidad de la prestación y</w:t>
      </w:r>
      <w:r w:rsidR="3E5A1654" w:rsidRPr="003A115E">
        <w:rPr>
          <w:rFonts w:cs="Arial"/>
          <w:i/>
          <w:iCs/>
          <w:lang w:val="es-ES"/>
        </w:rPr>
        <w:t>, en interés público,</w:t>
      </w:r>
      <w:r w:rsidR="3859A7A5" w:rsidRPr="003A115E">
        <w:rPr>
          <w:rFonts w:cs="Arial"/>
          <w:i/>
          <w:iCs/>
          <w:lang w:val="es-ES"/>
        </w:rPr>
        <w:t xml:space="preserve"> sea necesario</w:t>
      </w:r>
      <w:r w:rsidR="37D1CBB9" w:rsidRPr="003A115E">
        <w:rPr>
          <w:rFonts w:cs="Arial"/>
          <w:i/>
          <w:iCs/>
          <w:lang w:val="es-ES"/>
        </w:rPr>
        <w:t xml:space="preserve"> no interrumpirla</w:t>
      </w:r>
      <w:r w:rsidR="7EC966B4" w:rsidRPr="003A115E">
        <w:rPr>
          <w:rFonts w:cs="Arial"/>
          <w:i/>
          <w:iCs/>
          <w:lang w:val="es-ES"/>
        </w:rPr>
        <w:t>.</w:t>
      </w:r>
    </w:p>
    <w:p w14:paraId="7BD65F71" w14:textId="0110316E" w:rsidR="00D33F04" w:rsidRPr="003A115E" w:rsidRDefault="00D33F04" w:rsidP="00B21B32">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i/>
          <w:lang w:val="es-ES"/>
        </w:rPr>
      </w:pPr>
      <w:r w:rsidRPr="003A115E">
        <w:rPr>
          <w:rFonts w:cs="Arial"/>
          <w:lang w:val="es-ES"/>
        </w:rPr>
        <w:t>A fecha de redacción de este informe se está</w:t>
      </w:r>
      <w:r w:rsidR="00383C42" w:rsidRPr="003A115E">
        <w:rPr>
          <w:rFonts w:cs="Arial"/>
          <w:lang w:val="es-ES"/>
        </w:rPr>
        <w:t>n</w:t>
      </w:r>
      <w:r w:rsidRPr="003A115E">
        <w:rPr>
          <w:rFonts w:cs="Arial"/>
          <w:lang w:val="es-ES"/>
        </w:rPr>
        <w:t xml:space="preserve"> atendiendo, las siguiente</w:t>
      </w:r>
      <w:r w:rsidR="00B00F12" w:rsidRPr="003A115E">
        <w:rPr>
          <w:rFonts w:cs="Arial"/>
          <w:lang w:val="es-ES"/>
        </w:rPr>
        <w:t>s recomendaciones</w:t>
      </w:r>
      <w:r w:rsidRPr="003A115E">
        <w:rPr>
          <w:rFonts w:cs="Arial"/>
          <w:lang w:val="es-ES"/>
        </w:rPr>
        <w:t xml:space="preserve"> incluida en nuestro informe anterior:</w:t>
      </w:r>
    </w:p>
    <w:p w14:paraId="699D76FC" w14:textId="6CBA858C" w:rsidR="00D33F04" w:rsidRPr="003A115E" w:rsidRDefault="00D33F04" w:rsidP="00D33F04">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pPr>
      <w:r w:rsidRPr="003A115E">
        <w:rPr>
          <w:rFonts w:cs="Arial"/>
          <w:i/>
          <w:iCs/>
          <w:spacing w:val="4"/>
          <w:lang w:val="es-ES"/>
        </w:rPr>
        <w:t xml:space="preserve">Diseñar e impulsar la implantación de un sistema de cálculo de costes de los servicios locales, así como los correspondientes indicadores de gestión, dando cumplimiento a lo previsto tanto en la Ley de Racionalización y Sostenibilidad de la Administración Local, como a lo dispuesto en la Ley Foral de Reforma de la Administración Local de Navarra. </w:t>
      </w:r>
    </w:p>
    <w:p w14:paraId="58EA9FBA" w14:textId="77777777" w:rsidR="00D33F04" w:rsidRPr="003A115E" w:rsidRDefault="00D33F04" w:rsidP="00D33F04">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spacing w:val="4"/>
        </w:rPr>
      </w:pPr>
      <w:r w:rsidRPr="003A115E">
        <w:rPr>
          <w:rFonts w:cs="Arial"/>
          <w:i/>
          <w:iCs/>
          <w:spacing w:val="4"/>
        </w:rPr>
        <w:t>Impulsar la implantación de los servicios de administración electrónica en las entidades locales, definiendo una estrategia global y poniendo a disposición de las entidades locales los recursos humanos, económicos y tecnológicos, en su caso, necesarios para la efectiva e íntegra implementación de dichos servicios, facilitando la obtención de economías de escala.</w:t>
      </w:r>
      <w:r w:rsidRPr="003A115E">
        <w:rPr>
          <w:rStyle w:val="Refdenotaalpie"/>
          <w:rFonts w:cs="Arial"/>
          <w:i/>
          <w:iCs/>
          <w:spacing w:val="4"/>
          <w:lang w:val="es-ES"/>
        </w:rPr>
        <w:t xml:space="preserve"> </w:t>
      </w:r>
    </w:p>
    <w:p w14:paraId="097A99D8" w14:textId="32CF5692" w:rsidR="00E91524" w:rsidRPr="003A115E" w:rsidRDefault="009A7A48" w:rsidP="0011402C">
      <w:pPr>
        <w:pStyle w:val="texto"/>
        <w:spacing w:before="240"/>
        <w:ind w:firstLine="0"/>
        <w:rPr>
          <w:bCs/>
          <w:i/>
          <w:iCs/>
          <w:lang w:val="es-ES"/>
        </w:rPr>
      </w:pPr>
      <w:r w:rsidRPr="003A115E">
        <w:rPr>
          <w:b/>
          <w:bCs/>
          <w:i/>
          <w:iCs/>
          <w:lang w:val="es-ES"/>
        </w:rPr>
        <w:t>A las entidades locales</w:t>
      </w:r>
      <w:r w:rsidR="6F2A9B62" w:rsidRPr="003A115E">
        <w:rPr>
          <w:b/>
          <w:bCs/>
          <w:i/>
          <w:iCs/>
          <w:lang w:val="es-ES"/>
        </w:rPr>
        <w:t xml:space="preserve"> </w:t>
      </w:r>
    </w:p>
    <w:p w14:paraId="0E2F0A0F" w14:textId="3714E8E0" w:rsidR="0011402C" w:rsidRPr="003A115E" w:rsidRDefault="0011402C" w:rsidP="0011402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lang w:val="es-ES"/>
        </w:rPr>
      </w:pPr>
      <w:r w:rsidRPr="003A115E">
        <w:rPr>
          <w:rFonts w:cs="Arial"/>
          <w:i/>
          <w:iCs/>
          <w:lang w:val="es-ES"/>
        </w:rPr>
        <w:t>Aprobar el presupuesto, la liquidación presupuestaria y la cuenta general en los plazos establecidos y realizar la rendición de todos ellos en el plazo de 15 días desde la aprobación de los mismos.</w:t>
      </w:r>
    </w:p>
    <w:p w14:paraId="5F473C34" w14:textId="0EA5EAD8" w:rsidR="00E91524" w:rsidRPr="003A115E" w:rsidRDefault="00E91524" w:rsidP="00DE4E2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after="120"/>
        <w:ind w:left="0" w:firstLine="289"/>
        <w:rPr>
          <w:rFonts w:cs="Arial"/>
          <w:i/>
          <w:iCs/>
        </w:rPr>
      </w:pPr>
      <w:r w:rsidRPr="003A115E">
        <w:rPr>
          <w:rFonts w:cs="Arial"/>
          <w:i/>
          <w:iCs/>
        </w:rPr>
        <w:lastRenderedPageBreak/>
        <w:t xml:space="preserve">Ejercer el control interno municipal, con la extensión establecida en la legislación aplicable en su triple acepción de función interventora, función de control financiero y control de eficacia. </w:t>
      </w:r>
    </w:p>
    <w:p w14:paraId="692172D1" w14:textId="6F4F7B7B" w:rsidR="0011402C" w:rsidRPr="003A115E" w:rsidRDefault="0011402C" w:rsidP="00DE4E2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after="120"/>
        <w:ind w:left="0" w:firstLine="289"/>
        <w:rPr>
          <w:rFonts w:cs="Arial"/>
          <w:i/>
          <w:iCs/>
        </w:rPr>
      </w:pPr>
      <w:r w:rsidRPr="003A115E">
        <w:rPr>
          <w:rFonts w:cs="Arial"/>
          <w:i/>
          <w:iCs/>
        </w:rPr>
        <w:t xml:space="preserve">Diseñar, dentro de la potestad de autoorganización de las entidades locales, la estructura organizativa más racional para la gestión de los servicios públicos locales con eficacia, economía y eficiencia. </w:t>
      </w:r>
    </w:p>
    <w:p w14:paraId="41C91B7B" w14:textId="55840F7D" w:rsidR="00DE264D" w:rsidRPr="003A115E" w:rsidRDefault="00DE264D" w:rsidP="00DE4E2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after="120"/>
        <w:ind w:left="0" w:firstLine="289"/>
        <w:rPr>
          <w:rFonts w:cs="Arial"/>
          <w:i/>
          <w:iCs/>
        </w:rPr>
      </w:pPr>
      <w:r w:rsidRPr="003A115E">
        <w:rPr>
          <w:rFonts w:cs="Arial"/>
          <w:i/>
          <w:iCs/>
        </w:rPr>
        <w:t>Actualizar en plazo las ponencias de valoración.</w:t>
      </w:r>
      <w:r w:rsidR="003E4C01" w:rsidRPr="003A115E">
        <w:rPr>
          <w:rFonts w:cs="Arial"/>
          <w:i/>
          <w:iCs/>
        </w:rPr>
        <w:t xml:space="preserve"> </w:t>
      </w:r>
    </w:p>
    <w:p w14:paraId="104D500E" w14:textId="0D02DC46" w:rsidR="21B8DB18" w:rsidRPr="003A115E" w:rsidRDefault="21B8DB18" w:rsidP="00DE4E2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after="120"/>
        <w:ind w:left="0" w:firstLine="289"/>
        <w:rPr>
          <w:rFonts w:cs="Arial"/>
          <w:i/>
          <w:iCs/>
        </w:rPr>
      </w:pPr>
      <w:r w:rsidRPr="003A115E">
        <w:rPr>
          <w:rFonts w:cs="Arial"/>
          <w:i/>
          <w:iCs/>
        </w:rPr>
        <w:t xml:space="preserve">Establecer una adecuada planificación temporal de los procedimientos de contratación administrativa a fin de evitar la superación del plazo máximo de vigencia de los contratos. </w:t>
      </w:r>
    </w:p>
    <w:p w14:paraId="2439021E" w14:textId="77777777" w:rsidR="009A7A48" w:rsidRPr="003A115E" w:rsidRDefault="21B8DB18" w:rsidP="00DE4E2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after="120"/>
        <w:ind w:left="0" w:firstLine="289"/>
        <w:rPr>
          <w:rFonts w:cs="Arial"/>
          <w:i/>
          <w:iCs/>
        </w:rPr>
      </w:pPr>
      <w:r w:rsidRPr="003A115E">
        <w:rPr>
          <w:rFonts w:cs="Arial"/>
          <w:i/>
          <w:iCs/>
        </w:rPr>
        <w:t xml:space="preserve">Completar el proceso de implantación del inventario valorado y actualizado, de los bienes y derechos municipales, y su conexión con las cuentas de inmovilizado. </w:t>
      </w:r>
    </w:p>
    <w:p w14:paraId="74A9E73E" w14:textId="77777777" w:rsidR="009A7A48" w:rsidRPr="003A115E" w:rsidRDefault="21B8DB18" w:rsidP="00DE4E2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after="120"/>
        <w:ind w:left="0" w:firstLine="289"/>
        <w:rPr>
          <w:rFonts w:cs="Arial"/>
          <w:i/>
          <w:iCs/>
        </w:rPr>
      </w:pPr>
      <w:r w:rsidRPr="003A115E">
        <w:rPr>
          <w:rFonts w:cs="Arial"/>
          <w:i/>
          <w:iCs/>
        </w:rPr>
        <w:t>Crear el registro e inventario del patrimonio municipal del suelo y el registro de convenios urbanísticos.</w:t>
      </w:r>
    </w:p>
    <w:p w14:paraId="12FFDB78" w14:textId="247DB440" w:rsidR="00736D0B" w:rsidRPr="003A115E" w:rsidRDefault="21B8DB18" w:rsidP="00DE4E2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after="120"/>
        <w:ind w:left="0" w:firstLine="289"/>
        <w:rPr>
          <w:rFonts w:cs="Arial"/>
          <w:i/>
        </w:rPr>
      </w:pPr>
      <w:r w:rsidRPr="003A115E">
        <w:rPr>
          <w:rFonts w:cs="Arial"/>
          <w:i/>
          <w:iCs/>
          <w:lang w:val="es-ES"/>
        </w:rPr>
        <w:t xml:space="preserve">Publicar el periodo medio de pago a </w:t>
      </w:r>
      <w:r w:rsidRPr="00DE4E2C">
        <w:rPr>
          <w:rFonts w:cs="Arial"/>
          <w:i/>
          <w:iCs/>
        </w:rPr>
        <w:t>proveedores</w:t>
      </w:r>
      <w:r w:rsidRPr="003A115E">
        <w:rPr>
          <w:rFonts w:cs="Arial"/>
          <w:i/>
          <w:iCs/>
          <w:lang w:val="es-ES"/>
        </w:rPr>
        <w:t xml:space="preserve"> de acuerdo con lo dispuesto en la LOEPySF.</w:t>
      </w:r>
    </w:p>
    <w:p w14:paraId="0578C1FC" w14:textId="25B75D2F" w:rsidR="00796D89" w:rsidRPr="003A115E" w:rsidRDefault="00796D89" w:rsidP="00DE4E2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after="120"/>
        <w:ind w:left="0" w:firstLine="289"/>
        <w:rPr>
          <w:rFonts w:cs="Arial"/>
          <w:i/>
          <w:iCs/>
        </w:rPr>
      </w:pPr>
      <w:r w:rsidRPr="003A115E">
        <w:rPr>
          <w:rFonts w:cs="Arial"/>
          <w:i/>
          <w:iCs/>
        </w:rPr>
        <w:t xml:space="preserve">Adscribir los consorcios a la administración pública correspondiente e incorporar al registro de entidades locales la información referida a los mismos. </w:t>
      </w:r>
    </w:p>
    <w:p w14:paraId="5CBF1CA4" w14:textId="1000EEDF" w:rsidR="00EC4C05" w:rsidRPr="003A115E" w:rsidRDefault="005E6C0D" w:rsidP="00DE4E2C">
      <w:pPr>
        <w:pStyle w:val="texto"/>
        <w:tabs>
          <w:tab w:val="clear" w:pos="2835"/>
          <w:tab w:val="clear" w:pos="3969"/>
          <w:tab w:val="clear" w:pos="5103"/>
          <w:tab w:val="clear" w:pos="6237"/>
          <w:tab w:val="clear" w:pos="7371"/>
          <w:tab w:val="left" w:pos="480"/>
          <w:tab w:val="num" w:pos="720"/>
          <w:tab w:val="num" w:pos="786"/>
          <w:tab w:val="num" w:pos="1320"/>
          <w:tab w:val="num" w:pos="1948"/>
          <w:tab w:val="num" w:pos="5606"/>
        </w:tabs>
        <w:spacing w:after="120"/>
        <w:rPr>
          <w:rFonts w:cs="Arial"/>
          <w:i/>
          <w:lang w:val="es-ES"/>
        </w:rPr>
      </w:pPr>
      <w:r w:rsidRPr="003A115E">
        <w:rPr>
          <w:rFonts w:cs="Arial"/>
          <w:lang w:val="es-ES"/>
        </w:rPr>
        <w:t>A fecha</w:t>
      </w:r>
      <w:r w:rsidR="0088298B" w:rsidRPr="003A115E">
        <w:rPr>
          <w:rFonts w:cs="Arial"/>
          <w:lang w:val="es-ES"/>
        </w:rPr>
        <w:t xml:space="preserve"> de redacción de este informe</w:t>
      </w:r>
      <w:r w:rsidR="006A62AF">
        <w:rPr>
          <w:rFonts w:cs="Arial"/>
          <w:lang w:val="es-ES"/>
        </w:rPr>
        <w:t>,</w:t>
      </w:r>
      <w:r w:rsidR="0088298B" w:rsidRPr="003A115E">
        <w:rPr>
          <w:rFonts w:cs="Arial"/>
          <w:lang w:val="es-ES"/>
        </w:rPr>
        <w:t xml:space="preserve"> s</w:t>
      </w:r>
      <w:r w:rsidR="6A28BBB8" w:rsidRPr="003A115E">
        <w:rPr>
          <w:rFonts w:cs="Arial"/>
          <w:lang w:val="es-ES"/>
        </w:rPr>
        <w:t>e está atendiendo la siguiente recomendación incluida en nuestro informe anterior:</w:t>
      </w:r>
    </w:p>
    <w:p w14:paraId="1BD6DBE2" w14:textId="7980F61D" w:rsidR="00EC4C05" w:rsidRPr="003A115E" w:rsidRDefault="6A28BBB8" w:rsidP="00DE4E2C">
      <w:pPr>
        <w:pStyle w:val="texto"/>
        <w:numPr>
          <w:ilvl w:val="0"/>
          <w:numId w:val="2"/>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after="120"/>
        <w:ind w:left="0" w:firstLine="289"/>
        <w:rPr>
          <w:rFonts w:cs="Arial"/>
          <w:i/>
          <w:iCs/>
          <w:lang w:val="es-ES"/>
        </w:rPr>
      </w:pPr>
      <w:r w:rsidRPr="003A115E">
        <w:rPr>
          <w:rFonts w:cs="Arial"/>
          <w:i/>
          <w:iCs/>
          <w:lang w:val="es-ES"/>
        </w:rPr>
        <w:t xml:space="preserve">Incluir en la plantilla orgánica </w:t>
      </w:r>
      <w:r w:rsidRPr="00DE4E2C">
        <w:rPr>
          <w:rFonts w:cs="Arial"/>
          <w:i/>
          <w:iCs/>
        </w:rPr>
        <w:t>todas</w:t>
      </w:r>
      <w:r w:rsidRPr="003A115E">
        <w:rPr>
          <w:rFonts w:cs="Arial"/>
          <w:i/>
          <w:iCs/>
          <w:lang w:val="es-ES"/>
        </w:rPr>
        <w:t xml:space="preserve"> las plazas de carácter estructural y reducir, mediante las oportunas convocatorias, el alto grado de temporalidad que se observa en el personal de las entidades locales. A este respecto, debe darse cumplimiento a la Ley 20/2021, de medidas urgentes para la reducción de la temporalidad en el empleo público, y a la Ley Foral 19/2022, de 1 de julio, para la realización de los procesos de estabilización derivados de la Ley 20/2021, de medidas urgentes para la reducción de la temporalidad en el empleo público, en las Administraciones Públicas de Navarra.</w:t>
      </w:r>
      <w:r w:rsidR="00FB00C2" w:rsidRPr="003A115E">
        <w:rPr>
          <w:rFonts w:cs="Arial"/>
          <w:i/>
          <w:iCs/>
          <w:lang w:val="es-ES"/>
        </w:rPr>
        <w:t xml:space="preserve"> </w:t>
      </w:r>
    </w:p>
    <w:p w14:paraId="17F0ED68" w14:textId="77777777" w:rsidR="00692AC6" w:rsidRPr="003A115E" w:rsidRDefault="6A28BBB8" w:rsidP="00DE4E2C">
      <w:pPr>
        <w:pStyle w:val="texto"/>
        <w:tabs>
          <w:tab w:val="clear" w:pos="2835"/>
          <w:tab w:val="clear" w:pos="3969"/>
          <w:tab w:val="clear" w:pos="5103"/>
          <w:tab w:val="clear" w:pos="6237"/>
          <w:tab w:val="clear" w:pos="7371"/>
          <w:tab w:val="left" w:pos="480"/>
          <w:tab w:val="num" w:pos="720"/>
          <w:tab w:val="num" w:pos="786"/>
          <w:tab w:val="num" w:pos="1320"/>
          <w:tab w:val="num" w:pos="1948"/>
          <w:tab w:val="num" w:pos="5606"/>
        </w:tabs>
        <w:spacing w:after="120"/>
        <w:rPr>
          <w:lang w:val="es-ES"/>
        </w:rPr>
      </w:pPr>
      <w:r w:rsidRPr="003A115E">
        <w:rPr>
          <w:lang w:val="es-ES"/>
        </w:rPr>
        <w:t xml:space="preserve">En 2022, en </w:t>
      </w:r>
      <w:r w:rsidRPr="00DE4E2C">
        <w:rPr>
          <w:rFonts w:cs="Arial"/>
          <w:lang w:val="es-ES"/>
        </w:rPr>
        <w:t>aplicación</w:t>
      </w:r>
      <w:r w:rsidRPr="003A115E">
        <w:rPr>
          <w:lang w:val="es-ES"/>
        </w:rPr>
        <w:t xml:space="preserve"> de la normativa citada, </w:t>
      </w:r>
      <w:r w:rsidR="00692AC6" w:rsidRPr="003A115E">
        <w:rPr>
          <w:lang w:val="es-ES"/>
        </w:rPr>
        <w:t>las</w:t>
      </w:r>
      <w:r w:rsidRPr="003A115E">
        <w:rPr>
          <w:lang w:val="es-ES"/>
        </w:rPr>
        <w:t xml:space="preserve"> entidades locales han realizado las consiguientes ofertas públicas de empleo y convocatorias de procedimientos selectivos. </w:t>
      </w:r>
    </w:p>
    <w:p w14:paraId="520EE781" w14:textId="68E2595D" w:rsidR="00FB00C2" w:rsidRPr="003A115E" w:rsidRDefault="6A28BBB8" w:rsidP="00DE4E2C">
      <w:pPr>
        <w:pStyle w:val="texto"/>
        <w:tabs>
          <w:tab w:val="clear" w:pos="2835"/>
          <w:tab w:val="clear" w:pos="3969"/>
          <w:tab w:val="clear" w:pos="5103"/>
          <w:tab w:val="clear" w:pos="6237"/>
          <w:tab w:val="clear" w:pos="7371"/>
          <w:tab w:val="left" w:pos="480"/>
          <w:tab w:val="num" w:pos="720"/>
          <w:tab w:val="num" w:pos="786"/>
          <w:tab w:val="num" w:pos="1320"/>
          <w:tab w:val="num" w:pos="1948"/>
          <w:tab w:val="num" w:pos="5606"/>
        </w:tabs>
        <w:spacing w:after="120"/>
        <w:rPr>
          <w:lang w:val="es-ES"/>
        </w:rPr>
      </w:pPr>
      <w:r w:rsidRPr="003A115E">
        <w:rPr>
          <w:lang w:val="es-ES"/>
        </w:rPr>
        <w:t xml:space="preserve">Asimismo, </w:t>
      </w:r>
      <w:r w:rsidR="00C732FF" w:rsidRPr="003A115E">
        <w:rPr>
          <w:lang w:val="es-ES"/>
        </w:rPr>
        <w:t xml:space="preserve">el </w:t>
      </w:r>
      <w:r w:rsidR="00C732FF" w:rsidRPr="00DE4E2C">
        <w:rPr>
          <w:rFonts w:cs="Arial"/>
          <w:lang w:val="es-ES"/>
        </w:rPr>
        <w:t>departamento</w:t>
      </w:r>
      <w:r w:rsidRPr="003A115E">
        <w:rPr>
          <w:lang w:val="es-ES"/>
        </w:rPr>
        <w:t xml:space="preserve"> </w:t>
      </w:r>
      <w:r w:rsidR="008871B1" w:rsidRPr="003A115E">
        <w:rPr>
          <w:lang w:val="es-ES"/>
        </w:rPr>
        <w:t>convocó</w:t>
      </w:r>
      <w:r w:rsidRPr="003A115E">
        <w:rPr>
          <w:lang w:val="es-ES"/>
        </w:rPr>
        <w:t xml:space="preserve"> procedimientos selectivos para la obtención de la habilitación foral y acceso a los puestos de secretaría e intervención. </w:t>
      </w:r>
    </w:p>
    <w:p w14:paraId="17AD93B2" w14:textId="683B4E8F" w:rsidR="009A7A48" w:rsidRPr="003A115E" w:rsidRDefault="0D080138" w:rsidP="00020D42">
      <w:pPr>
        <w:pStyle w:val="texto"/>
        <w:tabs>
          <w:tab w:val="clear" w:pos="2835"/>
          <w:tab w:val="clear" w:pos="3969"/>
          <w:tab w:val="clear" w:pos="5103"/>
          <w:tab w:val="clear" w:pos="6237"/>
          <w:tab w:val="clear" w:pos="7371"/>
          <w:tab w:val="left" w:pos="480"/>
          <w:tab w:val="num" w:pos="720"/>
          <w:tab w:val="num" w:pos="786"/>
          <w:tab w:val="num" w:pos="1320"/>
          <w:tab w:val="num" w:pos="1948"/>
          <w:tab w:val="num" w:pos="5606"/>
        </w:tabs>
        <w:spacing w:after="120"/>
      </w:pPr>
      <w:r w:rsidRPr="003A115E">
        <w:rPr>
          <w:lang w:val="es-ES"/>
        </w:rPr>
        <w:t>Durante 2023</w:t>
      </w:r>
      <w:r w:rsidR="00E5274F" w:rsidRPr="003A115E">
        <w:rPr>
          <w:lang w:val="es-ES"/>
        </w:rPr>
        <w:t xml:space="preserve"> y 2024</w:t>
      </w:r>
      <w:r w:rsidR="6A28BBB8" w:rsidRPr="003A115E">
        <w:rPr>
          <w:lang w:val="es-ES"/>
        </w:rPr>
        <w:t xml:space="preserve"> esta </w:t>
      </w:r>
      <w:r w:rsidR="6A28BBB8" w:rsidRPr="00DE4E2C">
        <w:rPr>
          <w:rFonts w:cs="Arial"/>
          <w:lang w:val="es-ES"/>
        </w:rPr>
        <w:t>Cámara</w:t>
      </w:r>
      <w:r w:rsidR="6A28BBB8" w:rsidRPr="003A115E">
        <w:rPr>
          <w:lang w:val="es-ES"/>
        </w:rPr>
        <w:t xml:space="preserve"> de Comptos </w:t>
      </w:r>
      <w:r w:rsidR="399D7658" w:rsidRPr="003A115E">
        <w:rPr>
          <w:lang w:val="es-ES"/>
        </w:rPr>
        <w:t>realizó</w:t>
      </w:r>
      <w:r w:rsidR="6A28BBB8" w:rsidRPr="003A115E">
        <w:rPr>
          <w:lang w:val="es-ES"/>
        </w:rPr>
        <w:t xml:space="preserve"> once trabajos de fiscalización</w:t>
      </w:r>
      <w:r w:rsidR="2E4859A6" w:rsidRPr="003A115E">
        <w:rPr>
          <w:lang w:val="es-ES"/>
        </w:rPr>
        <w:t>,</w:t>
      </w:r>
      <w:r w:rsidR="6A28BBB8" w:rsidRPr="003A115E">
        <w:rPr>
          <w:lang w:val="es-ES"/>
        </w:rPr>
        <w:t xml:space="preserve"> </w:t>
      </w:r>
      <w:r w:rsidR="18CFC844" w:rsidRPr="003A115E">
        <w:rPr>
          <w:lang w:val="es-ES"/>
        </w:rPr>
        <w:t xml:space="preserve">del ejercicio </w:t>
      </w:r>
      <w:r w:rsidR="00041356" w:rsidRPr="003A115E">
        <w:rPr>
          <w:lang w:val="es-ES"/>
        </w:rPr>
        <w:t>2022,</w:t>
      </w:r>
      <w:r w:rsidR="5E3AD4EE" w:rsidRPr="003A115E">
        <w:rPr>
          <w:lang w:val="es-ES"/>
        </w:rPr>
        <w:t xml:space="preserve"> </w:t>
      </w:r>
      <w:r w:rsidR="001129A1" w:rsidRPr="003A115E">
        <w:rPr>
          <w:lang w:val="es-ES"/>
        </w:rPr>
        <w:t>entre cuyos objetivos se incluyó</w:t>
      </w:r>
      <w:r w:rsidR="6A28BBB8" w:rsidRPr="003A115E">
        <w:rPr>
          <w:lang w:val="es-ES"/>
        </w:rPr>
        <w:t xml:space="preserve"> la fiscalización de estos procesos de estabilización de empleo público en municipios de más de 10.000 habitantes.</w:t>
      </w:r>
      <w:r w:rsidR="00C732FF" w:rsidRPr="003A115E">
        <w:rPr>
          <w:lang w:val="es-ES"/>
        </w:rPr>
        <w:t xml:space="preserve"> </w:t>
      </w:r>
      <w:r w:rsidR="009A7A48" w:rsidRPr="003A115E">
        <w:br w:type="page"/>
      </w:r>
    </w:p>
    <w:p w14:paraId="3A3351A3" w14:textId="0DB230C3" w:rsidR="00345C6C" w:rsidRPr="003A115E" w:rsidRDefault="00683931" w:rsidP="002B51BC">
      <w:pPr>
        <w:pStyle w:val="atitulo1"/>
        <w:rPr>
          <w:color w:val="auto"/>
        </w:rPr>
      </w:pPr>
      <w:bookmarkStart w:id="35" w:name="_Toc183679741"/>
      <w:r w:rsidRPr="003A115E">
        <w:rPr>
          <w:color w:val="auto"/>
        </w:rPr>
        <w:lastRenderedPageBreak/>
        <w:t>IV</w:t>
      </w:r>
      <w:r w:rsidR="00345C6C" w:rsidRPr="003A115E">
        <w:rPr>
          <w:color w:val="auto"/>
        </w:rPr>
        <w:t>. Estructura organizativa y normativa del sector público local</w:t>
      </w:r>
      <w:bookmarkEnd w:id="26"/>
      <w:bookmarkEnd w:id="27"/>
      <w:bookmarkEnd w:id="28"/>
      <w:bookmarkEnd w:id="29"/>
      <w:bookmarkEnd w:id="30"/>
      <w:bookmarkEnd w:id="31"/>
      <w:bookmarkEnd w:id="32"/>
      <w:bookmarkEnd w:id="35"/>
      <w:r w:rsidR="009318AB" w:rsidRPr="003A115E">
        <w:rPr>
          <w:color w:val="auto"/>
        </w:rPr>
        <w:t xml:space="preserve"> </w:t>
      </w:r>
    </w:p>
    <w:p w14:paraId="276AEF10" w14:textId="1BD397B4" w:rsidR="00345C6C" w:rsidRPr="003A115E" w:rsidRDefault="00345C6C" w:rsidP="009A7A48">
      <w:pPr>
        <w:pStyle w:val="atitulo2"/>
        <w:rPr>
          <w:color w:val="auto"/>
        </w:rPr>
      </w:pPr>
      <w:bookmarkStart w:id="36" w:name="_Toc291067877"/>
      <w:bookmarkStart w:id="37" w:name="_Toc399916260"/>
      <w:bookmarkStart w:id="38" w:name="_Toc465686683"/>
      <w:bookmarkStart w:id="39" w:name="_Toc529773877"/>
      <w:bookmarkStart w:id="40" w:name="_Toc531088343"/>
      <w:bookmarkStart w:id="41" w:name="_Toc24100137"/>
      <w:bookmarkStart w:id="42" w:name="_Toc52348285"/>
      <w:bookmarkStart w:id="43" w:name="_Toc183679742"/>
      <w:r w:rsidRPr="003A115E">
        <w:rPr>
          <w:color w:val="auto"/>
        </w:rPr>
        <w:t>I</w:t>
      </w:r>
      <w:r w:rsidR="00683931" w:rsidRPr="003A115E">
        <w:rPr>
          <w:color w:val="auto"/>
        </w:rPr>
        <w:t>V</w:t>
      </w:r>
      <w:r w:rsidR="00AD0263" w:rsidRPr="003A115E">
        <w:rPr>
          <w:color w:val="auto"/>
        </w:rPr>
        <w:t>.1</w:t>
      </w:r>
      <w:r w:rsidRPr="003A115E">
        <w:rPr>
          <w:color w:val="auto"/>
        </w:rPr>
        <w:t xml:space="preserve"> Estructura organizativa</w:t>
      </w:r>
      <w:bookmarkEnd w:id="36"/>
      <w:bookmarkEnd w:id="37"/>
      <w:bookmarkEnd w:id="38"/>
      <w:bookmarkEnd w:id="39"/>
      <w:bookmarkEnd w:id="40"/>
      <w:bookmarkEnd w:id="41"/>
      <w:bookmarkEnd w:id="42"/>
      <w:bookmarkEnd w:id="43"/>
    </w:p>
    <w:p w14:paraId="072E9C6D" w14:textId="77777777" w:rsidR="00EC4C05" w:rsidRPr="003A115E" w:rsidRDefault="00EC4C05" w:rsidP="002B51BC">
      <w:pPr>
        <w:pStyle w:val="texto"/>
      </w:pPr>
      <w:bookmarkStart w:id="44" w:name="_Toc399916263"/>
      <w:bookmarkStart w:id="45" w:name="_Toc465686686"/>
      <w:bookmarkStart w:id="46" w:name="_Toc529773880"/>
      <w:bookmarkStart w:id="47" w:name="_Toc24100141"/>
      <w:bookmarkStart w:id="48" w:name="_Toc52348289"/>
      <w:r w:rsidRPr="003A115E">
        <w:t>El sector público local se organiza conforme a lo establecido en la LFAL.</w:t>
      </w:r>
    </w:p>
    <w:p w14:paraId="39F54BFB" w14:textId="59547A68" w:rsidR="00334432" w:rsidRPr="003A115E" w:rsidRDefault="00EC4C05" w:rsidP="00EC4C05">
      <w:pPr>
        <w:pStyle w:val="texto"/>
        <w:spacing w:after="240"/>
      </w:pPr>
      <w:r w:rsidRPr="003A115E">
        <w:rPr>
          <w:lang w:val="es-ES"/>
        </w:rPr>
        <w:t>Los municipios son las entidades locales básicas de organización territorial. Existen en Navarra 272 municipios, cuya población total a 1 de enero de 202</w:t>
      </w:r>
      <w:r w:rsidR="00E7351E" w:rsidRPr="003A115E">
        <w:rPr>
          <w:lang w:val="es-ES"/>
        </w:rPr>
        <w:t>2</w:t>
      </w:r>
      <w:r w:rsidRPr="003A115E">
        <w:rPr>
          <w:lang w:val="es-ES"/>
        </w:rPr>
        <w:t xml:space="preserve"> era de </w:t>
      </w:r>
      <w:r w:rsidR="00E7351E" w:rsidRPr="003A115E">
        <w:rPr>
          <w:lang w:val="es-ES"/>
        </w:rPr>
        <w:t>664.117</w:t>
      </w:r>
      <w:r w:rsidRPr="003A115E">
        <w:rPr>
          <w:lang w:val="es-ES"/>
        </w:rPr>
        <w:t xml:space="preserve"> habitantes, distribuidos </w:t>
      </w:r>
      <w:r w:rsidR="00781A09" w:rsidRPr="003A115E">
        <w:rPr>
          <w:lang w:val="es-ES"/>
        </w:rPr>
        <w:t>según se muestra en el siguiente cuadro</w:t>
      </w:r>
      <w:r w:rsidRPr="003A115E">
        <w:rPr>
          <w:lang w:val="es-ES"/>
        </w:rPr>
        <w:t>:</w:t>
      </w:r>
    </w:p>
    <w:tbl>
      <w:tblPr>
        <w:tblW w:w="5000" w:type="pct"/>
        <w:tblCellMar>
          <w:left w:w="70" w:type="dxa"/>
          <w:right w:w="70" w:type="dxa"/>
        </w:tblCellMar>
        <w:tblLook w:val="04A0" w:firstRow="1" w:lastRow="0" w:firstColumn="1" w:lastColumn="0" w:noHBand="0" w:noVBand="1"/>
      </w:tblPr>
      <w:tblGrid>
        <w:gridCol w:w="2411"/>
        <w:gridCol w:w="1595"/>
        <w:gridCol w:w="1594"/>
        <w:gridCol w:w="1594"/>
        <w:gridCol w:w="1594"/>
      </w:tblGrid>
      <w:tr w:rsidR="000A742F" w:rsidRPr="003A115E" w14:paraId="08901E1D" w14:textId="77777777" w:rsidTr="00DF0CF9">
        <w:trPr>
          <w:trHeight w:val="255"/>
        </w:trPr>
        <w:tc>
          <w:tcPr>
            <w:tcW w:w="1371" w:type="pct"/>
            <w:tcBorders>
              <w:top w:val="single" w:sz="4" w:space="0" w:color="auto"/>
              <w:left w:val="nil"/>
              <w:bottom w:val="single" w:sz="4" w:space="0" w:color="auto"/>
              <w:right w:val="nil"/>
            </w:tcBorders>
            <w:shd w:val="clear" w:color="auto" w:fill="FABF8F" w:themeFill="accent6" w:themeFillTint="99"/>
            <w:vAlign w:val="center"/>
            <w:hideMark/>
          </w:tcPr>
          <w:p w14:paraId="56847FEF" w14:textId="77777777" w:rsidR="00334432" w:rsidRPr="003A115E" w:rsidRDefault="573E3ACD" w:rsidP="00D2773D">
            <w:pPr>
              <w:pStyle w:val="cuatexto"/>
              <w:rPr>
                <w:rFonts w:ascii="Arial" w:hAnsi="Arial" w:cs="Arial"/>
                <w:sz w:val="18"/>
                <w:szCs w:val="18"/>
              </w:rPr>
            </w:pPr>
            <w:r w:rsidRPr="003A115E">
              <w:rPr>
                <w:rFonts w:ascii="Arial" w:hAnsi="Arial" w:cs="Arial"/>
                <w:sz w:val="18"/>
                <w:szCs w:val="18"/>
              </w:rPr>
              <w:t>Tramo de población</w:t>
            </w:r>
          </w:p>
        </w:tc>
        <w:tc>
          <w:tcPr>
            <w:tcW w:w="907" w:type="pct"/>
            <w:tcBorders>
              <w:top w:val="single" w:sz="4" w:space="0" w:color="auto"/>
              <w:left w:val="nil"/>
              <w:bottom w:val="single" w:sz="4" w:space="0" w:color="auto"/>
              <w:right w:val="nil"/>
            </w:tcBorders>
            <w:shd w:val="clear" w:color="auto" w:fill="FABF8F" w:themeFill="accent6" w:themeFillTint="99"/>
            <w:vAlign w:val="center"/>
            <w:hideMark/>
          </w:tcPr>
          <w:p w14:paraId="57061D06" w14:textId="77777777" w:rsidR="00DF0CF9" w:rsidRDefault="00334432" w:rsidP="00D2773D">
            <w:pPr>
              <w:pStyle w:val="cuatexto"/>
              <w:jc w:val="right"/>
              <w:rPr>
                <w:rFonts w:ascii="Arial" w:hAnsi="Arial" w:cs="Arial"/>
                <w:sz w:val="18"/>
                <w:szCs w:val="18"/>
              </w:rPr>
            </w:pPr>
            <w:r w:rsidRPr="003A115E">
              <w:rPr>
                <w:rFonts w:ascii="Arial" w:hAnsi="Arial" w:cs="Arial"/>
                <w:sz w:val="18"/>
                <w:szCs w:val="18"/>
              </w:rPr>
              <w:t>Número de</w:t>
            </w:r>
          </w:p>
          <w:p w14:paraId="342CC5DF" w14:textId="6D0AEBD4" w:rsidR="00334432" w:rsidRPr="003A115E" w:rsidRDefault="00334432" w:rsidP="00D2773D">
            <w:pPr>
              <w:pStyle w:val="cuatexto"/>
              <w:jc w:val="right"/>
              <w:rPr>
                <w:rFonts w:ascii="Arial" w:hAnsi="Arial" w:cs="Arial"/>
                <w:sz w:val="18"/>
                <w:szCs w:val="18"/>
              </w:rPr>
            </w:pPr>
            <w:r w:rsidRPr="003A115E">
              <w:rPr>
                <w:rFonts w:ascii="Arial" w:hAnsi="Arial" w:cs="Arial"/>
                <w:sz w:val="18"/>
                <w:szCs w:val="18"/>
              </w:rPr>
              <w:t xml:space="preserve"> municipios</w:t>
            </w:r>
          </w:p>
        </w:tc>
        <w:tc>
          <w:tcPr>
            <w:tcW w:w="907" w:type="pct"/>
            <w:tcBorders>
              <w:top w:val="single" w:sz="4" w:space="0" w:color="auto"/>
              <w:left w:val="nil"/>
              <w:bottom w:val="single" w:sz="4" w:space="0" w:color="auto"/>
              <w:right w:val="nil"/>
            </w:tcBorders>
            <w:shd w:val="clear" w:color="auto" w:fill="FABF8F" w:themeFill="accent6" w:themeFillTint="99"/>
            <w:vAlign w:val="center"/>
            <w:hideMark/>
          </w:tcPr>
          <w:p w14:paraId="34AFD1E1" w14:textId="77777777" w:rsidR="00334432" w:rsidRPr="003A115E" w:rsidRDefault="00334432" w:rsidP="00D2773D">
            <w:pPr>
              <w:pStyle w:val="cuatexto"/>
              <w:jc w:val="right"/>
              <w:rPr>
                <w:rFonts w:ascii="Arial" w:hAnsi="Arial" w:cs="Arial"/>
                <w:sz w:val="18"/>
                <w:szCs w:val="18"/>
              </w:rPr>
            </w:pPr>
            <w:r w:rsidRPr="003A115E">
              <w:rPr>
                <w:rFonts w:ascii="Arial" w:hAnsi="Arial" w:cs="Arial"/>
                <w:sz w:val="18"/>
                <w:szCs w:val="18"/>
              </w:rPr>
              <w:t>% municipios sobre total</w:t>
            </w:r>
          </w:p>
        </w:tc>
        <w:tc>
          <w:tcPr>
            <w:tcW w:w="907" w:type="pct"/>
            <w:tcBorders>
              <w:top w:val="single" w:sz="4" w:space="0" w:color="auto"/>
              <w:left w:val="nil"/>
              <w:bottom w:val="single" w:sz="4" w:space="0" w:color="auto"/>
              <w:right w:val="nil"/>
            </w:tcBorders>
            <w:shd w:val="clear" w:color="auto" w:fill="FABF8F" w:themeFill="accent6" w:themeFillTint="99"/>
            <w:vAlign w:val="center"/>
            <w:hideMark/>
          </w:tcPr>
          <w:p w14:paraId="581384B8" w14:textId="77777777" w:rsidR="00334432" w:rsidRPr="003A115E" w:rsidRDefault="00334432" w:rsidP="00D2773D">
            <w:pPr>
              <w:pStyle w:val="cuatexto"/>
              <w:jc w:val="right"/>
              <w:rPr>
                <w:rFonts w:ascii="Arial" w:hAnsi="Arial" w:cs="Arial"/>
                <w:sz w:val="18"/>
                <w:szCs w:val="18"/>
              </w:rPr>
            </w:pPr>
            <w:r w:rsidRPr="003A115E">
              <w:rPr>
                <w:rFonts w:ascii="Arial" w:hAnsi="Arial" w:cs="Arial"/>
                <w:sz w:val="18"/>
                <w:szCs w:val="18"/>
              </w:rPr>
              <w:t>Población 01/01/2022</w:t>
            </w:r>
          </w:p>
        </w:tc>
        <w:tc>
          <w:tcPr>
            <w:tcW w:w="907" w:type="pct"/>
            <w:tcBorders>
              <w:top w:val="single" w:sz="4" w:space="0" w:color="auto"/>
              <w:left w:val="nil"/>
              <w:bottom w:val="single" w:sz="4" w:space="0" w:color="auto"/>
              <w:right w:val="nil"/>
            </w:tcBorders>
            <w:shd w:val="clear" w:color="auto" w:fill="FABF8F" w:themeFill="accent6" w:themeFillTint="99"/>
            <w:vAlign w:val="center"/>
            <w:hideMark/>
          </w:tcPr>
          <w:p w14:paraId="63136FC1" w14:textId="77777777" w:rsidR="00DF0CF9" w:rsidRDefault="00334432" w:rsidP="00D2773D">
            <w:pPr>
              <w:pStyle w:val="cuatexto"/>
              <w:jc w:val="right"/>
              <w:rPr>
                <w:rFonts w:ascii="Arial" w:hAnsi="Arial" w:cs="Arial"/>
                <w:sz w:val="18"/>
                <w:szCs w:val="18"/>
              </w:rPr>
            </w:pPr>
            <w:r w:rsidRPr="003A115E">
              <w:rPr>
                <w:rFonts w:ascii="Arial" w:hAnsi="Arial" w:cs="Arial"/>
                <w:sz w:val="18"/>
                <w:szCs w:val="18"/>
              </w:rPr>
              <w:t>% población</w:t>
            </w:r>
          </w:p>
          <w:p w14:paraId="7FD77AD4" w14:textId="4C368830" w:rsidR="00334432" w:rsidRPr="003A115E" w:rsidRDefault="00334432" w:rsidP="00D2773D">
            <w:pPr>
              <w:pStyle w:val="cuatexto"/>
              <w:jc w:val="right"/>
              <w:rPr>
                <w:rFonts w:ascii="Arial" w:hAnsi="Arial" w:cs="Arial"/>
                <w:sz w:val="18"/>
                <w:szCs w:val="18"/>
              </w:rPr>
            </w:pPr>
            <w:r w:rsidRPr="003A115E">
              <w:rPr>
                <w:rFonts w:ascii="Arial" w:hAnsi="Arial" w:cs="Arial"/>
                <w:sz w:val="18"/>
                <w:szCs w:val="18"/>
              </w:rPr>
              <w:t xml:space="preserve"> sobre total</w:t>
            </w:r>
          </w:p>
        </w:tc>
      </w:tr>
      <w:tr w:rsidR="000A742F" w:rsidRPr="003A115E" w14:paraId="36FF6798" w14:textId="77777777" w:rsidTr="00DF0CF9">
        <w:trPr>
          <w:trHeight w:val="198"/>
        </w:trPr>
        <w:tc>
          <w:tcPr>
            <w:tcW w:w="1371" w:type="pct"/>
            <w:tcBorders>
              <w:top w:val="single" w:sz="4" w:space="0" w:color="auto"/>
              <w:left w:val="nil"/>
              <w:bottom w:val="single" w:sz="2" w:space="0" w:color="auto"/>
              <w:right w:val="nil"/>
            </w:tcBorders>
            <w:shd w:val="clear" w:color="auto" w:fill="FFFFFF" w:themeFill="background1"/>
            <w:vAlign w:val="center"/>
            <w:hideMark/>
          </w:tcPr>
          <w:p w14:paraId="1BE00532" w14:textId="77777777" w:rsidR="00334432" w:rsidRPr="003A115E" w:rsidRDefault="00334432" w:rsidP="00D2773D">
            <w:pPr>
              <w:pStyle w:val="cuatexto"/>
            </w:pPr>
            <w:r w:rsidRPr="003A115E">
              <w:t>&lt;101</w:t>
            </w:r>
          </w:p>
        </w:tc>
        <w:tc>
          <w:tcPr>
            <w:tcW w:w="907" w:type="pct"/>
            <w:tcBorders>
              <w:top w:val="single" w:sz="4" w:space="0" w:color="auto"/>
              <w:left w:val="nil"/>
              <w:bottom w:val="single" w:sz="2" w:space="0" w:color="auto"/>
              <w:right w:val="nil"/>
            </w:tcBorders>
            <w:shd w:val="clear" w:color="auto" w:fill="FFFFFF" w:themeFill="background1"/>
            <w:vAlign w:val="center"/>
            <w:hideMark/>
          </w:tcPr>
          <w:p w14:paraId="7C340DA7" w14:textId="77777777" w:rsidR="00334432" w:rsidRPr="003A115E" w:rsidRDefault="00334432" w:rsidP="00D2773D">
            <w:pPr>
              <w:pStyle w:val="cuatexto"/>
              <w:jc w:val="right"/>
            </w:pPr>
            <w:r w:rsidRPr="003A115E">
              <w:t>45</w:t>
            </w:r>
          </w:p>
        </w:tc>
        <w:tc>
          <w:tcPr>
            <w:tcW w:w="907" w:type="pct"/>
            <w:tcBorders>
              <w:top w:val="single" w:sz="4" w:space="0" w:color="auto"/>
              <w:left w:val="nil"/>
              <w:bottom w:val="single" w:sz="2" w:space="0" w:color="auto"/>
              <w:right w:val="nil"/>
            </w:tcBorders>
            <w:shd w:val="clear" w:color="auto" w:fill="FFFFFF" w:themeFill="background1"/>
            <w:vAlign w:val="center"/>
            <w:hideMark/>
          </w:tcPr>
          <w:p w14:paraId="73FCAC3C" w14:textId="77777777" w:rsidR="00334432" w:rsidRPr="003A115E" w:rsidRDefault="00334432" w:rsidP="00D2773D">
            <w:pPr>
              <w:pStyle w:val="cuatexto"/>
              <w:jc w:val="right"/>
            </w:pPr>
            <w:r w:rsidRPr="003A115E">
              <w:t>17</w:t>
            </w:r>
          </w:p>
        </w:tc>
        <w:tc>
          <w:tcPr>
            <w:tcW w:w="907" w:type="pct"/>
            <w:tcBorders>
              <w:top w:val="single" w:sz="4" w:space="0" w:color="auto"/>
              <w:left w:val="nil"/>
              <w:bottom w:val="single" w:sz="2" w:space="0" w:color="auto"/>
              <w:right w:val="nil"/>
            </w:tcBorders>
            <w:shd w:val="clear" w:color="auto" w:fill="FFFFFF" w:themeFill="background1"/>
            <w:vAlign w:val="center"/>
            <w:hideMark/>
          </w:tcPr>
          <w:p w14:paraId="3F6881A4" w14:textId="77777777" w:rsidR="00334432" w:rsidRPr="003A115E" w:rsidRDefault="00334432" w:rsidP="00D2773D">
            <w:pPr>
              <w:pStyle w:val="cuatexto"/>
              <w:jc w:val="right"/>
            </w:pPr>
            <w:r w:rsidRPr="003A115E">
              <w:t>2.583</w:t>
            </w:r>
          </w:p>
        </w:tc>
        <w:tc>
          <w:tcPr>
            <w:tcW w:w="907" w:type="pct"/>
            <w:tcBorders>
              <w:top w:val="single" w:sz="4" w:space="0" w:color="auto"/>
              <w:left w:val="nil"/>
              <w:bottom w:val="single" w:sz="2" w:space="0" w:color="auto"/>
              <w:right w:val="nil"/>
            </w:tcBorders>
            <w:shd w:val="clear" w:color="auto" w:fill="FFFFFF" w:themeFill="background1"/>
            <w:vAlign w:val="center"/>
            <w:hideMark/>
          </w:tcPr>
          <w:p w14:paraId="2742568F" w14:textId="77777777" w:rsidR="00334432" w:rsidRPr="003A115E" w:rsidRDefault="00334432" w:rsidP="00D2773D">
            <w:pPr>
              <w:pStyle w:val="cuatexto"/>
              <w:jc w:val="right"/>
            </w:pPr>
            <w:r w:rsidRPr="003A115E">
              <w:t>0</w:t>
            </w:r>
          </w:p>
        </w:tc>
      </w:tr>
      <w:tr w:rsidR="000A742F" w:rsidRPr="003A115E" w14:paraId="665B5B34" w14:textId="77777777" w:rsidTr="00DF0CF9">
        <w:trPr>
          <w:trHeight w:val="198"/>
        </w:trPr>
        <w:tc>
          <w:tcPr>
            <w:tcW w:w="1371" w:type="pct"/>
            <w:tcBorders>
              <w:top w:val="single" w:sz="2" w:space="0" w:color="auto"/>
              <w:left w:val="nil"/>
              <w:bottom w:val="single" w:sz="2" w:space="0" w:color="auto"/>
              <w:right w:val="nil"/>
            </w:tcBorders>
            <w:shd w:val="clear" w:color="auto" w:fill="FFFFFF" w:themeFill="background1"/>
            <w:vAlign w:val="center"/>
            <w:hideMark/>
          </w:tcPr>
          <w:p w14:paraId="7F35FC2B" w14:textId="77777777" w:rsidR="00334432" w:rsidRPr="003A115E" w:rsidRDefault="00334432" w:rsidP="00D2773D">
            <w:pPr>
              <w:pStyle w:val="cuatexto"/>
            </w:pPr>
            <w:r w:rsidRPr="003A115E">
              <w:t>101-500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5518088A" w14:textId="77777777" w:rsidR="00334432" w:rsidRPr="003A115E" w:rsidRDefault="00334432" w:rsidP="00D2773D">
            <w:pPr>
              <w:pStyle w:val="cuatexto"/>
              <w:jc w:val="right"/>
            </w:pPr>
            <w:r w:rsidRPr="003A115E">
              <w:t>107</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160C66FC" w14:textId="77777777" w:rsidR="00334432" w:rsidRPr="003A115E" w:rsidRDefault="00334432" w:rsidP="00D2773D">
            <w:pPr>
              <w:pStyle w:val="cuatexto"/>
              <w:jc w:val="right"/>
            </w:pPr>
            <w:r w:rsidRPr="003A115E">
              <w:t>39</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74D784A5" w14:textId="77777777" w:rsidR="00334432" w:rsidRPr="003A115E" w:rsidRDefault="00334432" w:rsidP="00D2773D">
            <w:pPr>
              <w:pStyle w:val="cuatexto"/>
              <w:jc w:val="right"/>
            </w:pPr>
            <w:r w:rsidRPr="003A115E">
              <w:t>25.446</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0B08A980" w14:textId="77777777" w:rsidR="00334432" w:rsidRPr="003A115E" w:rsidRDefault="00334432" w:rsidP="00D2773D">
            <w:pPr>
              <w:pStyle w:val="cuatexto"/>
              <w:jc w:val="right"/>
            </w:pPr>
            <w:r w:rsidRPr="003A115E">
              <w:t>4</w:t>
            </w:r>
          </w:p>
        </w:tc>
      </w:tr>
      <w:tr w:rsidR="000A742F" w:rsidRPr="003A115E" w14:paraId="3C2CC05D" w14:textId="77777777" w:rsidTr="00DF0CF9">
        <w:trPr>
          <w:trHeight w:val="198"/>
        </w:trPr>
        <w:tc>
          <w:tcPr>
            <w:tcW w:w="1371" w:type="pct"/>
            <w:tcBorders>
              <w:top w:val="single" w:sz="2" w:space="0" w:color="auto"/>
              <w:left w:val="nil"/>
              <w:bottom w:val="single" w:sz="2" w:space="0" w:color="auto"/>
              <w:right w:val="nil"/>
            </w:tcBorders>
            <w:shd w:val="clear" w:color="auto" w:fill="FFFFFF" w:themeFill="background1"/>
            <w:vAlign w:val="center"/>
            <w:hideMark/>
          </w:tcPr>
          <w:p w14:paraId="59C6D393" w14:textId="77777777" w:rsidR="00334432" w:rsidRPr="003A115E" w:rsidRDefault="00334432" w:rsidP="00D2773D">
            <w:pPr>
              <w:pStyle w:val="cuatexto"/>
            </w:pPr>
            <w:r w:rsidRPr="003A115E">
              <w:t>501-1.000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3BAF87A4" w14:textId="77777777" w:rsidR="00334432" w:rsidRPr="003A115E" w:rsidRDefault="00334432" w:rsidP="00D2773D">
            <w:pPr>
              <w:pStyle w:val="cuatexto"/>
              <w:jc w:val="right"/>
            </w:pPr>
            <w:r w:rsidRPr="003A115E">
              <w:t>36</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57F3853B" w14:textId="77777777" w:rsidR="00334432" w:rsidRPr="003A115E" w:rsidRDefault="00334432" w:rsidP="00D2773D">
            <w:pPr>
              <w:pStyle w:val="cuatexto"/>
              <w:jc w:val="right"/>
            </w:pPr>
            <w:r w:rsidRPr="003A115E">
              <w:t>13</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344AFC6E" w14:textId="77777777" w:rsidR="00334432" w:rsidRPr="003A115E" w:rsidRDefault="00334432" w:rsidP="00D2773D">
            <w:pPr>
              <w:pStyle w:val="cuatexto"/>
              <w:jc w:val="right"/>
            </w:pPr>
            <w:r w:rsidRPr="003A115E">
              <w:t>25.766</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3BC2D331" w14:textId="77777777" w:rsidR="00334432" w:rsidRPr="003A115E" w:rsidRDefault="00334432" w:rsidP="00D2773D">
            <w:pPr>
              <w:pStyle w:val="cuatexto"/>
              <w:jc w:val="right"/>
            </w:pPr>
            <w:r w:rsidRPr="003A115E">
              <w:t>4</w:t>
            </w:r>
          </w:p>
        </w:tc>
      </w:tr>
      <w:tr w:rsidR="000A742F" w:rsidRPr="003A115E" w14:paraId="732A3E37" w14:textId="77777777" w:rsidTr="00DF0CF9">
        <w:trPr>
          <w:trHeight w:val="198"/>
        </w:trPr>
        <w:tc>
          <w:tcPr>
            <w:tcW w:w="1371" w:type="pct"/>
            <w:tcBorders>
              <w:top w:val="single" w:sz="2" w:space="0" w:color="auto"/>
              <w:left w:val="nil"/>
              <w:bottom w:val="single" w:sz="2" w:space="0" w:color="auto"/>
              <w:right w:val="nil"/>
            </w:tcBorders>
            <w:shd w:val="clear" w:color="auto" w:fill="FFFFFF" w:themeFill="background1"/>
            <w:vAlign w:val="center"/>
            <w:hideMark/>
          </w:tcPr>
          <w:p w14:paraId="1BDC8727" w14:textId="77777777" w:rsidR="00334432" w:rsidRPr="003A115E" w:rsidRDefault="00334432" w:rsidP="00D2773D">
            <w:pPr>
              <w:pStyle w:val="cuatexto"/>
            </w:pPr>
            <w:r w:rsidRPr="003A115E">
              <w:t>1.001-2.000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7639B510" w14:textId="77777777" w:rsidR="00334432" w:rsidRPr="003A115E" w:rsidRDefault="00334432" w:rsidP="00D2773D">
            <w:pPr>
              <w:pStyle w:val="cuatexto"/>
              <w:jc w:val="right"/>
            </w:pPr>
            <w:r w:rsidRPr="003A115E">
              <w:t>23</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1EE4151C" w14:textId="77777777" w:rsidR="00334432" w:rsidRPr="003A115E" w:rsidRDefault="00334432" w:rsidP="00D2773D">
            <w:pPr>
              <w:pStyle w:val="cuatexto"/>
              <w:jc w:val="right"/>
            </w:pPr>
            <w:r w:rsidRPr="003A115E">
              <w:t>8</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2F0A9509" w14:textId="77777777" w:rsidR="00334432" w:rsidRPr="003A115E" w:rsidRDefault="00334432" w:rsidP="00D2773D">
            <w:pPr>
              <w:pStyle w:val="cuatexto"/>
              <w:jc w:val="right"/>
            </w:pPr>
            <w:r w:rsidRPr="003A115E">
              <w:t>32.110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44044725" w14:textId="77777777" w:rsidR="00334432" w:rsidRPr="003A115E" w:rsidRDefault="00334432" w:rsidP="00D2773D">
            <w:pPr>
              <w:pStyle w:val="cuatexto"/>
              <w:jc w:val="right"/>
            </w:pPr>
            <w:r w:rsidRPr="003A115E">
              <w:t>5</w:t>
            </w:r>
          </w:p>
        </w:tc>
      </w:tr>
      <w:tr w:rsidR="000A742F" w:rsidRPr="003A115E" w14:paraId="7134AFC9" w14:textId="77777777" w:rsidTr="00DF0CF9">
        <w:trPr>
          <w:trHeight w:val="198"/>
        </w:trPr>
        <w:tc>
          <w:tcPr>
            <w:tcW w:w="1371" w:type="pct"/>
            <w:tcBorders>
              <w:top w:val="single" w:sz="2" w:space="0" w:color="auto"/>
              <w:left w:val="nil"/>
              <w:bottom w:val="single" w:sz="2" w:space="0" w:color="auto"/>
              <w:right w:val="nil"/>
            </w:tcBorders>
            <w:shd w:val="clear" w:color="auto" w:fill="FFFFFF" w:themeFill="background1"/>
            <w:vAlign w:val="center"/>
            <w:hideMark/>
          </w:tcPr>
          <w:p w14:paraId="36A1B3C6" w14:textId="77777777" w:rsidR="00334432" w:rsidRPr="003A115E" w:rsidRDefault="00334432" w:rsidP="00D2773D">
            <w:pPr>
              <w:pStyle w:val="cuatexto"/>
            </w:pPr>
            <w:r w:rsidRPr="003A115E">
              <w:t>2.001-3.000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747A8D11" w14:textId="77777777" w:rsidR="00334432" w:rsidRPr="003A115E" w:rsidRDefault="00334432" w:rsidP="00D2773D">
            <w:pPr>
              <w:pStyle w:val="cuatexto"/>
              <w:jc w:val="right"/>
            </w:pPr>
            <w:r w:rsidRPr="003A115E">
              <w:t>23</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1C82B2B9" w14:textId="77777777" w:rsidR="00334432" w:rsidRPr="003A115E" w:rsidRDefault="00334432" w:rsidP="00D2773D">
            <w:pPr>
              <w:pStyle w:val="cuatexto"/>
              <w:jc w:val="right"/>
            </w:pPr>
            <w:r w:rsidRPr="003A115E">
              <w:t>8</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5D0F2C43" w14:textId="77777777" w:rsidR="00334432" w:rsidRPr="003A115E" w:rsidRDefault="00334432" w:rsidP="00D2773D">
            <w:pPr>
              <w:pStyle w:val="cuatexto"/>
              <w:jc w:val="right"/>
            </w:pPr>
            <w:r w:rsidRPr="003A115E">
              <w:t>57.803</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2A21E400" w14:textId="77777777" w:rsidR="00334432" w:rsidRPr="003A115E" w:rsidRDefault="00334432" w:rsidP="00D2773D">
            <w:pPr>
              <w:pStyle w:val="cuatexto"/>
              <w:jc w:val="right"/>
            </w:pPr>
            <w:r w:rsidRPr="003A115E">
              <w:t>9</w:t>
            </w:r>
          </w:p>
        </w:tc>
      </w:tr>
      <w:tr w:rsidR="000A742F" w:rsidRPr="003A115E" w14:paraId="2C053642" w14:textId="77777777" w:rsidTr="00DF0CF9">
        <w:trPr>
          <w:trHeight w:val="198"/>
        </w:trPr>
        <w:tc>
          <w:tcPr>
            <w:tcW w:w="1371" w:type="pct"/>
            <w:tcBorders>
              <w:top w:val="single" w:sz="2" w:space="0" w:color="auto"/>
              <w:left w:val="nil"/>
              <w:bottom w:val="single" w:sz="2" w:space="0" w:color="auto"/>
              <w:right w:val="nil"/>
            </w:tcBorders>
            <w:shd w:val="clear" w:color="auto" w:fill="FFFFFF" w:themeFill="background1"/>
            <w:vAlign w:val="center"/>
            <w:hideMark/>
          </w:tcPr>
          <w:p w14:paraId="0D489F6B" w14:textId="77777777" w:rsidR="00334432" w:rsidRPr="003A115E" w:rsidRDefault="00334432" w:rsidP="00D2773D">
            <w:pPr>
              <w:pStyle w:val="cuatexto"/>
            </w:pPr>
            <w:r w:rsidRPr="003A115E">
              <w:t>3.001-5.000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361886D7" w14:textId="77777777" w:rsidR="00334432" w:rsidRPr="003A115E" w:rsidRDefault="00334432" w:rsidP="00D2773D">
            <w:pPr>
              <w:pStyle w:val="cuatexto"/>
              <w:jc w:val="right"/>
            </w:pPr>
            <w:r w:rsidRPr="003A115E">
              <w:t>17</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65F9BE12" w14:textId="77777777" w:rsidR="00334432" w:rsidRPr="003A115E" w:rsidRDefault="00334432" w:rsidP="00D2773D">
            <w:pPr>
              <w:pStyle w:val="cuatexto"/>
              <w:jc w:val="right"/>
            </w:pPr>
            <w:r w:rsidRPr="003A115E">
              <w:t>6</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38FD9BD2" w14:textId="77777777" w:rsidR="00334432" w:rsidRPr="003A115E" w:rsidRDefault="00334432" w:rsidP="00D2773D">
            <w:pPr>
              <w:pStyle w:val="cuatexto"/>
              <w:jc w:val="right"/>
            </w:pPr>
            <w:r w:rsidRPr="003A115E">
              <w:t>67.193</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744F949D" w14:textId="77777777" w:rsidR="00334432" w:rsidRPr="003A115E" w:rsidRDefault="00334432" w:rsidP="00D2773D">
            <w:pPr>
              <w:pStyle w:val="cuatexto"/>
              <w:jc w:val="right"/>
            </w:pPr>
            <w:r w:rsidRPr="003A115E">
              <w:t>10</w:t>
            </w:r>
          </w:p>
        </w:tc>
      </w:tr>
      <w:tr w:rsidR="000A742F" w:rsidRPr="003A115E" w14:paraId="21DE08DD" w14:textId="77777777" w:rsidTr="00DF0CF9">
        <w:trPr>
          <w:trHeight w:val="198"/>
        </w:trPr>
        <w:tc>
          <w:tcPr>
            <w:tcW w:w="1371" w:type="pct"/>
            <w:tcBorders>
              <w:top w:val="single" w:sz="2" w:space="0" w:color="auto"/>
              <w:left w:val="nil"/>
              <w:bottom w:val="single" w:sz="2" w:space="0" w:color="auto"/>
              <w:right w:val="nil"/>
            </w:tcBorders>
            <w:shd w:val="clear" w:color="auto" w:fill="FFFFFF" w:themeFill="background1"/>
            <w:vAlign w:val="center"/>
            <w:hideMark/>
          </w:tcPr>
          <w:p w14:paraId="5EFF591E" w14:textId="77777777" w:rsidR="00334432" w:rsidRPr="003A115E" w:rsidRDefault="00334432" w:rsidP="00D2773D">
            <w:pPr>
              <w:pStyle w:val="cuatexto"/>
            </w:pPr>
            <w:r w:rsidRPr="003A115E">
              <w:t>5.001-10.000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050AB742" w14:textId="77777777" w:rsidR="00334432" w:rsidRPr="003A115E" w:rsidRDefault="00334432" w:rsidP="00D2773D">
            <w:pPr>
              <w:pStyle w:val="cuatexto"/>
              <w:jc w:val="right"/>
            </w:pPr>
            <w:r w:rsidRPr="003A115E">
              <w:t>9</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07250CE9" w14:textId="77777777" w:rsidR="00334432" w:rsidRPr="003A115E" w:rsidRDefault="00334432" w:rsidP="00D2773D">
            <w:pPr>
              <w:pStyle w:val="cuatexto"/>
              <w:jc w:val="right"/>
            </w:pPr>
            <w:r w:rsidRPr="003A115E">
              <w:t>3</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336D0762" w14:textId="77777777" w:rsidR="00334432" w:rsidRPr="003A115E" w:rsidRDefault="00334432" w:rsidP="00D2773D">
            <w:pPr>
              <w:pStyle w:val="cuatexto"/>
              <w:jc w:val="right"/>
            </w:pPr>
            <w:r w:rsidRPr="003A115E">
              <w:t>67.240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78C1120A" w14:textId="77777777" w:rsidR="00334432" w:rsidRPr="003A115E" w:rsidRDefault="00334432" w:rsidP="00D2773D">
            <w:pPr>
              <w:pStyle w:val="cuatexto"/>
              <w:jc w:val="right"/>
            </w:pPr>
            <w:r w:rsidRPr="003A115E">
              <w:t>10</w:t>
            </w:r>
          </w:p>
        </w:tc>
      </w:tr>
      <w:tr w:rsidR="000A742F" w:rsidRPr="003A115E" w14:paraId="576CA1F3" w14:textId="77777777" w:rsidTr="00DF0CF9">
        <w:trPr>
          <w:trHeight w:val="198"/>
        </w:trPr>
        <w:tc>
          <w:tcPr>
            <w:tcW w:w="1371" w:type="pct"/>
            <w:tcBorders>
              <w:top w:val="single" w:sz="2" w:space="0" w:color="auto"/>
              <w:left w:val="nil"/>
              <w:bottom w:val="single" w:sz="2" w:space="0" w:color="auto"/>
              <w:right w:val="nil"/>
            </w:tcBorders>
            <w:shd w:val="clear" w:color="auto" w:fill="FFFFFF" w:themeFill="background1"/>
            <w:vAlign w:val="center"/>
            <w:hideMark/>
          </w:tcPr>
          <w:p w14:paraId="5E06CA3E" w14:textId="77777777" w:rsidR="00334432" w:rsidRPr="003A115E" w:rsidRDefault="00334432" w:rsidP="00D2773D">
            <w:pPr>
              <w:pStyle w:val="cuatexto"/>
            </w:pPr>
            <w:r w:rsidRPr="003A115E">
              <w:t>10.001-20.000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4589A30F" w14:textId="77777777" w:rsidR="00334432" w:rsidRPr="003A115E" w:rsidRDefault="00334432" w:rsidP="00D2773D">
            <w:pPr>
              <w:pStyle w:val="cuatexto"/>
              <w:jc w:val="right"/>
            </w:pPr>
            <w:r w:rsidRPr="003A115E">
              <w:t>8</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4C415DED" w14:textId="77777777" w:rsidR="00334432" w:rsidRPr="003A115E" w:rsidRDefault="00334432" w:rsidP="00D2773D">
            <w:pPr>
              <w:pStyle w:val="cuatexto"/>
              <w:jc w:val="right"/>
            </w:pPr>
            <w:r w:rsidRPr="003A115E">
              <w:t>3</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02BD2105" w14:textId="77777777" w:rsidR="00334432" w:rsidRPr="003A115E" w:rsidRDefault="00334432" w:rsidP="00D2773D">
            <w:pPr>
              <w:pStyle w:val="cuatexto"/>
              <w:jc w:val="right"/>
            </w:pPr>
            <w:r w:rsidRPr="003A115E">
              <w:t>103.118</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2CA88114" w14:textId="77777777" w:rsidR="00334432" w:rsidRPr="003A115E" w:rsidRDefault="00334432" w:rsidP="00D2773D">
            <w:pPr>
              <w:pStyle w:val="cuatexto"/>
              <w:jc w:val="right"/>
            </w:pPr>
            <w:r w:rsidRPr="003A115E">
              <w:t>16</w:t>
            </w:r>
          </w:p>
        </w:tc>
      </w:tr>
      <w:tr w:rsidR="000A742F" w:rsidRPr="003A115E" w14:paraId="2A8E63D1" w14:textId="77777777" w:rsidTr="00DF0CF9">
        <w:trPr>
          <w:trHeight w:val="198"/>
        </w:trPr>
        <w:tc>
          <w:tcPr>
            <w:tcW w:w="1371" w:type="pct"/>
            <w:tcBorders>
              <w:top w:val="single" w:sz="2" w:space="0" w:color="auto"/>
              <w:left w:val="nil"/>
              <w:bottom w:val="single" w:sz="2" w:space="0" w:color="auto"/>
              <w:right w:val="nil"/>
            </w:tcBorders>
            <w:shd w:val="clear" w:color="auto" w:fill="FFFFFF" w:themeFill="background1"/>
            <w:vAlign w:val="center"/>
            <w:hideMark/>
          </w:tcPr>
          <w:p w14:paraId="7D8DD545" w14:textId="77777777" w:rsidR="00334432" w:rsidRPr="003A115E" w:rsidRDefault="00334432" w:rsidP="00D2773D">
            <w:pPr>
              <w:pStyle w:val="cuatexto"/>
            </w:pPr>
            <w:r w:rsidRPr="003A115E">
              <w:t>20.001-30.000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453BAAC8" w14:textId="77777777" w:rsidR="00334432" w:rsidRPr="003A115E" w:rsidRDefault="00334432" w:rsidP="00D2773D">
            <w:pPr>
              <w:pStyle w:val="cuatexto"/>
              <w:jc w:val="right"/>
            </w:pPr>
            <w:r w:rsidRPr="003A115E">
              <w:t>2</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1D139818" w14:textId="77777777" w:rsidR="00334432" w:rsidRPr="003A115E" w:rsidRDefault="00334432" w:rsidP="00D2773D">
            <w:pPr>
              <w:pStyle w:val="cuatexto"/>
              <w:jc w:val="right"/>
            </w:pPr>
            <w:r w:rsidRPr="003A115E">
              <w:t>1</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13BE979B" w14:textId="77777777" w:rsidR="00334432" w:rsidRPr="003A115E" w:rsidRDefault="00334432" w:rsidP="00D2773D">
            <w:pPr>
              <w:pStyle w:val="cuatexto"/>
              <w:jc w:val="right"/>
            </w:pPr>
            <w:r w:rsidRPr="003A115E">
              <w:t>42.193</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11CAC258" w14:textId="77777777" w:rsidR="00334432" w:rsidRPr="003A115E" w:rsidRDefault="00334432" w:rsidP="00D2773D">
            <w:pPr>
              <w:pStyle w:val="cuatexto"/>
              <w:jc w:val="right"/>
            </w:pPr>
            <w:r w:rsidRPr="003A115E">
              <w:t>6</w:t>
            </w:r>
          </w:p>
        </w:tc>
      </w:tr>
      <w:tr w:rsidR="000A742F" w:rsidRPr="003A115E" w14:paraId="41C49595" w14:textId="77777777" w:rsidTr="00DF0CF9">
        <w:trPr>
          <w:trHeight w:val="198"/>
        </w:trPr>
        <w:tc>
          <w:tcPr>
            <w:tcW w:w="1371" w:type="pct"/>
            <w:tcBorders>
              <w:top w:val="single" w:sz="2" w:space="0" w:color="auto"/>
              <w:left w:val="nil"/>
              <w:bottom w:val="single" w:sz="2" w:space="0" w:color="auto"/>
              <w:right w:val="nil"/>
            </w:tcBorders>
            <w:shd w:val="clear" w:color="auto" w:fill="FFFFFF" w:themeFill="background1"/>
            <w:vAlign w:val="center"/>
            <w:hideMark/>
          </w:tcPr>
          <w:p w14:paraId="33980518" w14:textId="77777777" w:rsidR="00334432" w:rsidRPr="003A115E" w:rsidRDefault="00334432" w:rsidP="00D2773D">
            <w:pPr>
              <w:pStyle w:val="cuatexto"/>
            </w:pPr>
            <w:r w:rsidRPr="003A115E">
              <w:t>30.001-50.000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6A083E16" w14:textId="77777777" w:rsidR="00334432" w:rsidRPr="003A115E" w:rsidRDefault="00334432" w:rsidP="00D2773D">
            <w:pPr>
              <w:pStyle w:val="cuatexto"/>
              <w:jc w:val="right"/>
            </w:pPr>
            <w:r w:rsidRPr="003A115E">
              <w:t>1</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5942C010" w14:textId="77777777" w:rsidR="00334432" w:rsidRPr="003A115E" w:rsidRDefault="00334432" w:rsidP="00D2773D">
            <w:pPr>
              <w:pStyle w:val="cuatexto"/>
              <w:jc w:val="right"/>
            </w:pPr>
            <w:r w:rsidRPr="003A115E">
              <w:t>0</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70CEF921" w14:textId="77777777" w:rsidR="00334432" w:rsidRPr="003A115E" w:rsidRDefault="00334432" w:rsidP="00D2773D">
            <w:pPr>
              <w:pStyle w:val="cuatexto"/>
              <w:jc w:val="right"/>
            </w:pPr>
            <w:r w:rsidRPr="003A115E">
              <w:t>37.247</w:t>
            </w:r>
          </w:p>
        </w:tc>
        <w:tc>
          <w:tcPr>
            <w:tcW w:w="907" w:type="pct"/>
            <w:tcBorders>
              <w:top w:val="single" w:sz="2" w:space="0" w:color="auto"/>
              <w:left w:val="nil"/>
              <w:bottom w:val="single" w:sz="2" w:space="0" w:color="auto"/>
              <w:right w:val="nil"/>
            </w:tcBorders>
            <w:shd w:val="clear" w:color="auto" w:fill="FFFFFF" w:themeFill="background1"/>
            <w:vAlign w:val="center"/>
            <w:hideMark/>
          </w:tcPr>
          <w:p w14:paraId="4F386697" w14:textId="77777777" w:rsidR="00334432" w:rsidRPr="003A115E" w:rsidRDefault="00334432" w:rsidP="00D2773D">
            <w:pPr>
              <w:pStyle w:val="cuatexto"/>
              <w:jc w:val="right"/>
            </w:pPr>
            <w:r w:rsidRPr="003A115E">
              <w:t>6</w:t>
            </w:r>
          </w:p>
        </w:tc>
      </w:tr>
      <w:tr w:rsidR="000A742F" w:rsidRPr="003A115E" w14:paraId="55801C58" w14:textId="77777777" w:rsidTr="00DF0CF9">
        <w:trPr>
          <w:trHeight w:val="198"/>
        </w:trPr>
        <w:tc>
          <w:tcPr>
            <w:tcW w:w="1371" w:type="pct"/>
            <w:tcBorders>
              <w:top w:val="single" w:sz="2" w:space="0" w:color="auto"/>
              <w:left w:val="nil"/>
              <w:bottom w:val="single" w:sz="4" w:space="0" w:color="auto"/>
              <w:right w:val="nil"/>
            </w:tcBorders>
            <w:shd w:val="clear" w:color="auto" w:fill="FFFFFF" w:themeFill="background1"/>
            <w:vAlign w:val="center"/>
            <w:hideMark/>
          </w:tcPr>
          <w:p w14:paraId="2DAB5018" w14:textId="77777777" w:rsidR="00334432" w:rsidRPr="003A115E" w:rsidRDefault="00334432" w:rsidP="00D2773D">
            <w:pPr>
              <w:pStyle w:val="cuatexto"/>
            </w:pPr>
            <w:r w:rsidRPr="003A115E">
              <w:t>Más de 50.000</w:t>
            </w:r>
          </w:p>
        </w:tc>
        <w:tc>
          <w:tcPr>
            <w:tcW w:w="907" w:type="pct"/>
            <w:tcBorders>
              <w:top w:val="single" w:sz="2" w:space="0" w:color="auto"/>
              <w:left w:val="nil"/>
              <w:bottom w:val="single" w:sz="4" w:space="0" w:color="auto"/>
              <w:right w:val="nil"/>
            </w:tcBorders>
            <w:shd w:val="clear" w:color="auto" w:fill="FFFFFF" w:themeFill="background1"/>
            <w:vAlign w:val="center"/>
            <w:hideMark/>
          </w:tcPr>
          <w:p w14:paraId="202C6FD4" w14:textId="77777777" w:rsidR="00334432" w:rsidRPr="003A115E" w:rsidRDefault="00334432" w:rsidP="00D2773D">
            <w:pPr>
              <w:pStyle w:val="cuatexto"/>
              <w:jc w:val="right"/>
            </w:pPr>
            <w:r w:rsidRPr="003A115E">
              <w:t>1</w:t>
            </w:r>
          </w:p>
        </w:tc>
        <w:tc>
          <w:tcPr>
            <w:tcW w:w="907" w:type="pct"/>
            <w:tcBorders>
              <w:top w:val="single" w:sz="2" w:space="0" w:color="auto"/>
              <w:left w:val="nil"/>
              <w:bottom w:val="single" w:sz="4" w:space="0" w:color="auto"/>
              <w:right w:val="nil"/>
            </w:tcBorders>
            <w:shd w:val="clear" w:color="auto" w:fill="FFFFFF" w:themeFill="background1"/>
            <w:vAlign w:val="center"/>
            <w:hideMark/>
          </w:tcPr>
          <w:p w14:paraId="63CAD9F3" w14:textId="77777777" w:rsidR="00334432" w:rsidRPr="003A115E" w:rsidRDefault="00334432" w:rsidP="00D2773D">
            <w:pPr>
              <w:pStyle w:val="cuatexto"/>
              <w:jc w:val="right"/>
            </w:pPr>
            <w:r w:rsidRPr="003A115E">
              <w:t>0</w:t>
            </w:r>
          </w:p>
        </w:tc>
        <w:tc>
          <w:tcPr>
            <w:tcW w:w="907" w:type="pct"/>
            <w:tcBorders>
              <w:top w:val="single" w:sz="2" w:space="0" w:color="auto"/>
              <w:left w:val="nil"/>
              <w:bottom w:val="single" w:sz="4" w:space="0" w:color="auto"/>
              <w:right w:val="nil"/>
            </w:tcBorders>
            <w:shd w:val="clear" w:color="auto" w:fill="FFFFFF" w:themeFill="background1"/>
            <w:vAlign w:val="center"/>
            <w:hideMark/>
          </w:tcPr>
          <w:p w14:paraId="7818397B" w14:textId="77777777" w:rsidR="00334432" w:rsidRPr="003A115E" w:rsidRDefault="00334432" w:rsidP="00D2773D">
            <w:pPr>
              <w:pStyle w:val="cuatexto"/>
              <w:jc w:val="right"/>
            </w:pPr>
            <w:r w:rsidRPr="003A115E">
              <w:t>203.418</w:t>
            </w:r>
          </w:p>
        </w:tc>
        <w:tc>
          <w:tcPr>
            <w:tcW w:w="907" w:type="pct"/>
            <w:tcBorders>
              <w:top w:val="single" w:sz="2" w:space="0" w:color="auto"/>
              <w:left w:val="nil"/>
              <w:bottom w:val="single" w:sz="4" w:space="0" w:color="auto"/>
              <w:right w:val="nil"/>
            </w:tcBorders>
            <w:shd w:val="clear" w:color="auto" w:fill="FFFFFF" w:themeFill="background1"/>
            <w:vAlign w:val="center"/>
            <w:hideMark/>
          </w:tcPr>
          <w:p w14:paraId="54622DB3" w14:textId="77777777" w:rsidR="00334432" w:rsidRPr="003A115E" w:rsidRDefault="00334432" w:rsidP="00D2773D">
            <w:pPr>
              <w:pStyle w:val="cuatexto"/>
              <w:jc w:val="right"/>
            </w:pPr>
            <w:r w:rsidRPr="003A115E">
              <w:t>31</w:t>
            </w:r>
          </w:p>
        </w:tc>
      </w:tr>
      <w:tr w:rsidR="000A742F" w:rsidRPr="003A115E" w14:paraId="3ABF2943" w14:textId="77777777" w:rsidTr="00E235FE">
        <w:trPr>
          <w:trHeight w:val="255"/>
        </w:trPr>
        <w:tc>
          <w:tcPr>
            <w:tcW w:w="1371" w:type="pct"/>
            <w:tcBorders>
              <w:top w:val="single" w:sz="4" w:space="0" w:color="auto"/>
              <w:left w:val="nil"/>
              <w:bottom w:val="single" w:sz="4" w:space="0" w:color="auto"/>
              <w:right w:val="nil"/>
            </w:tcBorders>
            <w:shd w:val="clear" w:color="auto" w:fill="FABF8F" w:themeFill="accent6" w:themeFillTint="99"/>
            <w:vAlign w:val="center"/>
            <w:hideMark/>
          </w:tcPr>
          <w:p w14:paraId="2ECC4086" w14:textId="77777777" w:rsidR="00334432" w:rsidRPr="003A115E" w:rsidRDefault="00334432" w:rsidP="00D2773D">
            <w:pPr>
              <w:pStyle w:val="cuadroCabe"/>
              <w:rPr>
                <w:rFonts w:cs="Arial"/>
                <w:szCs w:val="18"/>
              </w:rPr>
            </w:pPr>
            <w:r w:rsidRPr="003A115E">
              <w:rPr>
                <w:rFonts w:cs="Arial"/>
                <w:szCs w:val="18"/>
              </w:rPr>
              <w:t>Total</w:t>
            </w:r>
          </w:p>
        </w:tc>
        <w:tc>
          <w:tcPr>
            <w:tcW w:w="907" w:type="pct"/>
            <w:tcBorders>
              <w:top w:val="single" w:sz="4" w:space="0" w:color="auto"/>
              <w:left w:val="nil"/>
              <w:bottom w:val="single" w:sz="4" w:space="0" w:color="auto"/>
              <w:right w:val="nil"/>
            </w:tcBorders>
            <w:shd w:val="clear" w:color="auto" w:fill="FABF8F" w:themeFill="accent6" w:themeFillTint="99"/>
            <w:vAlign w:val="center"/>
            <w:hideMark/>
          </w:tcPr>
          <w:p w14:paraId="6CD42560" w14:textId="77777777" w:rsidR="00334432" w:rsidRPr="003A115E" w:rsidRDefault="00334432" w:rsidP="00E235FE">
            <w:pPr>
              <w:pStyle w:val="cuadroCabe"/>
              <w:jc w:val="right"/>
              <w:rPr>
                <w:rFonts w:cs="Arial"/>
                <w:szCs w:val="18"/>
              </w:rPr>
            </w:pPr>
            <w:r w:rsidRPr="003A115E">
              <w:rPr>
                <w:rFonts w:cs="Arial"/>
                <w:szCs w:val="18"/>
              </w:rPr>
              <w:t>272</w:t>
            </w:r>
          </w:p>
        </w:tc>
        <w:tc>
          <w:tcPr>
            <w:tcW w:w="907" w:type="pct"/>
            <w:tcBorders>
              <w:top w:val="single" w:sz="4" w:space="0" w:color="auto"/>
              <w:left w:val="nil"/>
              <w:bottom w:val="single" w:sz="4" w:space="0" w:color="auto"/>
              <w:right w:val="nil"/>
            </w:tcBorders>
            <w:shd w:val="clear" w:color="auto" w:fill="FABF8F" w:themeFill="accent6" w:themeFillTint="99"/>
            <w:vAlign w:val="center"/>
            <w:hideMark/>
          </w:tcPr>
          <w:p w14:paraId="21AAC5C5" w14:textId="77777777" w:rsidR="00334432" w:rsidRPr="003A115E" w:rsidRDefault="00334432" w:rsidP="00E235FE">
            <w:pPr>
              <w:pStyle w:val="cuadroCabe"/>
              <w:jc w:val="right"/>
              <w:rPr>
                <w:rFonts w:cs="Arial"/>
                <w:szCs w:val="18"/>
              </w:rPr>
            </w:pPr>
            <w:r w:rsidRPr="003A115E">
              <w:rPr>
                <w:rFonts w:cs="Arial"/>
                <w:szCs w:val="18"/>
              </w:rPr>
              <w:t>100</w:t>
            </w:r>
          </w:p>
        </w:tc>
        <w:tc>
          <w:tcPr>
            <w:tcW w:w="907" w:type="pct"/>
            <w:tcBorders>
              <w:top w:val="single" w:sz="4" w:space="0" w:color="auto"/>
              <w:left w:val="nil"/>
              <w:bottom w:val="single" w:sz="4" w:space="0" w:color="auto"/>
              <w:right w:val="nil"/>
            </w:tcBorders>
            <w:shd w:val="clear" w:color="auto" w:fill="FABF8F" w:themeFill="accent6" w:themeFillTint="99"/>
            <w:vAlign w:val="center"/>
            <w:hideMark/>
          </w:tcPr>
          <w:p w14:paraId="2F71CDA4" w14:textId="77777777" w:rsidR="00334432" w:rsidRPr="003A115E" w:rsidRDefault="00334432" w:rsidP="00E235FE">
            <w:pPr>
              <w:pStyle w:val="cuadroCabe"/>
              <w:jc w:val="right"/>
              <w:rPr>
                <w:rFonts w:cs="Arial"/>
                <w:szCs w:val="18"/>
              </w:rPr>
            </w:pPr>
            <w:r w:rsidRPr="003A115E">
              <w:rPr>
                <w:rFonts w:cs="Arial"/>
                <w:szCs w:val="18"/>
              </w:rPr>
              <w:t>664.117</w:t>
            </w:r>
          </w:p>
        </w:tc>
        <w:tc>
          <w:tcPr>
            <w:tcW w:w="907" w:type="pct"/>
            <w:tcBorders>
              <w:top w:val="single" w:sz="4" w:space="0" w:color="auto"/>
              <w:left w:val="nil"/>
              <w:bottom w:val="single" w:sz="4" w:space="0" w:color="auto"/>
              <w:right w:val="nil"/>
            </w:tcBorders>
            <w:shd w:val="clear" w:color="auto" w:fill="FABF8F" w:themeFill="accent6" w:themeFillTint="99"/>
            <w:vAlign w:val="center"/>
            <w:hideMark/>
          </w:tcPr>
          <w:p w14:paraId="3BEAD376" w14:textId="77777777" w:rsidR="00334432" w:rsidRPr="003A115E" w:rsidRDefault="00334432" w:rsidP="00E235FE">
            <w:pPr>
              <w:pStyle w:val="cuadroCabe"/>
              <w:jc w:val="right"/>
              <w:rPr>
                <w:rFonts w:cs="Arial"/>
                <w:szCs w:val="18"/>
              </w:rPr>
            </w:pPr>
            <w:r w:rsidRPr="003A115E">
              <w:rPr>
                <w:rFonts w:cs="Arial"/>
                <w:szCs w:val="18"/>
              </w:rPr>
              <w:t>100</w:t>
            </w:r>
          </w:p>
        </w:tc>
      </w:tr>
    </w:tbl>
    <w:p w14:paraId="678B850C" w14:textId="610DA63B" w:rsidR="00EC4C05" w:rsidRPr="003A115E" w:rsidRDefault="00857D24" w:rsidP="00EC4C05">
      <w:pPr>
        <w:pStyle w:val="texto"/>
        <w:spacing w:before="240"/>
      </w:pPr>
      <w:r w:rsidRPr="003A115E">
        <w:rPr>
          <w:spacing w:val="4"/>
        </w:rPr>
        <w:t>E</w:t>
      </w:r>
      <w:r w:rsidR="6A28BBB8" w:rsidRPr="003A115E">
        <w:rPr>
          <w:spacing w:val="4"/>
        </w:rPr>
        <w:t xml:space="preserve">l </w:t>
      </w:r>
      <w:r w:rsidR="00C47A8A" w:rsidRPr="003A115E">
        <w:rPr>
          <w:spacing w:val="4"/>
        </w:rPr>
        <w:t>69</w:t>
      </w:r>
      <w:r w:rsidR="6A28BBB8" w:rsidRPr="003A115E">
        <w:rPr>
          <w:spacing w:val="4"/>
        </w:rPr>
        <w:t xml:space="preserve"> por ciento de los municipios de Navarra (18</w:t>
      </w:r>
      <w:r w:rsidR="00C47A8A" w:rsidRPr="003A115E">
        <w:rPr>
          <w:spacing w:val="4"/>
        </w:rPr>
        <w:t>8</w:t>
      </w:r>
      <w:r w:rsidR="6A28BBB8" w:rsidRPr="003A115E">
        <w:rPr>
          <w:spacing w:val="4"/>
        </w:rPr>
        <w:t xml:space="preserve"> municipios) tiene</w:t>
      </w:r>
      <w:r w:rsidR="00733BCB" w:rsidRPr="003A115E">
        <w:rPr>
          <w:spacing w:val="4"/>
        </w:rPr>
        <w:t>n</w:t>
      </w:r>
      <w:r w:rsidR="6A28BBB8" w:rsidRPr="003A115E">
        <w:rPr>
          <w:spacing w:val="4"/>
        </w:rPr>
        <w:t xml:space="preserve"> menos de 1.000 habitantes y representan</w:t>
      </w:r>
      <w:r w:rsidR="00733BCB" w:rsidRPr="003A115E">
        <w:rPr>
          <w:spacing w:val="4"/>
        </w:rPr>
        <w:t>,</w:t>
      </w:r>
      <w:r w:rsidR="6A28BBB8" w:rsidRPr="003A115E">
        <w:rPr>
          <w:spacing w:val="4"/>
        </w:rPr>
        <w:t xml:space="preserve"> en conjunto</w:t>
      </w:r>
      <w:r w:rsidR="00733BCB" w:rsidRPr="003A115E">
        <w:rPr>
          <w:spacing w:val="4"/>
        </w:rPr>
        <w:t>,</w:t>
      </w:r>
      <w:r w:rsidR="6A28BBB8" w:rsidRPr="003A115E">
        <w:rPr>
          <w:spacing w:val="4"/>
        </w:rPr>
        <w:t xml:space="preserve"> el ocho por ciento de la población. Por su parte, Pamplona y los 11 municipios con población superior a 10.000 habitantes, concentran el 58 por ciento de la población.</w:t>
      </w:r>
    </w:p>
    <w:p w14:paraId="7FB9CC11" w14:textId="69D1338D" w:rsidR="00EC4C05" w:rsidRPr="003A115E" w:rsidRDefault="00EC4C05" w:rsidP="00EC4C05">
      <w:pPr>
        <w:pStyle w:val="texto"/>
      </w:pPr>
      <w:r w:rsidRPr="003A115E">
        <w:t xml:space="preserve">Además de los municipios, </w:t>
      </w:r>
      <w:r w:rsidR="461CF0BB" w:rsidRPr="003A115E">
        <w:t>son</w:t>
      </w:r>
      <w:r w:rsidRPr="003A115E">
        <w:t xml:space="preserve"> entidades locales:</w:t>
      </w:r>
    </w:p>
    <w:p w14:paraId="6B6CA254" w14:textId="140FD67D" w:rsidR="00EC4C05" w:rsidRPr="003A115E" w:rsidRDefault="6A28BBB8"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3A115E">
        <w:rPr>
          <w:rFonts w:cs="Arial"/>
        </w:rPr>
        <w:t xml:space="preserve">Los concejos: entidades locales </w:t>
      </w:r>
      <w:r w:rsidR="294FFBD9" w:rsidRPr="003A115E">
        <w:rPr>
          <w:rFonts w:cs="Arial"/>
        </w:rPr>
        <w:t>enclavadas</w:t>
      </w:r>
      <w:r w:rsidRPr="003A115E">
        <w:rPr>
          <w:rFonts w:cs="Arial"/>
        </w:rPr>
        <w:t xml:space="preserve"> en el término de un municipio, con población y ámbito territorial inferiores al de este.</w:t>
      </w:r>
    </w:p>
    <w:p w14:paraId="69140CD8" w14:textId="77777777" w:rsidR="00EC4C05" w:rsidRPr="003A115E" w:rsidRDefault="6A28BBB8" w:rsidP="54515FE2">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lang w:val="es-ES"/>
        </w:rPr>
      </w:pPr>
      <w:r w:rsidRPr="003A115E">
        <w:rPr>
          <w:rFonts w:cs="Arial"/>
          <w:lang w:val="es-ES"/>
        </w:rPr>
        <w:t>Las agrupaciones tradicionales: Comunidad de Bardenas Reales, Comunidad del Valle de Aezkoa, Mancomunidad del Valle de Roncal, Universidad del Valle de Salazar, Unión de Aralar y resto de corporaciones de carácter tradicional titulares o administradoras de bienes comunales existentes a la entrada en vigor de la LFAL.</w:t>
      </w:r>
    </w:p>
    <w:p w14:paraId="0B6B891C" w14:textId="30DD06F8" w:rsidR="00EC4C05" w:rsidRPr="003A115E" w:rsidRDefault="6A28BBB8"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3A115E">
        <w:rPr>
          <w:rFonts w:cs="Arial"/>
        </w:rPr>
        <w:t>Las m</w:t>
      </w:r>
      <w:r w:rsidR="002A3B89" w:rsidRPr="003A115E">
        <w:rPr>
          <w:rFonts w:cs="Arial"/>
        </w:rPr>
        <w:t>ancomunidades de ayuntamientos:</w:t>
      </w:r>
      <w:r w:rsidRPr="003A115E">
        <w:rPr>
          <w:rFonts w:cs="Arial"/>
        </w:rPr>
        <w:t xml:space="preserve"> asociaciones de varios municipios para la ejecución en común de obras y para la prestación de servicios determinados de su competencia.</w:t>
      </w:r>
    </w:p>
    <w:p w14:paraId="5B61C743" w14:textId="77777777" w:rsidR="00EC4C05" w:rsidRPr="003A115E" w:rsidRDefault="6A28BBB8"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3A115E">
        <w:rPr>
          <w:rFonts w:cs="Arial"/>
        </w:rPr>
        <w:t xml:space="preserve">Las comarcas que se constituyan conforme a lo previsto en la LFAL, como entidades locales territoriales de carácter supramunicipal. </w:t>
      </w:r>
    </w:p>
    <w:p w14:paraId="75A2A64C" w14:textId="5E5C7C99" w:rsidR="00EC4C05" w:rsidRPr="003A115E" w:rsidRDefault="6A28BBB8"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spacing w:val="4"/>
        </w:rPr>
      </w:pPr>
      <w:r w:rsidRPr="003A115E">
        <w:rPr>
          <w:rFonts w:cs="Arial"/>
          <w:spacing w:val="4"/>
        </w:rPr>
        <w:lastRenderedPageBreak/>
        <w:t xml:space="preserve">Las mancomunidades de planificación general que pueden constituir las entidades locales navarras y la </w:t>
      </w:r>
      <w:r w:rsidR="00A9791F" w:rsidRPr="003A115E">
        <w:rPr>
          <w:rFonts w:cs="Arial"/>
          <w:spacing w:val="4"/>
        </w:rPr>
        <w:t>ACF</w:t>
      </w:r>
      <w:r w:rsidR="0079472A" w:rsidRPr="003A115E">
        <w:rPr>
          <w:rFonts w:cs="Arial"/>
          <w:spacing w:val="4"/>
        </w:rPr>
        <w:t>N</w:t>
      </w:r>
      <w:r w:rsidRPr="003A115E">
        <w:rPr>
          <w:rFonts w:cs="Arial"/>
          <w:spacing w:val="4"/>
        </w:rPr>
        <w:t xml:space="preserve"> para coordinar la prestación de determinados servicios de competencia local.</w:t>
      </w:r>
    </w:p>
    <w:p w14:paraId="5A3C8C45" w14:textId="51337CEF" w:rsidR="00EC4C05" w:rsidRPr="003A115E" w:rsidRDefault="4DAD9F9F" w:rsidP="797BD6FF">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lang w:val="es-ES"/>
        </w:rPr>
      </w:pPr>
      <w:r w:rsidRPr="003A115E">
        <w:rPr>
          <w:rFonts w:cs="Arial"/>
          <w:lang w:val="es-ES"/>
        </w:rPr>
        <w:t xml:space="preserve"> Las agrupaciones de servicios administrativos existentes a la fecha de entrada en vigor de la Ley Foral 4/2019, de 4 de febrero, de Reforma de la Administración </w:t>
      </w:r>
      <w:r w:rsidR="00AD11A4" w:rsidRPr="003A115E">
        <w:rPr>
          <w:rFonts w:cs="Arial"/>
          <w:lang w:val="es-ES"/>
        </w:rPr>
        <w:t>Local de Navarra, (</w:t>
      </w:r>
      <w:r w:rsidRPr="003A115E">
        <w:rPr>
          <w:rFonts w:cs="Arial"/>
          <w:lang w:val="es-ES"/>
        </w:rPr>
        <w:t>LFRAL</w:t>
      </w:r>
      <w:r w:rsidR="00AD11A4" w:rsidRPr="003A115E">
        <w:rPr>
          <w:rFonts w:cs="Arial"/>
          <w:lang w:val="es-ES"/>
        </w:rPr>
        <w:t>, en adelante</w:t>
      </w:r>
      <w:r w:rsidRPr="003A115E">
        <w:rPr>
          <w:rFonts w:cs="Arial"/>
          <w:lang w:val="es-ES"/>
        </w:rPr>
        <w:t xml:space="preserve">), hasta que se constituyan las comarcas que las </w:t>
      </w:r>
      <w:r w:rsidR="006F0D52" w:rsidRPr="003A115E">
        <w:rPr>
          <w:rFonts w:cs="Arial"/>
          <w:lang w:val="es-ES"/>
        </w:rPr>
        <w:t>sustituyan.</w:t>
      </w:r>
    </w:p>
    <w:p w14:paraId="7D127612" w14:textId="2D29FC30" w:rsidR="008B726B" w:rsidRPr="003A115E" w:rsidRDefault="008B726B" w:rsidP="00EC4C05">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rPr>
          <w:rFonts w:cs="Arial"/>
        </w:rPr>
      </w:pPr>
      <w:r w:rsidRPr="003A115E">
        <w:rPr>
          <w:rFonts w:cs="Arial"/>
        </w:rPr>
        <w:t xml:space="preserve">Hasta el momento no se ha </w:t>
      </w:r>
      <w:r w:rsidR="009318AB" w:rsidRPr="003A115E">
        <w:rPr>
          <w:rFonts w:cs="Arial"/>
        </w:rPr>
        <w:t>creado</w:t>
      </w:r>
      <w:r w:rsidRPr="003A115E">
        <w:rPr>
          <w:rFonts w:cs="Arial"/>
        </w:rPr>
        <w:t xml:space="preserve"> ninguna comarca ni mancomunidad de planificación general.</w:t>
      </w:r>
    </w:p>
    <w:p w14:paraId="63A703D1" w14:textId="0CD2A1FC" w:rsidR="00EC4C05" w:rsidRPr="003A115E" w:rsidRDefault="6A28BBB8" w:rsidP="00EC4C05">
      <w:pPr>
        <w:pStyle w:val="texto"/>
        <w:spacing w:after="240"/>
      </w:pPr>
      <w:r w:rsidRPr="003A115E">
        <w:t>El número de entidades local</w:t>
      </w:r>
      <w:r w:rsidR="002E6575" w:rsidRPr="003A115E">
        <w:t xml:space="preserve">es </w:t>
      </w:r>
      <w:r w:rsidR="006206B2" w:rsidRPr="003A115E">
        <w:t>se ha mantenido estable en los últimos años</w:t>
      </w:r>
      <w:r w:rsidRPr="003A115E">
        <w:t>:</w:t>
      </w:r>
    </w:p>
    <w:tbl>
      <w:tblPr>
        <w:tblW w:w="5000" w:type="pct"/>
        <w:tblCellMar>
          <w:left w:w="70" w:type="dxa"/>
          <w:right w:w="70" w:type="dxa"/>
        </w:tblCellMar>
        <w:tblLook w:val="04A0" w:firstRow="1" w:lastRow="0" w:firstColumn="1" w:lastColumn="0" w:noHBand="0" w:noVBand="1"/>
      </w:tblPr>
      <w:tblGrid>
        <w:gridCol w:w="2012"/>
        <w:gridCol w:w="2099"/>
        <w:gridCol w:w="1134"/>
        <w:gridCol w:w="1135"/>
        <w:gridCol w:w="1274"/>
        <w:gridCol w:w="1134"/>
      </w:tblGrid>
      <w:tr w:rsidR="000A742F" w:rsidRPr="003A115E" w14:paraId="702C5766" w14:textId="77777777" w:rsidTr="00CC28BD">
        <w:trPr>
          <w:trHeight w:val="255"/>
        </w:trPr>
        <w:tc>
          <w:tcPr>
            <w:tcW w:w="1145" w:type="pct"/>
            <w:tcBorders>
              <w:top w:val="single" w:sz="4" w:space="0" w:color="auto"/>
              <w:left w:val="nil"/>
              <w:bottom w:val="single" w:sz="4" w:space="0" w:color="auto"/>
              <w:right w:val="nil"/>
            </w:tcBorders>
            <w:shd w:val="clear" w:color="auto" w:fill="FABF8F" w:themeFill="accent6" w:themeFillTint="99"/>
            <w:vAlign w:val="center"/>
            <w:hideMark/>
          </w:tcPr>
          <w:p w14:paraId="77C061EA" w14:textId="77777777" w:rsidR="007251ED" w:rsidRPr="003A115E" w:rsidRDefault="007251ED" w:rsidP="00D2773D">
            <w:pPr>
              <w:pStyle w:val="cuadroCabe"/>
            </w:pPr>
            <w:r w:rsidRPr="003A115E">
              <w:t>Entidad local</w:t>
            </w:r>
          </w:p>
        </w:tc>
        <w:tc>
          <w:tcPr>
            <w:tcW w:w="1194" w:type="pct"/>
            <w:tcBorders>
              <w:top w:val="single" w:sz="4" w:space="0" w:color="auto"/>
              <w:left w:val="nil"/>
              <w:bottom w:val="single" w:sz="4" w:space="0" w:color="auto"/>
              <w:right w:val="nil"/>
            </w:tcBorders>
            <w:shd w:val="clear" w:color="auto" w:fill="FABF8F" w:themeFill="accent6" w:themeFillTint="99"/>
            <w:vAlign w:val="center"/>
            <w:hideMark/>
          </w:tcPr>
          <w:p w14:paraId="2A793A48" w14:textId="77777777" w:rsidR="007251ED" w:rsidRPr="003A115E" w:rsidRDefault="007251ED" w:rsidP="002B51BC">
            <w:pPr>
              <w:pStyle w:val="cuadroCabe"/>
              <w:jc w:val="right"/>
            </w:pPr>
            <w:r w:rsidRPr="003A115E">
              <w:t>2018</w:t>
            </w:r>
          </w:p>
        </w:tc>
        <w:tc>
          <w:tcPr>
            <w:tcW w:w="645" w:type="pct"/>
            <w:tcBorders>
              <w:top w:val="single" w:sz="4" w:space="0" w:color="auto"/>
              <w:left w:val="nil"/>
              <w:bottom w:val="single" w:sz="4" w:space="0" w:color="auto"/>
              <w:right w:val="nil"/>
            </w:tcBorders>
            <w:shd w:val="clear" w:color="auto" w:fill="FABF8F" w:themeFill="accent6" w:themeFillTint="99"/>
            <w:vAlign w:val="center"/>
            <w:hideMark/>
          </w:tcPr>
          <w:p w14:paraId="07BDA1C5" w14:textId="77777777" w:rsidR="007251ED" w:rsidRPr="003A115E" w:rsidRDefault="007251ED" w:rsidP="002B51BC">
            <w:pPr>
              <w:pStyle w:val="cuadroCabe"/>
              <w:jc w:val="right"/>
            </w:pPr>
            <w:r w:rsidRPr="003A115E">
              <w:t>2019</w:t>
            </w:r>
          </w:p>
        </w:tc>
        <w:tc>
          <w:tcPr>
            <w:tcW w:w="646" w:type="pct"/>
            <w:tcBorders>
              <w:top w:val="single" w:sz="4" w:space="0" w:color="auto"/>
              <w:left w:val="nil"/>
              <w:bottom w:val="single" w:sz="4" w:space="0" w:color="auto"/>
              <w:right w:val="nil"/>
            </w:tcBorders>
            <w:shd w:val="clear" w:color="auto" w:fill="FABF8F" w:themeFill="accent6" w:themeFillTint="99"/>
            <w:vAlign w:val="center"/>
            <w:hideMark/>
          </w:tcPr>
          <w:p w14:paraId="10F3AC3B" w14:textId="77777777" w:rsidR="007251ED" w:rsidRPr="003A115E" w:rsidRDefault="007251ED" w:rsidP="002B51BC">
            <w:pPr>
              <w:pStyle w:val="cuadroCabe"/>
              <w:jc w:val="right"/>
            </w:pPr>
            <w:r w:rsidRPr="003A115E">
              <w:t>2020</w:t>
            </w:r>
          </w:p>
        </w:tc>
        <w:tc>
          <w:tcPr>
            <w:tcW w:w="725" w:type="pct"/>
            <w:tcBorders>
              <w:top w:val="single" w:sz="4" w:space="0" w:color="auto"/>
              <w:left w:val="nil"/>
              <w:bottom w:val="single" w:sz="4" w:space="0" w:color="auto"/>
              <w:right w:val="nil"/>
            </w:tcBorders>
            <w:shd w:val="clear" w:color="auto" w:fill="FABF8F" w:themeFill="accent6" w:themeFillTint="99"/>
            <w:vAlign w:val="center"/>
            <w:hideMark/>
          </w:tcPr>
          <w:p w14:paraId="6F23069B" w14:textId="77777777" w:rsidR="007251ED" w:rsidRPr="003A115E" w:rsidRDefault="007251ED" w:rsidP="002B51BC">
            <w:pPr>
              <w:pStyle w:val="cuadroCabe"/>
              <w:jc w:val="right"/>
            </w:pPr>
            <w:r w:rsidRPr="003A115E">
              <w:t>2021</w:t>
            </w:r>
          </w:p>
        </w:tc>
        <w:tc>
          <w:tcPr>
            <w:tcW w:w="645" w:type="pct"/>
            <w:tcBorders>
              <w:top w:val="single" w:sz="4" w:space="0" w:color="auto"/>
              <w:left w:val="nil"/>
              <w:bottom w:val="single" w:sz="4" w:space="0" w:color="auto"/>
              <w:right w:val="nil"/>
            </w:tcBorders>
            <w:shd w:val="clear" w:color="auto" w:fill="FABF8F" w:themeFill="accent6" w:themeFillTint="99"/>
            <w:vAlign w:val="center"/>
            <w:hideMark/>
          </w:tcPr>
          <w:p w14:paraId="2DC16AD6" w14:textId="77777777" w:rsidR="007251ED" w:rsidRPr="003A115E" w:rsidRDefault="007251ED" w:rsidP="002B51BC">
            <w:pPr>
              <w:pStyle w:val="cuadroCabe"/>
              <w:jc w:val="right"/>
            </w:pPr>
            <w:r w:rsidRPr="003A115E">
              <w:t>2022</w:t>
            </w:r>
          </w:p>
        </w:tc>
      </w:tr>
      <w:tr w:rsidR="000A742F" w:rsidRPr="003A115E" w14:paraId="38339193" w14:textId="77777777" w:rsidTr="00CC28BD">
        <w:trPr>
          <w:trHeight w:val="198"/>
        </w:trPr>
        <w:tc>
          <w:tcPr>
            <w:tcW w:w="1145" w:type="pct"/>
            <w:tcBorders>
              <w:top w:val="single" w:sz="4" w:space="0" w:color="auto"/>
              <w:left w:val="nil"/>
              <w:bottom w:val="single" w:sz="2" w:space="0" w:color="auto"/>
              <w:right w:val="nil"/>
            </w:tcBorders>
            <w:shd w:val="clear" w:color="auto" w:fill="auto"/>
            <w:vAlign w:val="center"/>
            <w:hideMark/>
          </w:tcPr>
          <w:p w14:paraId="7021E514" w14:textId="77777777" w:rsidR="007251ED" w:rsidRPr="003A115E" w:rsidRDefault="007251ED" w:rsidP="00D2773D">
            <w:pPr>
              <w:pStyle w:val="cuatexto"/>
            </w:pPr>
            <w:r w:rsidRPr="003A115E">
              <w:t>Municipios</w:t>
            </w:r>
            <w:r w:rsidRPr="003A115E">
              <w:rPr>
                <w:vertAlign w:val="superscript"/>
              </w:rPr>
              <w:t xml:space="preserve"> (1)</w:t>
            </w:r>
          </w:p>
        </w:tc>
        <w:tc>
          <w:tcPr>
            <w:tcW w:w="1194" w:type="pct"/>
            <w:tcBorders>
              <w:top w:val="single" w:sz="4" w:space="0" w:color="auto"/>
              <w:left w:val="nil"/>
              <w:bottom w:val="single" w:sz="2" w:space="0" w:color="auto"/>
              <w:right w:val="nil"/>
            </w:tcBorders>
            <w:shd w:val="clear" w:color="auto" w:fill="auto"/>
            <w:vAlign w:val="center"/>
            <w:hideMark/>
          </w:tcPr>
          <w:p w14:paraId="5F5E2860" w14:textId="77777777" w:rsidR="007251ED" w:rsidRPr="003A115E" w:rsidRDefault="007251ED" w:rsidP="002B51BC">
            <w:pPr>
              <w:pStyle w:val="cuatexto"/>
              <w:jc w:val="right"/>
            </w:pPr>
            <w:r w:rsidRPr="003A115E">
              <w:t>272</w:t>
            </w:r>
          </w:p>
        </w:tc>
        <w:tc>
          <w:tcPr>
            <w:tcW w:w="645" w:type="pct"/>
            <w:tcBorders>
              <w:top w:val="single" w:sz="4" w:space="0" w:color="auto"/>
              <w:left w:val="nil"/>
              <w:bottom w:val="single" w:sz="2" w:space="0" w:color="auto"/>
              <w:right w:val="nil"/>
            </w:tcBorders>
            <w:shd w:val="clear" w:color="auto" w:fill="auto"/>
            <w:vAlign w:val="center"/>
            <w:hideMark/>
          </w:tcPr>
          <w:p w14:paraId="3A3FCB4F" w14:textId="77777777" w:rsidR="007251ED" w:rsidRPr="003A115E" w:rsidRDefault="007251ED" w:rsidP="002B51BC">
            <w:pPr>
              <w:pStyle w:val="cuatexto"/>
              <w:jc w:val="right"/>
            </w:pPr>
            <w:r w:rsidRPr="003A115E">
              <w:t>272</w:t>
            </w:r>
          </w:p>
        </w:tc>
        <w:tc>
          <w:tcPr>
            <w:tcW w:w="646" w:type="pct"/>
            <w:tcBorders>
              <w:top w:val="single" w:sz="4" w:space="0" w:color="auto"/>
              <w:left w:val="nil"/>
              <w:bottom w:val="single" w:sz="2" w:space="0" w:color="auto"/>
              <w:right w:val="nil"/>
            </w:tcBorders>
            <w:shd w:val="clear" w:color="auto" w:fill="auto"/>
            <w:vAlign w:val="center"/>
            <w:hideMark/>
          </w:tcPr>
          <w:p w14:paraId="3C6766C6" w14:textId="77777777" w:rsidR="007251ED" w:rsidRPr="003A115E" w:rsidRDefault="007251ED" w:rsidP="002B51BC">
            <w:pPr>
              <w:pStyle w:val="cuatexto"/>
              <w:jc w:val="right"/>
            </w:pPr>
            <w:r w:rsidRPr="003A115E">
              <w:t>272</w:t>
            </w:r>
          </w:p>
        </w:tc>
        <w:tc>
          <w:tcPr>
            <w:tcW w:w="725" w:type="pct"/>
            <w:tcBorders>
              <w:top w:val="single" w:sz="4" w:space="0" w:color="auto"/>
              <w:left w:val="nil"/>
              <w:bottom w:val="single" w:sz="2" w:space="0" w:color="auto"/>
              <w:right w:val="nil"/>
            </w:tcBorders>
            <w:shd w:val="clear" w:color="auto" w:fill="auto"/>
            <w:vAlign w:val="center"/>
            <w:hideMark/>
          </w:tcPr>
          <w:p w14:paraId="65DE81EF" w14:textId="77777777" w:rsidR="007251ED" w:rsidRPr="003A115E" w:rsidRDefault="007251ED" w:rsidP="002B51BC">
            <w:pPr>
              <w:pStyle w:val="cuatexto"/>
              <w:jc w:val="right"/>
            </w:pPr>
            <w:r w:rsidRPr="003A115E">
              <w:t>272</w:t>
            </w:r>
          </w:p>
        </w:tc>
        <w:tc>
          <w:tcPr>
            <w:tcW w:w="645" w:type="pct"/>
            <w:tcBorders>
              <w:top w:val="single" w:sz="4" w:space="0" w:color="auto"/>
              <w:left w:val="nil"/>
              <w:bottom w:val="single" w:sz="2" w:space="0" w:color="auto"/>
              <w:right w:val="nil"/>
            </w:tcBorders>
            <w:shd w:val="clear" w:color="auto" w:fill="auto"/>
            <w:vAlign w:val="center"/>
            <w:hideMark/>
          </w:tcPr>
          <w:p w14:paraId="242B9D05" w14:textId="77777777" w:rsidR="007251ED" w:rsidRPr="003A115E" w:rsidRDefault="007251ED" w:rsidP="002B51BC">
            <w:pPr>
              <w:pStyle w:val="cuatexto"/>
              <w:jc w:val="right"/>
            </w:pPr>
            <w:r w:rsidRPr="003A115E">
              <w:t>272</w:t>
            </w:r>
          </w:p>
        </w:tc>
      </w:tr>
      <w:tr w:rsidR="000A742F" w:rsidRPr="003A115E" w14:paraId="05D95728" w14:textId="77777777" w:rsidTr="00CC28BD">
        <w:trPr>
          <w:trHeight w:val="198"/>
        </w:trPr>
        <w:tc>
          <w:tcPr>
            <w:tcW w:w="1145" w:type="pct"/>
            <w:tcBorders>
              <w:top w:val="single" w:sz="2" w:space="0" w:color="auto"/>
              <w:left w:val="nil"/>
              <w:bottom w:val="single" w:sz="2" w:space="0" w:color="auto"/>
              <w:right w:val="nil"/>
            </w:tcBorders>
            <w:shd w:val="clear" w:color="auto" w:fill="auto"/>
            <w:vAlign w:val="center"/>
            <w:hideMark/>
          </w:tcPr>
          <w:p w14:paraId="2D647631" w14:textId="77777777" w:rsidR="007251ED" w:rsidRPr="003A115E" w:rsidRDefault="007251ED" w:rsidP="00D2773D">
            <w:pPr>
              <w:pStyle w:val="cuatexto"/>
            </w:pPr>
            <w:r w:rsidRPr="003A115E">
              <w:t>Concejos</w:t>
            </w:r>
          </w:p>
        </w:tc>
        <w:tc>
          <w:tcPr>
            <w:tcW w:w="1194" w:type="pct"/>
            <w:tcBorders>
              <w:top w:val="single" w:sz="2" w:space="0" w:color="auto"/>
              <w:left w:val="nil"/>
              <w:bottom w:val="single" w:sz="2" w:space="0" w:color="auto"/>
              <w:right w:val="nil"/>
            </w:tcBorders>
            <w:shd w:val="clear" w:color="auto" w:fill="auto"/>
            <w:vAlign w:val="center"/>
            <w:hideMark/>
          </w:tcPr>
          <w:p w14:paraId="0216FBB7" w14:textId="77777777" w:rsidR="007251ED" w:rsidRPr="003A115E" w:rsidRDefault="007251ED" w:rsidP="002B51BC">
            <w:pPr>
              <w:pStyle w:val="cuatexto"/>
              <w:jc w:val="right"/>
            </w:pPr>
            <w:r w:rsidRPr="003A115E">
              <w:t>346</w:t>
            </w:r>
          </w:p>
        </w:tc>
        <w:tc>
          <w:tcPr>
            <w:tcW w:w="645" w:type="pct"/>
            <w:tcBorders>
              <w:top w:val="single" w:sz="2" w:space="0" w:color="auto"/>
              <w:left w:val="nil"/>
              <w:bottom w:val="single" w:sz="2" w:space="0" w:color="auto"/>
              <w:right w:val="nil"/>
            </w:tcBorders>
            <w:shd w:val="clear" w:color="auto" w:fill="auto"/>
            <w:vAlign w:val="center"/>
            <w:hideMark/>
          </w:tcPr>
          <w:p w14:paraId="46C33AA7" w14:textId="77777777" w:rsidR="007251ED" w:rsidRPr="003A115E" w:rsidRDefault="007251ED" w:rsidP="002B51BC">
            <w:pPr>
              <w:pStyle w:val="cuatexto"/>
              <w:jc w:val="right"/>
            </w:pPr>
            <w:r w:rsidRPr="003A115E">
              <w:t>346</w:t>
            </w:r>
          </w:p>
        </w:tc>
        <w:tc>
          <w:tcPr>
            <w:tcW w:w="646" w:type="pct"/>
            <w:tcBorders>
              <w:top w:val="single" w:sz="2" w:space="0" w:color="auto"/>
              <w:left w:val="nil"/>
              <w:bottom w:val="single" w:sz="2" w:space="0" w:color="auto"/>
              <w:right w:val="nil"/>
            </w:tcBorders>
            <w:shd w:val="clear" w:color="auto" w:fill="auto"/>
            <w:vAlign w:val="center"/>
            <w:hideMark/>
          </w:tcPr>
          <w:p w14:paraId="4AADE1BA" w14:textId="77777777" w:rsidR="007251ED" w:rsidRPr="003A115E" w:rsidRDefault="007251ED" w:rsidP="002B51BC">
            <w:pPr>
              <w:pStyle w:val="cuatexto"/>
              <w:jc w:val="right"/>
            </w:pPr>
            <w:r w:rsidRPr="003A115E">
              <w:t>346</w:t>
            </w:r>
          </w:p>
        </w:tc>
        <w:tc>
          <w:tcPr>
            <w:tcW w:w="725" w:type="pct"/>
            <w:tcBorders>
              <w:top w:val="single" w:sz="2" w:space="0" w:color="auto"/>
              <w:left w:val="nil"/>
              <w:bottom w:val="single" w:sz="2" w:space="0" w:color="auto"/>
              <w:right w:val="nil"/>
            </w:tcBorders>
            <w:shd w:val="clear" w:color="auto" w:fill="auto"/>
            <w:vAlign w:val="center"/>
            <w:hideMark/>
          </w:tcPr>
          <w:p w14:paraId="0BB96AE0" w14:textId="77777777" w:rsidR="007251ED" w:rsidRPr="003A115E" w:rsidRDefault="007251ED" w:rsidP="002B51BC">
            <w:pPr>
              <w:pStyle w:val="cuatexto"/>
              <w:jc w:val="right"/>
            </w:pPr>
            <w:r w:rsidRPr="003A115E">
              <w:t>346</w:t>
            </w:r>
          </w:p>
        </w:tc>
        <w:tc>
          <w:tcPr>
            <w:tcW w:w="645" w:type="pct"/>
            <w:tcBorders>
              <w:top w:val="single" w:sz="2" w:space="0" w:color="auto"/>
              <w:left w:val="nil"/>
              <w:bottom w:val="single" w:sz="2" w:space="0" w:color="auto"/>
              <w:right w:val="nil"/>
            </w:tcBorders>
            <w:shd w:val="clear" w:color="auto" w:fill="auto"/>
            <w:vAlign w:val="center"/>
            <w:hideMark/>
          </w:tcPr>
          <w:p w14:paraId="6345BFBB" w14:textId="28529AF7" w:rsidR="007251ED" w:rsidRPr="003A115E" w:rsidRDefault="50003C74" w:rsidP="002B51BC">
            <w:pPr>
              <w:pStyle w:val="cuatexto"/>
              <w:jc w:val="right"/>
            </w:pPr>
            <w:r w:rsidRPr="003A115E">
              <w:t>34</w:t>
            </w:r>
            <w:r w:rsidR="361A49D3" w:rsidRPr="003A115E">
              <w:t>6</w:t>
            </w:r>
          </w:p>
        </w:tc>
      </w:tr>
      <w:tr w:rsidR="000A742F" w:rsidRPr="003A115E" w14:paraId="4418CC66" w14:textId="77777777" w:rsidTr="00CC28BD">
        <w:trPr>
          <w:trHeight w:val="198"/>
        </w:trPr>
        <w:tc>
          <w:tcPr>
            <w:tcW w:w="1145" w:type="pct"/>
            <w:tcBorders>
              <w:top w:val="single" w:sz="2" w:space="0" w:color="auto"/>
              <w:left w:val="nil"/>
              <w:bottom w:val="single" w:sz="2" w:space="0" w:color="auto"/>
              <w:right w:val="nil"/>
            </w:tcBorders>
            <w:shd w:val="clear" w:color="auto" w:fill="auto"/>
            <w:vAlign w:val="center"/>
            <w:hideMark/>
          </w:tcPr>
          <w:p w14:paraId="7DF1546C" w14:textId="77777777" w:rsidR="007251ED" w:rsidRPr="003A115E" w:rsidRDefault="007251ED" w:rsidP="00D2773D">
            <w:pPr>
              <w:pStyle w:val="cuatexto"/>
            </w:pPr>
            <w:r w:rsidRPr="003A115E">
              <w:t xml:space="preserve">Mancomunidades </w:t>
            </w:r>
          </w:p>
        </w:tc>
        <w:tc>
          <w:tcPr>
            <w:tcW w:w="1194" w:type="pct"/>
            <w:tcBorders>
              <w:top w:val="single" w:sz="2" w:space="0" w:color="auto"/>
              <w:left w:val="nil"/>
              <w:bottom w:val="single" w:sz="2" w:space="0" w:color="auto"/>
              <w:right w:val="nil"/>
            </w:tcBorders>
            <w:shd w:val="clear" w:color="auto" w:fill="auto"/>
            <w:vAlign w:val="center"/>
            <w:hideMark/>
          </w:tcPr>
          <w:p w14:paraId="2E40AA99" w14:textId="77777777" w:rsidR="007251ED" w:rsidRPr="003A115E" w:rsidRDefault="007251ED" w:rsidP="002B51BC">
            <w:pPr>
              <w:pStyle w:val="cuatexto"/>
              <w:jc w:val="right"/>
            </w:pPr>
            <w:r w:rsidRPr="003A115E">
              <w:t>62</w:t>
            </w:r>
          </w:p>
        </w:tc>
        <w:tc>
          <w:tcPr>
            <w:tcW w:w="645" w:type="pct"/>
            <w:tcBorders>
              <w:top w:val="single" w:sz="2" w:space="0" w:color="auto"/>
              <w:left w:val="nil"/>
              <w:bottom w:val="single" w:sz="2" w:space="0" w:color="auto"/>
              <w:right w:val="nil"/>
            </w:tcBorders>
            <w:shd w:val="clear" w:color="auto" w:fill="auto"/>
            <w:vAlign w:val="center"/>
            <w:hideMark/>
          </w:tcPr>
          <w:p w14:paraId="01DD70B3" w14:textId="77777777" w:rsidR="007251ED" w:rsidRPr="003A115E" w:rsidRDefault="007251ED" w:rsidP="002B51BC">
            <w:pPr>
              <w:pStyle w:val="cuatexto"/>
              <w:jc w:val="right"/>
            </w:pPr>
            <w:r w:rsidRPr="003A115E">
              <w:t>62</w:t>
            </w:r>
          </w:p>
        </w:tc>
        <w:tc>
          <w:tcPr>
            <w:tcW w:w="646" w:type="pct"/>
            <w:tcBorders>
              <w:top w:val="single" w:sz="2" w:space="0" w:color="auto"/>
              <w:left w:val="nil"/>
              <w:bottom w:val="single" w:sz="2" w:space="0" w:color="auto"/>
              <w:right w:val="nil"/>
            </w:tcBorders>
            <w:shd w:val="clear" w:color="auto" w:fill="auto"/>
            <w:vAlign w:val="center"/>
            <w:hideMark/>
          </w:tcPr>
          <w:p w14:paraId="27393096" w14:textId="77777777" w:rsidR="007251ED" w:rsidRPr="003A115E" w:rsidRDefault="007251ED" w:rsidP="002B51BC">
            <w:pPr>
              <w:pStyle w:val="cuatexto"/>
              <w:jc w:val="right"/>
            </w:pPr>
            <w:r w:rsidRPr="003A115E">
              <w:t>62</w:t>
            </w:r>
          </w:p>
        </w:tc>
        <w:tc>
          <w:tcPr>
            <w:tcW w:w="725" w:type="pct"/>
            <w:tcBorders>
              <w:top w:val="single" w:sz="2" w:space="0" w:color="auto"/>
              <w:left w:val="nil"/>
              <w:bottom w:val="single" w:sz="2" w:space="0" w:color="auto"/>
              <w:right w:val="nil"/>
            </w:tcBorders>
            <w:shd w:val="clear" w:color="auto" w:fill="auto"/>
            <w:vAlign w:val="center"/>
            <w:hideMark/>
          </w:tcPr>
          <w:p w14:paraId="5809AEC1" w14:textId="77777777" w:rsidR="007251ED" w:rsidRPr="003A115E" w:rsidRDefault="007251ED" w:rsidP="002B51BC">
            <w:pPr>
              <w:pStyle w:val="cuatexto"/>
              <w:jc w:val="right"/>
            </w:pPr>
            <w:r w:rsidRPr="003A115E">
              <w:t>62</w:t>
            </w:r>
          </w:p>
        </w:tc>
        <w:tc>
          <w:tcPr>
            <w:tcW w:w="645" w:type="pct"/>
            <w:tcBorders>
              <w:top w:val="single" w:sz="2" w:space="0" w:color="auto"/>
              <w:left w:val="nil"/>
              <w:bottom w:val="single" w:sz="2" w:space="0" w:color="auto"/>
              <w:right w:val="nil"/>
            </w:tcBorders>
            <w:shd w:val="clear" w:color="auto" w:fill="auto"/>
            <w:vAlign w:val="center"/>
            <w:hideMark/>
          </w:tcPr>
          <w:p w14:paraId="0681FECE" w14:textId="77777777" w:rsidR="007251ED" w:rsidRPr="003A115E" w:rsidRDefault="007251ED" w:rsidP="002B51BC">
            <w:pPr>
              <w:pStyle w:val="cuatexto"/>
              <w:jc w:val="right"/>
            </w:pPr>
            <w:r w:rsidRPr="003A115E">
              <w:t>62</w:t>
            </w:r>
          </w:p>
        </w:tc>
      </w:tr>
      <w:tr w:rsidR="000A742F" w:rsidRPr="003A115E" w14:paraId="73FE3531" w14:textId="77777777" w:rsidTr="00CC28BD">
        <w:trPr>
          <w:trHeight w:val="198"/>
        </w:trPr>
        <w:tc>
          <w:tcPr>
            <w:tcW w:w="1145" w:type="pct"/>
            <w:tcBorders>
              <w:top w:val="single" w:sz="2" w:space="0" w:color="auto"/>
              <w:left w:val="nil"/>
              <w:bottom w:val="single" w:sz="4" w:space="0" w:color="auto"/>
              <w:right w:val="nil"/>
            </w:tcBorders>
            <w:shd w:val="clear" w:color="auto" w:fill="auto"/>
            <w:vAlign w:val="center"/>
            <w:hideMark/>
          </w:tcPr>
          <w:p w14:paraId="06663B4D" w14:textId="77777777" w:rsidR="007251ED" w:rsidRPr="003A115E" w:rsidRDefault="007251ED" w:rsidP="00D2773D">
            <w:pPr>
              <w:pStyle w:val="cuatexto"/>
            </w:pPr>
            <w:r w:rsidRPr="003A115E">
              <w:t xml:space="preserve">Agrupaciones </w:t>
            </w:r>
            <w:r w:rsidRPr="003A115E">
              <w:rPr>
                <w:vertAlign w:val="superscript"/>
              </w:rPr>
              <w:t>2)</w:t>
            </w:r>
          </w:p>
        </w:tc>
        <w:tc>
          <w:tcPr>
            <w:tcW w:w="1194" w:type="pct"/>
            <w:tcBorders>
              <w:top w:val="single" w:sz="2" w:space="0" w:color="auto"/>
              <w:left w:val="nil"/>
              <w:bottom w:val="single" w:sz="4" w:space="0" w:color="auto"/>
              <w:right w:val="nil"/>
            </w:tcBorders>
            <w:shd w:val="clear" w:color="auto" w:fill="auto"/>
            <w:vAlign w:val="center"/>
            <w:hideMark/>
          </w:tcPr>
          <w:p w14:paraId="1AFDAF13" w14:textId="77777777" w:rsidR="007251ED" w:rsidRPr="003A115E" w:rsidRDefault="007251ED" w:rsidP="002B51BC">
            <w:pPr>
              <w:pStyle w:val="cuatexto"/>
              <w:jc w:val="right"/>
            </w:pPr>
            <w:r w:rsidRPr="003A115E">
              <w:t>22</w:t>
            </w:r>
          </w:p>
        </w:tc>
        <w:tc>
          <w:tcPr>
            <w:tcW w:w="645" w:type="pct"/>
            <w:tcBorders>
              <w:top w:val="single" w:sz="2" w:space="0" w:color="auto"/>
              <w:left w:val="nil"/>
              <w:bottom w:val="single" w:sz="4" w:space="0" w:color="auto"/>
              <w:right w:val="nil"/>
            </w:tcBorders>
            <w:shd w:val="clear" w:color="auto" w:fill="auto"/>
            <w:vAlign w:val="center"/>
            <w:hideMark/>
          </w:tcPr>
          <w:p w14:paraId="113224ED" w14:textId="77777777" w:rsidR="007251ED" w:rsidRPr="003A115E" w:rsidRDefault="007251ED" w:rsidP="002B51BC">
            <w:pPr>
              <w:pStyle w:val="cuatexto"/>
              <w:jc w:val="right"/>
            </w:pPr>
            <w:r w:rsidRPr="003A115E">
              <w:t>22</w:t>
            </w:r>
          </w:p>
        </w:tc>
        <w:tc>
          <w:tcPr>
            <w:tcW w:w="646" w:type="pct"/>
            <w:tcBorders>
              <w:top w:val="single" w:sz="2" w:space="0" w:color="auto"/>
              <w:left w:val="nil"/>
              <w:bottom w:val="single" w:sz="4" w:space="0" w:color="auto"/>
              <w:right w:val="nil"/>
            </w:tcBorders>
            <w:shd w:val="clear" w:color="auto" w:fill="auto"/>
            <w:vAlign w:val="center"/>
            <w:hideMark/>
          </w:tcPr>
          <w:p w14:paraId="4BBF5457" w14:textId="77777777" w:rsidR="007251ED" w:rsidRPr="003A115E" w:rsidRDefault="007251ED" w:rsidP="002B51BC">
            <w:pPr>
              <w:pStyle w:val="cuatexto"/>
              <w:jc w:val="right"/>
            </w:pPr>
            <w:r w:rsidRPr="003A115E">
              <w:t>22</w:t>
            </w:r>
          </w:p>
        </w:tc>
        <w:tc>
          <w:tcPr>
            <w:tcW w:w="725" w:type="pct"/>
            <w:tcBorders>
              <w:top w:val="single" w:sz="2" w:space="0" w:color="auto"/>
              <w:left w:val="nil"/>
              <w:bottom w:val="single" w:sz="4" w:space="0" w:color="auto"/>
              <w:right w:val="nil"/>
            </w:tcBorders>
            <w:shd w:val="clear" w:color="auto" w:fill="auto"/>
            <w:vAlign w:val="center"/>
            <w:hideMark/>
          </w:tcPr>
          <w:p w14:paraId="061368F2" w14:textId="77777777" w:rsidR="007251ED" w:rsidRPr="003A115E" w:rsidRDefault="007251ED" w:rsidP="002B51BC">
            <w:pPr>
              <w:pStyle w:val="cuatexto"/>
              <w:jc w:val="right"/>
            </w:pPr>
            <w:r w:rsidRPr="003A115E">
              <w:t>22</w:t>
            </w:r>
          </w:p>
        </w:tc>
        <w:tc>
          <w:tcPr>
            <w:tcW w:w="645" w:type="pct"/>
            <w:tcBorders>
              <w:top w:val="single" w:sz="2" w:space="0" w:color="auto"/>
              <w:left w:val="nil"/>
              <w:bottom w:val="single" w:sz="4" w:space="0" w:color="auto"/>
              <w:right w:val="nil"/>
            </w:tcBorders>
            <w:shd w:val="clear" w:color="auto" w:fill="auto"/>
            <w:vAlign w:val="center"/>
            <w:hideMark/>
          </w:tcPr>
          <w:p w14:paraId="31ADCF80" w14:textId="77777777" w:rsidR="007251ED" w:rsidRPr="003A115E" w:rsidRDefault="007251ED" w:rsidP="002B51BC">
            <w:pPr>
              <w:pStyle w:val="cuatexto"/>
              <w:jc w:val="right"/>
            </w:pPr>
            <w:r w:rsidRPr="003A115E">
              <w:t>22</w:t>
            </w:r>
          </w:p>
        </w:tc>
      </w:tr>
      <w:tr w:rsidR="000A742F" w:rsidRPr="003A115E" w14:paraId="68365837" w14:textId="77777777" w:rsidTr="00CC28BD">
        <w:trPr>
          <w:trHeight w:val="255"/>
        </w:trPr>
        <w:tc>
          <w:tcPr>
            <w:tcW w:w="1145" w:type="pct"/>
            <w:tcBorders>
              <w:top w:val="single" w:sz="4" w:space="0" w:color="auto"/>
              <w:left w:val="nil"/>
              <w:bottom w:val="single" w:sz="4" w:space="0" w:color="auto"/>
              <w:right w:val="nil"/>
            </w:tcBorders>
            <w:shd w:val="clear" w:color="auto" w:fill="FABF8F" w:themeFill="accent6" w:themeFillTint="99"/>
            <w:vAlign w:val="center"/>
            <w:hideMark/>
          </w:tcPr>
          <w:p w14:paraId="7A4B94E1" w14:textId="77777777" w:rsidR="007251ED" w:rsidRPr="003A115E" w:rsidRDefault="007251ED" w:rsidP="00D2773D">
            <w:pPr>
              <w:pStyle w:val="cuadroCabe"/>
            </w:pPr>
            <w:r w:rsidRPr="003A115E">
              <w:t>Total</w:t>
            </w:r>
          </w:p>
        </w:tc>
        <w:tc>
          <w:tcPr>
            <w:tcW w:w="1194" w:type="pct"/>
            <w:tcBorders>
              <w:top w:val="single" w:sz="4" w:space="0" w:color="auto"/>
              <w:left w:val="nil"/>
              <w:bottom w:val="single" w:sz="4" w:space="0" w:color="auto"/>
              <w:right w:val="nil"/>
            </w:tcBorders>
            <w:shd w:val="clear" w:color="auto" w:fill="FABF8F" w:themeFill="accent6" w:themeFillTint="99"/>
            <w:vAlign w:val="center"/>
            <w:hideMark/>
          </w:tcPr>
          <w:p w14:paraId="409B7426" w14:textId="77777777" w:rsidR="007251ED" w:rsidRPr="003A115E" w:rsidRDefault="007251ED" w:rsidP="002B51BC">
            <w:pPr>
              <w:pStyle w:val="cuadroCabe"/>
              <w:jc w:val="right"/>
            </w:pPr>
            <w:r w:rsidRPr="003A115E">
              <w:t>702</w:t>
            </w:r>
          </w:p>
        </w:tc>
        <w:tc>
          <w:tcPr>
            <w:tcW w:w="645" w:type="pct"/>
            <w:tcBorders>
              <w:top w:val="single" w:sz="4" w:space="0" w:color="auto"/>
              <w:left w:val="nil"/>
              <w:bottom w:val="single" w:sz="4" w:space="0" w:color="auto"/>
              <w:right w:val="nil"/>
            </w:tcBorders>
            <w:shd w:val="clear" w:color="auto" w:fill="FABF8F" w:themeFill="accent6" w:themeFillTint="99"/>
            <w:vAlign w:val="center"/>
            <w:hideMark/>
          </w:tcPr>
          <w:p w14:paraId="26C3ABC0" w14:textId="77777777" w:rsidR="007251ED" w:rsidRPr="003A115E" w:rsidRDefault="007251ED" w:rsidP="002B51BC">
            <w:pPr>
              <w:pStyle w:val="cuadroCabe"/>
              <w:jc w:val="right"/>
            </w:pPr>
            <w:r w:rsidRPr="003A115E">
              <w:t>702</w:t>
            </w:r>
          </w:p>
        </w:tc>
        <w:tc>
          <w:tcPr>
            <w:tcW w:w="646" w:type="pct"/>
            <w:tcBorders>
              <w:top w:val="single" w:sz="4" w:space="0" w:color="auto"/>
              <w:left w:val="nil"/>
              <w:bottom w:val="single" w:sz="4" w:space="0" w:color="auto"/>
              <w:right w:val="nil"/>
            </w:tcBorders>
            <w:shd w:val="clear" w:color="auto" w:fill="FABF8F" w:themeFill="accent6" w:themeFillTint="99"/>
            <w:vAlign w:val="center"/>
            <w:hideMark/>
          </w:tcPr>
          <w:p w14:paraId="3BA0A557" w14:textId="77777777" w:rsidR="007251ED" w:rsidRPr="003A115E" w:rsidRDefault="007251ED" w:rsidP="002B51BC">
            <w:pPr>
              <w:pStyle w:val="cuadroCabe"/>
              <w:jc w:val="right"/>
            </w:pPr>
            <w:r w:rsidRPr="003A115E">
              <w:t>702</w:t>
            </w:r>
          </w:p>
        </w:tc>
        <w:tc>
          <w:tcPr>
            <w:tcW w:w="725" w:type="pct"/>
            <w:tcBorders>
              <w:top w:val="single" w:sz="4" w:space="0" w:color="auto"/>
              <w:left w:val="nil"/>
              <w:bottom w:val="single" w:sz="4" w:space="0" w:color="auto"/>
              <w:right w:val="nil"/>
            </w:tcBorders>
            <w:shd w:val="clear" w:color="auto" w:fill="FABF8F" w:themeFill="accent6" w:themeFillTint="99"/>
            <w:vAlign w:val="center"/>
            <w:hideMark/>
          </w:tcPr>
          <w:p w14:paraId="1CF3C41D" w14:textId="77777777" w:rsidR="007251ED" w:rsidRPr="003A115E" w:rsidRDefault="007251ED" w:rsidP="002B51BC">
            <w:pPr>
              <w:pStyle w:val="cuadroCabe"/>
              <w:jc w:val="right"/>
            </w:pPr>
            <w:r w:rsidRPr="003A115E">
              <w:t>702</w:t>
            </w:r>
          </w:p>
        </w:tc>
        <w:tc>
          <w:tcPr>
            <w:tcW w:w="645" w:type="pct"/>
            <w:tcBorders>
              <w:top w:val="single" w:sz="4" w:space="0" w:color="auto"/>
              <w:left w:val="nil"/>
              <w:bottom w:val="single" w:sz="4" w:space="0" w:color="auto"/>
              <w:right w:val="nil"/>
            </w:tcBorders>
            <w:shd w:val="clear" w:color="auto" w:fill="FABF8F" w:themeFill="accent6" w:themeFillTint="99"/>
            <w:vAlign w:val="center"/>
            <w:hideMark/>
          </w:tcPr>
          <w:p w14:paraId="4EB74747" w14:textId="15E2B3EF" w:rsidR="007251ED" w:rsidRPr="003A115E" w:rsidRDefault="50003C74" w:rsidP="002B51BC">
            <w:pPr>
              <w:pStyle w:val="cuadroCabe"/>
              <w:jc w:val="right"/>
            </w:pPr>
            <w:r w:rsidRPr="003A115E">
              <w:t>70</w:t>
            </w:r>
            <w:r w:rsidR="227F886F" w:rsidRPr="003A115E">
              <w:t>2</w:t>
            </w:r>
          </w:p>
        </w:tc>
      </w:tr>
    </w:tbl>
    <w:p w14:paraId="6D129564" w14:textId="6917FA91" w:rsidR="00EC4C05" w:rsidRPr="003A115E" w:rsidRDefault="00787D6A" w:rsidP="00787D6A">
      <w:pPr>
        <w:pStyle w:val="recomen"/>
        <w:numPr>
          <w:ilvl w:val="0"/>
          <w:numId w:val="0"/>
        </w:numPr>
        <w:spacing w:before="60" w:after="60"/>
        <w:rPr>
          <w:rFonts w:ascii="Arial" w:hAnsi="Arial" w:cs="Arial"/>
          <w:i w:val="0"/>
          <w:sz w:val="14"/>
          <w:szCs w:val="14"/>
          <w:lang w:val="es-ES_tradnl"/>
        </w:rPr>
      </w:pPr>
      <w:r w:rsidRPr="003A115E">
        <w:rPr>
          <w:rFonts w:ascii="Arial" w:hAnsi="Arial" w:cs="Arial"/>
          <w:i w:val="0"/>
          <w:sz w:val="14"/>
          <w:szCs w:val="14"/>
          <w:vertAlign w:val="superscript"/>
          <w:lang w:val="es-ES_tradnl"/>
        </w:rPr>
        <w:t>(1)</w:t>
      </w:r>
      <w:r w:rsidRPr="003A115E">
        <w:rPr>
          <w:rFonts w:ascii="Arial" w:hAnsi="Arial" w:cs="Arial"/>
          <w:i w:val="0"/>
          <w:sz w:val="14"/>
          <w:szCs w:val="14"/>
          <w:lang w:val="es-ES_tradnl"/>
        </w:rPr>
        <w:t xml:space="preserve"> </w:t>
      </w:r>
      <w:r w:rsidR="00EC4C05" w:rsidRPr="003A115E">
        <w:rPr>
          <w:rFonts w:ascii="Arial" w:hAnsi="Arial" w:cs="Arial"/>
          <w:i w:val="0"/>
          <w:sz w:val="14"/>
          <w:szCs w:val="14"/>
          <w:lang w:val="es-ES_tradnl"/>
        </w:rPr>
        <w:t>60 son municipios compuestos.</w:t>
      </w:r>
    </w:p>
    <w:p w14:paraId="68FD1B87" w14:textId="2B2C70F1" w:rsidR="3710BB4A" w:rsidRPr="003A115E" w:rsidRDefault="00787D6A" w:rsidP="00AA2A74">
      <w:pPr>
        <w:pStyle w:val="recomen"/>
        <w:numPr>
          <w:ilvl w:val="0"/>
          <w:numId w:val="0"/>
        </w:numPr>
        <w:spacing w:after="60"/>
        <w:rPr>
          <w:rFonts w:ascii="Arial" w:hAnsi="Arial" w:cs="Arial"/>
          <w:i w:val="0"/>
          <w:sz w:val="14"/>
          <w:szCs w:val="14"/>
        </w:rPr>
      </w:pPr>
      <w:r w:rsidRPr="003A115E">
        <w:rPr>
          <w:rFonts w:ascii="Arial" w:hAnsi="Arial" w:cs="Arial"/>
          <w:i w:val="0"/>
          <w:sz w:val="14"/>
          <w:szCs w:val="14"/>
          <w:vertAlign w:val="superscript"/>
        </w:rPr>
        <w:t>(2)</w:t>
      </w:r>
      <w:r w:rsidRPr="003A115E">
        <w:rPr>
          <w:rFonts w:ascii="Arial" w:hAnsi="Arial" w:cs="Arial"/>
          <w:i w:val="0"/>
          <w:sz w:val="14"/>
          <w:szCs w:val="14"/>
        </w:rPr>
        <w:t xml:space="preserve"> </w:t>
      </w:r>
      <w:r w:rsidR="6A28BBB8" w:rsidRPr="003A115E">
        <w:rPr>
          <w:rFonts w:ascii="Arial" w:hAnsi="Arial" w:cs="Arial"/>
          <w:i w:val="0"/>
          <w:sz w:val="14"/>
          <w:szCs w:val="14"/>
        </w:rPr>
        <w:t>Agrupaciones tradicionales y agrupaciones de municipios.</w:t>
      </w:r>
    </w:p>
    <w:p w14:paraId="28C31141" w14:textId="25D8A0C4" w:rsidR="00EC4C05" w:rsidRPr="003A115E" w:rsidRDefault="6A28BBB8" w:rsidP="009B5AB3">
      <w:pPr>
        <w:pStyle w:val="texto"/>
        <w:spacing w:before="240" w:after="240"/>
      </w:pPr>
      <w:r w:rsidRPr="003A115E">
        <w:t>El número de organismos autónomos, sociedades mercantiles de propiedad íntegra de las entidades locales, fundaciones públicas locales y consorcios en el periodo de 201</w:t>
      </w:r>
      <w:r w:rsidR="00201F30" w:rsidRPr="003A115E">
        <w:t>8 a 2022</w:t>
      </w:r>
      <w:r w:rsidRPr="003A115E">
        <w:t xml:space="preserve"> es</w:t>
      </w:r>
      <w:r w:rsidR="001A2797" w:rsidRPr="003A115E">
        <w:t xml:space="preserve"> el siguiente</w:t>
      </w:r>
      <w:r w:rsidRPr="003A115E">
        <w:t>:</w:t>
      </w:r>
    </w:p>
    <w:tbl>
      <w:tblPr>
        <w:tblW w:w="5000" w:type="pct"/>
        <w:tblCellMar>
          <w:left w:w="70" w:type="dxa"/>
          <w:right w:w="70" w:type="dxa"/>
        </w:tblCellMar>
        <w:tblLook w:val="04A0" w:firstRow="1" w:lastRow="0" w:firstColumn="1" w:lastColumn="0" w:noHBand="0" w:noVBand="1"/>
      </w:tblPr>
      <w:tblGrid>
        <w:gridCol w:w="2500"/>
        <w:gridCol w:w="418"/>
        <w:gridCol w:w="1174"/>
        <w:gridCol w:w="1174"/>
        <w:gridCol w:w="1174"/>
        <w:gridCol w:w="1174"/>
        <w:gridCol w:w="1174"/>
      </w:tblGrid>
      <w:tr w:rsidR="000A742F" w:rsidRPr="003A115E" w14:paraId="73B458CE" w14:textId="77777777" w:rsidTr="00CC28BD">
        <w:trPr>
          <w:trHeight w:val="255"/>
        </w:trPr>
        <w:tc>
          <w:tcPr>
            <w:tcW w:w="1422" w:type="pct"/>
            <w:tcBorders>
              <w:top w:val="single" w:sz="4" w:space="0" w:color="auto"/>
              <w:left w:val="nil"/>
              <w:bottom w:val="single" w:sz="4" w:space="0" w:color="auto"/>
              <w:right w:val="nil"/>
            </w:tcBorders>
            <w:shd w:val="clear" w:color="000000" w:fill="FABF8F"/>
            <w:vAlign w:val="center"/>
            <w:hideMark/>
          </w:tcPr>
          <w:p w14:paraId="445C4E4E" w14:textId="77777777" w:rsidR="00112476" w:rsidRPr="003A115E" w:rsidRDefault="00112476" w:rsidP="00D2773D">
            <w:pPr>
              <w:pStyle w:val="cuadroCabe"/>
            </w:pPr>
            <w:r w:rsidRPr="003A115E">
              <w:t>Entidad</w:t>
            </w:r>
          </w:p>
        </w:tc>
        <w:tc>
          <w:tcPr>
            <w:tcW w:w="238" w:type="pct"/>
            <w:tcBorders>
              <w:top w:val="single" w:sz="4" w:space="0" w:color="auto"/>
              <w:left w:val="nil"/>
              <w:bottom w:val="single" w:sz="4" w:space="0" w:color="auto"/>
              <w:right w:val="nil"/>
            </w:tcBorders>
            <w:shd w:val="clear" w:color="000000" w:fill="FABF8F"/>
            <w:vAlign w:val="center"/>
            <w:hideMark/>
          </w:tcPr>
          <w:p w14:paraId="2434CECB" w14:textId="77777777" w:rsidR="00112476" w:rsidRPr="003A115E" w:rsidRDefault="00112476" w:rsidP="00D2773D">
            <w:pPr>
              <w:pStyle w:val="cuadroCabe"/>
            </w:pPr>
            <w:r w:rsidRPr="003A115E">
              <w:t> </w:t>
            </w:r>
          </w:p>
        </w:tc>
        <w:tc>
          <w:tcPr>
            <w:tcW w:w="668" w:type="pct"/>
            <w:tcBorders>
              <w:top w:val="single" w:sz="4" w:space="0" w:color="auto"/>
              <w:left w:val="nil"/>
              <w:bottom w:val="single" w:sz="4" w:space="0" w:color="auto"/>
              <w:right w:val="nil"/>
            </w:tcBorders>
            <w:shd w:val="clear" w:color="000000" w:fill="FABF8F"/>
            <w:vAlign w:val="center"/>
            <w:hideMark/>
          </w:tcPr>
          <w:p w14:paraId="18EE0E07" w14:textId="77777777" w:rsidR="00112476" w:rsidRPr="003A115E" w:rsidRDefault="00112476" w:rsidP="00D2773D">
            <w:pPr>
              <w:pStyle w:val="cuadroCabe"/>
              <w:jc w:val="right"/>
            </w:pPr>
            <w:r w:rsidRPr="003A115E">
              <w:t>2018</w:t>
            </w:r>
          </w:p>
        </w:tc>
        <w:tc>
          <w:tcPr>
            <w:tcW w:w="668" w:type="pct"/>
            <w:tcBorders>
              <w:top w:val="single" w:sz="4" w:space="0" w:color="auto"/>
              <w:left w:val="nil"/>
              <w:bottom w:val="single" w:sz="4" w:space="0" w:color="auto"/>
              <w:right w:val="nil"/>
            </w:tcBorders>
            <w:shd w:val="clear" w:color="000000" w:fill="FABF8F"/>
            <w:vAlign w:val="center"/>
            <w:hideMark/>
          </w:tcPr>
          <w:p w14:paraId="7F9CD292" w14:textId="77777777" w:rsidR="00112476" w:rsidRPr="003A115E" w:rsidRDefault="00112476" w:rsidP="00D2773D">
            <w:pPr>
              <w:pStyle w:val="cuadroCabe"/>
              <w:jc w:val="right"/>
            </w:pPr>
            <w:r w:rsidRPr="003A115E">
              <w:t>2019</w:t>
            </w:r>
          </w:p>
        </w:tc>
        <w:tc>
          <w:tcPr>
            <w:tcW w:w="668" w:type="pct"/>
            <w:tcBorders>
              <w:top w:val="single" w:sz="4" w:space="0" w:color="auto"/>
              <w:left w:val="nil"/>
              <w:bottom w:val="single" w:sz="4" w:space="0" w:color="auto"/>
              <w:right w:val="nil"/>
            </w:tcBorders>
            <w:shd w:val="clear" w:color="000000" w:fill="FABF8F"/>
            <w:vAlign w:val="center"/>
            <w:hideMark/>
          </w:tcPr>
          <w:p w14:paraId="3E471570" w14:textId="77777777" w:rsidR="00112476" w:rsidRPr="003A115E" w:rsidRDefault="00112476" w:rsidP="00D2773D">
            <w:pPr>
              <w:pStyle w:val="cuadroCabe"/>
              <w:jc w:val="right"/>
            </w:pPr>
            <w:r w:rsidRPr="003A115E">
              <w:t>2020</w:t>
            </w:r>
          </w:p>
        </w:tc>
        <w:tc>
          <w:tcPr>
            <w:tcW w:w="668" w:type="pct"/>
            <w:tcBorders>
              <w:top w:val="single" w:sz="4" w:space="0" w:color="auto"/>
              <w:left w:val="nil"/>
              <w:bottom w:val="single" w:sz="4" w:space="0" w:color="auto"/>
              <w:right w:val="nil"/>
            </w:tcBorders>
            <w:shd w:val="clear" w:color="000000" w:fill="FABF8F"/>
            <w:vAlign w:val="center"/>
            <w:hideMark/>
          </w:tcPr>
          <w:p w14:paraId="480E40D4" w14:textId="77777777" w:rsidR="00112476" w:rsidRPr="003A115E" w:rsidRDefault="00112476" w:rsidP="00D2773D">
            <w:pPr>
              <w:pStyle w:val="cuadroCabe"/>
              <w:jc w:val="right"/>
            </w:pPr>
            <w:r w:rsidRPr="003A115E">
              <w:t>2021</w:t>
            </w:r>
          </w:p>
        </w:tc>
        <w:tc>
          <w:tcPr>
            <w:tcW w:w="668" w:type="pct"/>
            <w:tcBorders>
              <w:top w:val="single" w:sz="4" w:space="0" w:color="auto"/>
              <w:left w:val="nil"/>
              <w:bottom w:val="single" w:sz="4" w:space="0" w:color="auto"/>
              <w:right w:val="nil"/>
            </w:tcBorders>
            <w:shd w:val="clear" w:color="000000" w:fill="FABF8F"/>
            <w:vAlign w:val="center"/>
            <w:hideMark/>
          </w:tcPr>
          <w:p w14:paraId="65D9E85E" w14:textId="77777777" w:rsidR="00112476" w:rsidRPr="003A115E" w:rsidRDefault="00112476" w:rsidP="00D2773D">
            <w:pPr>
              <w:pStyle w:val="cuadroCabe"/>
              <w:jc w:val="right"/>
            </w:pPr>
            <w:r w:rsidRPr="003A115E">
              <w:t>2022</w:t>
            </w:r>
          </w:p>
        </w:tc>
      </w:tr>
      <w:tr w:rsidR="000A742F" w:rsidRPr="003A115E" w14:paraId="0A887DDC" w14:textId="77777777" w:rsidTr="00CC28BD">
        <w:trPr>
          <w:trHeight w:val="198"/>
        </w:trPr>
        <w:tc>
          <w:tcPr>
            <w:tcW w:w="1422" w:type="pct"/>
            <w:tcBorders>
              <w:top w:val="single" w:sz="4" w:space="0" w:color="auto"/>
              <w:left w:val="nil"/>
              <w:bottom w:val="single" w:sz="2" w:space="0" w:color="auto"/>
              <w:right w:val="nil"/>
            </w:tcBorders>
            <w:shd w:val="clear" w:color="auto" w:fill="auto"/>
            <w:vAlign w:val="center"/>
            <w:hideMark/>
          </w:tcPr>
          <w:p w14:paraId="68BFBDEF" w14:textId="77777777" w:rsidR="00112476" w:rsidRPr="003A115E" w:rsidRDefault="00112476" w:rsidP="00D2773D">
            <w:pPr>
              <w:pStyle w:val="cuatexto"/>
            </w:pPr>
            <w:r w:rsidRPr="003A115E">
              <w:t>Organismos Autónomos</w:t>
            </w:r>
          </w:p>
        </w:tc>
        <w:tc>
          <w:tcPr>
            <w:tcW w:w="238" w:type="pct"/>
            <w:tcBorders>
              <w:top w:val="single" w:sz="4" w:space="0" w:color="auto"/>
              <w:left w:val="nil"/>
              <w:bottom w:val="single" w:sz="2" w:space="0" w:color="auto"/>
              <w:right w:val="nil"/>
            </w:tcBorders>
            <w:shd w:val="clear" w:color="auto" w:fill="auto"/>
            <w:vAlign w:val="center"/>
            <w:hideMark/>
          </w:tcPr>
          <w:p w14:paraId="1EE677A2" w14:textId="77777777" w:rsidR="00112476" w:rsidRPr="003A115E" w:rsidRDefault="00112476" w:rsidP="00D2773D">
            <w:pPr>
              <w:pStyle w:val="cuatexto"/>
            </w:pPr>
            <w:r w:rsidRPr="003A115E">
              <w:t> </w:t>
            </w:r>
          </w:p>
        </w:tc>
        <w:tc>
          <w:tcPr>
            <w:tcW w:w="668" w:type="pct"/>
            <w:tcBorders>
              <w:top w:val="single" w:sz="4" w:space="0" w:color="auto"/>
              <w:left w:val="nil"/>
              <w:bottom w:val="single" w:sz="2" w:space="0" w:color="auto"/>
              <w:right w:val="nil"/>
            </w:tcBorders>
            <w:shd w:val="clear" w:color="auto" w:fill="auto"/>
            <w:vAlign w:val="center"/>
            <w:hideMark/>
          </w:tcPr>
          <w:p w14:paraId="0A88345B" w14:textId="77777777" w:rsidR="00112476" w:rsidRPr="003A115E" w:rsidRDefault="00112476" w:rsidP="00D2773D">
            <w:pPr>
              <w:pStyle w:val="cuatexto"/>
              <w:jc w:val="right"/>
            </w:pPr>
            <w:r w:rsidRPr="003A115E">
              <w:t>61</w:t>
            </w:r>
          </w:p>
        </w:tc>
        <w:tc>
          <w:tcPr>
            <w:tcW w:w="668" w:type="pct"/>
            <w:tcBorders>
              <w:top w:val="single" w:sz="4" w:space="0" w:color="auto"/>
              <w:left w:val="nil"/>
              <w:bottom w:val="single" w:sz="2" w:space="0" w:color="auto"/>
              <w:right w:val="nil"/>
            </w:tcBorders>
            <w:shd w:val="clear" w:color="auto" w:fill="auto"/>
            <w:vAlign w:val="center"/>
            <w:hideMark/>
          </w:tcPr>
          <w:p w14:paraId="264D4ADF" w14:textId="77777777" w:rsidR="00112476" w:rsidRPr="003A115E" w:rsidRDefault="00112476" w:rsidP="00D2773D">
            <w:pPr>
              <w:pStyle w:val="cuatexto"/>
              <w:jc w:val="right"/>
            </w:pPr>
            <w:r w:rsidRPr="003A115E">
              <w:t>59</w:t>
            </w:r>
          </w:p>
        </w:tc>
        <w:tc>
          <w:tcPr>
            <w:tcW w:w="668" w:type="pct"/>
            <w:tcBorders>
              <w:top w:val="single" w:sz="4" w:space="0" w:color="auto"/>
              <w:left w:val="nil"/>
              <w:bottom w:val="single" w:sz="2" w:space="0" w:color="auto"/>
              <w:right w:val="nil"/>
            </w:tcBorders>
            <w:shd w:val="clear" w:color="auto" w:fill="auto"/>
            <w:vAlign w:val="center"/>
            <w:hideMark/>
          </w:tcPr>
          <w:p w14:paraId="7E3E0F3F" w14:textId="77777777" w:rsidR="00112476" w:rsidRPr="003A115E" w:rsidRDefault="00112476" w:rsidP="00D2773D">
            <w:pPr>
              <w:pStyle w:val="cuatexto"/>
              <w:jc w:val="right"/>
            </w:pPr>
            <w:r w:rsidRPr="003A115E">
              <w:t>57</w:t>
            </w:r>
          </w:p>
        </w:tc>
        <w:tc>
          <w:tcPr>
            <w:tcW w:w="668" w:type="pct"/>
            <w:tcBorders>
              <w:top w:val="single" w:sz="4" w:space="0" w:color="auto"/>
              <w:left w:val="nil"/>
              <w:bottom w:val="single" w:sz="2" w:space="0" w:color="auto"/>
              <w:right w:val="nil"/>
            </w:tcBorders>
            <w:shd w:val="clear" w:color="auto" w:fill="auto"/>
            <w:vAlign w:val="center"/>
            <w:hideMark/>
          </w:tcPr>
          <w:p w14:paraId="2DDBD39B" w14:textId="77777777" w:rsidR="00112476" w:rsidRPr="003A115E" w:rsidRDefault="00112476" w:rsidP="00D2773D">
            <w:pPr>
              <w:pStyle w:val="cuatexto"/>
              <w:jc w:val="right"/>
            </w:pPr>
            <w:r w:rsidRPr="003A115E">
              <w:t>56</w:t>
            </w:r>
          </w:p>
        </w:tc>
        <w:tc>
          <w:tcPr>
            <w:tcW w:w="668" w:type="pct"/>
            <w:tcBorders>
              <w:top w:val="single" w:sz="4" w:space="0" w:color="auto"/>
              <w:left w:val="nil"/>
              <w:bottom w:val="single" w:sz="2" w:space="0" w:color="auto"/>
              <w:right w:val="nil"/>
            </w:tcBorders>
            <w:shd w:val="clear" w:color="auto" w:fill="auto"/>
            <w:vAlign w:val="center"/>
            <w:hideMark/>
          </w:tcPr>
          <w:p w14:paraId="6551B48D" w14:textId="77777777" w:rsidR="00112476" w:rsidRPr="003A115E" w:rsidRDefault="00112476" w:rsidP="00D2773D">
            <w:pPr>
              <w:pStyle w:val="cuatexto"/>
              <w:jc w:val="right"/>
            </w:pPr>
            <w:r w:rsidRPr="003A115E">
              <w:t>53</w:t>
            </w:r>
          </w:p>
        </w:tc>
      </w:tr>
      <w:tr w:rsidR="000A742F" w:rsidRPr="003A115E" w14:paraId="3E519CCD" w14:textId="77777777" w:rsidTr="00CC28BD">
        <w:trPr>
          <w:trHeight w:val="198"/>
        </w:trPr>
        <w:tc>
          <w:tcPr>
            <w:tcW w:w="1422" w:type="pct"/>
            <w:tcBorders>
              <w:top w:val="single" w:sz="2" w:space="0" w:color="auto"/>
              <w:left w:val="nil"/>
              <w:bottom w:val="single" w:sz="2" w:space="0" w:color="auto"/>
              <w:right w:val="nil"/>
            </w:tcBorders>
            <w:shd w:val="clear" w:color="auto" w:fill="auto"/>
            <w:vAlign w:val="center"/>
            <w:hideMark/>
          </w:tcPr>
          <w:p w14:paraId="31512555" w14:textId="77777777" w:rsidR="00112476" w:rsidRPr="003A115E" w:rsidRDefault="00112476" w:rsidP="00D2773D">
            <w:pPr>
              <w:pStyle w:val="cuatexto"/>
            </w:pPr>
            <w:r w:rsidRPr="003A115E">
              <w:t xml:space="preserve">Sociedades mercantiles </w:t>
            </w:r>
          </w:p>
        </w:tc>
        <w:tc>
          <w:tcPr>
            <w:tcW w:w="238" w:type="pct"/>
            <w:tcBorders>
              <w:top w:val="single" w:sz="2" w:space="0" w:color="auto"/>
              <w:left w:val="nil"/>
              <w:bottom w:val="single" w:sz="2" w:space="0" w:color="auto"/>
              <w:right w:val="nil"/>
            </w:tcBorders>
            <w:shd w:val="clear" w:color="auto" w:fill="auto"/>
            <w:vAlign w:val="center"/>
            <w:hideMark/>
          </w:tcPr>
          <w:p w14:paraId="11120181" w14:textId="77777777" w:rsidR="00112476" w:rsidRPr="003A115E" w:rsidRDefault="00112476" w:rsidP="00D2773D">
            <w:pPr>
              <w:pStyle w:val="cuatexto"/>
            </w:pPr>
            <w:r w:rsidRPr="003A115E">
              <w:t> </w:t>
            </w:r>
          </w:p>
        </w:tc>
        <w:tc>
          <w:tcPr>
            <w:tcW w:w="668" w:type="pct"/>
            <w:tcBorders>
              <w:top w:val="single" w:sz="2" w:space="0" w:color="auto"/>
              <w:left w:val="nil"/>
              <w:bottom w:val="single" w:sz="2" w:space="0" w:color="auto"/>
              <w:right w:val="nil"/>
            </w:tcBorders>
            <w:shd w:val="clear" w:color="auto" w:fill="auto"/>
            <w:vAlign w:val="center"/>
            <w:hideMark/>
          </w:tcPr>
          <w:p w14:paraId="7AD05A3F" w14:textId="77777777" w:rsidR="00112476" w:rsidRPr="003A115E" w:rsidRDefault="00112476" w:rsidP="00D2773D">
            <w:pPr>
              <w:pStyle w:val="cuatexto"/>
              <w:jc w:val="right"/>
            </w:pPr>
            <w:r w:rsidRPr="003A115E">
              <w:t>57</w:t>
            </w:r>
          </w:p>
        </w:tc>
        <w:tc>
          <w:tcPr>
            <w:tcW w:w="668" w:type="pct"/>
            <w:tcBorders>
              <w:top w:val="single" w:sz="2" w:space="0" w:color="auto"/>
              <w:left w:val="nil"/>
              <w:bottom w:val="single" w:sz="2" w:space="0" w:color="auto"/>
              <w:right w:val="nil"/>
            </w:tcBorders>
            <w:shd w:val="clear" w:color="auto" w:fill="auto"/>
            <w:vAlign w:val="center"/>
            <w:hideMark/>
          </w:tcPr>
          <w:p w14:paraId="26231F6B" w14:textId="77777777" w:rsidR="00112476" w:rsidRPr="003A115E" w:rsidRDefault="00112476" w:rsidP="00D2773D">
            <w:pPr>
              <w:pStyle w:val="cuatexto"/>
              <w:jc w:val="right"/>
            </w:pPr>
            <w:r w:rsidRPr="003A115E">
              <w:t>56</w:t>
            </w:r>
          </w:p>
        </w:tc>
        <w:tc>
          <w:tcPr>
            <w:tcW w:w="668" w:type="pct"/>
            <w:tcBorders>
              <w:top w:val="single" w:sz="2" w:space="0" w:color="auto"/>
              <w:left w:val="nil"/>
              <w:bottom w:val="single" w:sz="2" w:space="0" w:color="auto"/>
              <w:right w:val="nil"/>
            </w:tcBorders>
            <w:shd w:val="clear" w:color="auto" w:fill="auto"/>
            <w:vAlign w:val="center"/>
            <w:hideMark/>
          </w:tcPr>
          <w:p w14:paraId="2C792184" w14:textId="77777777" w:rsidR="00112476" w:rsidRPr="003A115E" w:rsidRDefault="00112476" w:rsidP="00D2773D">
            <w:pPr>
              <w:pStyle w:val="cuatexto"/>
              <w:jc w:val="right"/>
            </w:pPr>
            <w:r w:rsidRPr="003A115E">
              <w:t>54</w:t>
            </w:r>
          </w:p>
        </w:tc>
        <w:tc>
          <w:tcPr>
            <w:tcW w:w="668" w:type="pct"/>
            <w:tcBorders>
              <w:top w:val="single" w:sz="2" w:space="0" w:color="auto"/>
              <w:left w:val="nil"/>
              <w:bottom w:val="single" w:sz="2" w:space="0" w:color="auto"/>
              <w:right w:val="nil"/>
            </w:tcBorders>
            <w:shd w:val="clear" w:color="auto" w:fill="auto"/>
            <w:vAlign w:val="center"/>
            <w:hideMark/>
          </w:tcPr>
          <w:p w14:paraId="3E079008" w14:textId="77777777" w:rsidR="00112476" w:rsidRPr="003A115E" w:rsidRDefault="00112476" w:rsidP="00D2773D">
            <w:pPr>
              <w:pStyle w:val="cuatexto"/>
              <w:jc w:val="right"/>
            </w:pPr>
            <w:r w:rsidRPr="003A115E">
              <w:t>57</w:t>
            </w:r>
          </w:p>
        </w:tc>
        <w:tc>
          <w:tcPr>
            <w:tcW w:w="668" w:type="pct"/>
            <w:tcBorders>
              <w:top w:val="single" w:sz="2" w:space="0" w:color="auto"/>
              <w:left w:val="nil"/>
              <w:bottom w:val="single" w:sz="2" w:space="0" w:color="auto"/>
              <w:right w:val="nil"/>
            </w:tcBorders>
            <w:shd w:val="clear" w:color="auto" w:fill="auto"/>
            <w:vAlign w:val="center"/>
            <w:hideMark/>
          </w:tcPr>
          <w:p w14:paraId="432D5CE5" w14:textId="77777777" w:rsidR="00112476" w:rsidRPr="003A115E" w:rsidRDefault="00112476" w:rsidP="00D2773D">
            <w:pPr>
              <w:pStyle w:val="cuatexto"/>
              <w:jc w:val="right"/>
            </w:pPr>
            <w:r w:rsidRPr="003A115E">
              <w:t>58</w:t>
            </w:r>
          </w:p>
        </w:tc>
      </w:tr>
      <w:tr w:rsidR="000A742F" w:rsidRPr="003A115E" w14:paraId="159680DE" w14:textId="77777777" w:rsidTr="00CC28BD">
        <w:trPr>
          <w:trHeight w:val="198"/>
        </w:trPr>
        <w:tc>
          <w:tcPr>
            <w:tcW w:w="1422" w:type="pct"/>
            <w:tcBorders>
              <w:top w:val="single" w:sz="2" w:space="0" w:color="auto"/>
              <w:left w:val="nil"/>
              <w:bottom w:val="single" w:sz="2" w:space="0" w:color="auto"/>
              <w:right w:val="nil"/>
            </w:tcBorders>
            <w:shd w:val="clear" w:color="auto" w:fill="auto"/>
            <w:vAlign w:val="center"/>
            <w:hideMark/>
          </w:tcPr>
          <w:p w14:paraId="5BF9359E" w14:textId="77777777" w:rsidR="00112476" w:rsidRPr="003A115E" w:rsidRDefault="00112476" w:rsidP="00D2773D">
            <w:pPr>
              <w:pStyle w:val="cuatexto"/>
            </w:pPr>
            <w:r w:rsidRPr="003A115E">
              <w:t>Fundaciones públicas</w:t>
            </w:r>
          </w:p>
        </w:tc>
        <w:tc>
          <w:tcPr>
            <w:tcW w:w="238" w:type="pct"/>
            <w:tcBorders>
              <w:top w:val="single" w:sz="2" w:space="0" w:color="auto"/>
              <w:left w:val="nil"/>
              <w:bottom w:val="single" w:sz="2" w:space="0" w:color="auto"/>
              <w:right w:val="nil"/>
            </w:tcBorders>
            <w:shd w:val="clear" w:color="auto" w:fill="auto"/>
            <w:vAlign w:val="center"/>
            <w:hideMark/>
          </w:tcPr>
          <w:p w14:paraId="028AE3BD" w14:textId="77777777" w:rsidR="00112476" w:rsidRPr="003A115E" w:rsidRDefault="00112476" w:rsidP="00D2773D">
            <w:pPr>
              <w:pStyle w:val="cuatexto"/>
            </w:pPr>
            <w:r w:rsidRPr="003A115E">
              <w:t> </w:t>
            </w:r>
          </w:p>
        </w:tc>
        <w:tc>
          <w:tcPr>
            <w:tcW w:w="668" w:type="pct"/>
            <w:tcBorders>
              <w:top w:val="single" w:sz="2" w:space="0" w:color="auto"/>
              <w:left w:val="nil"/>
              <w:bottom w:val="single" w:sz="2" w:space="0" w:color="auto"/>
              <w:right w:val="nil"/>
            </w:tcBorders>
            <w:shd w:val="clear" w:color="auto" w:fill="auto"/>
            <w:vAlign w:val="center"/>
            <w:hideMark/>
          </w:tcPr>
          <w:p w14:paraId="254F8E5F" w14:textId="77777777" w:rsidR="00112476" w:rsidRPr="003A115E" w:rsidRDefault="00112476" w:rsidP="00D2773D">
            <w:pPr>
              <w:pStyle w:val="cuatexto"/>
              <w:jc w:val="right"/>
            </w:pPr>
            <w:r w:rsidRPr="003A115E">
              <w:t>8</w:t>
            </w:r>
          </w:p>
        </w:tc>
        <w:tc>
          <w:tcPr>
            <w:tcW w:w="668" w:type="pct"/>
            <w:tcBorders>
              <w:top w:val="single" w:sz="2" w:space="0" w:color="auto"/>
              <w:left w:val="nil"/>
              <w:bottom w:val="single" w:sz="2" w:space="0" w:color="auto"/>
              <w:right w:val="nil"/>
            </w:tcBorders>
            <w:shd w:val="clear" w:color="auto" w:fill="auto"/>
            <w:vAlign w:val="center"/>
            <w:hideMark/>
          </w:tcPr>
          <w:p w14:paraId="78159BA4" w14:textId="77777777" w:rsidR="00112476" w:rsidRPr="003A115E" w:rsidRDefault="00112476" w:rsidP="00D2773D">
            <w:pPr>
              <w:pStyle w:val="cuatexto"/>
              <w:jc w:val="right"/>
            </w:pPr>
            <w:r w:rsidRPr="003A115E">
              <w:t>8</w:t>
            </w:r>
          </w:p>
        </w:tc>
        <w:tc>
          <w:tcPr>
            <w:tcW w:w="668" w:type="pct"/>
            <w:tcBorders>
              <w:top w:val="single" w:sz="2" w:space="0" w:color="auto"/>
              <w:left w:val="nil"/>
              <w:bottom w:val="single" w:sz="2" w:space="0" w:color="auto"/>
              <w:right w:val="nil"/>
            </w:tcBorders>
            <w:shd w:val="clear" w:color="auto" w:fill="auto"/>
            <w:vAlign w:val="center"/>
            <w:hideMark/>
          </w:tcPr>
          <w:p w14:paraId="7000DE35" w14:textId="77777777" w:rsidR="00112476" w:rsidRPr="003A115E" w:rsidRDefault="00112476" w:rsidP="00D2773D">
            <w:pPr>
              <w:pStyle w:val="cuatexto"/>
              <w:jc w:val="right"/>
            </w:pPr>
            <w:r w:rsidRPr="003A115E">
              <w:t>8</w:t>
            </w:r>
          </w:p>
        </w:tc>
        <w:tc>
          <w:tcPr>
            <w:tcW w:w="668" w:type="pct"/>
            <w:tcBorders>
              <w:top w:val="single" w:sz="2" w:space="0" w:color="auto"/>
              <w:left w:val="nil"/>
              <w:bottom w:val="single" w:sz="2" w:space="0" w:color="auto"/>
              <w:right w:val="nil"/>
            </w:tcBorders>
            <w:shd w:val="clear" w:color="auto" w:fill="auto"/>
            <w:vAlign w:val="center"/>
            <w:hideMark/>
          </w:tcPr>
          <w:p w14:paraId="6C598C5D" w14:textId="77777777" w:rsidR="00112476" w:rsidRPr="003A115E" w:rsidRDefault="00112476" w:rsidP="00D2773D">
            <w:pPr>
              <w:pStyle w:val="cuatexto"/>
              <w:jc w:val="right"/>
            </w:pPr>
            <w:r w:rsidRPr="003A115E">
              <w:t>8</w:t>
            </w:r>
          </w:p>
        </w:tc>
        <w:tc>
          <w:tcPr>
            <w:tcW w:w="668" w:type="pct"/>
            <w:tcBorders>
              <w:top w:val="single" w:sz="2" w:space="0" w:color="auto"/>
              <w:left w:val="nil"/>
              <w:bottom w:val="single" w:sz="2" w:space="0" w:color="auto"/>
              <w:right w:val="nil"/>
            </w:tcBorders>
            <w:shd w:val="clear" w:color="auto" w:fill="auto"/>
            <w:vAlign w:val="center"/>
            <w:hideMark/>
          </w:tcPr>
          <w:p w14:paraId="426AC864" w14:textId="77777777" w:rsidR="00112476" w:rsidRPr="003A115E" w:rsidRDefault="00112476" w:rsidP="00D2773D">
            <w:pPr>
              <w:pStyle w:val="cuatexto"/>
              <w:jc w:val="right"/>
            </w:pPr>
            <w:r w:rsidRPr="003A115E">
              <w:t>8</w:t>
            </w:r>
          </w:p>
        </w:tc>
      </w:tr>
      <w:tr w:rsidR="000A742F" w:rsidRPr="003A115E" w14:paraId="7B27B630" w14:textId="77777777" w:rsidTr="00CC28BD">
        <w:trPr>
          <w:trHeight w:val="198"/>
        </w:trPr>
        <w:tc>
          <w:tcPr>
            <w:tcW w:w="1422" w:type="pct"/>
            <w:tcBorders>
              <w:top w:val="single" w:sz="2" w:space="0" w:color="auto"/>
              <w:left w:val="nil"/>
              <w:bottom w:val="single" w:sz="4" w:space="0" w:color="auto"/>
              <w:right w:val="nil"/>
            </w:tcBorders>
            <w:shd w:val="clear" w:color="auto" w:fill="auto"/>
            <w:vAlign w:val="center"/>
            <w:hideMark/>
          </w:tcPr>
          <w:p w14:paraId="49DA84A3" w14:textId="77777777" w:rsidR="00112476" w:rsidRPr="003A115E" w:rsidRDefault="00112476" w:rsidP="00D2773D">
            <w:pPr>
              <w:pStyle w:val="cuatexto"/>
            </w:pPr>
            <w:r w:rsidRPr="003A115E">
              <w:t>Consorcios</w:t>
            </w:r>
          </w:p>
        </w:tc>
        <w:tc>
          <w:tcPr>
            <w:tcW w:w="238" w:type="pct"/>
            <w:tcBorders>
              <w:top w:val="single" w:sz="2" w:space="0" w:color="auto"/>
              <w:left w:val="nil"/>
              <w:bottom w:val="single" w:sz="4" w:space="0" w:color="auto"/>
              <w:right w:val="nil"/>
            </w:tcBorders>
            <w:shd w:val="clear" w:color="auto" w:fill="auto"/>
            <w:vAlign w:val="center"/>
            <w:hideMark/>
          </w:tcPr>
          <w:p w14:paraId="5F1F3FB3" w14:textId="77777777" w:rsidR="00112476" w:rsidRPr="003A115E" w:rsidRDefault="00112476" w:rsidP="00D2773D">
            <w:pPr>
              <w:pStyle w:val="cuatexto"/>
            </w:pPr>
            <w:r w:rsidRPr="003A115E">
              <w:t> </w:t>
            </w:r>
          </w:p>
        </w:tc>
        <w:tc>
          <w:tcPr>
            <w:tcW w:w="668" w:type="pct"/>
            <w:tcBorders>
              <w:top w:val="single" w:sz="2" w:space="0" w:color="auto"/>
              <w:left w:val="nil"/>
              <w:bottom w:val="single" w:sz="4" w:space="0" w:color="auto"/>
              <w:right w:val="nil"/>
            </w:tcBorders>
            <w:shd w:val="clear" w:color="auto" w:fill="auto"/>
            <w:vAlign w:val="center"/>
            <w:hideMark/>
          </w:tcPr>
          <w:p w14:paraId="4CDB91BD" w14:textId="77777777" w:rsidR="00112476" w:rsidRPr="003A115E" w:rsidRDefault="00112476" w:rsidP="00D2773D">
            <w:pPr>
              <w:pStyle w:val="cuatexto"/>
              <w:jc w:val="right"/>
            </w:pPr>
            <w:r w:rsidRPr="003A115E">
              <w:t>17</w:t>
            </w:r>
          </w:p>
        </w:tc>
        <w:tc>
          <w:tcPr>
            <w:tcW w:w="668" w:type="pct"/>
            <w:tcBorders>
              <w:top w:val="single" w:sz="2" w:space="0" w:color="auto"/>
              <w:left w:val="nil"/>
              <w:bottom w:val="single" w:sz="4" w:space="0" w:color="auto"/>
              <w:right w:val="nil"/>
            </w:tcBorders>
            <w:shd w:val="clear" w:color="auto" w:fill="auto"/>
            <w:vAlign w:val="center"/>
            <w:hideMark/>
          </w:tcPr>
          <w:p w14:paraId="1E72E617" w14:textId="77777777" w:rsidR="00112476" w:rsidRPr="003A115E" w:rsidRDefault="00112476" w:rsidP="00D2773D">
            <w:pPr>
              <w:pStyle w:val="cuatexto"/>
              <w:jc w:val="right"/>
            </w:pPr>
            <w:r w:rsidRPr="003A115E">
              <w:t>17</w:t>
            </w:r>
          </w:p>
        </w:tc>
        <w:tc>
          <w:tcPr>
            <w:tcW w:w="668" w:type="pct"/>
            <w:tcBorders>
              <w:top w:val="single" w:sz="2" w:space="0" w:color="auto"/>
              <w:left w:val="nil"/>
              <w:bottom w:val="single" w:sz="4" w:space="0" w:color="auto"/>
              <w:right w:val="nil"/>
            </w:tcBorders>
            <w:shd w:val="clear" w:color="auto" w:fill="auto"/>
            <w:vAlign w:val="center"/>
            <w:hideMark/>
          </w:tcPr>
          <w:p w14:paraId="38F1BF72" w14:textId="77777777" w:rsidR="00112476" w:rsidRPr="003A115E" w:rsidRDefault="00112476" w:rsidP="00D2773D">
            <w:pPr>
              <w:pStyle w:val="cuatexto"/>
              <w:jc w:val="right"/>
            </w:pPr>
            <w:r w:rsidRPr="003A115E">
              <w:t>17</w:t>
            </w:r>
          </w:p>
        </w:tc>
        <w:tc>
          <w:tcPr>
            <w:tcW w:w="668" w:type="pct"/>
            <w:tcBorders>
              <w:top w:val="single" w:sz="2" w:space="0" w:color="auto"/>
              <w:left w:val="nil"/>
              <w:bottom w:val="single" w:sz="4" w:space="0" w:color="auto"/>
              <w:right w:val="nil"/>
            </w:tcBorders>
            <w:shd w:val="clear" w:color="auto" w:fill="auto"/>
            <w:vAlign w:val="center"/>
            <w:hideMark/>
          </w:tcPr>
          <w:p w14:paraId="2D4A5002" w14:textId="77777777" w:rsidR="00112476" w:rsidRPr="003A115E" w:rsidRDefault="00112476" w:rsidP="00D2773D">
            <w:pPr>
              <w:pStyle w:val="cuatexto"/>
              <w:jc w:val="right"/>
            </w:pPr>
            <w:r w:rsidRPr="003A115E">
              <w:t>17</w:t>
            </w:r>
          </w:p>
        </w:tc>
        <w:tc>
          <w:tcPr>
            <w:tcW w:w="668" w:type="pct"/>
            <w:tcBorders>
              <w:top w:val="single" w:sz="2" w:space="0" w:color="auto"/>
              <w:left w:val="nil"/>
              <w:bottom w:val="single" w:sz="4" w:space="0" w:color="auto"/>
              <w:right w:val="nil"/>
            </w:tcBorders>
            <w:shd w:val="clear" w:color="auto" w:fill="auto"/>
            <w:vAlign w:val="center"/>
            <w:hideMark/>
          </w:tcPr>
          <w:p w14:paraId="16EC1D2B" w14:textId="77777777" w:rsidR="00112476" w:rsidRPr="003A115E" w:rsidRDefault="00112476" w:rsidP="00D2773D">
            <w:pPr>
              <w:pStyle w:val="cuatexto"/>
              <w:jc w:val="right"/>
            </w:pPr>
            <w:r w:rsidRPr="003A115E">
              <w:t>16</w:t>
            </w:r>
          </w:p>
        </w:tc>
      </w:tr>
      <w:tr w:rsidR="000A742F" w:rsidRPr="003A115E" w14:paraId="27EFCCA0" w14:textId="77777777" w:rsidTr="00CC28BD">
        <w:trPr>
          <w:trHeight w:val="255"/>
        </w:trPr>
        <w:tc>
          <w:tcPr>
            <w:tcW w:w="1422" w:type="pct"/>
            <w:tcBorders>
              <w:top w:val="single" w:sz="4" w:space="0" w:color="auto"/>
              <w:left w:val="nil"/>
              <w:bottom w:val="single" w:sz="4" w:space="0" w:color="auto"/>
              <w:right w:val="nil"/>
            </w:tcBorders>
            <w:shd w:val="clear" w:color="000000" w:fill="FABF8F"/>
            <w:vAlign w:val="center"/>
            <w:hideMark/>
          </w:tcPr>
          <w:p w14:paraId="3D8538CA" w14:textId="77777777" w:rsidR="00112476" w:rsidRPr="003A115E" w:rsidRDefault="00112476" w:rsidP="00D2773D">
            <w:pPr>
              <w:pStyle w:val="cuadroCabe"/>
            </w:pPr>
            <w:r w:rsidRPr="003A115E">
              <w:t>Total</w:t>
            </w:r>
          </w:p>
        </w:tc>
        <w:tc>
          <w:tcPr>
            <w:tcW w:w="238" w:type="pct"/>
            <w:tcBorders>
              <w:top w:val="single" w:sz="4" w:space="0" w:color="auto"/>
              <w:left w:val="nil"/>
              <w:bottom w:val="single" w:sz="4" w:space="0" w:color="auto"/>
              <w:right w:val="nil"/>
            </w:tcBorders>
            <w:shd w:val="clear" w:color="000000" w:fill="FABF8F"/>
            <w:vAlign w:val="center"/>
            <w:hideMark/>
          </w:tcPr>
          <w:p w14:paraId="3AE05FD8" w14:textId="77777777" w:rsidR="00112476" w:rsidRPr="003A115E" w:rsidRDefault="00112476" w:rsidP="00D2773D">
            <w:pPr>
              <w:pStyle w:val="cuadroCabe"/>
            </w:pPr>
            <w:r w:rsidRPr="003A115E">
              <w:t> </w:t>
            </w:r>
          </w:p>
        </w:tc>
        <w:tc>
          <w:tcPr>
            <w:tcW w:w="668" w:type="pct"/>
            <w:tcBorders>
              <w:top w:val="single" w:sz="4" w:space="0" w:color="auto"/>
              <w:left w:val="nil"/>
              <w:bottom w:val="single" w:sz="4" w:space="0" w:color="auto"/>
              <w:right w:val="nil"/>
            </w:tcBorders>
            <w:shd w:val="clear" w:color="000000" w:fill="FABF8F"/>
            <w:vAlign w:val="center"/>
            <w:hideMark/>
          </w:tcPr>
          <w:p w14:paraId="4CC9BFBA" w14:textId="77777777" w:rsidR="00112476" w:rsidRPr="003A115E" w:rsidRDefault="00112476" w:rsidP="00D2773D">
            <w:pPr>
              <w:pStyle w:val="cuadroCabe"/>
              <w:jc w:val="right"/>
            </w:pPr>
            <w:r w:rsidRPr="003A115E">
              <w:t>143</w:t>
            </w:r>
          </w:p>
        </w:tc>
        <w:tc>
          <w:tcPr>
            <w:tcW w:w="668" w:type="pct"/>
            <w:tcBorders>
              <w:top w:val="single" w:sz="4" w:space="0" w:color="auto"/>
              <w:left w:val="nil"/>
              <w:bottom w:val="single" w:sz="4" w:space="0" w:color="auto"/>
              <w:right w:val="nil"/>
            </w:tcBorders>
            <w:shd w:val="clear" w:color="000000" w:fill="FABF8F"/>
            <w:vAlign w:val="center"/>
            <w:hideMark/>
          </w:tcPr>
          <w:p w14:paraId="72CD2FBD" w14:textId="77777777" w:rsidR="00112476" w:rsidRPr="003A115E" w:rsidRDefault="00112476" w:rsidP="00D2773D">
            <w:pPr>
              <w:pStyle w:val="cuadroCabe"/>
              <w:jc w:val="right"/>
            </w:pPr>
            <w:r w:rsidRPr="003A115E">
              <w:t>140</w:t>
            </w:r>
          </w:p>
        </w:tc>
        <w:tc>
          <w:tcPr>
            <w:tcW w:w="668" w:type="pct"/>
            <w:tcBorders>
              <w:top w:val="single" w:sz="4" w:space="0" w:color="auto"/>
              <w:left w:val="nil"/>
              <w:bottom w:val="single" w:sz="4" w:space="0" w:color="auto"/>
              <w:right w:val="nil"/>
            </w:tcBorders>
            <w:shd w:val="clear" w:color="000000" w:fill="FABF8F"/>
            <w:vAlign w:val="center"/>
            <w:hideMark/>
          </w:tcPr>
          <w:p w14:paraId="44AD5873" w14:textId="77777777" w:rsidR="00112476" w:rsidRPr="003A115E" w:rsidRDefault="00112476" w:rsidP="00D2773D">
            <w:pPr>
              <w:pStyle w:val="cuadroCabe"/>
              <w:jc w:val="right"/>
            </w:pPr>
            <w:r w:rsidRPr="003A115E">
              <w:t>136</w:t>
            </w:r>
          </w:p>
        </w:tc>
        <w:tc>
          <w:tcPr>
            <w:tcW w:w="668" w:type="pct"/>
            <w:tcBorders>
              <w:top w:val="single" w:sz="4" w:space="0" w:color="auto"/>
              <w:left w:val="nil"/>
              <w:bottom w:val="single" w:sz="4" w:space="0" w:color="auto"/>
              <w:right w:val="nil"/>
            </w:tcBorders>
            <w:shd w:val="clear" w:color="000000" w:fill="FABF8F"/>
            <w:vAlign w:val="center"/>
            <w:hideMark/>
          </w:tcPr>
          <w:p w14:paraId="4927181B" w14:textId="77777777" w:rsidR="00112476" w:rsidRPr="003A115E" w:rsidRDefault="00112476" w:rsidP="00D2773D">
            <w:pPr>
              <w:pStyle w:val="cuadroCabe"/>
              <w:jc w:val="right"/>
            </w:pPr>
            <w:r w:rsidRPr="003A115E">
              <w:t>138</w:t>
            </w:r>
          </w:p>
        </w:tc>
        <w:tc>
          <w:tcPr>
            <w:tcW w:w="668" w:type="pct"/>
            <w:tcBorders>
              <w:top w:val="single" w:sz="4" w:space="0" w:color="auto"/>
              <w:left w:val="nil"/>
              <w:bottom w:val="single" w:sz="4" w:space="0" w:color="auto"/>
              <w:right w:val="nil"/>
            </w:tcBorders>
            <w:shd w:val="clear" w:color="000000" w:fill="FABF8F"/>
            <w:vAlign w:val="center"/>
            <w:hideMark/>
          </w:tcPr>
          <w:p w14:paraId="7BD4A5F6" w14:textId="77777777" w:rsidR="00112476" w:rsidRPr="003A115E" w:rsidRDefault="00112476" w:rsidP="00D2773D">
            <w:pPr>
              <w:pStyle w:val="cuadroCabe"/>
              <w:jc w:val="right"/>
            </w:pPr>
            <w:r w:rsidRPr="003A115E">
              <w:t>135</w:t>
            </w:r>
          </w:p>
        </w:tc>
      </w:tr>
    </w:tbl>
    <w:p w14:paraId="3F4526EF" w14:textId="77777777" w:rsidR="0054497E" w:rsidRPr="003A115E" w:rsidRDefault="0054497E" w:rsidP="00C11B43">
      <w:pPr>
        <w:pStyle w:val="texto"/>
      </w:pPr>
    </w:p>
    <w:p w14:paraId="54CA4570" w14:textId="24836867" w:rsidR="00EC4C05" w:rsidRPr="003A115E" w:rsidRDefault="6A28BBB8" w:rsidP="00C11B43">
      <w:pPr>
        <w:pStyle w:val="texto"/>
      </w:pPr>
      <w:r w:rsidRPr="003A115E">
        <w:rPr>
          <w:lang w:val="es-ES"/>
        </w:rPr>
        <w:t xml:space="preserve">Las cifras incluyen </w:t>
      </w:r>
      <w:r w:rsidR="00B05AAF" w:rsidRPr="003A115E">
        <w:rPr>
          <w:lang w:val="es-ES"/>
        </w:rPr>
        <w:t>dos</w:t>
      </w:r>
      <w:r w:rsidRPr="003A115E">
        <w:rPr>
          <w:lang w:val="es-ES"/>
        </w:rPr>
        <w:t xml:space="preserve"> organismo</w:t>
      </w:r>
      <w:r w:rsidR="00B05AAF" w:rsidRPr="003A115E">
        <w:rPr>
          <w:lang w:val="es-ES"/>
        </w:rPr>
        <w:t>s</w:t>
      </w:r>
      <w:r w:rsidRPr="003A115E">
        <w:rPr>
          <w:lang w:val="es-ES"/>
        </w:rPr>
        <w:t xml:space="preserve"> autónomo</w:t>
      </w:r>
      <w:r w:rsidR="00B05AAF" w:rsidRPr="003A115E">
        <w:rPr>
          <w:lang w:val="es-ES"/>
        </w:rPr>
        <w:t>s</w:t>
      </w:r>
      <w:r w:rsidRPr="003A115E">
        <w:rPr>
          <w:lang w:val="es-ES"/>
        </w:rPr>
        <w:t xml:space="preserve">, </w:t>
      </w:r>
      <w:r w:rsidR="00F80504" w:rsidRPr="003A115E">
        <w:rPr>
          <w:lang w:val="es-ES"/>
        </w:rPr>
        <w:t>12</w:t>
      </w:r>
      <w:r w:rsidRPr="003A115E">
        <w:rPr>
          <w:lang w:val="es-ES"/>
        </w:rPr>
        <w:t xml:space="preserve"> sociedades y ocho fundaciones que no figuran en el Registro de Entidades Locales a fecha de elaboración de este informe, pero han sido identificados por esta Cámara en su trabajo de fiscalización. Podrían existir otras entidades no registradas que no </w:t>
      </w:r>
      <w:r w:rsidR="53F3B609" w:rsidRPr="003A115E">
        <w:rPr>
          <w:lang w:val="es-ES"/>
        </w:rPr>
        <w:t xml:space="preserve">se </w:t>
      </w:r>
      <w:r w:rsidR="6D0FA8A6" w:rsidRPr="003A115E">
        <w:rPr>
          <w:lang w:val="es-ES"/>
        </w:rPr>
        <w:t>hayan detectado</w:t>
      </w:r>
      <w:r w:rsidRPr="003A115E">
        <w:rPr>
          <w:lang w:val="es-ES"/>
        </w:rPr>
        <w:t xml:space="preserve">. </w:t>
      </w:r>
    </w:p>
    <w:p w14:paraId="553F3F00" w14:textId="1A8C9318" w:rsidR="00EC4C05" w:rsidRPr="003A115E" w:rsidRDefault="00852474" w:rsidP="004A2F4D">
      <w:pPr>
        <w:pStyle w:val="texto"/>
        <w:spacing w:before="140"/>
      </w:pPr>
      <w:r w:rsidRPr="003A115E">
        <w:rPr>
          <w:lang w:val="es-ES"/>
        </w:rPr>
        <w:t>En 2022</w:t>
      </w:r>
      <w:r w:rsidR="6A28BBB8" w:rsidRPr="003A115E">
        <w:rPr>
          <w:lang w:val="es-ES"/>
        </w:rPr>
        <w:t xml:space="preserve"> causan baja </w:t>
      </w:r>
      <w:r w:rsidRPr="003A115E">
        <w:rPr>
          <w:lang w:val="es-ES"/>
        </w:rPr>
        <w:t>dos</w:t>
      </w:r>
      <w:r w:rsidR="6A28BBB8" w:rsidRPr="003A115E">
        <w:rPr>
          <w:lang w:val="es-ES"/>
        </w:rPr>
        <w:t xml:space="preserve"> organismos autónomos dependientes del Ayuntamiento de </w:t>
      </w:r>
      <w:r w:rsidRPr="003A115E">
        <w:rPr>
          <w:lang w:val="es-ES"/>
        </w:rPr>
        <w:t>Burlada</w:t>
      </w:r>
      <w:r w:rsidR="6A28BBB8" w:rsidRPr="003A115E">
        <w:rPr>
          <w:lang w:val="es-ES"/>
        </w:rPr>
        <w:t xml:space="preserve">: el Patronato Municipal de Cultura y el Patronato Municipal de Deportes. </w:t>
      </w:r>
      <w:r w:rsidR="00D979D4" w:rsidRPr="003A115E">
        <w:rPr>
          <w:lang w:val="es-ES"/>
        </w:rPr>
        <w:t xml:space="preserve">También </w:t>
      </w:r>
      <w:r w:rsidR="00124DA4" w:rsidRPr="003A115E">
        <w:rPr>
          <w:lang w:val="es-ES"/>
        </w:rPr>
        <w:t>se extingue</w:t>
      </w:r>
      <w:r w:rsidR="6A28BBB8" w:rsidRPr="003A115E">
        <w:rPr>
          <w:lang w:val="es-ES"/>
        </w:rPr>
        <w:t xml:space="preserve"> la Escuela Municipal de Música ‘Villa de Funes</w:t>
      </w:r>
      <w:r w:rsidR="285839C2" w:rsidRPr="003A115E">
        <w:rPr>
          <w:lang w:val="es-ES"/>
        </w:rPr>
        <w:t>’</w:t>
      </w:r>
      <w:r w:rsidR="6A28BBB8" w:rsidRPr="003A115E">
        <w:rPr>
          <w:lang w:val="es-ES"/>
        </w:rPr>
        <w:t>, dependiente del ayuntamiento de dicha localidad.</w:t>
      </w:r>
    </w:p>
    <w:p w14:paraId="1A688A72" w14:textId="2825122A" w:rsidR="00EC4C05" w:rsidRPr="003A115E" w:rsidRDefault="00EC4C05" w:rsidP="00C11B43">
      <w:pPr>
        <w:pStyle w:val="texto"/>
      </w:pPr>
      <w:r w:rsidRPr="003A115E">
        <w:rPr>
          <w:lang w:val="es-ES"/>
        </w:rPr>
        <w:t xml:space="preserve">En cuanto a las sociedades, se ha registrado el alta de la sociedad </w:t>
      </w:r>
      <w:r w:rsidR="00DF0CD8" w:rsidRPr="003A115E">
        <w:rPr>
          <w:lang w:val="es-ES"/>
        </w:rPr>
        <w:t>Lixura Baztan</w:t>
      </w:r>
      <w:r w:rsidRPr="003A115E">
        <w:rPr>
          <w:lang w:val="es-ES"/>
        </w:rPr>
        <w:t xml:space="preserve">, S.L. (dependiente del Ayuntamiento de </w:t>
      </w:r>
      <w:r w:rsidR="00317C51">
        <w:rPr>
          <w:lang w:val="es-ES"/>
        </w:rPr>
        <w:t>Bazta</w:t>
      </w:r>
      <w:r w:rsidR="00E25E48" w:rsidRPr="003A115E">
        <w:rPr>
          <w:lang w:val="es-ES"/>
        </w:rPr>
        <w:t>n</w:t>
      </w:r>
      <w:r w:rsidRPr="003A115E">
        <w:rPr>
          <w:lang w:val="es-ES"/>
        </w:rPr>
        <w:t xml:space="preserve">). </w:t>
      </w:r>
    </w:p>
    <w:p w14:paraId="1822C537" w14:textId="37AA30E3" w:rsidR="00EC4C05" w:rsidRPr="003A115E" w:rsidRDefault="00EC4C05" w:rsidP="00C11B43">
      <w:pPr>
        <w:pStyle w:val="texto"/>
        <w:rPr>
          <w:szCs w:val="26"/>
        </w:rPr>
      </w:pPr>
      <w:r w:rsidRPr="003A115E">
        <w:rPr>
          <w:szCs w:val="26"/>
        </w:rPr>
        <w:lastRenderedPageBreak/>
        <w:t xml:space="preserve">No constan </w:t>
      </w:r>
      <w:r w:rsidR="0004156D" w:rsidRPr="003A115E">
        <w:rPr>
          <w:szCs w:val="26"/>
        </w:rPr>
        <w:t>modificaciones</w:t>
      </w:r>
      <w:r w:rsidRPr="003A115E">
        <w:rPr>
          <w:szCs w:val="26"/>
        </w:rPr>
        <w:t xml:space="preserve"> de</w:t>
      </w:r>
      <w:r w:rsidR="000E0873" w:rsidRPr="003A115E">
        <w:rPr>
          <w:szCs w:val="26"/>
        </w:rPr>
        <w:t>l número</w:t>
      </w:r>
      <w:r w:rsidRPr="003A115E">
        <w:rPr>
          <w:szCs w:val="26"/>
        </w:rPr>
        <w:t xml:space="preserve"> fundaciones públicas </w:t>
      </w:r>
      <w:r w:rsidR="0004156D" w:rsidRPr="003A115E">
        <w:rPr>
          <w:szCs w:val="26"/>
        </w:rPr>
        <w:t xml:space="preserve">y se produce la baja </w:t>
      </w:r>
      <w:r w:rsidRPr="003A115E">
        <w:rPr>
          <w:szCs w:val="26"/>
        </w:rPr>
        <w:t>de</w:t>
      </w:r>
      <w:r w:rsidR="0004156D" w:rsidRPr="003A115E">
        <w:rPr>
          <w:szCs w:val="26"/>
        </w:rPr>
        <w:t>l</w:t>
      </w:r>
      <w:r w:rsidRPr="003A115E">
        <w:rPr>
          <w:szCs w:val="26"/>
        </w:rPr>
        <w:t xml:space="preserve"> </w:t>
      </w:r>
      <w:r w:rsidR="0004156D" w:rsidRPr="003A115E">
        <w:rPr>
          <w:szCs w:val="26"/>
        </w:rPr>
        <w:t xml:space="preserve">Consorcio de Alta Velocidad de la Comarca de Pamplona, que la </w:t>
      </w:r>
      <w:r w:rsidR="000E0873" w:rsidRPr="003A115E">
        <w:rPr>
          <w:szCs w:val="26"/>
        </w:rPr>
        <w:t>Intervención General de la Administración del Estado</w:t>
      </w:r>
      <w:r w:rsidR="003769D9" w:rsidRPr="003A115E">
        <w:rPr>
          <w:szCs w:val="26"/>
        </w:rPr>
        <w:t xml:space="preserve"> lo ha considerado como una unidad institucional pública dependiente de la Comunidad Foral</w:t>
      </w:r>
      <w:r w:rsidRPr="003A115E">
        <w:rPr>
          <w:szCs w:val="26"/>
        </w:rPr>
        <w:t>.</w:t>
      </w:r>
    </w:p>
    <w:p w14:paraId="65940116" w14:textId="515EE82D" w:rsidR="00EC4C05" w:rsidRPr="003A115E" w:rsidRDefault="00EC4C05" w:rsidP="0186A00D">
      <w:pPr>
        <w:pStyle w:val="texto"/>
        <w:spacing w:after="120"/>
        <w:rPr>
          <w:lang w:val="es-ES"/>
        </w:rPr>
      </w:pPr>
      <w:r w:rsidRPr="003A115E">
        <w:rPr>
          <w:lang w:val="es-ES"/>
        </w:rPr>
        <w:t>De acuerdo con los datos anteriores, la estructura del sector público local de Na</w:t>
      </w:r>
      <w:r w:rsidR="003769D9" w:rsidRPr="003A115E">
        <w:rPr>
          <w:lang w:val="es-ES"/>
        </w:rPr>
        <w:t>varra a 31 de diciembre del 2022</w:t>
      </w:r>
      <w:r w:rsidRPr="003A115E">
        <w:rPr>
          <w:lang w:val="es-ES"/>
        </w:rPr>
        <w:t xml:space="preserve"> era la siguiente:</w:t>
      </w:r>
      <w:r w:rsidR="00FD6F99" w:rsidRPr="003A115E">
        <w:rPr>
          <w:lang w:val="es-ES"/>
        </w:rPr>
        <w:t xml:space="preserve"> </w:t>
      </w:r>
    </w:p>
    <w:p w14:paraId="296FEF7D" w14:textId="5B3F28A7" w:rsidR="00EC4C05" w:rsidRPr="003A115E" w:rsidRDefault="00EE44A3" w:rsidP="00C11B43">
      <w:pPr>
        <w:pStyle w:val="texto"/>
        <w:spacing w:after="0"/>
        <w:ind w:firstLine="0"/>
        <w:jc w:val="center"/>
      </w:pPr>
      <w:r w:rsidRPr="003A115E">
        <w:rPr>
          <w:noProof/>
          <w:lang w:val="es-ES" w:eastAsia="es-ES"/>
        </w:rPr>
        <w:drawing>
          <wp:inline distT="0" distB="0" distL="0" distR="0" wp14:anchorId="210764B0" wp14:editId="20C78D9B">
            <wp:extent cx="5580380" cy="198564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80380" cy="1985645"/>
                    </a:xfrm>
                    <a:prstGeom prst="rect">
                      <a:avLst/>
                    </a:prstGeom>
                  </pic:spPr>
                </pic:pic>
              </a:graphicData>
            </a:graphic>
          </wp:inline>
        </w:drawing>
      </w:r>
    </w:p>
    <w:p w14:paraId="01E09A13" w14:textId="6273FB30" w:rsidR="00EC4C05" w:rsidRPr="003A115E" w:rsidRDefault="00F83BD7" w:rsidP="00EC4C05">
      <w:pPr>
        <w:pStyle w:val="atitulo2"/>
        <w:rPr>
          <w:color w:val="auto"/>
        </w:rPr>
      </w:pPr>
      <w:bookmarkStart w:id="49" w:name="_Toc183679743"/>
      <w:r w:rsidRPr="003A115E">
        <w:rPr>
          <w:color w:val="auto"/>
        </w:rPr>
        <w:t>IV.2</w:t>
      </w:r>
      <w:r w:rsidR="00EC4C05" w:rsidRPr="003A115E">
        <w:rPr>
          <w:color w:val="auto"/>
        </w:rPr>
        <w:t xml:space="preserve"> Racionalización del sector público local</w:t>
      </w:r>
      <w:bookmarkEnd w:id="49"/>
    </w:p>
    <w:p w14:paraId="7D5611C4" w14:textId="2C6DBC62" w:rsidR="00EC4C05" w:rsidRPr="003A115E" w:rsidRDefault="00EC4C05" w:rsidP="00C11B43">
      <w:pPr>
        <w:pStyle w:val="texto"/>
        <w:rPr>
          <w:szCs w:val="26"/>
        </w:rPr>
      </w:pPr>
      <w:r w:rsidRPr="003A115E">
        <w:rPr>
          <w:szCs w:val="26"/>
        </w:rPr>
        <w:t xml:space="preserve">Persiste el problema indicado reiteradamente por esta Cámara sobre la falta de racionalización de la actual planta municipal de Navarra junto con la reducida dimensión poblacional de sus municipios. Esta cuestión afecta a la dotación de recursos y a la carencia de una estructura administrativa adecuada para el ejercicio de las propias competencias y </w:t>
      </w:r>
      <w:r w:rsidR="00B7561A" w:rsidRPr="003A115E">
        <w:rPr>
          <w:szCs w:val="26"/>
        </w:rPr>
        <w:t xml:space="preserve">dificulta </w:t>
      </w:r>
      <w:r w:rsidRPr="003A115E">
        <w:rPr>
          <w:szCs w:val="26"/>
        </w:rPr>
        <w:t xml:space="preserve">el cumplimiento de algunas obligaciones legales, así como para </w:t>
      </w:r>
      <w:r w:rsidR="00B7561A" w:rsidRPr="003A115E">
        <w:rPr>
          <w:szCs w:val="26"/>
        </w:rPr>
        <w:t xml:space="preserve">adecuada </w:t>
      </w:r>
      <w:r w:rsidRPr="003A115E">
        <w:rPr>
          <w:szCs w:val="26"/>
        </w:rPr>
        <w:t>prestación de los servicios púb</w:t>
      </w:r>
      <w:r w:rsidR="003D4B42" w:rsidRPr="003A115E">
        <w:rPr>
          <w:szCs w:val="26"/>
        </w:rPr>
        <w:t>licos con eficacia, eficiencia, y</w:t>
      </w:r>
      <w:r w:rsidRPr="003A115E">
        <w:rPr>
          <w:szCs w:val="26"/>
        </w:rPr>
        <w:t xml:space="preserve"> calidad. </w:t>
      </w:r>
    </w:p>
    <w:p w14:paraId="30A64584" w14:textId="59E2917C" w:rsidR="00EC4C05" w:rsidRPr="003A115E" w:rsidRDefault="00EC4C05" w:rsidP="00C11B43">
      <w:pPr>
        <w:pStyle w:val="texto"/>
        <w:tabs>
          <w:tab w:val="clear" w:pos="2835"/>
          <w:tab w:val="clear" w:pos="3969"/>
          <w:tab w:val="clear" w:pos="5103"/>
          <w:tab w:val="clear" w:pos="6237"/>
          <w:tab w:val="clear" w:pos="7371"/>
        </w:tabs>
        <w:rPr>
          <w:szCs w:val="26"/>
        </w:rPr>
      </w:pPr>
      <w:r w:rsidRPr="003A115E">
        <w:rPr>
          <w:szCs w:val="26"/>
        </w:rPr>
        <w:t xml:space="preserve">A este respecto, la </w:t>
      </w:r>
      <w:r w:rsidR="001C340B" w:rsidRPr="003A115E">
        <w:rPr>
          <w:rFonts w:cs="Arial"/>
          <w:lang w:val="es-ES"/>
        </w:rPr>
        <w:t>LFRAL</w:t>
      </w:r>
      <w:r w:rsidRPr="003A115E">
        <w:rPr>
          <w:szCs w:val="26"/>
        </w:rPr>
        <w:t xml:space="preserve"> previó reformar el mapa local y establecer un nuevo sistema de financiación, mediante la aprobación de las normas correspondientes. </w:t>
      </w:r>
    </w:p>
    <w:p w14:paraId="783CCEF2" w14:textId="00B44276" w:rsidR="00EC4C05" w:rsidRPr="003A115E" w:rsidRDefault="00EC4C05" w:rsidP="00C11B43">
      <w:pPr>
        <w:pStyle w:val="texto"/>
      </w:pPr>
      <w:r w:rsidRPr="003A115E">
        <w:rPr>
          <w:lang w:val="es-ES"/>
        </w:rPr>
        <w:t xml:space="preserve">En cuanto a la reforma del mapa local, dicha ley foral introduce la figura de las comarcas como entidades locales de naturaleza territorial y ámbito supramunicipal, encargadas de la prestación de servicios y gestión de actividades. </w:t>
      </w:r>
      <w:r w:rsidR="563B2A63" w:rsidRPr="003A115E">
        <w:rPr>
          <w:lang w:val="es-ES"/>
        </w:rPr>
        <w:t xml:space="preserve"> </w:t>
      </w:r>
      <w:r w:rsidR="00E107FB" w:rsidRPr="003A115E">
        <w:rPr>
          <w:lang w:val="es-ES"/>
        </w:rPr>
        <w:t>La creación de las comarcas será a propuesta de los ayuntamientos o de</w:t>
      </w:r>
      <w:r w:rsidRPr="003A115E">
        <w:rPr>
          <w:lang w:val="es-ES"/>
        </w:rPr>
        <w:t xml:space="preserve">l Gobierno de Navarra, estableciéndose para ello un plazo de 18 meses que expiró en agosto de 2020. A fecha de emisión de este informe no se ha </w:t>
      </w:r>
      <w:r w:rsidR="00CB1C44" w:rsidRPr="003A115E">
        <w:rPr>
          <w:lang w:val="es-ES"/>
        </w:rPr>
        <w:t>creado</w:t>
      </w:r>
      <w:r w:rsidRPr="003A115E">
        <w:rPr>
          <w:lang w:val="es-ES"/>
        </w:rPr>
        <w:t xml:space="preserve"> ninguna comarca.</w:t>
      </w:r>
    </w:p>
    <w:p w14:paraId="43604680" w14:textId="17DE18A9" w:rsidR="00EC4C05" w:rsidRPr="003A115E" w:rsidRDefault="6A28BBB8" w:rsidP="00C11B43">
      <w:pPr>
        <w:pStyle w:val="texto"/>
        <w:spacing w:after="0"/>
      </w:pPr>
      <w:r w:rsidRPr="003A115E">
        <w:rPr>
          <w:lang w:val="es-ES"/>
        </w:rPr>
        <w:t>En materia de financiación local, en 2022 se aprobó la Ley Foral 6/2022, de 22 de marzo, de modificación de la Ley Foral 2/1995, de Haciendas Locales de Navarra, que establece un nuevo sistema de financiación en el que la dotación del Fondo de Haciendas Locales se establece como una cantidad fija actualizada anualmente en función del Índice de Precios al Consumo</w:t>
      </w:r>
      <w:r w:rsidR="00F70FD9">
        <w:rPr>
          <w:lang w:val="es-ES"/>
        </w:rPr>
        <w:t>.</w:t>
      </w:r>
      <w:r w:rsidR="009A0D14" w:rsidRPr="003A115E">
        <w:rPr>
          <w:lang w:val="es-ES"/>
        </w:rPr>
        <w:t xml:space="preserve"> </w:t>
      </w:r>
      <w:r w:rsidR="00843198" w:rsidRPr="003A115E">
        <w:rPr>
          <w:lang w:val="es-ES"/>
        </w:rPr>
        <w:t>Se estructura a través de un fondo de transfer</w:t>
      </w:r>
      <w:r w:rsidR="00AD11A4" w:rsidRPr="003A115E">
        <w:rPr>
          <w:lang w:val="es-ES"/>
        </w:rPr>
        <w:t>encias corrientes (</w:t>
      </w:r>
      <w:r w:rsidR="00843198" w:rsidRPr="003A115E">
        <w:rPr>
          <w:lang w:val="es-ES"/>
        </w:rPr>
        <w:t>FTC</w:t>
      </w:r>
      <w:r w:rsidR="00623756" w:rsidRPr="003A115E">
        <w:rPr>
          <w:lang w:val="es-ES"/>
        </w:rPr>
        <w:t>, adelante</w:t>
      </w:r>
      <w:r w:rsidR="00843198" w:rsidRPr="003A115E">
        <w:rPr>
          <w:lang w:val="es-ES"/>
        </w:rPr>
        <w:t>) y un fondo de transfer</w:t>
      </w:r>
      <w:r w:rsidR="00CE7E8D" w:rsidRPr="003A115E">
        <w:rPr>
          <w:lang w:val="es-ES"/>
        </w:rPr>
        <w:t>encias de capital (</w:t>
      </w:r>
      <w:r w:rsidR="00843198" w:rsidRPr="003A115E">
        <w:rPr>
          <w:lang w:val="es-ES"/>
        </w:rPr>
        <w:t>FTCap</w:t>
      </w:r>
      <w:r w:rsidR="00CE7E8D" w:rsidRPr="003A115E">
        <w:rPr>
          <w:lang w:val="es-ES"/>
        </w:rPr>
        <w:t>, en adelante</w:t>
      </w:r>
      <w:r w:rsidR="00843198" w:rsidRPr="003A115E">
        <w:rPr>
          <w:lang w:val="es-ES"/>
        </w:rPr>
        <w:t xml:space="preserve">) y se complementa con una compensación </w:t>
      </w:r>
      <w:r w:rsidR="00843198" w:rsidRPr="003A115E">
        <w:rPr>
          <w:lang w:val="es-ES"/>
        </w:rPr>
        <w:lastRenderedPageBreak/>
        <w:t xml:space="preserve">anual por la pérdida de recaudación derivada de la reforma del impuesto sobre actividades económicas. </w:t>
      </w:r>
    </w:p>
    <w:p w14:paraId="26D9F05B" w14:textId="5DAC1858" w:rsidR="009A7A48" w:rsidRPr="003A115E" w:rsidRDefault="009A7A48" w:rsidP="003C45A1">
      <w:pPr>
        <w:pStyle w:val="atitulo2"/>
        <w:spacing w:before="240"/>
        <w:rPr>
          <w:color w:val="auto"/>
        </w:rPr>
      </w:pPr>
      <w:bookmarkStart w:id="50" w:name="_Toc24100139"/>
      <w:bookmarkStart w:id="51" w:name="_Toc52348287"/>
      <w:bookmarkStart w:id="52" w:name="_Toc123547404"/>
      <w:bookmarkStart w:id="53" w:name="_Toc183679744"/>
      <w:r w:rsidRPr="003A115E">
        <w:rPr>
          <w:color w:val="auto"/>
        </w:rPr>
        <w:t xml:space="preserve">IV.3 Normativa </w:t>
      </w:r>
      <w:bookmarkEnd w:id="50"/>
      <w:bookmarkEnd w:id="51"/>
      <w:bookmarkEnd w:id="52"/>
      <w:r w:rsidR="00896A1C" w:rsidRPr="003A115E">
        <w:rPr>
          <w:color w:val="auto"/>
        </w:rPr>
        <w:t>aplicable a las entidades locales de Navarra</w:t>
      </w:r>
      <w:bookmarkEnd w:id="53"/>
    </w:p>
    <w:p w14:paraId="1D0F13F3" w14:textId="5DB985BE" w:rsidR="00BB7161" w:rsidRPr="003A115E" w:rsidRDefault="3E974FF2" w:rsidP="003C45A1">
      <w:pPr>
        <w:pStyle w:val="texto"/>
      </w:pPr>
      <w:r w:rsidRPr="003A115E">
        <w:t xml:space="preserve">En el anexo I de </w:t>
      </w:r>
      <w:r w:rsidR="0497FBF6" w:rsidRPr="003A115E">
        <w:t>este informe</w:t>
      </w:r>
      <w:r w:rsidRPr="003A115E">
        <w:t xml:space="preserve"> se relacionan las principales normas aplicables al sector </w:t>
      </w:r>
      <w:r w:rsidR="00A56272" w:rsidRPr="003A115E">
        <w:t>público local de Navarra en 2022</w:t>
      </w:r>
      <w:r w:rsidRPr="003A115E">
        <w:t xml:space="preserve">, así como otras aprobadas en dicho ejercicio, aunque hayan entrado en vigor posteriormente. </w:t>
      </w:r>
    </w:p>
    <w:p w14:paraId="10D2FE32" w14:textId="17BBF218" w:rsidR="001E72DA" w:rsidRPr="003A115E" w:rsidRDefault="68463710" w:rsidP="003C45A1">
      <w:pPr>
        <w:pStyle w:val="texto"/>
      </w:pPr>
      <w:r w:rsidRPr="003A115E">
        <w:t>Además de la Ley Foral 6/2</w:t>
      </w:r>
      <w:r w:rsidR="00504162" w:rsidRPr="003A115E">
        <w:t xml:space="preserve">022 </w:t>
      </w:r>
      <w:r w:rsidRPr="003A115E">
        <w:t>mencionada en el apartado anterio</w:t>
      </w:r>
      <w:r w:rsidR="66D41C85" w:rsidRPr="003A115E">
        <w:t>r,</w:t>
      </w:r>
      <w:r w:rsidR="00BB7161" w:rsidRPr="003A115E">
        <w:t xml:space="preserve"> destacamos las siguientes</w:t>
      </w:r>
      <w:r w:rsidR="2B7C529C" w:rsidRPr="003A115E">
        <w:t xml:space="preserve"> normas</w:t>
      </w:r>
      <w:r w:rsidR="00BB7161" w:rsidRPr="003A115E">
        <w:t>:</w:t>
      </w:r>
      <w:r w:rsidR="00981F1D" w:rsidRPr="003A115E">
        <w:t xml:space="preserve"> </w:t>
      </w:r>
    </w:p>
    <w:p w14:paraId="609B9A4A" w14:textId="3B629876" w:rsidR="001E72DA" w:rsidRPr="003A115E" w:rsidRDefault="001E72DA" w:rsidP="003C45A1">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4"/>
      </w:pPr>
      <w:r w:rsidRPr="003A115E">
        <w:rPr>
          <w:lang w:val="es-ES"/>
        </w:rPr>
        <w:t>Ley Foral 7/2022, de 22 de marzo, por la que se establece la distribución y reparto del fondo de participación de las entidades locales en los tributos de Navarra por transferencias corrientes</w:t>
      </w:r>
      <w:r w:rsidR="00D01108" w:rsidRPr="003A115E">
        <w:rPr>
          <w:lang w:val="es-ES"/>
        </w:rPr>
        <w:t xml:space="preserve"> </w:t>
      </w:r>
      <w:r w:rsidR="1F20C504" w:rsidRPr="003A115E">
        <w:rPr>
          <w:lang w:val="es-ES"/>
        </w:rPr>
        <w:t>(</w:t>
      </w:r>
      <w:r w:rsidR="00623756" w:rsidRPr="003A115E">
        <w:rPr>
          <w:lang w:val="es-ES"/>
        </w:rPr>
        <w:t>L</w:t>
      </w:r>
      <w:r w:rsidR="00C823AE" w:rsidRPr="003A115E">
        <w:rPr>
          <w:lang w:val="es-ES"/>
        </w:rPr>
        <w:t>FPTC, en adelante</w:t>
      </w:r>
      <w:r w:rsidR="1F20C504" w:rsidRPr="003A115E">
        <w:rPr>
          <w:lang w:val="es-ES"/>
        </w:rPr>
        <w:t>)</w:t>
      </w:r>
      <w:r w:rsidR="00D01108" w:rsidRPr="003A115E">
        <w:rPr>
          <w:lang w:val="es-ES"/>
        </w:rPr>
        <w:t xml:space="preserve"> </w:t>
      </w:r>
      <w:r w:rsidR="0087057C" w:rsidRPr="003A115E">
        <w:rPr>
          <w:lang w:val="es-ES"/>
        </w:rPr>
        <w:t xml:space="preserve">Esta norma </w:t>
      </w:r>
      <w:r w:rsidR="00445D5B" w:rsidRPr="003A115E">
        <w:rPr>
          <w:lang w:val="es-ES"/>
        </w:rPr>
        <w:t>define</w:t>
      </w:r>
      <w:r w:rsidR="000C0650" w:rsidRPr="003A115E">
        <w:rPr>
          <w:lang w:val="es-ES"/>
        </w:rPr>
        <w:t xml:space="preserve"> </w:t>
      </w:r>
      <w:r w:rsidR="00445D5B" w:rsidRPr="003A115E">
        <w:rPr>
          <w:lang w:val="es-ES"/>
        </w:rPr>
        <w:t>el carácter y naturaleza del fondo de participación como recurso propio, participativo y no subvencional de libre disposición</w:t>
      </w:r>
      <w:r w:rsidR="00C76E46" w:rsidRPr="003A115E">
        <w:rPr>
          <w:lang w:val="es-ES"/>
        </w:rPr>
        <w:t xml:space="preserve"> y carácter incondicionado, de las entidades locales. </w:t>
      </w:r>
      <w:r w:rsidR="004240CE" w:rsidRPr="003A115E">
        <w:rPr>
          <w:lang w:val="es-ES"/>
        </w:rPr>
        <w:t xml:space="preserve"> </w:t>
      </w:r>
      <w:r w:rsidR="00DB69E7" w:rsidRPr="003A115E">
        <w:rPr>
          <w:lang w:val="es-ES"/>
        </w:rPr>
        <w:t>Se distribuye en cinco apartados: fondo de financiación</w:t>
      </w:r>
      <w:r w:rsidR="00F85CE0" w:rsidRPr="003A115E">
        <w:rPr>
          <w:lang w:val="es-ES"/>
        </w:rPr>
        <w:t xml:space="preserve"> general, </w:t>
      </w:r>
      <w:r w:rsidR="004C4818" w:rsidRPr="003A115E">
        <w:rPr>
          <w:lang w:val="es-ES"/>
        </w:rPr>
        <w:t xml:space="preserve">fondo de financiación </w:t>
      </w:r>
      <w:r w:rsidR="00F85CE0" w:rsidRPr="003A115E">
        <w:rPr>
          <w:lang w:val="es-ES"/>
        </w:rPr>
        <w:t xml:space="preserve">de servicios, </w:t>
      </w:r>
      <w:r w:rsidR="004C4818" w:rsidRPr="003A115E">
        <w:rPr>
          <w:lang w:val="es-ES"/>
        </w:rPr>
        <w:t xml:space="preserve">fondo de financiación </w:t>
      </w:r>
      <w:r w:rsidR="00F85CE0" w:rsidRPr="003A115E">
        <w:rPr>
          <w:lang w:val="es-ES"/>
        </w:rPr>
        <w:t>del d</w:t>
      </w:r>
      <w:r w:rsidR="0070415D" w:rsidRPr="003A115E">
        <w:rPr>
          <w:lang w:val="es-ES"/>
        </w:rPr>
        <w:t xml:space="preserve">éficit de montepíos, </w:t>
      </w:r>
      <w:r w:rsidR="004C4818" w:rsidRPr="003A115E">
        <w:rPr>
          <w:lang w:val="es-ES"/>
        </w:rPr>
        <w:t xml:space="preserve">fondo </w:t>
      </w:r>
      <w:r w:rsidR="0070415D" w:rsidRPr="003A115E">
        <w:rPr>
          <w:lang w:val="es-ES"/>
        </w:rPr>
        <w:t xml:space="preserve">de cohesión territorial </w:t>
      </w:r>
      <w:r w:rsidR="00FE6864" w:rsidRPr="003A115E">
        <w:rPr>
          <w:lang w:val="es-ES"/>
        </w:rPr>
        <w:t xml:space="preserve">y ayuda a la Federación de Municipios y </w:t>
      </w:r>
      <w:r w:rsidR="00D01108" w:rsidRPr="003A115E">
        <w:rPr>
          <w:lang w:val="es-ES"/>
        </w:rPr>
        <w:t>Concejos.</w:t>
      </w:r>
      <w:r w:rsidR="00C3138C" w:rsidRPr="003A115E">
        <w:rPr>
          <w:lang w:val="es-ES"/>
        </w:rPr>
        <w:t xml:space="preserve"> La cuantía anual para el ejercicio 2022 fue de 257’86 millones </w:t>
      </w:r>
      <w:r w:rsidR="006310CB" w:rsidRPr="003A115E">
        <w:rPr>
          <w:lang w:val="es-ES"/>
        </w:rPr>
        <w:t>y se actualiza anualmente en función del Índice de Precios al Consumo más dos puntos porcentuales</w:t>
      </w:r>
      <w:r w:rsidR="008502B8" w:rsidRPr="003A115E">
        <w:rPr>
          <w:lang w:val="es-ES"/>
        </w:rPr>
        <w:t>.</w:t>
      </w:r>
      <w:r w:rsidR="00FE6864" w:rsidRPr="003A115E">
        <w:rPr>
          <w:lang w:val="es-ES"/>
        </w:rPr>
        <w:t xml:space="preserve"> </w:t>
      </w:r>
    </w:p>
    <w:p w14:paraId="4C7AEEA3" w14:textId="27E4C422" w:rsidR="001E72DA" w:rsidRPr="003A115E" w:rsidRDefault="001E72DA" w:rsidP="003C45A1">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rsidRPr="003A115E">
        <w:rPr>
          <w:lang w:val="es-ES"/>
        </w:rPr>
        <w:t>Ley Foral 8/2022, de 22 de marzo, reguladora del Plan de Inversiones Locales</w:t>
      </w:r>
      <w:r w:rsidR="5445BA9D" w:rsidRPr="003A115E">
        <w:rPr>
          <w:lang w:val="es-ES"/>
        </w:rPr>
        <w:t xml:space="preserve"> que recoge la forma en que se va a distribuir el FTCap</w:t>
      </w:r>
      <w:r w:rsidRPr="003A115E">
        <w:rPr>
          <w:lang w:val="es-ES"/>
        </w:rPr>
        <w:t>.</w:t>
      </w:r>
      <w:r w:rsidR="00C72907" w:rsidRPr="003A115E">
        <w:rPr>
          <w:lang w:val="es-ES"/>
        </w:rPr>
        <w:t xml:space="preserve"> </w:t>
      </w:r>
      <w:r w:rsidR="0226B518" w:rsidRPr="003A115E">
        <w:rPr>
          <w:lang w:val="es-ES"/>
        </w:rPr>
        <w:t>Así, el Plan de Inversiones Locales</w:t>
      </w:r>
      <w:r w:rsidR="00CE7E8D" w:rsidRPr="003A115E">
        <w:rPr>
          <w:lang w:val="es-ES"/>
        </w:rPr>
        <w:t xml:space="preserve"> </w:t>
      </w:r>
      <w:r w:rsidR="000650A1" w:rsidRPr="003A115E">
        <w:rPr>
          <w:lang w:val="es-ES"/>
        </w:rPr>
        <w:t>(PIL</w:t>
      </w:r>
      <w:r w:rsidR="00DE7A06" w:rsidRPr="003A115E">
        <w:rPr>
          <w:lang w:val="es-ES"/>
        </w:rPr>
        <w:t>, en adelante</w:t>
      </w:r>
      <w:r w:rsidR="000650A1" w:rsidRPr="003A115E">
        <w:rPr>
          <w:lang w:val="es-ES"/>
        </w:rPr>
        <w:t>)</w:t>
      </w:r>
      <w:r w:rsidR="0226B518" w:rsidRPr="003A115E">
        <w:rPr>
          <w:lang w:val="es-ES"/>
        </w:rPr>
        <w:t xml:space="preserve">, </w:t>
      </w:r>
      <w:r w:rsidR="40BAAFCA" w:rsidRPr="003A115E">
        <w:rPr>
          <w:lang w:val="es-ES"/>
        </w:rPr>
        <w:t>s</w:t>
      </w:r>
      <w:r w:rsidR="002833D1" w:rsidRPr="003A115E">
        <w:rPr>
          <w:lang w:val="es-ES"/>
        </w:rPr>
        <w:t xml:space="preserve">e define como un conjunto de inversiones </w:t>
      </w:r>
      <w:r w:rsidR="00071FF5" w:rsidRPr="003A115E">
        <w:rPr>
          <w:lang w:val="es-ES"/>
        </w:rPr>
        <w:t>de</w:t>
      </w:r>
      <w:r w:rsidR="002833D1" w:rsidRPr="003A115E">
        <w:rPr>
          <w:lang w:val="es-ES"/>
        </w:rPr>
        <w:t xml:space="preserve"> instalación, mejora y renovación de infraestructuras y dotaciones clasificadas en tres apartados</w:t>
      </w:r>
      <w:r w:rsidR="00E16278" w:rsidRPr="003A115E">
        <w:rPr>
          <w:lang w:val="es-ES"/>
        </w:rPr>
        <w:t xml:space="preserve">: Programa de inversiones, programación local </w:t>
      </w:r>
      <w:r w:rsidR="00C72907" w:rsidRPr="003A115E">
        <w:rPr>
          <w:lang w:val="es-ES"/>
        </w:rPr>
        <w:t>y libre</w:t>
      </w:r>
      <w:r w:rsidR="00E16278" w:rsidRPr="003A115E">
        <w:rPr>
          <w:lang w:val="es-ES"/>
        </w:rPr>
        <w:t xml:space="preserve"> determinación.</w:t>
      </w:r>
      <w:r w:rsidR="00C72907" w:rsidRPr="003A115E">
        <w:rPr>
          <w:lang w:val="es-ES"/>
        </w:rPr>
        <w:t xml:space="preserve"> </w:t>
      </w:r>
      <w:r w:rsidR="00E16278" w:rsidRPr="003A115E">
        <w:rPr>
          <w:lang w:val="es-ES"/>
        </w:rPr>
        <w:t xml:space="preserve">La distribución inicial </w:t>
      </w:r>
      <w:r w:rsidR="00C72907" w:rsidRPr="003A115E">
        <w:rPr>
          <w:lang w:val="es-ES"/>
        </w:rPr>
        <w:t xml:space="preserve">de los citados bloques </w:t>
      </w:r>
      <w:r w:rsidR="00E16278" w:rsidRPr="003A115E">
        <w:rPr>
          <w:lang w:val="es-ES"/>
        </w:rPr>
        <w:t xml:space="preserve">será del 30, 40 y 30 </w:t>
      </w:r>
      <w:r w:rsidR="00C72907" w:rsidRPr="003A115E">
        <w:rPr>
          <w:lang w:val="es-ES"/>
        </w:rPr>
        <w:t>por ciento respectivamente.</w:t>
      </w:r>
      <w:r w:rsidR="00823351" w:rsidRPr="003A115E">
        <w:rPr>
          <w:lang w:val="es-ES"/>
        </w:rPr>
        <w:t xml:space="preserve"> </w:t>
      </w:r>
      <w:r w:rsidR="00C72907" w:rsidRPr="003A115E">
        <w:rPr>
          <w:lang w:val="es-ES"/>
        </w:rPr>
        <w:t xml:space="preserve">La </w:t>
      </w:r>
      <w:r w:rsidR="00823351" w:rsidRPr="003A115E">
        <w:rPr>
          <w:lang w:val="es-ES"/>
        </w:rPr>
        <w:t xml:space="preserve">programación temporal </w:t>
      </w:r>
      <w:r w:rsidR="00CA7A51" w:rsidRPr="003A115E">
        <w:rPr>
          <w:lang w:val="es-ES"/>
        </w:rPr>
        <w:t>del PIL</w:t>
      </w:r>
      <w:r w:rsidR="00823351" w:rsidRPr="003A115E">
        <w:rPr>
          <w:lang w:val="es-ES"/>
        </w:rPr>
        <w:t xml:space="preserve"> se extiende, salvo prórroga</w:t>
      </w:r>
      <w:r w:rsidR="00144A90" w:rsidRPr="003A115E">
        <w:rPr>
          <w:lang w:val="es-ES"/>
        </w:rPr>
        <w:t>,</w:t>
      </w:r>
      <w:r w:rsidR="00823351" w:rsidRPr="003A115E">
        <w:rPr>
          <w:lang w:val="es-ES"/>
        </w:rPr>
        <w:t xml:space="preserve"> hasta </w:t>
      </w:r>
      <w:r w:rsidR="00746564" w:rsidRPr="003A115E">
        <w:rPr>
          <w:lang w:val="es-ES"/>
        </w:rPr>
        <w:t xml:space="preserve">aprobación de una </w:t>
      </w:r>
      <w:r w:rsidR="00823351" w:rsidRPr="003A115E">
        <w:rPr>
          <w:lang w:val="es-ES"/>
        </w:rPr>
        <w:t>nueva ley, desde el 2022 hasta el 2028</w:t>
      </w:r>
      <w:r w:rsidR="00A25650" w:rsidRPr="003A115E">
        <w:rPr>
          <w:lang w:val="es-ES"/>
        </w:rPr>
        <w:t xml:space="preserve">. Su dotación inicial para el ejercicio 2022 es de 30 millones </w:t>
      </w:r>
      <w:r w:rsidR="004921A5" w:rsidRPr="003A115E">
        <w:rPr>
          <w:rStyle w:val="Refdenotaalpie"/>
          <w:lang w:val="es-ES"/>
        </w:rPr>
        <w:footnoteReference w:id="4"/>
      </w:r>
      <w:r w:rsidR="00A25650" w:rsidRPr="003A115E">
        <w:rPr>
          <w:lang w:val="es-ES"/>
        </w:rPr>
        <w:t xml:space="preserve"> que se incrementa en el IPC</w:t>
      </w:r>
      <w:r w:rsidR="00B62189" w:rsidRPr="003A115E">
        <w:rPr>
          <w:lang w:val="es-ES"/>
        </w:rPr>
        <w:t xml:space="preserve"> en los ejercicios sucesivos.</w:t>
      </w:r>
    </w:p>
    <w:p w14:paraId="72C30679" w14:textId="107B19E3" w:rsidR="00FD114C" w:rsidRPr="003A115E" w:rsidRDefault="00FD114C" w:rsidP="003C45A1">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lang w:val="es-ES"/>
        </w:rPr>
      </w:pPr>
      <w:r w:rsidRPr="003A115E">
        <w:rPr>
          <w:rFonts w:cs="Arial"/>
          <w:lang w:val="es-ES"/>
        </w:rPr>
        <w:t>Ley</w:t>
      </w:r>
      <w:r w:rsidRPr="003A115E">
        <w:rPr>
          <w:lang w:val="es-ES"/>
        </w:rPr>
        <w:t xml:space="preserve"> Foral 16/2022, de 30 de mayo, de medidas de urgentes para la reducción de la temporalidad en los puestos de trabajo reservados a funcionarios con habilitación de la Comunidad Foral de Navarra. Esta norma regula en forma excepcional los procesos de estabilización para los puestos de secretario e interventor de las entidades locales de Navarra. En la actualidad, los procesos de estabilización de secretarios e </w:t>
      </w:r>
      <w:r w:rsidR="00342723" w:rsidRPr="003A115E">
        <w:rPr>
          <w:lang w:val="es-ES"/>
        </w:rPr>
        <w:t>interventores, por</w:t>
      </w:r>
      <w:r w:rsidRPr="003A115E">
        <w:rPr>
          <w:lang w:val="es-ES"/>
        </w:rPr>
        <w:t xml:space="preserve"> concurso de méritos</w:t>
      </w:r>
      <w:r w:rsidR="00342723" w:rsidRPr="003A115E">
        <w:rPr>
          <w:lang w:val="es-ES"/>
        </w:rPr>
        <w:t>,</w:t>
      </w:r>
      <w:r w:rsidRPr="003A115E">
        <w:rPr>
          <w:lang w:val="es-ES"/>
        </w:rPr>
        <w:t xml:space="preserve"> se encuentran suspendidos </w:t>
      </w:r>
      <w:r w:rsidR="00987D9F" w:rsidRPr="003A115E">
        <w:rPr>
          <w:lang w:val="es-ES"/>
        </w:rPr>
        <w:t>por el planteamiento de una cuestión de inconstitucionalidad.</w:t>
      </w:r>
    </w:p>
    <w:p w14:paraId="21F9A94E" w14:textId="57BD62C4" w:rsidR="003C45A1" w:rsidRDefault="06FF1095" w:rsidP="005C208F">
      <w:pPr>
        <w:pStyle w:val="texto"/>
        <w:spacing w:after="100"/>
      </w:pPr>
      <w:r w:rsidRPr="003A115E">
        <w:lastRenderedPageBreak/>
        <w:t xml:space="preserve">En cuanto al ámbito estatal, cabe destacar por su especial relevancia </w:t>
      </w:r>
      <w:r w:rsidR="00FD114C" w:rsidRPr="003A115E">
        <w:t>el Acuerdo del Congreso de los Diputados, de 13 de septiembre de 2021, por el que aprecia la existencia de una situación de emergencia extraordinaria que justifica mantener la suspensión de las reglas fiscales en 2022.</w:t>
      </w:r>
    </w:p>
    <w:p w14:paraId="1782DC69" w14:textId="77777777" w:rsidR="003C45A1" w:rsidRDefault="003C45A1">
      <w:pPr>
        <w:rPr>
          <w:spacing w:val="6"/>
          <w:sz w:val="26"/>
          <w:lang w:val="es-ES_tradnl" w:eastAsia="en-US"/>
        </w:rPr>
      </w:pPr>
      <w:r>
        <w:br w:type="page"/>
      </w:r>
    </w:p>
    <w:p w14:paraId="0EE23FC9" w14:textId="34D06337" w:rsidR="00345C6C" w:rsidRPr="003A115E" w:rsidRDefault="00345C6C" w:rsidP="00020D42">
      <w:pPr>
        <w:pStyle w:val="atitulo1"/>
        <w:spacing w:before="240"/>
        <w:rPr>
          <w:color w:val="auto"/>
        </w:rPr>
      </w:pPr>
      <w:bookmarkStart w:id="54" w:name="_Toc183679745"/>
      <w:r w:rsidRPr="003A115E">
        <w:rPr>
          <w:color w:val="auto"/>
        </w:rPr>
        <w:lastRenderedPageBreak/>
        <w:t xml:space="preserve">V. Memoria-resumen de las actuaciones de fiscalización </w:t>
      </w:r>
      <w:bookmarkEnd w:id="44"/>
      <w:bookmarkEnd w:id="45"/>
      <w:bookmarkEnd w:id="46"/>
      <w:bookmarkEnd w:id="47"/>
      <w:bookmarkEnd w:id="48"/>
      <w:r w:rsidR="00CC40EE" w:rsidRPr="003A115E">
        <w:rPr>
          <w:color w:val="auto"/>
        </w:rPr>
        <w:t xml:space="preserve">referidas </w:t>
      </w:r>
      <w:r w:rsidR="00210333" w:rsidRPr="003A115E">
        <w:rPr>
          <w:color w:val="auto"/>
        </w:rPr>
        <w:t>al ejercicio 202</w:t>
      </w:r>
      <w:r w:rsidR="00B66358" w:rsidRPr="003A115E">
        <w:rPr>
          <w:color w:val="auto"/>
        </w:rPr>
        <w:t>2</w:t>
      </w:r>
      <w:bookmarkEnd w:id="54"/>
    </w:p>
    <w:p w14:paraId="5BD503DF" w14:textId="08D7EB64" w:rsidR="00A170AD" w:rsidRPr="003A115E" w:rsidRDefault="00A170AD" w:rsidP="00020D42">
      <w:pPr>
        <w:pStyle w:val="texto"/>
        <w:spacing w:after="240"/>
      </w:pPr>
      <w:r w:rsidRPr="003A115E">
        <w:t>En el ámbito del sector público local, esta Cámara de Comptos ha realizado informes de fiscalización</w:t>
      </w:r>
      <w:r w:rsidR="008B3772" w:rsidRPr="003A115E">
        <w:t xml:space="preserve"> financiera y</w:t>
      </w:r>
      <w:r w:rsidRPr="003A115E">
        <w:t xml:space="preserve"> de legal</w:t>
      </w:r>
      <w:r w:rsidR="00115958" w:rsidRPr="003A115E">
        <w:t>idad referidos al ejercicio 2022</w:t>
      </w:r>
      <w:r w:rsidRPr="003A115E">
        <w:t xml:space="preserve"> para las siguientes entidades locales:</w:t>
      </w:r>
      <w:r w:rsidR="00260666" w:rsidRPr="003A115E">
        <w:t xml:space="preserve"> </w:t>
      </w:r>
    </w:p>
    <w:tbl>
      <w:tblPr>
        <w:tblW w:w="5323" w:type="pct"/>
        <w:jc w:val="center"/>
        <w:tblLayout w:type="fixed"/>
        <w:tblCellMar>
          <w:left w:w="70" w:type="dxa"/>
          <w:right w:w="70" w:type="dxa"/>
        </w:tblCellMar>
        <w:tblLook w:val="04A0" w:firstRow="1" w:lastRow="0" w:firstColumn="1" w:lastColumn="0" w:noHBand="0" w:noVBand="1"/>
      </w:tblPr>
      <w:tblGrid>
        <w:gridCol w:w="1414"/>
        <w:gridCol w:w="993"/>
        <w:gridCol w:w="994"/>
        <w:gridCol w:w="1276"/>
        <w:gridCol w:w="992"/>
        <w:gridCol w:w="994"/>
        <w:gridCol w:w="1134"/>
        <w:gridCol w:w="1559"/>
      </w:tblGrid>
      <w:tr w:rsidR="00483F6E" w:rsidRPr="00483F6E" w14:paraId="39978B39" w14:textId="77777777" w:rsidTr="00483F6E">
        <w:trPr>
          <w:trHeight w:val="255"/>
          <w:jc w:val="center"/>
        </w:trPr>
        <w:tc>
          <w:tcPr>
            <w:tcW w:w="756" w:type="pct"/>
            <w:vMerge w:val="restart"/>
            <w:tcBorders>
              <w:top w:val="single" w:sz="4" w:space="0" w:color="auto"/>
              <w:left w:val="nil"/>
              <w:bottom w:val="single" w:sz="4" w:space="0" w:color="auto"/>
              <w:right w:val="nil"/>
            </w:tcBorders>
            <w:shd w:val="clear" w:color="000000" w:fill="FABF8F"/>
            <w:tcMar>
              <w:left w:w="0" w:type="dxa"/>
              <w:right w:w="0" w:type="dxa"/>
            </w:tcMar>
            <w:vAlign w:val="center"/>
            <w:hideMark/>
          </w:tcPr>
          <w:p w14:paraId="324628D0" w14:textId="77777777" w:rsidR="005759FA" w:rsidRPr="00483F6E" w:rsidRDefault="005759FA">
            <w:pPr>
              <w:jc w:val="center"/>
              <w:rPr>
                <w:rFonts w:ascii="Arial" w:hAnsi="Arial" w:cs="Arial"/>
                <w:sz w:val="17"/>
                <w:szCs w:val="17"/>
              </w:rPr>
            </w:pPr>
            <w:r w:rsidRPr="00483F6E">
              <w:rPr>
                <w:rFonts w:ascii="Arial" w:hAnsi="Arial" w:cs="Arial"/>
                <w:sz w:val="17"/>
                <w:szCs w:val="17"/>
              </w:rPr>
              <w:t>Entidad local</w:t>
            </w:r>
          </w:p>
        </w:tc>
        <w:tc>
          <w:tcPr>
            <w:tcW w:w="531" w:type="pct"/>
            <w:vMerge w:val="restart"/>
            <w:tcBorders>
              <w:top w:val="single" w:sz="4" w:space="0" w:color="auto"/>
              <w:left w:val="nil"/>
              <w:bottom w:val="single" w:sz="4" w:space="0" w:color="auto"/>
              <w:right w:val="nil"/>
            </w:tcBorders>
            <w:shd w:val="clear" w:color="000000" w:fill="FABF8F"/>
            <w:tcMar>
              <w:left w:w="0" w:type="dxa"/>
              <w:right w:w="0" w:type="dxa"/>
            </w:tcMar>
            <w:vAlign w:val="center"/>
            <w:hideMark/>
          </w:tcPr>
          <w:p w14:paraId="48987041" w14:textId="77777777" w:rsidR="005759FA" w:rsidRPr="00483F6E" w:rsidRDefault="005759FA" w:rsidP="005759FA">
            <w:pPr>
              <w:jc w:val="center"/>
              <w:rPr>
                <w:rFonts w:ascii="Arial" w:hAnsi="Arial" w:cs="Arial"/>
                <w:sz w:val="17"/>
                <w:szCs w:val="17"/>
              </w:rPr>
            </w:pPr>
            <w:r w:rsidRPr="00483F6E">
              <w:rPr>
                <w:rFonts w:ascii="Arial" w:hAnsi="Arial" w:cs="Arial"/>
                <w:sz w:val="17"/>
                <w:szCs w:val="17"/>
              </w:rPr>
              <w:t>Fecha emisión informe</w:t>
            </w:r>
          </w:p>
        </w:tc>
        <w:tc>
          <w:tcPr>
            <w:tcW w:w="531" w:type="pct"/>
            <w:vMerge w:val="restart"/>
            <w:tcBorders>
              <w:top w:val="single" w:sz="4" w:space="0" w:color="auto"/>
              <w:left w:val="nil"/>
              <w:bottom w:val="single" w:sz="4" w:space="0" w:color="auto"/>
              <w:right w:val="nil"/>
            </w:tcBorders>
            <w:shd w:val="clear" w:color="000000" w:fill="FABF8F"/>
            <w:tcMar>
              <w:left w:w="0" w:type="dxa"/>
              <w:right w:w="0" w:type="dxa"/>
            </w:tcMar>
            <w:vAlign w:val="center"/>
            <w:hideMark/>
          </w:tcPr>
          <w:p w14:paraId="1B174C66" w14:textId="77777777" w:rsidR="005759FA" w:rsidRPr="00483F6E" w:rsidRDefault="005759FA" w:rsidP="00483F6E">
            <w:pPr>
              <w:jc w:val="right"/>
              <w:rPr>
                <w:rFonts w:ascii="Arial" w:hAnsi="Arial" w:cs="Arial"/>
                <w:sz w:val="17"/>
                <w:szCs w:val="17"/>
              </w:rPr>
            </w:pPr>
            <w:r w:rsidRPr="00483F6E">
              <w:rPr>
                <w:rFonts w:ascii="Arial" w:hAnsi="Arial" w:cs="Arial"/>
                <w:sz w:val="17"/>
                <w:szCs w:val="17"/>
              </w:rPr>
              <w:t>Población a 01/01/2022</w:t>
            </w:r>
          </w:p>
        </w:tc>
        <w:tc>
          <w:tcPr>
            <w:tcW w:w="682" w:type="pct"/>
            <w:vMerge w:val="restart"/>
            <w:tcBorders>
              <w:top w:val="single" w:sz="4" w:space="0" w:color="auto"/>
              <w:left w:val="nil"/>
              <w:bottom w:val="single" w:sz="4" w:space="0" w:color="auto"/>
              <w:right w:val="nil"/>
            </w:tcBorders>
            <w:shd w:val="clear" w:color="000000" w:fill="FABF8F"/>
            <w:tcMar>
              <w:left w:w="0" w:type="dxa"/>
              <w:right w:w="0" w:type="dxa"/>
            </w:tcMar>
            <w:vAlign w:val="center"/>
            <w:hideMark/>
          </w:tcPr>
          <w:p w14:paraId="5FE007B2" w14:textId="77777777" w:rsidR="00483F6E" w:rsidRDefault="005759FA" w:rsidP="00483F6E">
            <w:pPr>
              <w:jc w:val="right"/>
              <w:rPr>
                <w:rFonts w:ascii="Arial" w:hAnsi="Arial" w:cs="Arial"/>
                <w:sz w:val="17"/>
                <w:szCs w:val="17"/>
              </w:rPr>
            </w:pPr>
            <w:r w:rsidRPr="00483F6E">
              <w:rPr>
                <w:rFonts w:ascii="Arial" w:hAnsi="Arial" w:cs="Arial"/>
                <w:sz w:val="17"/>
                <w:szCs w:val="17"/>
              </w:rPr>
              <w:t>Obligaciones</w:t>
            </w:r>
          </w:p>
          <w:p w14:paraId="67DAB646" w14:textId="3491FE92" w:rsidR="005759FA" w:rsidRPr="00483F6E" w:rsidRDefault="005759FA" w:rsidP="00483F6E">
            <w:pPr>
              <w:jc w:val="right"/>
              <w:rPr>
                <w:rFonts w:ascii="Arial" w:hAnsi="Arial" w:cs="Arial"/>
                <w:sz w:val="17"/>
                <w:szCs w:val="17"/>
              </w:rPr>
            </w:pPr>
            <w:r w:rsidRPr="00483F6E">
              <w:rPr>
                <w:rFonts w:ascii="Arial" w:hAnsi="Arial" w:cs="Arial"/>
                <w:sz w:val="17"/>
                <w:szCs w:val="17"/>
              </w:rPr>
              <w:t xml:space="preserve"> reconocidas</w:t>
            </w:r>
          </w:p>
        </w:tc>
        <w:tc>
          <w:tcPr>
            <w:tcW w:w="530" w:type="pct"/>
            <w:vMerge w:val="restart"/>
            <w:tcBorders>
              <w:top w:val="single" w:sz="4" w:space="0" w:color="auto"/>
              <w:left w:val="nil"/>
              <w:bottom w:val="single" w:sz="4" w:space="0" w:color="auto"/>
              <w:right w:val="nil"/>
            </w:tcBorders>
            <w:shd w:val="clear" w:color="000000" w:fill="FABF8F"/>
            <w:tcMar>
              <w:left w:w="0" w:type="dxa"/>
              <w:right w:w="0" w:type="dxa"/>
            </w:tcMar>
            <w:vAlign w:val="center"/>
            <w:hideMark/>
          </w:tcPr>
          <w:p w14:paraId="4743D9B5" w14:textId="77777777" w:rsidR="00483F6E" w:rsidRDefault="005759FA" w:rsidP="00483F6E">
            <w:pPr>
              <w:jc w:val="right"/>
              <w:rPr>
                <w:rFonts w:ascii="Arial" w:hAnsi="Arial" w:cs="Arial"/>
                <w:sz w:val="17"/>
                <w:szCs w:val="17"/>
              </w:rPr>
            </w:pPr>
            <w:r w:rsidRPr="00483F6E">
              <w:rPr>
                <w:rFonts w:ascii="Arial" w:hAnsi="Arial" w:cs="Arial"/>
                <w:sz w:val="17"/>
                <w:szCs w:val="17"/>
              </w:rPr>
              <w:t>Derechos</w:t>
            </w:r>
          </w:p>
          <w:p w14:paraId="4C8F97BC" w14:textId="21C2BFC6" w:rsidR="005759FA" w:rsidRPr="00483F6E" w:rsidRDefault="005759FA" w:rsidP="00483F6E">
            <w:pPr>
              <w:jc w:val="right"/>
              <w:rPr>
                <w:rFonts w:ascii="Arial" w:hAnsi="Arial" w:cs="Arial"/>
                <w:sz w:val="17"/>
                <w:szCs w:val="17"/>
              </w:rPr>
            </w:pPr>
            <w:r w:rsidRPr="00483F6E">
              <w:rPr>
                <w:rFonts w:ascii="Arial" w:hAnsi="Arial" w:cs="Arial"/>
                <w:sz w:val="17"/>
                <w:szCs w:val="17"/>
              </w:rPr>
              <w:t xml:space="preserve"> reconocidos</w:t>
            </w:r>
          </w:p>
        </w:tc>
        <w:tc>
          <w:tcPr>
            <w:tcW w:w="531" w:type="pct"/>
            <w:vMerge w:val="restart"/>
            <w:tcBorders>
              <w:top w:val="single" w:sz="4" w:space="0" w:color="auto"/>
              <w:left w:val="nil"/>
              <w:bottom w:val="single" w:sz="4" w:space="0" w:color="auto"/>
              <w:right w:val="nil"/>
            </w:tcBorders>
            <w:shd w:val="clear" w:color="000000" w:fill="FABF8F"/>
            <w:tcMar>
              <w:left w:w="0" w:type="dxa"/>
              <w:right w:w="0" w:type="dxa"/>
            </w:tcMar>
            <w:vAlign w:val="center"/>
            <w:hideMark/>
          </w:tcPr>
          <w:p w14:paraId="3BBCEE40" w14:textId="77777777" w:rsidR="005759FA" w:rsidRPr="00483F6E" w:rsidRDefault="005759FA" w:rsidP="00483F6E">
            <w:pPr>
              <w:jc w:val="right"/>
              <w:rPr>
                <w:rFonts w:ascii="Arial" w:hAnsi="Arial" w:cs="Arial"/>
                <w:sz w:val="17"/>
                <w:szCs w:val="17"/>
              </w:rPr>
            </w:pPr>
            <w:r w:rsidRPr="00483F6E">
              <w:rPr>
                <w:rFonts w:ascii="Arial" w:hAnsi="Arial" w:cs="Arial"/>
                <w:sz w:val="17"/>
                <w:szCs w:val="17"/>
              </w:rPr>
              <w:t>Personal a 31/12/2022</w:t>
            </w:r>
          </w:p>
        </w:tc>
        <w:tc>
          <w:tcPr>
            <w:tcW w:w="1439" w:type="pct"/>
            <w:gridSpan w:val="2"/>
            <w:tcBorders>
              <w:top w:val="single" w:sz="4" w:space="0" w:color="auto"/>
              <w:left w:val="nil"/>
              <w:bottom w:val="single" w:sz="4" w:space="0" w:color="auto"/>
              <w:right w:val="nil"/>
            </w:tcBorders>
            <w:shd w:val="clear" w:color="000000" w:fill="FABF8F"/>
            <w:tcMar>
              <w:left w:w="0" w:type="dxa"/>
              <w:right w:w="0" w:type="dxa"/>
            </w:tcMar>
            <w:vAlign w:val="center"/>
            <w:hideMark/>
          </w:tcPr>
          <w:p w14:paraId="5A0CD6C1" w14:textId="77777777" w:rsidR="005759FA" w:rsidRPr="00483F6E" w:rsidRDefault="005759FA" w:rsidP="005759FA">
            <w:pPr>
              <w:jc w:val="center"/>
              <w:rPr>
                <w:rFonts w:ascii="Arial" w:hAnsi="Arial" w:cs="Arial"/>
                <w:sz w:val="17"/>
                <w:szCs w:val="17"/>
              </w:rPr>
            </w:pPr>
            <w:r w:rsidRPr="00483F6E">
              <w:rPr>
                <w:rFonts w:ascii="Arial" w:hAnsi="Arial" w:cs="Arial"/>
                <w:sz w:val="17"/>
                <w:szCs w:val="17"/>
              </w:rPr>
              <w:t>Resultado de la fiscalización*</w:t>
            </w:r>
          </w:p>
        </w:tc>
      </w:tr>
      <w:tr w:rsidR="00483F6E" w:rsidRPr="00483F6E" w14:paraId="53836D22" w14:textId="77777777" w:rsidTr="00483F6E">
        <w:trPr>
          <w:trHeight w:val="255"/>
          <w:jc w:val="center"/>
        </w:trPr>
        <w:tc>
          <w:tcPr>
            <w:tcW w:w="756" w:type="pct"/>
            <w:vMerge/>
            <w:tcBorders>
              <w:top w:val="single" w:sz="4" w:space="0" w:color="auto"/>
              <w:left w:val="nil"/>
              <w:bottom w:val="single" w:sz="4" w:space="0" w:color="auto"/>
              <w:right w:val="nil"/>
            </w:tcBorders>
            <w:tcMar>
              <w:left w:w="0" w:type="dxa"/>
              <w:right w:w="0" w:type="dxa"/>
            </w:tcMar>
            <w:vAlign w:val="center"/>
            <w:hideMark/>
          </w:tcPr>
          <w:p w14:paraId="05C4CCC6" w14:textId="77777777" w:rsidR="005759FA" w:rsidRPr="00483F6E" w:rsidRDefault="005759FA" w:rsidP="005759FA">
            <w:pPr>
              <w:rPr>
                <w:rFonts w:ascii="Arial" w:hAnsi="Arial" w:cs="Arial"/>
                <w:sz w:val="17"/>
                <w:szCs w:val="17"/>
              </w:rPr>
            </w:pPr>
          </w:p>
        </w:tc>
        <w:tc>
          <w:tcPr>
            <w:tcW w:w="531" w:type="pct"/>
            <w:vMerge/>
            <w:tcBorders>
              <w:top w:val="single" w:sz="4" w:space="0" w:color="auto"/>
              <w:left w:val="nil"/>
              <w:bottom w:val="single" w:sz="4" w:space="0" w:color="auto"/>
              <w:right w:val="nil"/>
            </w:tcBorders>
            <w:tcMar>
              <w:left w:w="0" w:type="dxa"/>
              <w:right w:w="0" w:type="dxa"/>
            </w:tcMar>
            <w:vAlign w:val="center"/>
            <w:hideMark/>
          </w:tcPr>
          <w:p w14:paraId="69F06AD8" w14:textId="77777777" w:rsidR="005759FA" w:rsidRPr="00483F6E" w:rsidRDefault="005759FA" w:rsidP="005759FA">
            <w:pPr>
              <w:rPr>
                <w:rFonts w:ascii="Arial" w:hAnsi="Arial" w:cs="Arial"/>
                <w:sz w:val="17"/>
                <w:szCs w:val="17"/>
              </w:rPr>
            </w:pPr>
          </w:p>
        </w:tc>
        <w:tc>
          <w:tcPr>
            <w:tcW w:w="531" w:type="pct"/>
            <w:vMerge/>
            <w:tcBorders>
              <w:top w:val="single" w:sz="4" w:space="0" w:color="auto"/>
              <w:left w:val="nil"/>
              <w:bottom w:val="single" w:sz="4" w:space="0" w:color="auto"/>
              <w:right w:val="nil"/>
            </w:tcBorders>
            <w:tcMar>
              <w:left w:w="0" w:type="dxa"/>
              <w:right w:w="0" w:type="dxa"/>
            </w:tcMar>
            <w:vAlign w:val="center"/>
            <w:hideMark/>
          </w:tcPr>
          <w:p w14:paraId="473FD309" w14:textId="77777777" w:rsidR="005759FA" w:rsidRPr="00483F6E" w:rsidRDefault="005759FA" w:rsidP="005759FA">
            <w:pPr>
              <w:rPr>
                <w:rFonts w:ascii="Arial" w:hAnsi="Arial" w:cs="Arial"/>
                <w:sz w:val="17"/>
                <w:szCs w:val="17"/>
              </w:rPr>
            </w:pPr>
          </w:p>
        </w:tc>
        <w:tc>
          <w:tcPr>
            <w:tcW w:w="682" w:type="pct"/>
            <w:vMerge/>
            <w:tcBorders>
              <w:top w:val="single" w:sz="4" w:space="0" w:color="auto"/>
              <w:left w:val="nil"/>
              <w:bottom w:val="single" w:sz="4" w:space="0" w:color="auto"/>
              <w:right w:val="nil"/>
            </w:tcBorders>
            <w:tcMar>
              <w:left w:w="0" w:type="dxa"/>
              <w:right w:w="0" w:type="dxa"/>
            </w:tcMar>
            <w:vAlign w:val="center"/>
            <w:hideMark/>
          </w:tcPr>
          <w:p w14:paraId="768FCFB1" w14:textId="77777777" w:rsidR="005759FA" w:rsidRPr="00483F6E" w:rsidRDefault="005759FA" w:rsidP="005759FA">
            <w:pPr>
              <w:rPr>
                <w:rFonts w:ascii="Arial" w:hAnsi="Arial" w:cs="Arial"/>
                <w:sz w:val="17"/>
                <w:szCs w:val="17"/>
              </w:rPr>
            </w:pPr>
          </w:p>
        </w:tc>
        <w:tc>
          <w:tcPr>
            <w:tcW w:w="530" w:type="pct"/>
            <w:vMerge/>
            <w:tcBorders>
              <w:top w:val="single" w:sz="4" w:space="0" w:color="auto"/>
              <w:left w:val="nil"/>
              <w:bottom w:val="single" w:sz="4" w:space="0" w:color="auto"/>
              <w:right w:val="nil"/>
            </w:tcBorders>
            <w:tcMar>
              <w:left w:w="0" w:type="dxa"/>
              <w:right w:w="0" w:type="dxa"/>
            </w:tcMar>
            <w:vAlign w:val="center"/>
            <w:hideMark/>
          </w:tcPr>
          <w:p w14:paraId="061FA7D3" w14:textId="77777777" w:rsidR="005759FA" w:rsidRPr="00483F6E" w:rsidRDefault="005759FA" w:rsidP="005759FA">
            <w:pPr>
              <w:rPr>
                <w:rFonts w:ascii="Arial" w:hAnsi="Arial" w:cs="Arial"/>
                <w:sz w:val="17"/>
                <w:szCs w:val="17"/>
              </w:rPr>
            </w:pPr>
          </w:p>
        </w:tc>
        <w:tc>
          <w:tcPr>
            <w:tcW w:w="531" w:type="pct"/>
            <w:vMerge/>
            <w:tcBorders>
              <w:top w:val="single" w:sz="4" w:space="0" w:color="auto"/>
              <w:left w:val="nil"/>
              <w:bottom w:val="single" w:sz="4" w:space="0" w:color="auto"/>
              <w:right w:val="nil"/>
            </w:tcBorders>
            <w:tcMar>
              <w:left w:w="0" w:type="dxa"/>
              <w:right w:w="0" w:type="dxa"/>
            </w:tcMar>
            <w:vAlign w:val="center"/>
            <w:hideMark/>
          </w:tcPr>
          <w:p w14:paraId="0775FA22" w14:textId="77777777" w:rsidR="005759FA" w:rsidRPr="00483F6E" w:rsidRDefault="005759FA" w:rsidP="005759FA">
            <w:pPr>
              <w:rPr>
                <w:rFonts w:ascii="Arial" w:hAnsi="Arial" w:cs="Arial"/>
                <w:sz w:val="17"/>
                <w:szCs w:val="17"/>
              </w:rPr>
            </w:pPr>
          </w:p>
        </w:tc>
        <w:tc>
          <w:tcPr>
            <w:tcW w:w="606" w:type="pct"/>
            <w:tcBorders>
              <w:top w:val="single" w:sz="4" w:space="0" w:color="auto"/>
              <w:left w:val="nil"/>
              <w:bottom w:val="single" w:sz="4" w:space="0" w:color="auto"/>
              <w:right w:val="nil"/>
            </w:tcBorders>
            <w:shd w:val="clear" w:color="000000" w:fill="FABF8F"/>
            <w:tcMar>
              <w:left w:w="0" w:type="dxa"/>
              <w:right w:w="0" w:type="dxa"/>
            </w:tcMar>
            <w:vAlign w:val="center"/>
            <w:hideMark/>
          </w:tcPr>
          <w:p w14:paraId="65FC9B59" w14:textId="77777777" w:rsidR="00FB74A6" w:rsidRPr="00483F6E" w:rsidRDefault="005759FA" w:rsidP="00483F6E">
            <w:pPr>
              <w:jc w:val="right"/>
              <w:rPr>
                <w:rFonts w:ascii="Arial" w:hAnsi="Arial" w:cs="Arial"/>
                <w:sz w:val="17"/>
                <w:szCs w:val="17"/>
              </w:rPr>
            </w:pPr>
            <w:r w:rsidRPr="00483F6E">
              <w:rPr>
                <w:rFonts w:ascii="Arial" w:hAnsi="Arial" w:cs="Arial"/>
                <w:sz w:val="17"/>
                <w:szCs w:val="17"/>
              </w:rPr>
              <w:t xml:space="preserve">Opinión </w:t>
            </w:r>
          </w:p>
          <w:p w14:paraId="5409B1D5" w14:textId="2B368798" w:rsidR="005759FA" w:rsidRPr="00483F6E" w:rsidRDefault="005759FA" w:rsidP="00483F6E">
            <w:pPr>
              <w:jc w:val="right"/>
              <w:rPr>
                <w:rFonts w:ascii="Arial" w:hAnsi="Arial" w:cs="Arial"/>
                <w:sz w:val="17"/>
                <w:szCs w:val="17"/>
              </w:rPr>
            </w:pPr>
            <w:r w:rsidRPr="00483F6E">
              <w:rPr>
                <w:rFonts w:ascii="Arial" w:hAnsi="Arial" w:cs="Arial"/>
                <w:sz w:val="17"/>
                <w:szCs w:val="17"/>
              </w:rPr>
              <w:t>financ.</w:t>
            </w:r>
          </w:p>
        </w:tc>
        <w:tc>
          <w:tcPr>
            <w:tcW w:w="833" w:type="pct"/>
            <w:tcBorders>
              <w:top w:val="single" w:sz="4" w:space="0" w:color="auto"/>
              <w:left w:val="nil"/>
              <w:bottom w:val="single" w:sz="4" w:space="0" w:color="auto"/>
              <w:right w:val="nil"/>
            </w:tcBorders>
            <w:shd w:val="clear" w:color="000000" w:fill="FABF8F"/>
            <w:tcMar>
              <w:left w:w="0" w:type="dxa"/>
              <w:right w:w="0" w:type="dxa"/>
            </w:tcMar>
            <w:vAlign w:val="center"/>
            <w:hideMark/>
          </w:tcPr>
          <w:p w14:paraId="12F81D29" w14:textId="76ACF646" w:rsidR="005759FA" w:rsidRPr="00483F6E" w:rsidRDefault="0011620F" w:rsidP="00483F6E">
            <w:pPr>
              <w:jc w:val="right"/>
              <w:rPr>
                <w:rFonts w:ascii="Arial" w:hAnsi="Arial" w:cs="Arial"/>
                <w:sz w:val="17"/>
                <w:szCs w:val="17"/>
              </w:rPr>
            </w:pPr>
            <w:r w:rsidRPr="00483F6E">
              <w:rPr>
                <w:rFonts w:ascii="Arial" w:hAnsi="Arial" w:cs="Arial"/>
                <w:sz w:val="17"/>
                <w:szCs w:val="17"/>
              </w:rPr>
              <w:t>Cumplimiento</w:t>
            </w:r>
          </w:p>
        </w:tc>
      </w:tr>
      <w:tr w:rsidR="00483F6E" w:rsidRPr="003A115E" w14:paraId="4BAC7F37" w14:textId="77777777" w:rsidTr="00483F6E">
        <w:trPr>
          <w:trHeight w:val="198"/>
          <w:jc w:val="center"/>
        </w:trPr>
        <w:tc>
          <w:tcPr>
            <w:tcW w:w="756" w:type="pct"/>
            <w:tcBorders>
              <w:top w:val="single" w:sz="4" w:space="0" w:color="auto"/>
              <w:left w:val="nil"/>
              <w:bottom w:val="single" w:sz="2" w:space="0" w:color="auto"/>
              <w:right w:val="nil"/>
            </w:tcBorders>
            <w:shd w:val="clear" w:color="auto" w:fill="auto"/>
            <w:vAlign w:val="center"/>
            <w:hideMark/>
          </w:tcPr>
          <w:p w14:paraId="73FE96E0" w14:textId="77777777" w:rsidR="005759FA" w:rsidRPr="003A115E" w:rsidRDefault="005759FA" w:rsidP="005759FA">
            <w:pPr>
              <w:rPr>
                <w:rFonts w:ascii="Arial Narrow" w:hAnsi="Arial Narrow"/>
                <w:sz w:val="18"/>
                <w:szCs w:val="18"/>
              </w:rPr>
            </w:pPr>
            <w:r w:rsidRPr="003A115E">
              <w:rPr>
                <w:rFonts w:ascii="Arial Narrow" w:hAnsi="Arial Narrow"/>
                <w:sz w:val="18"/>
                <w:szCs w:val="18"/>
              </w:rPr>
              <w:t>Pamplona</w:t>
            </w:r>
          </w:p>
        </w:tc>
        <w:tc>
          <w:tcPr>
            <w:tcW w:w="531" w:type="pct"/>
            <w:tcBorders>
              <w:top w:val="single" w:sz="4" w:space="0" w:color="auto"/>
              <w:left w:val="nil"/>
              <w:bottom w:val="single" w:sz="2" w:space="0" w:color="auto"/>
              <w:right w:val="nil"/>
            </w:tcBorders>
            <w:shd w:val="clear" w:color="auto" w:fill="auto"/>
            <w:noWrap/>
            <w:vAlign w:val="center"/>
            <w:hideMark/>
          </w:tcPr>
          <w:p w14:paraId="08EF144D"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15/12/2023</w:t>
            </w:r>
          </w:p>
        </w:tc>
        <w:tc>
          <w:tcPr>
            <w:tcW w:w="531" w:type="pct"/>
            <w:tcBorders>
              <w:top w:val="single" w:sz="4" w:space="0" w:color="auto"/>
              <w:left w:val="nil"/>
              <w:bottom w:val="single" w:sz="2" w:space="0" w:color="auto"/>
              <w:right w:val="nil"/>
            </w:tcBorders>
            <w:shd w:val="clear" w:color="auto" w:fill="auto"/>
            <w:noWrap/>
            <w:vAlign w:val="center"/>
            <w:hideMark/>
          </w:tcPr>
          <w:p w14:paraId="56EA8A70"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203.418</w:t>
            </w:r>
          </w:p>
        </w:tc>
        <w:tc>
          <w:tcPr>
            <w:tcW w:w="682" w:type="pct"/>
            <w:tcBorders>
              <w:top w:val="single" w:sz="4" w:space="0" w:color="auto"/>
              <w:left w:val="nil"/>
              <w:bottom w:val="single" w:sz="2" w:space="0" w:color="auto"/>
              <w:right w:val="nil"/>
            </w:tcBorders>
            <w:shd w:val="clear" w:color="auto" w:fill="auto"/>
            <w:noWrap/>
            <w:vAlign w:val="center"/>
            <w:hideMark/>
          </w:tcPr>
          <w:p w14:paraId="7ECDDAED"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250.626.509</w:t>
            </w:r>
          </w:p>
        </w:tc>
        <w:tc>
          <w:tcPr>
            <w:tcW w:w="530" w:type="pct"/>
            <w:tcBorders>
              <w:top w:val="single" w:sz="4" w:space="0" w:color="auto"/>
              <w:left w:val="nil"/>
              <w:bottom w:val="single" w:sz="2" w:space="0" w:color="auto"/>
              <w:right w:val="nil"/>
            </w:tcBorders>
            <w:shd w:val="clear" w:color="auto" w:fill="auto"/>
            <w:noWrap/>
            <w:vAlign w:val="center"/>
            <w:hideMark/>
          </w:tcPr>
          <w:p w14:paraId="3A54BA0C" w14:textId="1E87F81E" w:rsidR="005759FA" w:rsidRPr="003A115E" w:rsidRDefault="005759FA" w:rsidP="005C5EDC">
            <w:pPr>
              <w:jc w:val="right"/>
              <w:rPr>
                <w:rFonts w:ascii="Arial Narrow" w:hAnsi="Arial Narrow"/>
                <w:sz w:val="18"/>
                <w:szCs w:val="18"/>
              </w:rPr>
            </w:pPr>
            <w:r w:rsidRPr="003A115E">
              <w:rPr>
                <w:rFonts w:ascii="Arial Narrow" w:hAnsi="Arial Narrow"/>
                <w:sz w:val="18"/>
                <w:szCs w:val="18"/>
              </w:rPr>
              <w:t>270.093.565</w:t>
            </w:r>
          </w:p>
        </w:tc>
        <w:tc>
          <w:tcPr>
            <w:tcW w:w="531" w:type="pct"/>
            <w:tcBorders>
              <w:top w:val="single" w:sz="4" w:space="0" w:color="auto"/>
              <w:left w:val="nil"/>
              <w:bottom w:val="single" w:sz="2" w:space="0" w:color="auto"/>
              <w:right w:val="nil"/>
            </w:tcBorders>
            <w:shd w:val="clear" w:color="auto" w:fill="auto"/>
            <w:vAlign w:val="center"/>
            <w:hideMark/>
          </w:tcPr>
          <w:p w14:paraId="5F723340"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1.733</w:t>
            </w:r>
          </w:p>
        </w:tc>
        <w:tc>
          <w:tcPr>
            <w:tcW w:w="606" w:type="pct"/>
            <w:tcBorders>
              <w:top w:val="single" w:sz="4" w:space="0" w:color="auto"/>
              <w:left w:val="nil"/>
              <w:bottom w:val="single" w:sz="2" w:space="0" w:color="auto"/>
              <w:right w:val="nil"/>
            </w:tcBorders>
            <w:shd w:val="clear" w:color="auto" w:fill="auto"/>
            <w:vAlign w:val="center"/>
            <w:hideMark/>
          </w:tcPr>
          <w:p w14:paraId="3B2516BC"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Favorable</w:t>
            </w:r>
          </w:p>
        </w:tc>
        <w:tc>
          <w:tcPr>
            <w:tcW w:w="833" w:type="pct"/>
            <w:tcBorders>
              <w:top w:val="single" w:sz="4" w:space="0" w:color="auto"/>
              <w:left w:val="nil"/>
              <w:bottom w:val="single" w:sz="2" w:space="0" w:color="auto"/>
              <w:right w:val="nil"/>
            </w:tcBorders>
            <w:shd w:val="clear" w:color="auto" w:fill="auto"/>
            <w:vAlign w:val="center"/>
            <w:hideMark/>
          </w:tcPr>
          <w:p w14:paraId="18E60723"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Con salvedades (2)</w:t>
            </w:r>
          </w:p>
        </w:tc>
      </w:tr>
      <w:tr w:rsidR="00483F6E" w:rsidRPr="003A115E" w14:paraId="02B61E71" w14:textId="77777777" w:rsidTr="00483F6E">
        <w:trPr>
          <w:trHeight w:val="198"/>
          <w:jc w:val="center"/>
        </w:trPr>
        <w:tc>
          <w:tcPr>
            <w:tcW w:w="756" w:type="pct"/>
            <w:tcBorders>
              <w:top w:val="single" w:sz="2" w:space="0" w:color="auto"/>
              <w:left w:val="nil"/>
              <w:bottom w:val="single" w:sz="2" w:space="0" w:color="auto"/>
              <w:right w:val="nil"/>
            </w:tcBorders>
            <w:shd w:val="clear" w:color="auto" w:fill="auto"/>
            <w:vAlign w:val="center"/>
            <w:hideMark/>
          </w:tcPr>
          <w:p w14:paraId="33992EFB" w14:textId="77777777" w:rsidR="005759FA" w:rsidRPr="003A115E" w:rsidRDefault="005759FA" w:rsidP="005759FA">
            <w:pPr>
              <w:rPr>
                <w:rFonts w:ascii="Arial Narrow" w:hAnsi="Arial Narrow"/>
                <w:sz w:val="18"/>
                <w:szCs w:val="18"/>
              </w:rPr>
            </w:pPr>
            <w:r w:rsidRPr="003A115E">
              <w:rPr>
                <w:rFonts w:ascii="Arial Narrow" w:hAnsi="Arial Narrow"/>
                <w:sz w:val="18"/>
                <w:szCs w:val="18"/>
              </w:rPr>
              <w:t>Estella-Lizarra</w:t>
            </w:r>
          </w:p>
        </w:tc>
        <w:tc>
          <w:tcPr>
            <w:tcW w:w="531" w:type="pct"/>
            <w:tcBorders>
              <w:top w:val="single" w:sz="2" w:space="0" w:color="auto"/>
              <w:left w:val="nil"/>
              <w:bottom w:val="single" w:sz="2" w:space="0" w:color="auto"/>
              <w:right w:val="nil"/>
            </w:tcBorders>
            <w:shd w:val="clear" w:color="auto" w:fill="auto"/>
            <w:noWrap/>
            <w:vAlign w:val="center"/>
            <w:hideMark/>
          </w:tcPr>
          <w:p w14:paraId="16AC3066"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21/12/2023</w:t>
            </w:r>
          </w:p>
        </w:tc>
        <w:tc>
          <w:tcPr>
            <w:tcW w:w="531" w:type="pct"/>
            <w:tcBorders>
              <w:top w:val="single" w:sz="2" w:space="0" w:color="auto"/>
              <w:left w:val="nil"/>
              <w:bottom w:val="single" w:sz="2" w:space="0" w:color="auto"/>
              <w:right w:val="nil"/>
            </w:tcBorders>
            <w:shd w:val="clear" w:color="auto" w:fill="auto"/>
            <w:noWrap/>
            <w:vAlign w:val="center"/>
            <w:hideMark/>
          </w:tcPr>
          <w:p w14:paraId="66C96B08"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13.977</w:t>
            </w:r>
          </w:p>
        </w:tc>
        <w:tc>
          <w:tcPr>
            <w:tcW w:w="682" w:type="pct"/>
            <w:tcBorders>
              <w:top w:val="single" w:sz="2" w:space="0" w:color="auto"/>
              <w:left w:val="nil"/>
              <w:bottom w:val="single" w:sz="2" w:space="0" w:color="auto"/>
              <w:right w:val="nil"/>
            </w:tcBorders>
            <w:shd w:val="clear" w:color="auto" w:fill="auto"/>
            <w:noWrap/>
            <w:vAlign w:val="center"/>
            <w:hideMark/>
          </w:tcPr>
          <w:p w14:paraId="581BF1AA"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15.420.028</w:t>
            </w:r>
          </w:p>
        </w:tc>
        <w:tc>
          <w:tcPr>
            <w:tcW w:w="530" w:type="pct"/>
            <w:tcBorders>
              <w:top w:val="single" w:sz="2" w:space="0" w:color="auto"/>
              <w:left w:val="nil"/>
              <w:bottom w:val="single" w:sz="2" w:space="0" w:color="auto"/>
              <w:right w:val="nil"/>
            </w:tcBorders>
            <w:shd w:val="clear" w:color="auto" w:fill="auto"/>
            <w:vAlign w:val="center"/>
            <w:hideMark/>
          </w:tcPr>
          <w:p w14:paraId="4312E5D8" w14:textId="64FB645E" w:rsidR="005759FA" w:rsidRPr="003A115E" w:rsidRDefault="005759FA" w:rsidP="005C5EDC">
            <w:pPr>
              <w:jc w:val="right"/>
              <w:rPr>
                <w:rFonts w:ascii="Arial Narrow" w:hAnsi="Arial Narrow"/>
                <w:sz w:val="18"/>
                <w:szCs w:val="18"/>
              </w:rPr>
            </w:pPr>
            <w:r w:rsidRPr="003A115E">
              <w:rPr>
                <w:rFonts w:ascii="Arial Narrow" w:hAnsi="Arial Narrow"/>
                <w:sz w:val="18"/>
                <w:szCs w:val="18"/>
              </w:rPr>
              <w:t>15.561.377</w:t>
            </w:r>
          </w:p>
        </w:tc>
        <w:tc>
          <w:tcPr>
            <w:tcW w:w="531" w:type="pct"/>
            <w:tcBorders>
              <w:top w:val="single" w:sz="2" w:space="0" w:color="auto"/>
              <w:left w:val="nil"/>
              <w:bottom w:val="single" w:sz="2" w:space="0" w:color="auto"/>
              <w:right w:val="nil"/>
            </w:tcBorders>
            <w:shd w:val="clear" w:color="auto" w:fill="auto"/>
            <w:vAlign w:val="center"/>
            <w:hideMark/>
          </w:tcPr>
          <w:p w14:paraId="47085633"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182</w:t>
            </w:r>
          </w:p>
        </w:tc>
        <w:tc>
          <w:tcPr>
            <w:tcW w:w="606" w:type="pct"/>
            <w:tcBorders>
              <w:top w:val="single" w:sz="2" w:space="0" w:color="auto"/>
              <w:left w:val="nil"/>
              <w:bottom w:val="single" w:sz="2" w:space="0" w:color="auto"/>
              <w:right w:val="nil"/>
            </w:tcBorders>
            <w:shd w:val="clear" w:color="auto" w:fill="auto"/>
            <w:vAlign w:val="center"/>
            <w:hideMark/>
          </w:tcPr>
          <w:p w14:paraId="25DFCE5A"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w:t>
            </w:r>
          </w:p>
        </w:tc>
        <w:tc>
          <w:tcPr>
            <w:tcW w:w="833" w:type="pct"/>
            <w:tcBorders>
              <w:top w:val="single" w:sz="2" w:space="0" w:color="auto"/>
              <w:left w:val="nil"/>
              <w:bottom w:val="single" w:sz="2" w:space="0" w:color="auto"/>
              <w:right w:val="nil"/>
            </w:tcBorders>
            <w:shd w:val="clear" w:color="auto" w:fill="auto"/>
            <w:vAlign w:val="center"/>
            <w:hideMark/>
          </w:tcPr>
          <w:p w14:paraId="15FC14C9"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Con salvedades (2)</w:t>
            </w:r>
          </w:p>
        </w:tc>
      </w:tr>
      <w:tr w:rsidR="00483F6E" w:rsidRPr="003A115E" w14:paraId="2798C186" w14:textId="77777777" w:rsidTr="00483F6E">
        <w:trPr>
          <w:trHeight w:val="198"/>
          <w:jc w:val="center"/>
        </w:trPr>
        <w:tc>
          <w:tcPr>
            <w:tcW w:w="756" w:type="pct"/>
            <w:tcBorders>
              <w:top w:val="single" w:sz="2" w:space="0" w:color="auto"/>
              <w:left w:val="nil"/>
              <w:bottom w:val="single" w:sz="2" w:space="0" w:color="auto"/>
              <w:right w:val="nil"/>
            </w:tcBorders>
            <w:shd w:val="clear" w:color="auto" w:fill="auto"/>
            <w:vAlign w:val="center"/>
            <w:hideMark/>
          </w:tcPr>
          <w:p w14:paraId="1FBA8A1A" w14:textId="77777777" w:rsidR="005759FA" w:rsidRPr="003A115E" w:rsidRDefault="005759FA" w:rsidP="005759FA">
            <w:pPr>
              <w:rPr>
                <w:rFonts w:ascii="Arial Narrow" w:hAnsi="Arial Narrow"/>
                <w:sz w:val="18"/>
                <w:szCs w:val="18"/>
              </w:rPr>
            </w:pPr>
            <w:r w:rsidRPr="003A115E">
              <w:rPr>
                <w:rFonts w:ascii="Arial Narrow" w:hAnsi="Arial Narrow"/>
                <w:sz w:val="18"/>
                <w:szCs w:val="18"/>
              </w:rPr>
              <w:t>Tudela</w:t>
            </w:r>
          </w:p>
        </w:tc>
        <w:tc>
          <w:tcPr>
            <w:tcW w:w="531" w:type="pct"/>
            <w:tcBorders>
              <w:top w:val="single" w:sz="2" w:space="0" w:color="auto"/>
              <w:left w:val="nil"/>
              <w:bottom w:val="single" w:sz="2" w:space="0" w:color="auto"/>
              <w:right w:val="nil"/>
            </w:tcBorders>
            <w:shd w:val="clear" w:color="auto" w:fill="auto"/>
            <w:noWrap/>
            <w:vAlign w:val="center"/>
            <w:hideMark/>
          </w:tcPr>
          <w:p w14:paraId="5250D200"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16/01/2024</w:t>
            </w:r>
          </w:p>
        </w:tc>
        <w:tc>
          <w:tcPr>
            <w:tcW w:w="531" w:type="pct"/>
            <w:tcBorders>
              <w:top w:val="single" w:sz="2" w:space="0" w:color="auto"/>
              <w:left w:val="nil"/>
              <w:bottom w:val="single" w:sz="2" w:space="0" w:color="auto"/>
              <w:right w:val="nil"/>
            </w:tcBorders>
            <w:shd w:val="clear" w:color="auto" w:fill="auto"/>
            <w:noWrap/>
            <w:vAlign w:val="center"/>
            <w:hideMark/>
          </w:tcPr>
          <w:p w14:paraId="01953095"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37.247</w:t>
            </w:r>
          </w:p>
        </w:tc>
        <w:tc>
          <w:tcPr>
            <w:tcW w:w="682" w:type="pct"/>
            <w:tcBorders>
              <w:top w:val="single" w:sz="2" w:space="0" w:color="auto"/>
              <w:left w:val="nil"/>
              <w:bottom w:val="single" w:sz="2" w:space="0" w:color="auto"/>
              <w:right w:val="nil"/>
            </w:tcBorders>
            <w:shd w:val="clear" w:color="auto" w:fill="auto"/>
            <w:noWrap/>
            <w:vAlign w:val="center"/>
            <w:hideMark/>
          </w:tcPr>
          <w:p w14:paraId="53756ACB"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47.443.194</w:t>
            </w:r>
          </w:p>
        </w:tc>
        <w:tc>
          <w:tcPr>
            <w:tcW w:w="530" w:type="pct"/>
            <w:tcBorders>
              <w:top w:val="single" w:sz="2" w:space="0" w:color="auto"/>
              <w:left w:val="nil"/>
              <w:bottom w:val="single" w:sz="2" w:space="0" w:color="auto"/>
              <w:right w:val="nil"/>
            </w:tcBorders>
            <w:shd w:val="clear" w:color="auto" w:fill="auto"/>
            <w:vAlign w:val="center"/>
            <w:hideMark/>
          </w:tcPr>
          <w:p w14:paraId="5A8EBD18" w14:textId="73713E25" w:rsidR="005759FA" w:rsidRPr="003A115E" w:rsidRDefault="005759FA" w:rsidP="005C5EDC">
            <w:pPr>
              <w:jc w:val="right"/>
              <w:rPr>
                <w:rFonts w:ascii="Arial Narrow" w:hAnsi="Arial Narrow"/>
                <w:sz w:val="18"/>
                <w:szCs w:val="18"/>
              </w:rPr>
            </w:pPr>
            <w:r w:rsidRPr="003A115E">
              <w:rPr>
                <w:rFonts w:ascii="Arial Narrow" w:hAnsi="Arial Narrow"/>
                <w:sz w:val="18"/>
                <w:szCs w:val="18"/>
              </w:rPr>
              <w:t>52.912.428</w:t>
            </w:r>
          </w:p>
        </w:tc>
        <w:tc>
          <w:tcPr>
            <w:tcW w:w="531" w:type="pct"/>
            <w:tcBorders>
              <w:top w:val="single" w:sz="2" w:space="0" w:color="auto"/>
              <w:left w:val="nil"/>
              <w:bottom w:val="single" w:sz="2" w:space="0" w:color="auto"/>
              <w:right w:val="nil"/>
            </w:tcBorders>
            <w:shd w:val="clear" w:color="auto" w:fill="auto"/>
            <w:vAlign w:val="center"/>
            <w:hideMark/>
          </w:tcPr>
          <w:p w14:paraId="30F934BC"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353</w:t>
            </w:r>
          </w:p>
        </w:tc>
        <w:tc>
          <w:tcPr>
            <w:tcW w:w="606" w:type="pct"/>
            <w:tcBorders>
              <w:top w:val="single" w:sz="2" w:space="0" w:color="auto"/>
              <w:left w:val="nil"/>
              <w:bottom w:val="single" w:sz="2" w:space="0" w:color="auto"/>
              <w:right w:val="nil"/>
            </w:tcBorders>
            <w:shd w:val="clear" w:color="auto" w:fill="auto"/>
            <w:vAlign w:val="center"/>
            <w:hideMark/>
          </w:tcPr>
          <w:p w14:paraId="6368E32A"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w:t>
            </w:r>
          </w:p>
        </w:tc>
        <w:tc>
          <w:tcPr>
            <w:tcW w:w="833" w:type="pct"/>
            <w:tcBorders>
              <w:top w:val="single" w:sz="2" w:space="0" w:color="auto"/>
              <w:left w:val="nil"/>
              <w:bottom w:val="single" w:sz="2" w:space="0" w:color="auto"/>
              <w:right w:val="nil"/>
            </w:tcBorders>
            <w:shd w:val="clear" w:color="auto" w:fill="auto"/>
            <w:vAlign w:val="center"/>
            <w:hideMark/>
          </w:tcPr>
          <w:p w14:paraId="49DFBE6A"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Con salvedades (2)</w:t>
            </w:r>
          </w:p>
        </w:tc>
      </w:tr>
      <w:tr w:rsidR="00483F6E" w:rsidRPr="003A115E" w14:paraId="1D87992F" w14:textId="77777777" w:rsidTr="00483F6E">
        <w:trPr>
          <w:trHeight w:val="198"/>
          <w:jc w:val="center"/>
        </w:trPr>
        <w:tc>
          <w:tcPr>
            <w:tcW w:w="756" w:type="pct"/>
            <w:tcBorders>
              <w:top w:val="single" w:sz="2" w:space="0" w:color="auto"/>
              <w:left w:val="nil"/>
              <w:bottom w:val="single" w:sz="2" w:space="0" w:color="auto"/>
              <w:right w:val="nil"/>
            </w:tcBorders>
            <w:shd w:val="clear" w:color="auto" w:fill="auto"/>
            <w:vAlign w:val="center"/>
            <w:hideMark/>
          </w:tcPr>
          <w:p w14:paraId="2A45036E" w14:textId="77777777" w:rsidR="005759FA" w:rsidRPr="003A115E" w:rsidRDefault="005759FA" w:rsidP="005759FA">
            <w:pPr>
              <w:rPr>
                <w:rFonts w:ascii="Arial Narrow" w:hAnsi="Arial Narrow"/>
                <w:sz w:val="18"/>
                <w:szCs w:val="18"/>
              </w:rPr>
            </w:pPr>
            <w:r w:rsidRPr="003A115E">
              <w:rPr>
                <w:rFonts w:ascii="Arial Narrow" w:hAnsi="Arial Narrow"/>
                <w:sz w:val="18"/>
                <w:szCs w:val="18"/>
              </w:rPr>
              <w:t>Valle de Aranguren</w:t>
            </w:r>
          </w:p>
        </w:tc>
        <w:tc>
          <w:tcPr>
            <w:tcW w:w="531" w:type="pct"/>
            <w:tcBorders>
              <w:top w:val="single" w:sz="2" w:space="0" w:color="auto"/>
              <w:left w:val="nil"/>
              <w:bottom w:val="single" w:sz="2" w:space="0" w:color="auto"/>
              <w:right w:val="nil"/>
            </w:tcBorders>
            <w:shd w:val="clear" w:color="auto" w:fill="auto"/>
            <w:noWrap/>
            <w:vAlign w:val="center"/>
            <w:hideMark/>
          </w:tcPr>
          <w:p w14:paraId="34A14CF5"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25/01/2024</w:t>
            </w:r>
          </w:p>
        </w:tc>
        <w:tc>
          <w:tcPr>
            <w:tcW w:w="531" w:type="pct"/>
            <w:tcBorders>
              <w:top w:val="single" w:sz="2" w:space="0" w:color="auto"/>
              <w:left w:val="nil"/>
              <w:bottom w:val="single" w:sz="2" w:space="0" w:color="auto"/>
              <w:right w:val="nil"/>
            </w:tcBorders>
            <w:shd w:val="clear" w:color="auto" w:fill="auto"/>
            <w:noWrap/>
            <w:vAlign w:val="center"/>
            <w:hideMark/>
          </w:tcPr>
          <w:p w14:paraId="2B121D1C"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12.156</w:t>
            </w:r>
          </w:p>
        </w:tc>
        <w:tc>
          <w:tcPr>
            <w:tcW w:w="682" w:type="pct"/>
            <w:tcBorders>
              <w:top w:val="single" w:sz="2" w:space="0" w:color="auto"/>
              <w:left w:val="nil"/>
              <w:bottom w:val="single" w:sz="2" w:space="0" w:color="auto"/>
              <w:right w:val="nil"/>
            </w:tcBorders>
            <w:shd w:val="clear" w:color="auto" w:fill="auto"/>
            <w:noWrap/>
            <w:vAlign w:val="center"/>
            <w:hideMark/>
          </w:tcPr>
          <w:p w14:paraId="70F3874C"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14.992.498</w:t>
            </w:r>
          </w:p>
        </w:tc>
        <w:tc>
          <w:tcPr>
            <w:tcW w:w="530" w:type="pct"/>
            <w:tcBorders>
              <w:top w:val="single" w:sz="2" w:space="0" w:color="auto"/>
              <w:left w:val="nil"/>
              <w:bottom w:val="single" w:sz="2" w:space="0" w:color="auto"/>
              <w:right w:val="nil"/>
            </w:tcBorders>
            <w:shd w:val="clear" w:color="auto" w:fill="auto"/>
            <w:vAlign w:val="center"/>
            <w:hideMark/>
          </w:tcPr>
          <w:p w14:paraId="499A5D6E" w14:textId="324AB7A8" w:rsidR="005759FA" w:rsidRPr="003A115E" w:rsidRDefault="005759FA" w:rsidP="005C5EDC">
            <w:pPr>
              <w:jc w:val="right"/>
              <w:rPr>
                <w:rFonts w:ascii="Arial Narrow" w:hAnsi="Arial Narrow"/>
                <w:sz w:val="18"/>
                <w:szCs w:val="18"/>
              </w:rPr>
            </w:pPr>
            <w:r w:rsidRPr="003A115E">
              <w:rPr>
                <w:rFonts w:ascii="Arial Narrow" w:hAnsi="Arial Narrow"/>
                <w:sz w:val="18"/>
                <w:szCs w:val="18"/>
              </w:rPr>
              <w:t>13.276.575</w:t>
            </w:r>
          </w:p>
        </w:tc>
        <w:tc>
          <w:tcPr>
            <w:tcW w:w="531" w:type="pct"/>
            <w:tcBorders>
              <w:top w:val="single" w:sz="2" w:space="0" w:color="auto"/>
              <w:left w:val="nil"/>
              <w:bottom w:val="single" w:sz="2" w:space="0" w:color="auto"/>
              <w:right w:val="nil"/>
            </w:tcBorders>
            <w:shd w:val="clear" w:color="auto" w:fill="auto"/>
            <w:vAlign w:val="center"/>
            <w:hideMark/>
          </w:tcPr>
          <w:p w14:paraId="41FF1150"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93</w:t>
            </w:r>
          </w:p>
        </w:tc>
        <w:tc>
          <w:tcPr>
            <w:tcW w:w="606" w:type="pct"/>
            <w:tcBorders>
              <w:top w:val="single" w:sz="2" w:space="0" w:color="auto"/>
              <w:left w:val="nil"/>
              <w:bottom w:val="single" w:sz="2" w:space="0" w:color="auto"/>
              <w:right w:val="nil"/>
            </w:tcBorders>
            <w:shd w:val="clear" w:color="auto" w:fill="auto"/>
            <w:vAlign w:val="center"/>
            <w:hideMark/>
          </w:tcPr>
          <w:p w14:paraId="7148076C"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w:t>
            </w:r>
          </w:p>
        </w:tc>
        <w:tc>
          <w:tcPr>
            <w:tcW w:w="833" w:type="pct"/>
            <w:tcBorders>
              <w:top w:val="single" w:sz="2" w:space="0" w:color="auto"/>
              <w:left w:val="nil"/>
              <w:bottom w:val="single" w:sz="2" w:space="0" w:color="auto"/>
              <w:right w:val="nil"/>
            </w:tcBorders>
            <w:shd w:val="clear" w:color="auto" w:fill="auto"/>
            <w:vAlign w:val="center"/>
            <w:hideMark/>
          </w:tcPr>
          <w:p w14:paraId="7351A082"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Con salvedades (2)</w:t>
            </w:r>
          </w:p>
        </w:tc>
      </w:tr>
      <w:tr w:rsidR="00483F6E" w:rsidRPr="003A115E" w14:paraId="43BFD4A0" w14:textId="77777777" w:rsidTr="00483F6E">
        <w:trPr>
          <w:trHeight w:val="198"/>
          <w:jc w:val="center"/>
        </w:trPr>
        <w:tc>
          <w:tcPr>
            <w:tcW w:w="756" w:type="pct"/>
            <w:tcBorders>
              <w:top w:val="single" w:sz="2" w:space="0" w:color="auto"/>
              <w:left w:val="nil"/>
              <w:bottom w:val="single" w:sz="2" w:space="0" w:color="auto"/>
              <w:right w:val="nil"/>
            </w:tcBorders>
            <w:shd w:val="clear" w:color="auto" w:fill="auto"/>
            <w:vAlign w:val="center"/>
            <w:hideMark/>
          </w:tcPr>
          <w:p w14:paraId="760C6096" w14:textId="23616767" w:rsidR="005759FA" w:rsidRPr="003A115E" w:rsidRDefault="005759FA" w:rsidP="005759FA">
            <w:pPr>
              <w:rPr>
                <w:rFonts w:ascii="Arial Narrow" w:hAnsi="Arial Narrow"/>
                <w:sz w:val="18"/>
                <w:szCs w:val="18"/>
              </w:rPr>
            </w:pPr>
            <w:r w:rsidRPr="003A115E">
              <w:rPr>
                <w:rFonts w:ascii="Arial Narrow" w:hAnsi="Arial Narrow"/>
                <w:sz w:val="18"/>
                <w:szCs w:val="18"/>
              </w:rPr>
              <w:t>Valle de Egüés</w:t>
            </w:r>
          </w:p>
        </w:tc>
        <w:tc>
          <w:tcPr>
            <w:tcW w:w="531" w:type="pct"/>
            <w:tcBorders>
              <w:top w:val="single" w:sz="2" w:space="0" w:color="auto"/>
              <w:left w:val="nil"/>
              <w:bottom w:val="single" w:sz="2" w:space="0" w:color="auto"/>
              <w:right w:val="nil"/>
            </w:tcBorders>
            <w:shd w:val="clear" w:color="auto" w:fill="auto"/>
            <w:noWrap/>
            <w:vAlign w:val="center"/>
            <w:hideMark/>
          </w:tcPr>
          <w:p w14:paraId="53E24364"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26/01/2024</w:t>
            </w:r>
          </w:p>
        </w:tc>
        <w:tc>
          <w:tcPr>
            <w:tcW w:w="531" w:type="pct"/>
            <w:tcBorders>
              <w:top w:val="single" w:sz="2" w:space="0" w:color="auto"/>
              <w:left w:val="nil"/>
              <w:bottom w:val="single" w:sz="2" w:space="0" w:color="auto"/>
              <w:right w:val="nil"/>
            </w:tcBorders>
            <w:shd w:val="clear" w:color="auto" w:fill="auto"/>
            <w:noWrap/>
            <w:vAlign w:val="center"/>
            <w:hideMark/>
          </w:tcPr>
          <w:p w14:paraId="2A40388F"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21.795</w:t>
            </w:r>
          </w:p>
        </w:tc>
        <w:tc>
          <w:tcPr>
            <w:tcW w:w="682" w:type="pct"/>
            <w:tcBorders>
              <w:top w:val="single" w:sz="2" w:space="0" w:color="auto"/>
              <w:left w:val="nil"/>
              <w:bottom w:val="single" w:sz="2" w:space="0" w:color="auto"/>
              <w:right w:val="nil"/>
            </w:tcBorders>
            <w:shd w:val="clear" w:color="auto" w:fill="auto"/>
            <w:noWrap/>
            <w:vAlign w:val="center"/>
            <w:hideMark/>
          </w:tcPr>
          <w:p w14:paraId="7CC688A2"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14.992.471</w:t>
            </w:r>
          </w:p>
        </w:tc>
        <w:tc>
          <w:tcPr>
            <w:tcW w:w="530" w:type="pct"/>
            <w:tcBorders>
              <w:top w:val="single" w:sz="2" w:space="0" w:color="auto"/>
              <w:left w:val="nil"/>
              <w:bottom w:val="single" w:sz="2" w:space="0" w:color="auto"/>
              <w:right w:val="nil"/>
            </w:tcBorders>
            <w:shd w:val="clear" w:color="auto" w:fill="auto"/>
            <w:vAlign w:val="center"/>
            <w:hideMark/>
          </w:tcPr>
          <w:p w14:paraId="6774A204" w14:textId="47B06756" w:rsidR="005759FA" w:rsidRPr="003A115E" w:rsidRDefault="005759FA" w:rsidP="005C5EDC">
            <w:pPr>
              <w:jc w:val="right"/>
              <w:rPr>
                <w:rFonts w:ascii="Arial Narrow" w:hAnsi="Arial Narrow"/>
                <w:sz w:val="18"/>
                <w:szCs w:val="18"/>
              </w:rPr>
            </w:pPr>
            <w:r w:rsidRPr="003A115E">
              <w:rPr>
                <w:rFonts w:ascii="Arial Narrow" w:hAnsi="Arial Narrow"/>
                <w:sz w:val="18"/>
                <w:szCs w:val="18"/>
              </w:rPr>
              <w:t>17.168.397</w:t>
            </w:r>
          </w:p>
        </w:tc>
        <w:tc>
          <w:tcPr>
            <w:tcW w:w="531" w:type="pct"/>
            <w:tcBorders>
              <w:top w:val="single" w:sz="2" w:space="0" w:color="auto"/>
              <w:left w:val="nil"/>
              <w:bottom w:val="single" w:sz="2" w:space="0" w:color="auto"/>
              <w:right w:val="nil"/>
            </w:tcBorders>
            <w:shd w:val="clear" w:color="auto" w:fill="auto"/>
            <w:noWrap/>
            <w:vAlign w:val="center"/>
            <w:hideMark/>
          </w:tcPr>
          <w:p w14:paraId="00785457"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167</w:t>
            </w:r>
          </w:p>
        </w:tc>
        <w:tc>
          <w:tcPr>
            <w:tcW w:w="606" w:type="pct"/>
            <w:tcBorders>
              <w:top w:val="single" w:sz="2" w:space="0" w:color="auto"/>
              <w:left w:val="nil"/>
              <w:bottom w:val="single" w:sz="2" w:space="0" w:color="auto"/>
              <w:right w:val="nil"/>
            </w:tcBorders>
            <w:shd w:val="clear" w:color="auto" w:fill="auto"/>
            <w:vAlign w:val="center"/>
            <w:hideMark/>
          </w:tcPr>
          <w:p w14:paraId="23483BC3"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w:t>
            </w:r>
          </w:p>
        </w:tc>
        <w:tc>
          <w:tcPr>
            <w:tcW w:w="833" w:type="pct"/>
            <w:tcBorders>
              <w:top w:val="single" w:sz="2" w:space="0" w:color="auto"/>
              <w:left w:val="nil"/>
              <w:bottom w:val="single" w:sz="2" w:space="0" w:color="auto"/>
              <w:right w:val="nil"/>
            </w:tcBorders>
            <w:shd w:val="clear" w:color="auto" w:fill="auto"/>
            <w:vAlign w:val="center"/>
            <w:hideMark/>
          </w:tcPr>
          <w:p w14:paraId="25297D7C"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Favorable</w:t>
            </w:r>
          </w:p>
        </w:tc>
      </w:tr>
      <w:tr w:rsidR="00483F6E" w:rsidRPr="003A115E" w14:paraId="3D0F6134" w14:textId="77777777" w:rsidTr="00483F6E">
        <w:trPr>
          <w:trHeight w:val="198"/>
          <w:jc w:val="center"/>
        </w:trPr>
        <w:tc>
          <w:tcPr>
            <w:tcW w:w="756" w:type="pct"/>
            <w:tcBorders>
              <w:top w:val="single" w:sz="2" w:space="0" w:color="auto"/>
              <w:left w:val="nil"/>
              <w:bottom w:val="single" w:sz="2" w:space="0" w:color="auto"/>
              <w:right w:val="nil"/>
            </w:tcBorders>
            <w:shd w:val="clear" w:color="auto" w:fill="auto"/>
            <w:vAlign w:val="center"/>
            <w:hideMark/>
          </w:tcPr>
          <w:p w14:paraId="314CE6C3" w14:textId="77777777" w:rsidR="005759FA" w:rsidRPr="003A115E" w:rsidRDefault="005759FA" w:rsidP="005759FA">
            <w:pPr>
              <w:rPr>
                <w:rFonts w:ascii="Arial Narrow" w:hAnsi="Arial Narrow"/>
                <w:sz w:val="18"/>
                <w:szCs w:val="18"/>
              </w:rPr>
            </w:pPr>
            <w:r w:rsidRPr="003A115E">
              <w:rPr>
                <w:rFonts w:ascii="Arial Narrow" w:hAnsi="Arial Narrow"/>
                <w:sz w:val="18"/>
                <w:szCs w:val="18"/>
              </w:rPr>
              <w:t>Zizur Mayor</w:t>
            </w:r>
          </w:p>
        </w:tc>
        <w:tc>
          <w:tcPr>
            <w:tcW w:w="531" w:type="pct"/>
            <w:tcBorders>
              <w:top w:val="single" w:sz="2" w:space="0" w:color="auto"/>
              <w:left w:val="nil"/>
              <w:bottom w:val="single" w:sz="2" w:space="0" w:color="auto"/>
              <w:right w:val="nil"/>
            </w:tcBorders>
            <w:shd w:val="clear" w:color="auto" w:fill="auto"/>
            <w:noWrap/>
            <w:vAlign w:val="center"/>
            <w:hideMark/>
          </w:tcPr>
          <w:p w14:paraId="6E3DA6E5"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29/01/2024</w:t>
            </w:r>
          </w:p>
        </w:tc>
        <w:tc>
          <w:tcPr>
            <w:tcW w:w="531" w:type="pct"/>
            <w:tcBorders>
              <w:top w:val="single" w:sz="2" w:space="0" w:color="auto"/>
              <w:left w:val="nil"/>
              <w:bottom w:val="single" w:sz="2" w:space="0" w:color="auto"/>
              <w:right w:val="nil"/>
            </w:tcBorders>
            <w:shd w:val="clear" w:color="auto" w:fill="auto"/>
            <w:noWrap/>
            <w:vAlign w:val="center"/>
            <w:hideMark/>
          </w:tcPr>
          <w:p w14:paraId="4E389A26"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15.497</w:t>
            </w:r>
          </w:p>
        </w:tc>
        <w:tc>
          <w:tcPr>
            <w:tcW w:w="682" w:type="pct"/>
            <w:tcBorders>
              <w:top w:val="single" w:sz="2" w:space="0" w:color="auto"/>
              <w:left w:val="nil"/>
              <w:bottom w:val="single" w:sz="2" w:space="0" w:color="auto"/>
              <w:right w:val="nil"/>
            </w:tcBorders>
            <w:shd w:val="clear" w:color="auto" w:fill="auto"/>
            <w:noWrap/>
            <w:vAlign w:val="center"/>
            <w:hideMark/>
          </w:tcPr>
          <w:p w14:paraId="6C7E807D"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16.671.301</w:t>
            </w:r>
          </w:p>
        </w:tc>
        <w:tc>
          <w:tcPr>
            <w:tcW w:w="530" w:type="pct"/>
            <w:tcBorders>
              <w:top w:val="single" w:sz="2" w:space="0" w:color="auto"/>
              <w:left w:val="nil"/>
              <w:bottom w:val="single" w:sz="2" w:space="0" w:color="auto"/>
              <w:right w:val="nil"/>
            </w:tcBorders>
            <w:shd w:val="clear" w:color="auto" w:fill="auto"/>
            <w:vAlign w:val="center"/>
            <w:hideMark/>
          </w:tcPr>
          <w:p w14:paraId="4C142FB3" w14:textId="237F4540" w:rsidR="005759FA" w:rsidRPr="003A115E" w:rsidRDefault="005759FA" w:rsidP="005C5EDC">
            <w:pPr>
              <w:jc w:val="right"/>
              <w:rPr>
                <w:rFonts w:ascii="Arial Narrow" w:hAnsi="Arial Narrow"/>
                <w:sz w:val="18"/>
                <w:szCs w:val="18"/>
              </w:rPr>
            </w:pPr>
            <w:r w:rsidRPr="003A115E">
              <w:rPr>
                <w:rFonts w:ascii="Arial Narrow" w:hAnsi="Arial Narrow"/>
                <w:sz w:val="18"/>
                <w:szCs w:val="18"/>
              </w:rPr>
              <w:t>15.697.565</w:t>
            </w:r>
          </w:p>
        </w:tc>
        <w:tc>
          <w:tcPr>
            <w:tcW w:w="531" w:type="pct"/>
            <w:tcBorders>
              <w:top w:val="single" w:sz="2" w:space="0" w:color="auto"/>
              <w:left w:val="nil"/>
              <w:bottom w:val="single" w:sz="2" w:space="0" w:color="auto"/>
              <w:right w:val="nil"/>
            </w:tcBorders>
            <w:shd w:val="clear" w:color="auto" w:fill="auto"/>
            <w:noWrap/>
            <w:vAlign w:val="center"/>
            <w:hideMark/>
          </w:tcPr>
          <w:p w14:paraId="3D76BC45"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112</w:t>
            </w:r>
          </w:p>
        </w:tc>
        <w:tc>
          <w:tcPr>
            <w:tcW w:w="606" w:type="pct"/>
            <w:tcBorders>
              <w:top w:val="single" w:sz="2" w:space="0" w:color="auto"/>
              <w:left w:val="nil"/>
              <w:bottom w:val="single" w:sz="2" w:space="0" w:color="auto"/>
              <w:right w:val="nil"/>
            </w:tcBorders>
            <w:shd w:val="clear" w:color="auto" w:fill="auto"/>
            <w:vAlign w:val="center"/>
            <w:hideMark/>
          </w:tcPr>
          <w:p w14:paraId="0F217F88"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w:t>
            </w:r>
          </w:p>
        </w:tc>
        <w:tc>
          <w:tcPr>
            <w:tcW w:w="833" w:type="pct"/>
            <w:tcBorders>
              <w:top w:val="single" w:sz="2" w:space="0" w:color="auto"/>
              <w:left w:val="nil"/>
              <w:bottom w:val="single" w:sz="2" w:space="0" w:color="auto"/>
              <w:right w:val="nil"/>
            </w:tcBorders>
            <w:shd w:val="clear" w:color="auto" w:fill="auto"/>
            <w:vAlign w:val="center"/>
            <w:hideMark/>
          </w:tcPr>
          <w:p w14:paraId="13263D6E"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Con salvedades (2)</w:t>
            </w:r>
          </w:p>
        </w:tc>
      </w:tr>
      <w:tr w:rsidR="00483F6E" w:rsidRPr="003A115E" w14:paraId="12AFC731" w14:textId="77777777" w:rsidTr="00483F6E">
        <w:trPr>
          <w:trHeight w:val="198"/>
          <w:jc w:val="center"/>
        </w:trPr>
        <w:tc>
          <w:tcPr>
            <w:tcW w:w="756" w:type="pct"/>
            <w:tcBorders>
              <w:top w:val="single" w:sz="2" w:space="0" w:color="auto"/>
              <w:left w:val="nil"/>
              <w:bottom w:val="single" w:sz="2" w:space="0" w:color="auto"/>
              <w:right w:val="nil"/>
            </w:tcBorders>
            <w:shd w:val="clear" w:color="auto" w:fill="auto"/>
            <w:vAlign w:val="center"/>
            <w:hideMark/>
          </w:tcPr>
          <w:p w14:paraId="1210E33B" w14:textId="77777777" w:rsidR="005759FA" w:rsidRPr="003A115E" w:rsidRDefault="005759FA" w:rsidP="005759FA">
            <w:pPr>
              <w:rPr>
                <w:rFonts w:ascii="Arial Narrow" w:hAnsi="Arial Narrow"/>
                <w:sz w:val="18"/>
                <w:szCs w:val="18"/>
              </w:rPr>
            </w:pPr>
            <w:r w:rsidRPr="003A115E">
              <w:rPr>
                <w:rFonts w:ascii="Arial Narrow" w:hAnsi="Arial Narrow"/>
                <w:sz w:val="18"/>
                <w:szCs w:val="18"/>
              </w:rPr>
              <w:t>Tafalla</w:t>
            </w:r>
          </w:p>
        </w:tc>
        <w:tc>
          <w:tcPr>
            <w:tcW w:w="531" w:type="pct"/>
            <w:tcBorders>
              <w:top w:val="single" w:sz="2" w:space="0" w:color="auto"/>
              <w:left w:val="nil"/>
              <w:bottom w:val="single" w:sz="2" w:space="0" w:color="auto"/>
              <w:right w:val="nil"/>
            </w:tcBorders>
            <w:shd w:val="clear" w:color="auto" w:fill="auto"/>
            <w:noWrap/>
            <w:vAlign w:val="center"/>
            <w:hideMark/>
          </w:tcPr>
          <w:p w14:paraId="2CEA1205"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01/02/2024</w:t>
            </w:r>
          </w:p>
        </w:tc>
        <w:tc>
          <w:tcPr>
            <w:tcW w:w="531" w:type="pct"/>
            <w:tcBorders>
              <w:top w:val="single" w:sz="2" w:space="0" w:color="auto"/>
              <w:left w:val="nil"/>
              <w:bottom w:val="single" w:sz="2" w:space="0" w:color="auto"/>
              <w:right w:val="nil"/>
            </w:tcBorders>
            <w:shd w:val="clear" w:color="auto" w:fill="auto"/>
            <w:noWrap/>
            <w:vAlign w:val="center"/>
            <w:hideMark/>
          </w:tcPr>
          <w:p w14:paraId="2AC21D83"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10.576</w:t>
            </w:r>
          </w:p>
        </w:tc>
        <w:tc>
          <w:tcPr>
            <w:tcW w:w="682" w:type="pct"/>
            <w:tcBorders>
              <w:top w:val="single" w:sz="2" w:space="0" w:color="auto"/>
              <w:left w:val="nil"/>
              <w:bottom w:val="single" w:sz="2" w:space="0" w:color="auto"/>
              <w:right w:val="nil"/>
            </w:tcBorders>
            <w:shd w:val="clear" w:color="auto" w:fill="auto"/>
            <w:noWrap/>
            <w:vAlign w:val="center"/>
            <w:hideMark/>
          </w:tcPr>
          <w:p w14:paraId="73F3004E"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12.193.044</w:t>
            </w:r>
          </w:p>
        </w:tc>
        <w:tc>
          <w:tcPr>
            <w:tcW w:w="530" w:type="pct"/>
            <w:tcBorders>
              <w:top w:val="single" w:sz="2" w:space="0" w:color="auto"/>
              <w:left w:val="nil"/>
              <w:bottom w:val="single" w:sz="2" w:space="0" w:color="auto"/>
              <w:right w:val="nil"/>
            </w:tcBorders>
            <w:shd w:val="clear" w:color="auto" w:fill="auto"/>
            <w:vAlign w:val="center"/>
            <w:hideMark/>
          </w:tcPr>
          <w:p w14:paraId="4C5FA8BF" w14:textId="167402B0" w:rsidR="005759FA" w:rsidRPr="003A115E" w:rsidRDefault="005759FA" w:rsidP="005C5EDC">
            <w:pPr>
              <w:jc w:val="right"/>
              <w:rPr>
                <w:rFonts w:ascii="Arial Narrow" w:hAnsi="Arial Narrow"/>
                <w:sz w:val="18"/>
                <w:szCs w:val="18"/>
              </w:rPr>
            </w:pPr>
            <w:r w:rsidRPr="003A115E">
              <w:rPr>
                <w:rFonts w:ascii="Arial Narrow" w:hAnsi="Arial Narrow"/>
                <w:sz w:val="18"/>
                <w:szCs w:val="18"/>
              </w:rPr>
              <w:t>12.870.577</w:t>
            </w:r>
          </w:p>
        </w:tc>
        <w:tc>
          <w:tcPr>
            <w:tcW w:w="531" w:type="pct"/>
            <w:tcBorders>
              <w:top w:val="single" w:sz="2" w:space="0" w:color="auto"/>
              <w:left w:val="nil"/>
              <w:bottom w:val="single" w:sz="2" w:space="0" w:color="auto"/>
              <w:right w:val="nil"/>
            </w:tcBorders>
            <w:shd w:val="clear" w:color="auto" w:fill="auto"/>
            <w:vAlign w:val="center"/>
            <w:hideMark/>
          </w:tcPr>
          <w:p w14:paraId="0CD97D55"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157</w:t>
            </w:r>
          </w:p>
        </w:tc>
        <w:tc>
          <w:tcPr>
            <w:tcW w:w="606" w:type="pct"/>
            <w:tcBorders>
              <w:top w:val="single" w:sz="2" w:space="0" w:color="auto"/>
              <w:left w:val="nil"/>
              <w:bottom w:val="single" w:sz="2" w:space="0" w:color="auto"/>
              <w:right w:val="nil"/>
            </w:tcBorders>
            <w:shd w:val="clear" w:color="auto" w:fill="auto"/>
            <w:vAlign w:val="center"/>
            <w:hideMark/>
          </w:tcPr>
          <w:p w14:paraId="0EA9E678"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w:t>
            </w:r>
          </w:p>
        </w:tc>
        <w:tc>
          <w:tcPr>
            <w:tcW w:w="833" w:type="pct"/>
            <w:tcBorders>
              <w:top w:val="single" w:sz="2" w:space="0" w:color="auto"/>
              <w:left w:val="nil"/>
              <w:bottom w:val="single" w:sz="2" w:space="0" w:color="auto"/>
              <w:right w:val="nil"/>
            </w:tcBorders>
            <w:shd w:val="clear" w:color="auto" w:fill="auto"/>
            <w:vAlign w:val="center"/>
            <w:hideMark/>
          </w:tcPr>
          <w:p w14:paraId="26FB531A"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Con salvedades (4)</w:t>
            </w:r>
          </w:p>
        </w:tc>
      </w:tr>
      <w:tr w:rsidR="00483F6E" w:rsidRPr="003A115E" w14:paraId="73980783" w14:textId="77777777" w:rsidTr="00483F6E">
        <w:trPr>
          <w:trHeight w:val="198"/>
          <w:jc w:val="center"/>
        </w:trPr>
        <w:tc>
          <w:tcPr>
            <w:tcW w:w="756" w:type="pct"/>
            <w:tcBorders>
              <w:top w:val="single" w:sz="2" w:space="0" w:color="auto"/>
              <w:left w:val="nil"/>
              <w:bottom w:val="single" w:sz="2" w:space="0" w:color="auto"/>
              <w:right w:val="nil"/>
            </w:tcBorders>
            <w:shd w:val="clear" w:color="auto" w:fill="auto"/>
            <w:vAlign w:val="center"/>
            <w:hideMark/>
          </w:tcPr>
          <w:p w14:paraId="7C7965DC" w14:textId="77777777" w:rsidR="005759FA" w:rsidRPr="003A115E" w:rsidRDefault="005759FA" w:rsidP="005759FA">
            <w:pPr>
              <w:rPr>
                <w:rFonts w:ascii="Arial Narrow" w:hAnsi="Arial Narrow"/>
                <w:sz w:val="18"/>
                <w:szCs w:val="18"/>
              </w:rPr>
            </w:pPr>
            <w:r w:rsidRPr="003A115E">
              <w:rPr>
                <w:rFonts w:ascii="Arial Narrow" w:hAnsi="Arial Narrow"/>
                <w:sz w:val="18"/>
                <w:szCs w:val="18"/>
              </w:rPr>
              <w:t>Burlada</w:t>
            </w:r>
          </w:p>
        </w:tc>
        <w:tc>
          <w:tcPr>
            <w:tcW w:w="531" w:type="pct"/>
            <w:tcBorders>
              <w:top w:val="single" w:sz="2" w:space="0" w:color="auto"/>
              <w:left w:val="nil"/>
              <w:bottom w:val="single" w:sz="2" w:space="0" w:color="auto"/>
              <w:right w:val="nil"/>
            </w:tcBorders>
            <w:shd w:val="clear" w:color="auto" w:fill="auto"/>
            <w:noWrap/>
            <w:vAlign w:val="center"/>
            <w:hideMark/>
          </w:tcPr>
          <w:p w14:paraId="58459890"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08/02/2024</w:t>
            </w:r>
          </w:p>
        </w:tc>
        <w:tc>
          <w:tcPr>
            <w:tcW w:w="531" w:type="pct"/>
            <w:tcBorders>
              <w:top w:val="single" w:sz="2" w:space="0" w:color="auto"/>
              <w:left w:val="nil"/>
              <w:bottom w:val="single" w:sz="2" w:space="0" w:color="auto"/>
              <w:right w:val="nil"/>
            </w:tcBorders>
            <w:shd w:val="clear" w:color="auto" w:fill="auto"/>
            <w:noWrap/>
            <w:vAlign w:val="center"/>
            <w:hideMark/>
          </w:tcPr>
          <w:p w14:paraId="00FABF08"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20.398</w:t>
            </w:r>
          </w:p>
        </w:tc>
        <w:tc>
          <w:tcPr>
            <w:tcW w:w="682" w:type="pct"/>
            <w:tcBorders>
              <w:top w:val="single" w:sz="2" w:space="0" w:color="auto"/>
              <w:left w:val="nil"/>
              <w:bottom w:val="single" w:sz="2" w:space="0" w:color="auto"/>
              <w:right w:val="nil"/>
            </w:tcBorders>
            <w:shd w:val="clear" w:color="auto" w:fill="auto"/>
            <w:noWrap/>
            <w:vAlign w:val="center"/>
            <w:hideMark/>
          </w:tcPr>
          <w:p w14:paraId="2E7F4CE8"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19.627.198</w:t>
            </w:r>
          </w:p>
        </w:tc>
        <w:tc>
          <w:tcPr>
            <w:tcW w:w="530" w:type="pct"/>
            <w:tcBorders>
              <w:top w:val="single" w:sz="2" w:space="0" w:color="auto"/>
              <w:left w:val="nil"/>
              <w:bottom w:val="single" w:sz="2" w:space="0" w:color="auto"/>
              <w:right w:val="nil"/>
            </w:tcBorders>
            <w:shd w:val="clear" w:color="auto" w:fill="auto"/>
            <w:vAlign w:val="center"/>
            <w:hideMark/>
          </w:tcPr>
          <w:p w14:paraId="64B62032" w14:textId="08DB76C1" w:rsidR="005759FA" w:rsidRPr="003A115E" w:rsidRDefault="005759FA" w:rsidP="005C5EDC">
            <w:pPr>
              <w:jc w:val="right"/>
              <w:rPr>
                <w:rFonts w:ascii="Arial Narrow" w:hAnsi="Arial Narrow"/>
                <w:sz w:val="18"/>
                <w:szCs w:val="18"/>
              </w:rPr>
            </w:pPr>
            <w:r w:rsidRPr="003A115E">
              <w:rPr>
                <w:rFonts w:ascii="Arial Narrow" w:hAnsi="Arial Narrow"/>
                <w:sz w:val="18"/>
                <w:szCs w:val="18"/>
              </w:rPr>
              <w:t>20.073.129</w:t>
            </w:r>
          </w:p>
        </w:tc>
        <w:tc>
          <w:tcPr>
            <w:tcW w:w="531" w:type="pct"/>
            <w:tcBorders>
              <w:top w:val="single" w:sz="2" w:space="0" w:color="auto"/>
              <w:left w:val="nil"/>
              <w:bottom w:val="single" w:sz="2" w:space="0" w:color="auto"/>
              <w:right w:val="nil"/>
            </w:tcBorders>
            <w:shd w:val="clear" w:color="auto" w:fill="auto"/>
            <w:vAlign w:val="center"/>
            <w:hideMark/>
          </w:tcPr>
          <w:p w14:paraId="39FE012F"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199</w:t>
            </w:r>
          </w:p>
        </w:tc>
        <w:tc>
          <w:tcPr>
            <w:tcW w:w="606" w:type="pct"/>
            <w:tcBorders>
              <w:top w:val="single" w:sz="2" w:space="0" w:color="auto"/>
              <w:left w:val="nil"/>
              <w:bottom w:val="single" w:sz="2" w:space="0" w:color="auto"/>
              <w:right w:val="nil"/>
            </w:tcBorders>
            <w:shd w:val="clear" w:color="auto" w:fill="auto"/>
            <w:vAlign w:val="center"/>
            <w:hideMark/>
          </w:tcPr>
          <w:p w14:paraId="60803027"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w:t>
            </w:r>
          </w:p>
        </w:tc>
        <w:tc>
          <w:tcPr>
            <w:tcW w:w="833" w:type="pct"/>
            <w:tcBorders>
              <w:top w:val="single" w:sz="2" w:space="0" w:color="auto"/>
              <w:left w:val="nil"/>
              <w:bottom w:val="single" w:sz="2" w:space="0" w:color="auto"/>
              <w:right w:val="nil"/>
            </w:tcBorders>
            <w:shd w:val="clear" w:color="auto" w:fill="auto"/>
            <w:vAlign w:val="center"/>
            <w:hideMark/>
          </w:tcPr>
          <w:p w14:paraId="30C43E55"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Con salvedades (1)</w:t>
            </w:r>
          </w:p>
        </w:tc>
      </w:tr>
      <w:tr w:rsidR="00483F6E" w:rsidRPr="003A115E" w14:paraId="3065CC75" w14:textId="77777777" w:rsidTr="00483F6E">
        <w:trPr>
          <w:trHeight w:val="198"/>
          <w:jc w:val="center"/>
        </w:trPr>
        <w:tc>
          <w:tcPr>
            <w:tcW w:w="756" w:type="pct"/>
            <w:tcBorders>
              <w:top w:val="single" w:sz="2" w:space="0" w:color="auto"/>
              <w:left w:val="nil"/>
              <w:bottom w:val="single" w:sz="2" w:space="0" w:color="auto"/>
              <w:right w:val="nil"/>
            </w:tcBorders>
            <w:shd w:val="clear" w:color="auto" w:fill="auto"/>
            <w:vAlign w:val="center"/>
            <w:hideMark/>
          </w:tcPr>
          <w:p w14:paraId="2A65151E" w14:textId="77777777" w:rsidR="005759FA" w:rsidRPr="003A115E" w:rsidRDefault="005759FA" w:rsidP="005759FA">
            <w:pPr>
              <w:rPr>
                <w:rFonts w:ascii="Arial Narrow" w:hAnsi="Arial Narrow"/>
                <w:sz w:val="18"/>
                <w:szCs w:val="18"/>
              </w:rPr>
            </w:pPr>
            <w:r w:rsidRPr="003A115E">
              <w:rPr>
                <w:rFonts w:ascii="Arial Narrow" w:hAnsi="Arial Narrow"/>
                <w:sz w:val="18"/>
                <w:szCs w:val="18"/>
              </w:rPr>
              <w:t>Ansoain</w:t>
            </w:r>
          </w:p>
        </w:tc>
        <w:tc>
          <w:tcPr>
            <w:tcW w:w="531" w:type="pct"/>
            <w:tcBorders>
              <w:top w:val="single" w:sz="2" w:space="0" w:color="auto"/>
              <w:left w:val="nil"/>
              <w:bottom w:val="single" w:sz="2" w:space="0" w:color="auto"/>
              <w:right w:val="nil"/>
            </w:tcBorders>
            <w:shd w:val="clear" w:color="auto" w:fill="auto"/>
            <w:noWrap/>
            <w:vAlign w:val="center"/>
            <w:hideMark/>
          </w:tcPr>
          <w:p w14:paraId="02E7E25D"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13/02/2024</w:t>
            </w:r>
          </w:p>
        </w:tc>
        <w:tc>
          <w:tcPr>
            <w:tcW w:w="531" w:type="pct"/>
            <w:tcBorders>
              <w:top w:val="single" w:sz="2" w:space="0" w:color="auto"/>
              <w:left w:val="nil"/>
              <w:bottom w:val="single" w:sz="2" w:space="0" w:color="auto"/>
              <w:right w:val="nil"/>
            </w:tcBorders>
            <w:shd w:val="clear" w:color="auto" w:fill="auto"/>
            <w:noWrap/>
            <w:vAlign w:val="center"/>
            <w:hideMark/>
          </w:tcPr>
          <w:p w14:paraId="14E3C1AF"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10.588</w:t>
            </w:r>
          </w:p>
        </w:tc>
        <w:tc>
          <w:tcPr>
            <w:tcW w:w="682" w:type="pct"/>
            <w:tcBorders>
              <w:top w:val="single" w:sz="2" w:space="0" w:color="auto"/>
              <w:left w:val="nil"/>
              <w:bottom w:val="single" w:sz="2" w:space="0" w:color="auto"/>
              <w:right w:val="nil"/>
            </w:tcBorders>
            <w:shd w:val="clear" w:color="auto" w:fill="auto"/>
            <w:noWrap/>
            <w:vAlign w:val="center"/>
            <w:hideMark/>
          </w:tcPr>
          <w:p w14:paraId="008A1D63"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10.554.029</w:t>
            </w:r>
          </w:p>
        </w:tc>
        <w:tc>
          <w:tcPr>
            <w:tcW w:w="530" w:type="pct"/>
            <w:tcBorders>
              <w:top w:val="single" w:sz="2" w:space="0" w:color="auto"/>
              <w:left w:val="nil"/>
              <w:bottom w:val="single" w:sz="2" w:space="0" w:color="auto"/>
              <w:right w:val="nil"/>
            </w:tcBorders>
            <w:shd w:val="clear" w:color="auto" w:fill="auto"/>
            <w:vAlign w:val="center"/>
            <w:hideMark/>
          </w:tcPr>
          <w:p w14:paraId="4D961C08" w14:textId="2AEDDFAB" w:rsidR="005759FA" w:rsidRPr="003A115E" w:rsidRDefault="005759FA" w:rsidP="005C5EDC">
            <w:pPr>
              <w:jc w:val="right"/>
              <w:rPr>
                <w:rFonts w:ascii="Arial Narrow" w:hAnsi="Arial Narrow"/>
                <w:sz w:val="18"/>
                <w:szCs w:val="18"/>
              </w:rPr>
            </w:pPr>
            <w:r w:rsidRPr="003A115E">
              <w:rPr>
                <w:rFonts w:ascii="Arial Narrow" w:hAnsi="Arial Narrow"/>
                <w:sz w:val="18"/>
                <w:szCs w:val="18"/>
              </w:rPr>
              <w:t>9.920.444</w:t>
            </w:r>
          </w:p>
        </w:tc>
        <w:tc>
          <w:tcPr>
            <w:tcW w:w="531" w:type="pct"/>
            <w:tcBorders>
              <w:top w:val="single" w:sz="2" w:space="0" w:color="auto"/>
              <w:left w:val="nil"/>
              <w:bottom w:val="single" w:sz="2" w:space="0" w:color="auto"/>
              <w:right w:val="nil"/>
            </w:tcBorders>
            <w:shd w:val="clear" w:color="auto" w:fill="auto"/>
            <w:vAlign w:val="center"/>
            <w:hideMark/>
          </w:tcPr>
          <w:p w14:paraId="12BE3A2C"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104</w:t>
            </w:r>
          </w:p>
        </w:tc>
        <w:tc>
          <w:tcPr>
            <w:tcW w:w="606" w:type="pct"/>
            <w:tcBorders>
              <w:top w:val="single" w:sz="2" w:space="0" w:color="auto"/>
              <w:left w:val="nil"/>
              <w:bottom w:val="single" w:sz="2" w:space="0" w:color="auto"/>
              <w:right w:val="nil"/>
            </w:tcBorders>
            <w:shd w:val="clear" w:color="auto" w:fill="auto"/>
            <w:vAlign w:val="center"/>
            <w:hideMark/>
          </w:tcPr>
          <w:p w14:paraId="26CA7211"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w:t>
            </w:r>
          </w:p>
        </w:tc>
        <w:tc>
          <w:tcPr>
            <w:tcW w:w="833" w:type="pct"/>
            <w:tcBorders>
              <w:top w:val="single" w:sz="2" w:space="0" w:color="auto"/>
              <w:left w:val="nil"/>
              <w:bottom w:val="single" w:sz="2" w:space="0" w:color="auto"/>
              <w:right w:val="nil"/>
            </w:tcBorders>
            <w:shd w:val="clear" w:color="auto" w:fill="auto"/>
            <w:vAlign w:val="center"/>
            <w:hideMark/>
          </w:tcPr>
          <w:p w14:paraId="3F86C5FA"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Con salvedades (1)</w:t>
            </w:r>
          </w:p>
        </w:tc>
      </w:tr>
      <w:tr w:rsidR="00483F6E" w:rsidRPr="003A115E" w14:paraId="3BE1D1A8" w14:textId="77777777" w:rsidTr="00483F6E">
        <w:trPr>
          <w:trHeight w:val="198"/>
          <w:jc w:val="center"/>
        </w:trPr>
        <w:tc>
          <w:tcPr>
            <w:tcW w:w="756" w:type="pct"/>
            <w:tcBorders>
              <w:top w:val="single" w:sz="2" w:space="0" w:color="auto"/>
              <w:left w:val="nil"/>
              <w:bottom w:val="single" w:sz="2" w:space="0" w:color="auto"/>
              <w:right w:val="nil"/>
            </w:tcBorders>
            <w:shd w:val="clear" w:color="auto" w:fill="auto"/>
            <w:vAlign w:val="center"/>
            <w:hideMark/>
          </w:tcPr>
          <w:p w14:paraId="4C6166AA" w14:textId="77777777" w:rsidR="005759FA" w:rsidRPr="003A115E" w:rsidRDefault="005759FA" w:rsidP="005759FA">
            <w:pPr>
              <w:rPr>
                <w:rFonts w:ascii="Arial Narrow" w:hAnsi="Arial Narrow"/>
                <w:sz w:val="18"/>
                <w:szCs w:val="18"/>
              </w:rPr>
            </w:pPr>
            <w:r w:rsidRPr="003A115E">
              <w:rPr>
                <w:rFonts w:ascii="Arial Narrow" w:hAnsi="Arial Narrow"/>
                <w:sz w:val="18"/>
                <w:szCs w:val="18"/>
              </w:rPr>
              <w:t>Villava</w:t>
            </w:r>
          </w:p>
        </w:tc>
        <w:tc>
          <w:tcPr>
            <w:tcW w:w="531" w:type="pct"/>
            <w:tcBorders>
              <w:top w:val="single" w:sz="2" w:space="0" w:color="auto"/>
              <w:left w:val="nil"/>
              <w:bottom w:val="single" w:sz="2" w:space="0" w:color="auto"/>
              <w:right w:val="nil"/>
            </w:tcBorders>
            <w:shd w:val="clear" w:color="auto" w:fill="auto"/>
            <w:noWrap/>
            <w:vAlign w:val="center"/>
            <w:hideMark/>
          </w:tcPr>
          <w:p w14:paraId="4FAC7082"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15/02/2024</w:t>
            </w:r>
          </w:p>
        </w:tc>
        <w:tc>
          <w:tcPr>
            <w:tcW w:w="531" w:type="pct"/>
            <w:tcBorders>
              <w:top w:val="single" w:sz="2" w:space="0" w:color="auto"/>
              <w:left w:val="nil"/>
              <w:bottom w:val="single" w:sz="2" w:space="0" w:color="auto"/>
              <w:right w:val="nil"/>
            </w:tcBorders>
            <w:shd w:val="clear" w:color="auto" w:fill="auto"/>
            <w:noWrap/>
            <w:vAlign w:val="center"/>
            <w:hideMark/>
          </w:tcPr>
          <w:p w14:paraId="25650285"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10.022</w:t>
            </w:r>
          </w:p>
        </w:tc>
        <w:tc>
          <w:tcPr>
            <w:tcW w:w="682" w:type="pct"/>
            <w:tcBorders>
              <w:top w:val="single" w:sz="2" w:space="0" w:color="auto"/>
              <w:left w:val="nil"/>
              <w:bottom w:val="single" w:sz="2" w:space="0" w:color="auto"/>
              <w:right w:val="nil"/>
            </w:tcBorders>
            <w:shd w:val="clear" w:color="auto" w:fill="auto"/>
            <w:noWrap/>
            <w:vAlign w:val="center"/>
            <w:hideMark/>
          </w:tcPr>
          <w:p w14:paraId="2F1E733F"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10.815.719</w:t>
            </w:r>
          </w:p>
        </w:tc>
        <w:tc>
          <w:tcPr>
            <w:tcW w:w="530" w:type="pct"/>
            <w:tcBorders>
              <w:top w:val="single" w:sz="2" w:space="0" w:color="auto"/>
              <w:left w:val="nil"/>
              <w:bottom w:val="single" w:sz="2" w:space="0" w:color="auto"/>
              <w:right w:val="nil"/>
            </w:tcBorders>
            <w:shd w:val="clear" w:color="auto" w:fill="auto"/>
            <w:vAlign w:val="center"/>
            <w:hideMark/>
          </w:tcPr>
          <w:p w14:paraId="3E3803F0" w14:textId="5E3BA10F" w:rsidR="005759FA" w:rsidRPr="003A115E" w:rsidRDefault="005759FA" w:rsidP="005C5EDC">
            <w:pPr>
              <w:jc w:val="right"/>
              <w:rPr>
                <w:rFonts w:ascii="Arial Narrow" w:hAnsi="Arial Narrow"/>
                <w:sz w:val="18"/>
                <w:szCs w:val="18"/>
              </w:rPr>
            </w:pPr>
            <w:r w:rsidRPr="003A115E">
              <w:rPr>
                <w:rFonts w:ascii="Arial Narrow" w:hAnsi="Arial Narrow"/>
                <w:sz w:val="18"/>
                <w:szCs w:val="18"/>
              </w:rPr>
              <w:t>9.188.381</w:t>
            </w:r>
          </w:p>
        </w:tc>
        <w:tc>
          <w:tcPr>
            <w:tcW w:w="531" w:type="pct"/>
            <w:tcBorders>
              <w:top w:val="single" w:sz="2" w:space="0" w:color="auto"/>
              <w:left w:val="nil"/>
              <w:bottom w:val="single" w:sz="2" w:space="0" w:color="auto"/>
              <w:right w:val="nil"/>
            </w:tcBorders>
            <w:shd w:val="clear" w:color="auto" w:fill="auto"/>
            <w:vAlign w:val="center"/>
            <w:hideMark/>
          </w:tcPr>
          <w:p w14:paraId="05FBF60B"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113</w:t>
            </w:r>
          </w:p>
        </w:tc>
        <w:tc>
          <w:tcPr>
            <w:tcW w:w="606" w:type="pct"/>
            <w:tcBorders>
              <w:top w:val="single" w:sz="2" w:space="0" w:color="auto"/>
              <w:left w:val="nil"/>
              <w:bottom w:val="single" w:sz="2" w:space="0" w:color="auto"/>
              <w:right w:val="nil"/>
            </w:tcBorders>
            <w:shd w:val="clear" w:color="auto" w:fill="auto"/>
            <w:vAlign w:val="center"/>
            <w:hideMark/>
          </w:tcPr>
          <w:p w14:paraId="2E1AAE08"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w:t>
            </w:r>
          </w:p>
        </w:tc>
        <w:tc>
          <w:tcPr>
            <w:tcW w:w="833" w:type="pct"/>
            <w:tcBorders>
              <w:top w:val="single" w:sz="2" w:space="0" w:color="auto"/>
              <w:left w:val="nil"/>
              <w:bottom w:val="single" w:sz="2" w:space="0" w:color="auto"/>
              <w:right w:val="nil"/>
            </w:tcBorders>
            <w:shd w:val="clear" w:color="auto" w:fill="auto"/>
            <w:vAlign w:val="center"/>
            <w:hideMark/>
          </w:tcPr>
          <w:p w14:paraId="50933EEC"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Con salvedades (3)</w:t>
            </w:r>
          </w:p>
        </w:tc>
      </w:tr>
      <w:tr w:rsidR="00483F6E" w:rsidRPr="003A115E" w14:paraId="1333143C" w14:textId="77777777" w:rsidTr="00483F6E">
        <w:trPr>
          <w:trHeight w:val="198"/>
          <w:jc w:val="center"/>
        </w:trPr>
        <w:tc>
          <w:tcPr>
            <w:tcW w:w="756" w:type="pct"/>
            <w:tcBorders>
              <w:top w:val="single" w:sz="2" w:space="0" w:color="auto"/>
              <w:left w:val="nil"/>
              <w:bottom w:val="single" w:sz="2" w:space="0" w:color="auto"/>
              <w:right w:val="nil"/>
            </w:tcBorders>
            <w:shd w:val="clear" w:color="auto" w:fill="auto"/>
            <w:vAlign w:val="center"/>
            <w:hideMark/>
          </w:tcPr>
          <w:p w14:paraId="6134DF6A" w14:textId="77777777" w:rsidR="005759FA" w:rsidRPr="003A115E" w:rsidRDefault="005759FA" w:rsidP="005759FA">
            <w:pPr>
              <w:rPr>
                <w:rFonts w:ascii="Arial Narrow" w:hAnsi="Arial Narrow"/>
                <w:sz w:val="18"/>
                <w:szCs w:val="18"/>
              </w:rPr>
            </w:pPr>
            <w:r w:rsidRPr="003A115E">
              <w:rPr>
                <w:rFonts w:ascii="Arial Narrow" w:hAnsi="Arial Narrow"/>
                <w:sz w:val="18"/>
                <w:szCs w:val="18"/>
              </w:rPr>
              <w:t>Barañáin</w:t>
            </w:r>
          </w:p>
        </w:tc>
        <w:tc>
          <w:tcPr>
            <w:tcW w:w="531" w:type="pct"/>
            <w:tcBorders>
              <w:top w:val="single" w:sz="2" w:space="0" w:color="auto"/>
              <w:left w:val="nil"/>
              <w:bottom w:val="single" w:sz="2" w:space="0" w:color="auto"/>
              <w:right w:val="nil"/>
            </w:tcBorders>
            <w:shd w:val="clear" w:color="auto" w:fill="auto"/>
            <w:noWrap/>
            <w:vAlign w:val="center"/>
            <w:hideMark/>
          </w:tcPr>
          <w:p w14:paraId="446BC6FD"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28/02/2024</w:t>
            </w:r>
          </w:p>
        </w:tc>
        <w:tc>
          <w:tcPr>
            <w:tcW w:w="531" w:type="pct"/>
            <w:tcBorders>
              <w:top w:val="single" w:sz="2" w:space="0" w:color="auto"/>
              <w:left w:val="nil"/>
              <w:bottom w:val="single" w:sz="2" w:space="0" w:color="auto"/>
              <w:right w:val="nil"/>
            </w:tcBorders>
            <w:shd w:val="clear" w:color="auto" w:fill="auto"/>
            <w:noWrap/>
            <w:vAlign w:val="center"/>
            <w:hideMark/>
          </w:tcPr>
          <w:p w14:paraId="75BDBDCF"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19.537</w:t>
            </w:r>
          </w:p>
        </w:tc>
        <w:tc>
          <w:tcPr>
            <w:tcW w:w="682" w:type="pct"/>
            <w:tcBorders>
              <w:top w:val="single" w:sz="2" w:space="0" w:color="auto"/>
              <w:left w:val="nil"/>
              <w:bottom w:val="single" w:sz="2" w:space="0" w:color="auto"/>
              <w:right w:val="nil"/>
            </w:tcBorders>
            <w:shd w:val="clear" w:color="auto" w:fill="auto"/>
            <w:noWrap/>
            <w:vAlign w:val="center"/>
            <w:hideMark/>
          </w:tcPr>
          <w:p w14:paraId="0B27AF9B"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19.991.994</w:t>
            </w:r>
          </w:p>
        </w:tc>
        <w:tc>
          <w:tcPr>
            <w:tcW w:w="530" w:type="pct"/>
            <w:tcBorders>
              <w:top w:val="single" w:sz="2" w:space="0" w:color="auto"/>
              <w:left w:val="nil"/>
              <w:bottom w:val="single" w:sz="2" w:space="0" w:color="auto"/>
              <w:right w:val="nil"/>
            </w:tcBorders>
            <w:shd w:val="clear" w:color="auto" w:fill="auto"/>
            <w:vAlign w:val="center"/>
            <w:hideMark/>
          </w:tcPr>
          <w:p w14:paraId="0C887519" w14:textId="523FD7CB" w:rsidR="005759FA" w:rsidRPr="003A115E" w:rsidRDefault="005759FA" w:rsidP="005C5EDC">
            <w:pPr>
              <w:jc w:val="right"/>
              <w:rPr>
                <w:rFonts w:ascii="Arial Narrow" w:hAnsi="Arial Narrow"/>
                <w:sz w:val="18"/>
                <w:szCs w:val="18"/>
              </w:rPr>
            </w:pPr>
            <w:r w:rsidRPr="003A115E">
              <w:rPr>
                <w:rFonts w:ascii="Arial Narrow" w:hAnsi="Arial Narrow"/>
                <w:sz w:val="18"/>
                <w:szCs w:val="18"/>
              </w:rPr>
              <w:t>21.293.896</w:t>
            </w:r>
          </w:p>
        </w:tc>
        <w:tc>
          <w:tcPr>
            <w:tcW w:w="531" w:type="pct"/>
            <w:tcBorders>
              <w:top w:val="single" w:sz="2" w:space="0" w:color="auto"/>
              <w:left w:val="nil"/>
              <w:bottom w:val="single" w:sz="2" w:space="0" w:color="auto"/>
              <w:right w:val="nil"/>
            </w:tcBorders>
            <w:shd w:val="clear" w:color="auto" w:fill="auto"/>
            <w:vAlign w:val="center"/>
            <w:hideMark/>
          </w:tcPr>
          <w:p w14:paraId="6A0104DD"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184</w:t>
            </w:r>
          </w:p>
        </w:tc>
        <w:tc>
          <w:tcPr>
            <w:tcW w:w="606" w:type="pct"/>
            <w:tcBorders>
              <w:top w:val="single" w:sz="2" w:space="0" w:color="auto"/>
              <w:left w:val="nil"/>
              <w:bottom w:val="single" w:sz="2" w:space="0" w:color="auto"/>
              <w:right w:val="nil"/>
            </w:tcBorders>
            <w:shd w:val="clear" w:color="auto" w:fill="auto"/>
            <w:vAlign w:val="center"/>
            <w:hideMark/>
          </w:tcPr>
          <w:p w14:paraId="442488BF"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w:t>
            </w:r>
          </w:p>
        </w:tc>
        <w:tc>
          <w:tcPr>
            <w:tcW w:w="833" w:type="pct"/>
            <w:tcBorders>
              <w:top w:val="single" w:sz="2" w:space="0" w:color="auto"/>
              <w:left w:val="nil"/>
              <w:bottom w:val="single" w:sz="2" w:space="0" w:color="auto"/>
              <w:right w:val="nil"/>
            </w:tcBorders>
            <w:shd w:val="clear" w:color="auto" w:fill="auto"/>
            <w:vAlign w:val="center"/>
            <w:hideMark/>
          </w:tcPr>
          <w:p w14:paraId="489EE7E5"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Con salvedades (2)</w:t>
            </w:r>
          </w:p>
        </w:tc>
      </w:tr>
      <w:tr w:rsidR="00483F6E" w:rsidRPr="003A115E" w14:paraId="46E1AB3F" w14:textId="77777777" w:rsidTr="00483F6E">
        <w:trPr>
          <w:trHeight w:val="198"/>
          <w:jc w:val="center"/>
        </w:trPr>
        <w:tc>
          <w:tcPr>
            <w:tcW w:w="756" w:type="pct"/>
            <w:tcBorders>
              <w:top w:val="single" w:sz="2" w:space="0" w:color="auto"/>
              <w:left w:val="nil"/>
              <w:bottom w:val="single" w:sz="4" w:space="0" w:color="auto"/>
              <w:right w:val="nil"/>
            </w:tcBorders>
            <w:shd w:val="clear" w:color="auto" w:fill="auto"/>
            <w:vAlign w:val="center"/>
            <w:hideMark/>
          </w:tcPr>
          <w:p w14:paraId="299C05AF" w14:textId="77777777" w:rsidR="005759FA" w:rsidRPr="003A115E" w:rsidRDefault="005759FA" w:rsidP="005759FA">
            <w:pPr>
              <w:rPr>
                <w:rFonts w:ascii="Arial Narrow" w:hAnsi="Arial Narrow"/>
                <w:sz w:val="18"/>
                <w:szCs w:val="18"/>
              </w:rPr>
            </w:pPr>
            <w:r w:rsidRPr="003A115E">
              <w:rPr>
                <w:rFonts w:ascii="Arial Narrow" w:hAnsi="Arial Narrow"/>
                <w:sz w:val="18"/>
                <w:szCs w:val="18"/>
              </w:rPr>
              <w:t>Corella</w:t>
            </w:r>
          </w:p>
        </w:tc>
        <w:tc>
          <w:tcPr>
            <w:tcW w:w="531" w:type="pct"/>
            <w:tcBorders>
              <w:top w:val="single" w:sz="2" w:space="0" w:color="auto"/>
              <w:left w:val="nil"/>
              <w:bottom w:val="single" w:sz="4" w:space="0" w:color="auto"/>
              <w:right w:val="nil"/>
            </w:tcBorders>
            <w:shd w:val="clear" w:color="auto" w:fill="auto"/>
            <w:noWrap/>
            <w:vAlign w:val="center"/>
            <w:hideMark/>
          </w:tcPr>
          <w:p w14:paraId="6192D3C7"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02/07/2024</w:t>
            </w:r>
          </w:p>
        </w:tc>
        <w:tc>
          <w:tcPr>
            <w:tcW w:w="531" w:type="pct"/>
            <w:tcBorders>
              <w:top w:val="single" w:sz="2" w:space="0" w:color="auto"/>
              <w:left w:val="nil"/>
              <w:bottom w:val="single" w:sz="4" w:space="0" w:color="auto"/>
              <w:right w:val="nil"/>
            </w:tcBorders>
            <w:shd w:val="clear" w:color="auto" w:fill="auto"/>
            <w:noWrap/>
            <w:vAlign w:val="center"/>
            <w:hideMark/>
          </w:tcPr>
          <w:p w14:paraId="58D364E4"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8.336</w:t>
            </w:r>
          </w:p>
        </w:tc>
        <w:tc>
          <w:tcPr>
            <w:tcW w:w="682" w:type="pct"/>
            <w:tcBorders>
              <w:top w:val="single" w:sz="2" w:space="0" w:color="auto"/>
              <w:left w:val="nil"/>
              <w:bottom w:val="single" w:sz="4" w:space="0" w:color="auto"/>
              <w:right w:val="nil"/>
            </w:tcBorders>
            <w:shd w:val="clear" w:color="auto" w:fill="auto"/>
            <w:noWrap/>
            <w:vAlign w:val="center"/>
            <w:hideMark/>
          </w:tcPr>
          <w:p w14:paraId="40D25260"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11.906.686</w:t>
            </w:r>
          </w:p>
        </w:tc>
        <w:tc>
          <w:tcPr>
            <w:tcW w:w="530" w:type="pct"/>
            <w:tcBorders>
              <w:top w:val="single" w:sz="2" w:space="0" w:color="auto"/>
              <w:left w:val="nil"/>
              <w:bottom w:val="single" w:sz="4" w:space="0" w:color="auto"/>
              <w:right w:val="nil"/>
            </w:tcBorders>
            <w:shd w:val="clear" w:color="auto" w:fill="auto"/>
            <w:vAlign w:val="center"/>
            <w:hideMark/>
          </w:tcPr>
          <w:p w14:paraId="5FAEF4A8" w14:textId="072A72B1" w:rsidR="005759FA" w:rsidRPr="003A115E" w:rsidRDefault="005759FA" w:rsidP="005C5EDC">
            <w:pPr>
              <w:jc w:val="right"/>
              <w:rPr>
                <w:rFonts w:ascii="Arial Narrow" w:hAnsi="Arial Narrow"/>
                <w:sz w:val="18"/>
                <w:szCs w:val="18"/>
              </w:rPr>
            </w:pPr>
            <w:r w:rsidRPr="003A115E">
              <w:rPr>
                <w:rFonts w:ascii="Arial Narrow" w:hAnsi="Arial Narrow"/>
                <w:sz w:val="18"/>
                <w:szCs w:val="18"/>
              </w:rPr>
              <w:t>13.028.971</w:t>
            </w:r>
          </w:p>
        </w:tc>
        <w:tc>
          <w:tcPr>
            <w:tcW w:w="531" w:type="pct"/>
            <w:tcBorders>
              <w:top w:val="single" w:sz="2" w:space="0" w:color="auto"/>
              <w:left w:val="nil"/>
              <w:bottom w:val="single" w:sz="4" w:space="0" w:color="auto"/>
              <w:right w:val="nil"/>
            </w:tcBorders>
            <w:shd w:val="clear" w:color="auto" w:fill="auto"/>
            <w:vAlign w:val="center"/>
            <w:hideMark/>
          </w:tcPr>
          <w:p w14:paraId="55ECAB52"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110</w:t>
            </w:r>
          </w:p>
        </w:tc>
        <w:tc>
          <w:tcPr>
            <w:tcW w:w="606" w:type="pct"/>
            <w:tcBorders>
              <w:top w:val="single" w:sz="2" w:space="0" w:color="auto"/>
              <w:left w:val="nil"/>
              <w:bottom w:val="single" w:sz="4" w:space="0" w:color="auto"/>
              <w:right w:val="nil"/>
            </w:tcBorders>
            <w:shd w:val="clear" w:color="auto" w:fill="auto"/>
            <w:vAlign w:val="center"/>
            <w:hideMark/>
          </w:tcPr>
          <w:p w14:paraId="73753DE8"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Con salvedades (1)</w:t>
            </w:r>
          </w:p>
        </w:tc>
        <w:tc>
          <w:tcPr>
            <w:tcW w:w="833" w:type="pct"/>
            <w:tcBorders>
              <w:top w:val="single" w:sz="2" w:space="0" w:color="auto"/>
              <w:left w:val="nil"/>
              <w:bottom w:val="single" w:sz="4" w:space="0" w:color="auto"/>
              <w:right w:val="nil"/>
            </w:tcBorders>
            <w:shd w:val="clear" w:color="auto" w:fill="auto"/>
            <w:vAlign w:val="center"/>
            <w:hideMark/>
          </w:tcPr>
          <w:p w14:paraId="73D4D44E"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Desfavorable</w:t>
            </w:r>
          </w:p>
        </w:tc>
      </w:tr>
      <w:tr w:rsidR="00483F6E" w:rsidRPr="003A115E" w14:paraId="6A61DCF2" w14:textId="77777777" w:rsidTr="00483F6E">
        <w:trPr>
          <w:trHeight w:val="255"/>
          <w:jc w:val="center"/>
        </w:trPr>
        <w:tc>
          <w:tcPr>
            <w:tcW w:w="1287" w:type="pct"/>
            <w:gridSpan w:val="2"/>
            <w:tcBorders>
              <w:top w:val="single" w:sz="4" w:space="0" w:color="auto"/>
              <w:left w:val="nil"/>
              <w:bottom w:val="single" w:sz="4" w:space="0" w:color="auto"/>
              <w:right w:val="nil"/>
            </w:tcBorders>
            <w:shd w:val="clear" w:color="000000" w:fill="FABF8F"/>
            <w:noWrap/>
            <w:vAlign w:val="center"/>
            <w:hideMark/>
          </w:tcPr>
          <w:p w14:paraId="5A7373EA" w14:textId="77777777" w:rsidR="005759FA" w:rsidRPr="003A115E" w:rsidRDefault="005759FA" w:rsidP="005759FA">
            <w:pPr>
              <w:rPr>
                <w:rFonts w:ascii="Arial Narrow" w:hAnsi="Arial Narrow"/>
                <w:sz w:val="18"/>
                <w:szCs w:val="18"/>
              </w:rPr>
            </w:pPr>
            <w:r w:rsidRPr="003A115E">
              <w:rPr>
                <w:rFonts w:ascii="Arial Narrow" w:hAnsi="Arial Narrow"/>
                <w:sz w:val="18"/>
                <w:szCs w:val="18"/>
              </w:rPr>
              <w:t>Total EELL fiscalizados</w:t>
            </w:r>
          </w:p>
        </w:tc>
        <w:tc>
          <w:tcPr>
            <w:tcW w:w="531" w:type="pct"/>
            <w:tcBorders>
              <w:top w:val="single" w:sz="4" w:space="0" w:color="auto"/>
              <w:left w:val="nil"/>
              <w:bottom w:val="single" w:sz="4" w:space="0" w:color="auto"/>
              <w:right w:val="nil"/>
            </w:tcBorders>
            <w:shd w:val="clear" w:color="000000" w:fill="FABF8F"/>
            <w:noWrap/>
            <w:vAlign w:val="center"/>
            <w:hideMark/>
          </w:tcPr>
          <w:p w14:paraId="1A32C4A8"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383.547</w:t>
            </w:r>
          </w:p>
        </w:tc>
        <w:tc>
          <w:tcPr>
            <w:tcW w:w="682" w:type="pct"/>
            <w:tcBorders>
              <w:top w:val="single" w:sz="4" w:space="0" w:color="auto"/>
              <w:left w:val="nil"/>
              <w:bottom w:val="single" w:sz="4" w:space="0" w:color="auto"/>
              <w:right w:val="nil"/>
            </w:tcBorders>
            <w:shd w:val="clear" w:color="000000" w:fill="FABF8F"/>
            <w:noWrap/>
            <w:vAlign w:val="center"/>
            <w:hideMark/>
          </w:tcPr>
          <w:p w14:paraId="28AF230B"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445.234.671</w:t>
            </w:r>
          </w:p>
        </w:tc>
        <w:tc>
          <w:tcPr>
            <w:tcW w:w="530" w:type="pct"/>
            <w:tcBorders>
              <w:top w:val="single" w:sz="4" w:space="0" w:color="auto"/>
              <w:left w:val="nil"/>
              <w:bottom w:val="single" w:sz="4" w:space="0" w:color="auto"/>
              <w:right w:val="nil"/>
            </w:tcBorders>
            <w:shd w:val="clear" w:color="000000" w:fill="FABF8F"/>
            <w:noWrap/>
            <w:vAlign w:val="center"/>
            <w:hideMark/>
          </w:tcPr>
          <w:p w14:paraId="61E037CF"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471.085.305</w:t>
            </w:r>
          </w:p>
        </w:tc>
        <w:tc>
          <w:tcPr>
            <w:tcW w:w="531" w:type="pct"/>
            <w:tcBorders>
              <w:top w:val="single" w:sz="4" w:space="0" w:color="auto"/>
              <w:left w:val="nil"/>
              <w:bottom w:val="single" w:sz="4" w:space="0" w:color="auto"/>
              <w:right w:val="nil"/>
            </w:tcBorders>
            <w:shd w:val="clear" w:color="000000" w:fill="FABF8F"/>
            <w:noWrap/>
            <w:vAlign w:val="center"/>
            <w:hideMark/>
          </w:tcPr>
          <w:p w14:paraId="71C9DFBB"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3.507</w:t>
            </w:r>
          </w:p>
        </w:tc>
        <w:tc>
          <w:tcPr>
            <w:tcW w:w="606" w:type="pct"/>
            <w:tcBorders>
              <w:top w:val="single" w:sz="4" w:space="0" w:color="auto"/>
              <w:left w:val="nil"/>
              <w:bottom w:val="single" w:sz="4" w:space="0" w:color="auto"/>
              <w:right w:val="nil"/>
            </w:tcBorders>
            <w:shd w:val="clear" w:color="000000" w:fill="FABF8F"/>
            <w:noWrap/>
            <w:vAlign w:val="center"/>
            <w:hideMark/>
          </w:tcPr>
          <w:p w14:paraId="6898F979"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 </w:t>
            </w:r>
          </w:p>
        </w:tc>
        <w:tc>
          <w:tcPr>
            <w:tcW w:w="833" w:type="pct"/>
            <w:tcBorders>
              <w:top w:val="single" w:sz="4" w:space="0" w:color="auto"/>
              <w:left w:val="nil"/>
              <w:bottom w:val="single" w:sz="4" w:space="0" w:color="auto"/>
              <w:right w:val="nil"/>
            </w:tcBorders>
            <w:shd w:val="clear" w:color="000000" w:fill="FABF8F"/>
            <w:noWrap/>
            <w:vAlign w:val="center"/>
            <w:hideMark/>
          </w:tcPr>
          <w:p w14:paraId="4FA79091" w14:textId="77777777" w:rsidR="005759FA" w:rsidRPr="003A115E" w:rsidRDefault="005759FA" w:rsidP="005759FA">
            <w:pPr>
              <w:jc w:val="right"/>
              <w:rPr>
                <w:rFonts w:ascii="Arial Narrow" w:hAnsi="Arial Narrow"/>
                <w:sz w:val="18"/>
                <w:szCs w:val="18"/>
              </w:rPr>
            </w:pPr>
            <w:r w:rsidRPr="003A115E">
              <w:rPr>
                <w:rFonts w:ascii="Arial Narrow" w:hAnsi="Arial Narrow"/>
                <w:sz w:val="18"/>
                <w:szCs w:val="18"/>
              </w:rPr>
              <w:t> </w:t>
            </w:r>
          </w:p>
        </w:tc>
      </w:tr>
    </w:tbl>
    <w:p w14:paraId="0E47862E" w14:textId="5D534503" w:rsidR="008216C4" w:rsidRPr="003A115E" w:rsidRDefault="00A170AD" w:rsidP="006D7ADF">
      <w:pPr>
        <w:pStyle w:val="texto"/>
        <w:spacing w:before="60" w:after="0"/>
        <w:ind w:right="-284" w:hanging="284"/>
        <w:rPr>
          <w:rFonts w:ascii="Arial" w:hAnsi="Arial" w:cs="Arial"/>
          <w:sz w:val="14"/>
          <w:szCs w:val="14"/>
        </w:rPr>
      </w:pPr>
      <w:r w:rsidRPr="003A115E">
        <w:rPr>
          <w:rFonts w:ascii="Arial Narrow" w:hAnsi="Arial Narrow" w:cs="Arial"/>
          <w:sz w:val="14"/>
          <w:szCs w:val="14"/>
        </w:rPr>
        <w:t>(*) Entre paréntesis, en su caso, el número de salvedades.</w:t>
      </w:r>
      <w:r w:rsidR="008216C4" w:rsidRPr="003A115E">
        <w:rPr>
          <w:rFonts w:ascii="Arial Narrow" w:hAnsi="Arial Narrow" w:cs="Arial"/>
          <w:sz w:val="14"/>
          <w:szCs w:val="14"/>
        </w:rPr>
        <w:t xml:space="preserve"> (**) En el Ayuntamiento de Pamplona, se indica la opinión de auditoría de cumplimiento. En los demás casos, el número de incumplimientos detectados en las materias de personal, contratación pública y subvenciones</w:t>
      </w:r>
      <w:r w:rsidR="008528C2" w:rsidRPr="003A115E">
        <w:rPr>
          <w:rFonts w:ascii="Arial Narrow" w:hAnsi="Arial Narrow" w:cs="Arial"/>
          <w:sz w:val="14"/>
          <w:szCs w:val="14"/>
        </w:rPr>
        <w:t>.</w:t>
      </w:r>
    </w:p>
    <w:p w14:paraId="10C87123" w14:textId="602E74D1" w:rsidR="00A170AD" w:rsidRPr="003A115E" w:rsidRDefault="175F76A4" w:rsidP="00020D42">
      <w:pPr>
        <w:pStyle w:val="texto"/>
        <w:spacing w:before="240"/>
        <w:rPr>
          <w:lang w:val="es-ES"/>
        </w:rPr>
      </w:pPr>
      <w:r w:rsidRPr="003A115E">
        <w:rPr>
          <w:lang w:val="es-ES"/>
        </w:rPr>
        <w:t>En el Ayuntamiento de Pamplona se realizó una fiscalización financi</w:t>
      </w:r>
      <w:r w:rsidR="00416342" w:rsidRPr="003A115E">
        <w:rPr>
          <w:lang w:val="es-ES"/>
        </w:rPr>
        <w:t>era de la cuenta general de 2022</w:t>
      </w:r>
      <w:r w:rsidRPr="003A115E">
        <w:rPr>
          <w:lang w:val="es-ES"/>
        </w:rPr>
        <w:t xml:space="preserve"> combinada con una fiscalización de legalidad de la actividad económico-financiera de dicho ejercicio. En los </w:t>
      </w:r>
      <w:r w:rsidR="000E7290" w:rsidRPr="003A115E">
        <w:rPr>
          <w:lang w:val="es-ES"/>
        </w:rPr>
        <w:t xml:space="preserve">demás casos, se llevaron a cabo </w:t>
      </w:r>
      <w:r w:rsidRPr="003A115E">
        <w:rPr>
          <w:lang w:val="es-ES"/>
        </w:rPr>
        <w:t>fiscalizaciones de cumplimiento de la lega</w:t>
      </w:r>
      <w:r w:rsidR="00A4467D" w:rsidRPr="003A115E">
        <w:rPr>
          <w:lang w:val="es-ES"/>
        </w:rPr>
        <w:t>lidad en las áreas de personal,</w:t>
      </w:r>
      <w:r w:rsidRPr="003A115E">
        <w:rPr>
          <w:lang w:val="es-ES"/>
        </w:rPr>
        <w:t xml:space="preserve"> de contratación pública</w:t>
      </w:r>
      <w:r w:rsidR="00A4467D" w:rsidRPr="003A115E">
        <w:rPr>
          <w:lang w:val="es-ES"/>
        </w:rPr>
        <w:t xml:space="preserve"> y subvenciones</w:t>
      </w:r>
      <w:r w:rsidRPr="003A115E">
        <w:rPr>
          <w:lang w:val="es-ES"/>
        </w:rPr>
        <w:t>.</w:t>
      </w:r>
      <w:r w:rsidR="00D158F1" w:rsidRPr="003A115E">
        <w:rPr>
          <w:lang w:val="es-ES"/>
        </w:rPr>
        <w:t xml:space="preserve"> </w:t>
      </w:r>
      <w:r w:rsidR="00A4467D" w:rsidRPr="003A115E">
        <w:rPr>
          <w:lang w:val="es-ES"/>
        </w:rPr>
        <w:t>Adicion</w:t>
      </w:r>
      <w:r w:rsidR="005205B0" w:rsidRPr="003A115E">
        <w:rPr>
          <w:lang w:val="es-ES"/>
        </w:rPr>
        <w:t>almente, en Corella, se</w:t>
      </w:r>
      <w:r w:rsidR="00D158F1" w:rsidRPr="003A115E">
        <w:rPr>
          <w:lang w:val="es-ES"/>
        </w:rPr>
        <w:t xml:space="preserve"> realizó una fiscalización financiera del festival </w:t>
      </w:r>
      <w:r w:rsidR="0012657C" w:rsidRPr="003A115E">
        <w:rPr>
          <w:lang w:val="es-ES"/>
        </w:rPr>
        <w:t>“Corella</w:t>
      </w:r>
      <w:r w:rsidR="00D158F1" w:rsidRPr="003A115E">
        <w:rPr>
          <w:lang w:val="es-ES"/>
        </w:rPr>
        <w:t xml:space="preserve"> Music Fest”</w:t>
      </w:r>
      <w:r w:rsidR="00730AB8" w:rsidRPr="003A115E">
        <w:rPr>
          <w:lang w:val="es-ES"/>
        </w:rPr>
        <w:t xml:space="preserve"> y, en Tafalla, se </w:t>
      </w:r>
      <w:r w:rsidR="000E7290" w:rsidRPr="003A115E">
        <w:rPr>
          <w:lang w:val="es-ES"/>
        </w:rPr>
        <w:t>extendió</w:t>
      </w:r>
      <w:r w:rsidR="005B3ED8" w:rsidRPr="003A115E">
        <w:rPr>
          <w:lang w:val="es-ES"/>
        </w:rPr>
        <w:t xml:space="preserve"> la </w:t>
      </w:r>
      <w:r w:rsidR="00730AB8" w:rsidRPr="003A115E">
        <w:rPr>
          <w:lang w:val="es-ES"/>
        </w:rPr>
        <w:t>fiscaliz</w:t>
      </w:r>
      <w:r w:rsidR="005B3ED8" w:rsidRPr="003A115E">
        <w:rPr>
          <w:lang w:val="es-ES"/>
        </w:rPr>
        <w:t>aci</w:t>
      </w:r>
      <w:r w:rsidR="003B04FB" w:rsidRPr="003A115E">
        <w:rPr>
          <w:lang w:val="es-ES"/>
        </w:rPr>
        <w:t>ón</w:t>
      </w:r>
      <w:r w:rsidR="005964AD" w:rsidRPr="003A115E">
        <w:rPr>
          <w:lang w:val="es-ES"/>
        </w:rPr>
        <w:t>,</w:t>
      </w:r>
      <w:r w:rsidR="003B04FB" w:rsidRPr="003A115E">
        <w:rPr>
          <w:lang w:val="es-ES"/>
        </w:rPr>
        <w:t xml:space="preserve"> al ámbito de la contratación</w:t>
      </w:r>
      <w:r w:rsidR="005964AD" w:rsidRPr="003A115E">
        <w:rPr>
          <w:lang w:val="es-ES"/>
        </w:rPr>
        <w:t>,</w:t>
      </w:r>
      <w:r w:rsidR="003B04FB" w:rsidRPr="003A115E">
        <w:rPr>
          <w:lang w:val="es-ES"/>
        </w:rPr>
        <w:t xml:space="preserve"> </w:t>
      </w:r>
      <w:r w:rsidR="000E7290" w:rsidRPr="003A115E">
        <w:rPr>
          <w:lang w:val="es-ES"/>
        </w:rPr>
        <w:t>en</w:t>
      </w:r>
      <w:r w:rsidR="005964AD" w:rsidRPr="003A115E">
        <w:rPr>
          <w:lang w:val="es-ES"/>
        </w:rPr>
        <w:t xml:space="preserve"> </w:t>
      </w:r>
      <w:r w:rsidR="005B3ED8" w:rsidRPr="003A115E">
        <w:rPr>
          <w:lang w:val="es-ES"/>
        </w:rPr>
        <w:t xml:space="preserve">la </w:t>
      </w:r>
      <w:r w:rsidR="003B04FB" w:rsidRPr="003A115E">
        <w:rPr>
          <w:lang w:val="es-ES"/>
        </w:rPr>
        <w:t>sociedad pública municipal “Ciudad deportiva de Tafalla”</w:t>
      </w:r>
      <w:r w:rsidR="00C61F0D" w:rsidRPr="003A115E">
        <w:rPr>
          <w:lang w:val="es-ES"/>
        </w:rPr>
        <w:t>.</w:t>
      </w:r>
      <w:r w:rsidR="005205B0" w:rsidRPr="003A115E">
        <w:rPr>
          <w:lang w:val="es-ES"/>
        </w:rPr>
        <w:t xml:space="preserve"> </w:t>
      </w:r>
    </w:p>
    <w:p w14:paraId="356D44FE" w14:textId="77777777" w:rsidR="00A170AD" w:rsidRPr="003A115E" w:rsidRDefault="00A170AD" w:rsidP="00A170AD">
      <w:pPr>
        <w:pStyle w:val="texto"/>
      </w:pPr>
      <w:r w:rsidRPr="003A115E">
        <w:t>Los resultados de las fiscalizaciones se recogieron en los correspondientes informes</w:t>
      </w:r>
      <w:r w:rsidR="00227F66" w:rsidRPr="003A115E">
        <w:t>,</w:t>
      </w:r>
      <w:r w:rsidRPr="003A115E">
        <w:t xml:space="preserve"> que están publicados en el Boletín Oficial del Parlamento de Navarra y en la página web de esta Cámara.</w:t>
      </w:r>
    </w:p>
    <w:p w14:paraId="27214096" w14:textId="58DD276A" w:rsidR="00A170AD" w:rsidRPr="003A115E" w:rsidRDefault="00A170AD" w:rsidP="00A170AD">
      <w:pPr>
        <w:pStyle w:val="texto"/>
      </w:pPr>
      <w:r w:rsidRPr="003A115E">
        <w:t>Los principales resultados de la fiscalización financiera y de legal</w:t>
      </w:r>
      <w:r w:rsidR="006F2A4B" w:rsidRPr="003A115E">
        <w:t>idad referidos al ejercicio 2022</w:t>
      </w:r>
      <w:r w:rsidRPr="003A115E">
        <w:t xml:space="preserve"> se resumen a continuación:</w:t>
      </w:r>
    </w:p>
    <w:p w14:paraId="0BEDA98E" w14:textId="554DC027" w:rsidR="00A170AD" w:rsidRPr="003A115E" w:rsidRDefault="175F76A4" w:rsidP="00F03F30">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En el Ayuntamiento de Pamplona la opinión de auditoría financiera fue favorable, mientras que la de auditoría de cumplimiento fue favorable con dos salved</w:t>
      </w:r>
      <w:r w:rsidR="00A0502C" w:rsidRPr="003A115E">
        <w:t>ades: una relativa a los gastos por servicios prestados sin cobertura contractual, al haberse superado el plazo máximo de  vigencia de los contratos</w:t>
      </w:r>
      <w:r w:rsidRPr="003A115E">
        <w:t xml:space="preserve">; y otra, </w:t>
      </w:r>
      <w:r w:rsidR="00B57B22" w:rsidRPr="003A115E">
        <w:t xml:space="preserve">por incumplimientos en materia contractual, </w:t>
      </w:r>
      <w:r w:rsidR="00AD5FB3" w:rsidRPr="003A115E">
        <w:t>ya que se tramitaron trabajos como contratos de menor cuant</w:t>
      </w:r>
      <w:r w:rsidR="00BF578B" w:rsidRPr="003A115E">
        <w:t xml:space="preserve">ía </w:t>
      </w:r>
      <w:r w:rsidR="00F03F30" w:rsidRPr="003A115E">
        <w:t>constituyendo la misma unidad funcional</w:t>
      </w:r>
      <w:r w:rsidR="007B7163" w:rsidRPr="003A115E">
        <w:t xml:space="preserve"> que un contrato previamente adjudicado</w:t>
      </w:r>
      <w:r w:rsidR="00F3106C" w:rsidRPr="003A115E">
        <w:t>, además de superar</w:t>
      </w:r>
      <w:r w:rsidR="0047058E" w:rsidRPr="003A115E">
        <w:t xml:space="preserve"> los</w:t>
      </w:r>
      <w:r w:rsidR="00BF578B" w:rsidRPr="003A115E">
        <w:t xml:space="preserve"> importe</w:t>
      </w:r>
      <w:r w:rsidR="0047058E" w:rsidRPr="003A115E">
        <w:t>s</w:t>
      </w:r>
      <w:r w:rsidR="00BF578B" w:rsidRPr="003A115E">
        <w:t xml:space="preserve"> máximo</w:t>
      </w:r>
      <w:r w:rsidR="0047058E" w:rsidRPr="003A115E">
        <w:t>s</w:t>
      </w:r>
      <w:r w:rsidR="00BF578B" w:rsidRPr="003A115E">
        <w:t xml:space="preserve"> </w:t>
      </w:r>
      <w:r w:rsidR="0047058E" w:rsidRPr="003A115E">
        <w:t>de subcontratación previsto en los pliegos</w:t>
      </w:r>
      <w:r w:rsidRPr="003A115E">
        <w:t>.</w:t>
      </w:r>
      <w:r w:rsidR="00FC11D7" w:rsidRPr="003A115E">
        <w:tab/>
      </w:r>
    </w:p>
    <w:p w14:paraId="39F75CA8" w14:textId="2C08D74E" w:rsidR="00B9696D" w:rsidRPr="003A115E" w:rsidRDefault="6CE54871" w:rsidP="0DF82E9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line="259" w:lineRule="auto"/>
        <w:ind w:left="0" w:firstLine="290"/>
        <w:rPr>
          <w:lang w:val="es-ES"/>
        </w:rPr>
      </w:pPr>
      <w:r w:rsidRPr="003A115E">
        <w:rPr>
          <w:lang w:val="es-ES"/>
        </w:rPr>
        <w:lastRenderedPageBreak/>
        <w:t xml:space="preserve">El Ayuntamiento de Corella </w:t>
      </w:r>
      <w:r w:rsidR="00A55ACD" w:rsidRPr="003A115E">
        <w:rPr>
          <w:lang w:val="es-ES"/>
        </w:rPr>
        <w:t>t</w:t>
      </w:r>
      <w:r w:rsidR="00EF2284" w:rsidRPr="003A115E">
        <w:rPr>
          <w:lang w:val="es-ES"/>
        </w:rPr>
        <w:t xml:space="preserve">uvo opinión financiera </w:t>
      </w:r>
      <w:r w:rsidR="007A640F" w:rsidRPr="003A115E">
        <w:rPr>
          <w:lang w:val="es-ES"/>
        </w:rPr>
        <w:t>favorable con</w:t>
      </w:r>
      <w:r w:rsidR="00B919B7" w:rsidRPr="003A115E">
        <w:rPr>
          <w:lang w:val="es-ES"/>
        </w:rPr>
        <w:t xml:space="preserve"> </w:t>
      </w:r>
      <w:r w:rsidR="007A640F" w:rsidRPr="003A115E">
        <w:rPr>
          <w:lang w:val="es-ES"/>
        </w:rPr>
        <w:t>salvedades,</w:t>
      </w:r>
      <w:r w:rsidR="003C2F56" w:rsidRPr="003A115E">
        <w:rPr>
          <w:lang w:val="es-ES"/>
        </w:rPr>
        <w:t xml:space="preserve"> ya que </w:t>
      </w:r>
      <w:r w:rsidR="0039077F" w:rsidRPr="003A115E">
        <w:rPr>
          <w:lang w:val="es-ES"/>
        </w:rPr>
        <w:t xml:space="preserve">no </w:t>
      </w:r>
      <w:r w:rsidR="00D969CA" w:rsidRPr="003A115E">
        <w:rPr>
          <w:lang w:val="es-ES"/>
        </w:rPr>
        <w:t>pudimos</w:t>
      </w:r>
      <w:r w:rsidR="0039077F" w:rsidRPr="003A115E">
        <w:rPr>
          <w:lang w:val="es-ES"/>
        </w:rPr>
        <w:t xml:space="preserve"> obtener evidencia adecuada y suficiente</w:t>
      </w:r>
      <w:r w:rsidR="004062F4" w:rsidRPr="003A115E">
        <w:rPr>
          <w:lang w:val="es-ES"/>
        </w:rPr>
        <w:t xml:space="preserve"> sobre los ingresos y gastos, cobros y</w:t>
      </w:r>
      <w:r w:rsidR="009529DF" w:rsidRPr="003A115E">
        <w:rPr>
          <w:lang w:val="es-ES"/>
        </w:rPr>
        <w:t xml:space="preserve"> pagos de la actividad </w:t>
      </w:r>
      <w:r w:rsidR="005A1CBE" w:rsidRPr="003A115E">
        <w:rPr>
          <w:lang w:val="es-ES"/>
        </w:rPr>
        <w:t>auditada</w:t>
      </w:r>
      <w:r w:rsidR="005A1CBE">
        <w:rPr>
          <w:lang w:val="es-ES"/>
        </w:rPr>
        <w:t xml:space="preserve">. </w:t>
      </w:r>
      <w:r w:rsidR="005A1CBE" w:rsidRPr="003A115E">
        <w:rPr>
          <w:lang w:val="es-ES"/>
        </w:rPr>
        <w:t>La</w:t>
      </w:r>
      <w:r w:rsidR="009529DF" w:rsidRPr="003A115E">
        <w:rPr>
          <w:lang w:val="es-ES"/>
        </w:rPr>
        <w:t xml:space="preserve"> </w:t>
      </w:r>
      <w:r w:rsidR="00127BA9" w:rsidRPr="003A115E">
        <w:rPr>
          <w:lang w:val="es-ES"/>
        </w:rPr>
        <w:t xml:space="preserve">auditoría </w:t>
      </w:r>
      <w:r w:rsidR="009529DF" w:rsidRPr="003A115E">
        <w:rPr>
          <w:lang w:val="es-ES"/>
        </w:rPr>
        <w:t>de cumplimiento</w:t>
      </w:r>
      <w:r w:rsidR="00127BA9" w:rsidRPr="003A115E">
        <w:rPr>
          <w:lang w:val="es-ES"/>
        </w:rPr>
        <w:t xml:space="preserve"> fue </w:t>
      </w:r>
      <w:r w:rsidR="005A1CBE" w:rsidRPr="003A115E">
        <w:rPr>
          <w:lang w:val="es-ES"/>
        </w:rPr>
        <w:t>desfavorable</w:t>
      </w:r>
      <w:r w:rsidR="005A1CBE">
        <w:rPr>
          <w:lang w:val="es-ES"/>
        </w:rPr>
        <w:t xml:space="preserve">: </w:t>
      </w:r>
      <w:r w:rsidR="005A1CBE" w:rsidRPr="003A115E">
        <w:rPr>
          <w:lang w:val="es-ES"/>
        </w:rPr>
        <w:t>se</w:t>
      </w:r>
      <w:r w:rsidR="00BF5B53" w:rsidRPr="003A115E">
        <w:rPr>
          <w:lang w:val="es-ES"/>
        </w:rPr>
        <w:t xml:space="preserve"> reflejaron</w:t>
      </w:r>
      <w:r w:rsidR="00127BA9" w:rsidRPr="003A115E">
        <w:rPr>
          <w:lang w:val="es-ES"/>
        </w:rPr>
        <w:t xml:space="preserve"> 12 </w:t>
      </w:r>
      <w:r w:rsidR="00BF5B53" w:rsidRPr="003A115E">
        <w:rPr>
          <w:lang w:val="es-ES"/>
        </w:rPr>
        <w:t xml:space="preserve">salvedades por </w:t>
      </w:r>
      <w:r w:rsidR="00127BA9" w:rsidRPr="003A115E">
        <w:rPr>
          <w:lang w:val="es-ES"/>
        </w:rPr>
        <w:t>incumplimientos</w:t>
      </w:r>
      <w:r w:rsidR="0058009A" w:rsidRPr="003A115E">
        <w:rPr>
          <w:lang w:val="es-ES"/>
        </w:rPr>
        <w:t xml:space="preserve"> en materia </w:t>
      </w:r>
      <w:r w:rsidR="005A5599" w:rsidRPr="003A115E">
        <w:rPr>
          <w:lang w:val="es-ES"/>
        </w:rPr>
        <w:t>procedimental,</w:t>
      </w:r>
      <w:r w:rsidR="005E0572" w:rsidRPr="003A115E">
        <w:rPr>
          <w:lang w:val="es-ES"/>
        </w:rPr>
        <w:t xml:space="preserve"> </w:t>
      </w:r>
      <w:r w:rsidR="0058009A" w:rsidRPr="003A115E">
        <w:rPr>
          <w:lang w:val="es-ES"/>
        </w:rPr>
        <w:t>presupuestaria, de contratación</w:t>
      </w:r>
      <w:r w:rsidR="00D125E6" w:rsidRPr="003A115E">
        <w:rPr>
          <w:lang w:val="es-ES"/>
        </w:rPr>
        <w:t xml:space="preserve">, </w:t>
      </w:r>
      <w:r w:rsidR="005E0572" w:rsidRPr="003A115E">
        <w:rPr>
          <w:lang w:val="es-ES"/>
        </w:rPr>
        <w:t xml:space="preserve">de </w:t>
      </w:r>
      <w:r w:rsidR="00D125E6" w:rsidRPr="003A115E">
        <w:rPr>
          <w:lang w:val="es-ES"/>
        </w:rPr>
        <w:t>personal</w:t>
      </w:r>
      <w:r w:rsidR="005E0572" w:rsidRPr="003A115E">
        <w:rPr>
          <w:lang w:val="es-ES"/>
        </w:rPr>
        <w:t xml:space="preserve"> y de</w:t>
      </w:r>
      <w:r w:rsidR="00D125E6" w:rsidRPr="003A115E">
        <w:rPr>
          <w:lang w:val="es-ES"/>
        </w:rPr>
        <w:t xml:space="preserve"> </w:t>
      </w:r>
      <w:r w:rsidR="0058009A" w:rsidRPr="003A115E">
        <w:rPr>
          <w:lang w:val="es-ES"/>
        </w:rPr>
        <w:t>subvenciones</w:t>
      </w:r>
      <w:r w:rsidR="00A55ACD" w:rsidRPr="003A115E">
        <w:rPr>
          <w:lang w:val="es-ES"/>
        </w:rPr>
        <w:t>.</w:t>
      </w:r>
    </w:p>
    <w:p w14:paraId="74958E95" w14:textId="41C948B8" w:rsidR="00766047" w:rsidRPr="003A115E" w:rsidRDefault="002B0298" w:rsidP="7A999140">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rPr>
          <w:lang w:val="es-ES"/>
        </w:rPr>
      </w:pPr>
      <w:r w:rsidRPr="003A115E">
        <w:rPr>
          <w:lang w:val="es-ES"/>
        </w:rPr>
        <w:t>Nueve</w:t>
      </w:r>
      <w:r w:rsidR="00FB3877" w:rsidRPr="003A115E">
        <w:rPr>
          <w:lang w:val="es-ES"/>
        </w:rPr>
        <w:t xml:space="preserve"> </w:t>
      </w:r>
      <w:r w:rsidR="00944BE5" w:rsidRPr="003A115E">
        <w:rPr>
          <w:lang w:val="es-ES"/>
        </w:rPr>
        <w:t xml:space="preserve">ayuntamientos </w:t>
      </w:r>
      <w:r w:rsidR="00676A4C" w:rsidRPr="003A115E">
        <w:rPr>
          <w:lang w:val="es-ES"/>
        </w:rPr>
        <w:t xml:space="preserve">y una sociedad pública dependiente </w:t>
      </w:r>
      <w:r w:rsidR="00FA0D95" w:rsidRPr="003A115E">
        <w:rPr>
          <w:lang w:val="es-ES"/>
        </w:rPr>
        <w:t>tramitaron</w:t>
      </w:r>
      <w:r w:rsidR="00944BE5" w:rsidRPr="003A115E">
        <w:rPr>
          <w:lang w:val="es-ES"/>
        </w:rPr>
        <w:t xml:space="preserve"> como</w:t>
      </w:r>
      <w:r w:rsidR="00766047" w:rsidRPr="003A115E">
        <w:rPr>
          <w:lang w:val="es-ES"/>
        </w:rPr>
        <w:t xml:space="preserve"> contratos de menor cuantía</w:t>
      </w:r>
      <w:r w:rsidR="00724E94" w:rsidRPr="003A115E">
        <w:rPr>
          <w:lang w:val="es-ES"/>
        </w:rPr>
        <w:t xml:space="preserve"> prestaciones que, de acuerdo a su valor estimado</w:t>
      </w:r>
      <w:r w:rsidR="00944BE5" w:rsidRPr="003A115E">
        <w:rPr>
          <w:lang w:val="es-ES"/>
        </w:rPr>
        <w:t xml:space="preserve">, </w:t>
      </w:r>
      <w:r w:rsidR="001A20B6" w:rsidRPr="003A115E">
        <w:rPr>
          <w:lang w:val="es-ES"/>
        </w:rPr>
        <w:t>se debieran</w:t>
      </w:r>
      <w:r w:rsidR="00944BE5" w:rsidRPr="003A115E">
        <w:rPr>
          <w:lang w:val="es-ES"/>
        </w:rPr>
        <w:t xml:space="preserve"> haber </w:t>
      </w:r>
      <w:r w:rsidR="001A20B6" w:rsidRPr="003A115E">
        <w:rPr>
          <w:lang w:val="es-ES"/>
        </w:rPr>
        <w:t xml:space="preserve">licitado por el procedimiento </w:t>
      </w:r>
      <w:r w:rsidR="005F42EC" w:rsidRPr="003A115E">
        <w:rPr>
          <w:lang w:val="es-ES"/>
        </w:rPr>
        <w:t>correspondiente</w:t>
      </w:r>
      <w:r w:rsidR="001A20B6" w:rsidRPr="003A115E">
        <w:rPr>
          <w:lang w:val="es-ES"/>
        </w:rPr>
        <w:t xml:space="preserve"> a su valor estimado</w:t>
      </w:r>
      <w:r w:rsidR="00164A7F" w:rsidRPr="003A115E">
        <w:rPr>
          <w:lang w:val="es-ES"/>
        </w:rPr>
        <w:t>.</w:t>
      </w:r>
    </w:p>
    <w:p w14:paraId="023B9CAB" w14:textId="379B373C" w:rsidR="00164A7F" w:rsidRPr="003A115E" w:rsidRDefault="002B0298" w:rsidP="00CC28BD">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89"/>
      </w:pPr>
      <w:r w:rsidRPr="003A115E">
        <w:t>Siete</w:t>
      </w:r>
      <w:r w:rsidR="008F09B7" w:rsidRPr="003A115E">
        <w:t xml:space="preserve"> </w:t>
      </w:r>
      <w:r w:rsidR="00164A7F" w:rsidRPr="003A115E">
        <w:t xml:space="preserve">ayuntamientos </w:t>
      </w:r>
      <w:r w:rsidR="00676A4C" w:rsidRPr="003A115E">
        <w:t xml:space="preserve">y una sociedad pública dependiente </w:t>
      </w:r>
      <w:r w:rsidR="003E4DCD" w:rsidRPr="003A115E">
        <w:t>reconocieron</w:t>
      </w:r>
      <w:r w:rsidR="000F7AB4" w:rsidRPr="003A115E">
        <w:t xml:space="preserve"> gastos por servicios prestados sin soporte contractual adecuado por e</w:t>
      </w:r>
      <w:r w:rsidR="0033325D" w:rsidRPr="003A115E">
        <w:t>n</w:t>
      </w:r>
      <w:r w:rsidR="000F7AB4" w:rsidRPr="003A115E">
        <w:t>contrarse los contratos vencidos</w:t>
      </w:r>
      <w:r w:rsidR="0033325D" w:rsidRPr="003A115E">
        <w:t>.</w:t>
      </w:r>
    </w:p>
    <w:p w14:paraId="487DCDB7" w14:textId="6E753E39" w:rsidR="00A673DC" w:rsidRPr="003A115E" w:rsidRDefault="0017072A" w:rsidP="00CC28BD">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89"/>
        <w:rPr>
          <w:lang w:val="es-ES"/>
        </w:rPr>
      </w:pPr>
      <w:r w:rsidRPr="003A115E">
        <w:rPr>
          <w:lang w:val="es-ES"/>
        </w:rPr>
        <w:t xml:space="preserve">Un ayuntamiento </w:t>
      </w:r>
      <w:r w:rsidR="003E4DCD" w:rsidRPr="003A115E">
        <w:rPr>
          <w:lang w:val="es-ES"/>
        </w:rPr>
        <w:t>publicó</w:t>
      </w:r>
      <w:r w:rsidR="00A673DC" w:rsidRPr="003A115E">
        <w:rPr>
          <w:lang w:val="es-ES"/>
        </w:rPr>
        <w:t xml:space="preserve"> en el BON</w:t>
      </w:r>
      <w:r w:rsidR="00F47E56" w:rsidRPr="003A115E">
        <w:rPr>
          <w:lang w:val="es-ES"/>
        </w:rPr>
        <w:t xml:space="preserve"> el convenio colectivo del personal.</w:t>
      </w:r>
    </w:p>
    <w:p w14:paraId="7656837F" w14:textId="61CDA26E" w:rsidR="006D31F2" w:rsidRPr="003A115E" w:rsidRDefault="175F76A4" w:rsidP="00CC28BD">
      <w:pPr>
        <w:tabs>
          <w:tab w:val="left" w:pos="480"/>
          <w:tab w:val="num" w:pos="1948"/>
          <w:tab w:val="num" w:pos="5040"/>
        </w:tabs>
        <w:spacing w:after="140"/>
        <w:ind w:firstLine="284"/>
        <w:rPr>
          <w:spacing w:val="6"/>
          <w:sz w:val="26"/>
          <w:szCs w:val="26"/>
        </w:rPr>
      </w:pPr>
      <w:r w:rsidRPr="003A115E">
        <w:rPr>
          <w:spacing w:val="6"/>
          <w:sz w:val="26"/>
          <w:szCs w:val="26"/>
        </w:rPr>
        <w:t xml:space="preserve">En materia financiera y de legalidad, las principales recomendaciones incluidas en los informes </w:t>
      </w:r>
      <w:r w:rsidR="006D31F2" w:rsidRPr="003A115E">
        <w:rPr>
          <w:spacing w:val="6"/>
          <w:sz w:val="26"/>
          <w:szCs w:val="26"/>
        </w:rPr>
        <w:t>fueron:</w:t>
      </w:r>
    </w:p>
    <w:p w14:paraId="6AB94AD8" w14:textId="424D7B95" w:rsidR="00A170AD" w:rsidRPr="003A115E" w:rsidRDefault="000B6626" w:rsidP="59121BAC">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lang w:val="es-ES"/>
        </w:rPr>
      </w:pPr>
      <w:r w:rsidRPr="003A115E">
        <w:rPr>
          <w:rFonts w:cs="Arial"/>
          <w:i/>
          <w:iCs/>
          <w:lang w:val="es-ES"/>
        </w:rPr>
        <w:t>Reforzar el control interno del área de personal con el fin de evitar que se produzcan los errores detectados en las nóminas</w:t>
      </w:r>
      <w:r w:rsidR="175F76A4" w:rsidRPr="003A115E">
        <w:rPr>
          <w:rFonts w:cs="Arial"/>
          <w:i/>
          <w:iCs/>
          <w:lang w:val="es-ES"/>
        </w:rPr>
        <w:t>.</w:t>
      </w:r>
      <w:r w:rsidR="5E08B5FC" w:rsidRPr="003A115E">
        <w:rPr>
          <w:rFonts w:cs="Arial"/>
          <w:i/>
          <w:iCs/>
          <w:lang w:val="es-ES"/>
        </w:rPr>
        <w:t xml:space="preserve"> </w:t>
      </w:r>
    </w:p>
    <w:p w14:paraId="3F5CA038" w14:textId="4FEDF217" w:rsidR="00A170AD" w:rsidRPr="003A115E" w:rsidRDefault="00E660E3" w:rsidP="00E660E3">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rPr>
      </w:pPr>
      <w:r w:rsidRPr="003A115E">
        <w:rPr>
          <w:rFonts w:cs="Arial"/>
          <w:i/>
          <w:iCs/>
        </w:rPr>
        <w:t>Licitar y adjudicar, mediante el procedimiento adecuado, todos los contratos cuyo valor estimado supere los límites que permiten utilizar el régimen especial para contratos de menor cuantía</w:t>
      </w:r>
      <w:r w:rsidR="175F76A4" w:rsidRPr="003A115E">
        <w:rPr>
          <w:rFonts w:cs="Arial"/>
          <w:i/>
          <w:iCs/>
        </w:rPr>
        <w:t xml:space="preserve">. </w:t>
      </w:r>
    </w:p>
    <w:p w14:paraId="45EA6166" w14:textId="315739F2" w:rsidR="00A90022" w:rsidRPr="003A115E" w:rsidRDefault="00E660E3" w:rsidP="7A999140">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lang w:val="es-ES"/>
        </w:rPr>
      </w:pPr>
      <w:r w:rsidRPr="003A115E">
        <w:rPr>
          <w:rFonts w:cs="Arial"/>
          <w:i/>
          <w:iCs/>
          <w:lang w:val="es-ES"/>
        </w:rPr>
        <w:t>Establecer una adecuada planificación temporal de los procedimientos de licitación de los contratos con el fin de evitar la superación del plazo máximo de vigencia de los mismos</w:t>
      </w:r>
      <w:r w:rsidR="175F76A4" w:rsidRPr="003A115E">
        <w:rPr>
          <w:rFonts w:cs="Arial"/>
          <w:i/>
          <w:iCs/>
          <w:lang w:val="es-ES"/>
        </w:rPr>
        <w:t>.</w:t>
      </w:r>
    </w:p>
    <w:p w14:paraId="4A385659" w14:textId="04887487" w:rsidR="00A90022" w:rsidRPr="003A115E" w:rsidRDefault="000C2BDD" w:rsidP="7A999140">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lang w:val="es-ES"/>
        </w:rPr>
      </w:pPr>
      <w:r w:rsidRPr="003A115E">
        <w:rPr>
          <w:rFonts w:cs="Arial"/>
          <w:i/>
          <w:iCs/>
          <w:lang w:val="es-ES"/>
        </w:rPr>
        <w:t>Publicar la relación trimestral de la contratación en régimen especial de menor cuantía de acuerdo a lo establecido en la normativa</w:t>
      </w:r>
      <w:r w:rsidR="6C54C311" w:rsidRPr="003A115E">
        <w:rPr>
          <w:rFonts w:cs="Arial"/>
          <w:i/>
          <w:iCs/>
          <w:lang w:val="es-ES"/>
        </w:rPr>
        <w:t xml:space="preserve">. </w:t>
      </w:r>
    </w:p>
    <w:p w14:paraId="32DEBFD3" w14:textId="3AF9C2CF" w:rsidR="00A170AD" w:rsidRPr="003A115E" w:rsidRDefault="000C2BDD" w:rsidP="000C2BDD">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rPr>
      </w:pPr>
      <w:r w:rsidRPr="003A115E">
        <w:rPr>
          <w:rFonts w:cs="Arial"/>
          <w:i/>
          <w:iCs/>
        </w:rPr>
        <w:t>Elaborar un modelo de memoria de la actuación subvencionada y de presentación de justificación de gastos e ingresos de la actividad subvencionada para facilitar la presentación de dicha documentación a los beneficiarios y su posterior revisión exigiendo su presentación en todos los casos</w:t>
      </w:r>
      <w:r w:rsidR="175F76A4" w:rsidRPr="003A115E">
        <w:rPr>
          <w:rFonts w:cs="Arial"/>
          <w:i/>
          <w:iCs/>
        </w:rPr>
        <w:t>.</w:t>
      </w:r>
    </w:p>
    <w:p w14:paraId="4F48E8C3" w14:textId="5435EFB7" w:rsidR="00A170AD" w:rsidRPr="003A115E" w:rsidRDefault="00F737A3" w:rsidP="68CCFB83">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rPr>
      </w:pPr>
      <w:r w:rsidRPr="003A115E">
        <w:rPr>
          <w:rFonts w:cs="Arial"/>
          <w:i/>
          <w:iCs/>
        </w:rPr>
        <w:t>Publicar en la Base de Datos Nacional de Subvenciones</w:t>
      </w:r>
      <w:r w:rsidR="00203471" w:rsidRPr="003A115E">
        <w:rPr>
          <w:rFonts w:cs="Arial"/>
          <w:i/>
          <w:iCs/>
        </w:rPr>
        <w:t xml:space="preserve"> las subvenciones</w:t>
      </w:r>
      <w:r w:rsidRPr="003A115E">
        <w:rPr>
          <w:rFonts w:cs="Arial"/>
          <w:i/>
          <w:iCs/>
        </w:rPr>
        <w:t xml:space="preserve"> concedidas</w:t>
      </w:r>
      <w:r w:rsidR="175F76A4" w:rsidRPr="003A115E">
        <w:rPr>
          <w:rFonts w:cs="Arial"/>
          <w:i/>
          <w:iCs/>
        </w:rPr>
        <w:t>.</w:t>
      </w:r>
    </w:p>
    <w:p w14:paraId="53E497FA" w14:textId="096037B0" w:rsidR="00F519D3" w:rsidRPr="003A115E" w:rsidRDefault="00F737A3" w:rsidP="00134529">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spacing w:val="4"/>
        </w:rPr>
      </w:pPr>
      <w:r w:rsidRPr="003A115E">
        <w:rPr>
          <w:rFonts w:cs="Arial"/>
          <w:i/>
          <w:iCs/>
        </w:rPr>
        <w:t>Aprobar</w:t>
      </w:r>
      <w:r w:rsidRPr="003A115E">
        <w:rPr>
          <w:rFonts w:cs="Arial"/>
          <w:i/>
          <w:iCs/>
          <w:spacing w:val="4"/>
        </w:rPr>
        <w:t xml:space="preserve"> un plan estratégico de subvenciones en el que se establezcan objetivos, efectos, costes previsibles y fuentes de financiación</w:t>
      </w:r>
      <w:r w:rsidR="175F76A4" w:rsidRPr="003A115E">
        <w:rPr>
          <w:rFonts w:cs="Arial"/>
          <w:i/>
          <w:iCs/>
          <w:spacing w:val="4"/>
        </w:rPr>
        <w:t xml:space="preserve">. </w:t>
      </w:r>
    </w:p>
    <w:p w14:paraId="54F44A46" w14:textId="270F64ED" w:rsidR="00F519D3" w:rsidRPr="003A115E" w:rsidRDefault="00134529" w:rsidP="7A999140">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lang w:val="es-ES"/>
        </w:rPr>
      </w:pPr>
      <w:r w:rsidRPr="003A115E">
        <w:rPr>
          <w:rFonts w:cs="Arial"/>
          <w:i/>
          <w:iCs/>
          <w:lang w:val="es-ES"/>
        </w:rPr>
        <w:t xml:space="preserve">Desarrollar reglamentariamente el régimen de justificación de la financiación de los grupos municipales, regulando tanto el destino de sus dotaciones </w:t>
      </w:r>
      <w:r w:rsidRPr="003A115E">
        <w:rPr>
          <w:rFonts w:cs="Arial"/>
          <w:i/>
          <w:iCs/>
          <w:lang w:val="es-ES"/>
        </w:rPr>
        <w:lastRenderedPageBreak/>
        <w:t>económicas, como los requisitos formales y el procedimiento, de manera que el destino de las dotaciones económicas sea sometido a la fiscalización de la intervención y a conocimiento del pleno al menos anualmente</w:t>
      </w:r>
      <w:r w:rsidR="00F519D3" w:rsidRPr="003A115E">
        <w:rPr>
          <w:rFonts w:cs="Arial"/>
          <w:i/>
          <w:iCs/>
          <w:lang w:val="es-ES"/>
        </w:rPr>
        <w:t>.</w:t>
      </w:r>
    </w:p>
    <w:p w14:paraId="79AF4C0D" w14:textId="1EA33E01" w:rsidR="003C45A1" w:rsidRDefault="00134529" w:rsidP="00134529">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rPr>
      </w:pPr>
      <w:r w:rsidRPr="003A115E">
        <w:rPr>
          <w:rFonts w:cs="Arial"/>
          <w:i/>
          <w:iCs/>
        </w:rPr>
        <w:t>Exigir a los beneficiarios la justificación de estar al corriente del cumplimiento de sus obligaciones tributarias y con la Seguridad Social con anterioridad a la concesión de la subvención</w:t>
      </w:r>
      <w:r w:rsidR="00F519D3" w:rsidRPr="003A115E">
        <w:rPr>
          <w:rFonts w:cs="Arial"/>
          <w:i/>
          <w:iCs/>
        </w:rPr>
        <w:t>.</w:t>
      </w:r>
    </w:p>
    <w:p w14:paraId="778E6C93" w14:textId="77777777" w:rsidR="003C45A1" w:rsidRDefault="003C45A1">
      <w:pPr>
        <w:rPr>
          <w:rFonts w:cs="Arial"/>
          <w:i/>
          <w:iCs/>
          <w:spacing w:val="6"/>
          <w:sz w:val="26"/>
          <w:lang w:val="es-ES_tradnl" w:eastAsia="en-US"/>
        </w:rPr>
      </w:pPr>
      <w:r>
        <w:rPr>
          <w:rFonts w:cs="Arial"/>
          <w:i/>
          <w:iCs/>
        </w:rPr>
        <w:br w:type="page"/>
      </w:r>
    </w:p>
    <w:p w14:paraId="1279CA73" w14:textId="6CD2FB81" w:rsidR="00345C6C" w:rsidRPr="003A115E" w:rsidRDefault="00345C6C" w:rsidP="005344D8">
      <w:pPr>
        <w:pStyle w:val="atitulo1"/>
        <w:spacing w:before="240"/>
        <w:rPr>
          <w:color w:val="auto"/>
        </w:rPr>
      </w:pPr>
      <w:bookmarkStart w:id="55" w:name="_Toc24100142"/>
      <w:bookmarkStart w:id="56" w:name="_Toc52348290"/>
      <w:bookmarkStart w:id="57" w:name="_Toc183679746"/>
      <w:r w:rsidRPr="003A115E">
        <w:rPr>
          <w:color w:val="auto"/>
        </w:rPr>
        <w:lastRenderedPageBreak/>
        <w:t>V</w:t>
      </w:r>
      <w:r w:rsidR="00683931" w:rsidRPr="003A115E">
        <w:rPr>
          <w:color w:val="auto"/>
        </w:rPr>
        <w:t>I</w:t>
      </w:r>
      <w:r w:rsidRPr="003A115E">
        <w:rPr>
          <w:color w:val="auto"/>
        </w:rPr>
        <w:t>. Situación financiera del sector público local</w:t>
      </w:r>
      <w:bookmarkEnd w:id="55"/>
      <w:bookmarkEnd w:id="56"/>
      <w:bookmarkEnd w:id="57"/>
    </w:p>
    <w:p w14:paraId="6BD18F9B" w14:textId="514DFA06" w:rsidR="00EC4C05" w:rsidRPr="003A115E" w:rsidRDefault="34CD8A04" w:rsidP="003D27ED">
      <w:pPr>
        <w:pStyle w:val="texto"/>
        <w:spacing w:after="0"/>
        <w:rPr>
          <w:lang w:val="es-ES"/>
        </w:rPr>
      </w:pPr>
      <w:bookmarkStart w:id="58" w:name="_Toc24100147"/>
      <w:bookmarkStart w:id="59" w:name="_Toc52348295"/>
      <w:r w:rsidRPr="003A115E">
        <w:rPr>
          <w:lang w:val="es-ES"/>
        </w:rPr>
        <w:t xml:space="preserve">El informe </w:t>
      </w:r>
      <w:r w:rsidR="2C7397AF" w:rsidRPr="003A115E">
        <w:rPr>
          <w:lang w:val="es-ES"/>
        </w:rPr>
        <w:t xml:space="preserve">sobre </w:t>
      </w:r>
      <w:r w:rsidRPr="003A115E">
        <w:rPr>
          <w:lang w:val="es-ES"/>
        </w:rPr>
        <w:t>el sector público local del año 202</w:t>
      </w:r>
      <w:r w:rsidR="006F5C60" w:rsidRPr="003A115E">
        <w:rPr>
          <w:lang w:val="es-ES"/>
        </w:rPr>
        <w:t>2</w:t>
      </w:r>
      <w:r w:rsidR="00E70B14" w:rsidRPr="003A115E">
        <w:rPr>
          <w:lang w:val="es-ES"/>
        </w:rPr>
        <w:t xml:space="preserve"> elaborado por el departamento</w:t>
      </w:r>
      <w:r w:rsidRPr="003A115E">
        <w:rPr>
          <w:lang w:val="es-ES"/>
        </w:rPr>
        <w:t xml:space="preserve">, </w:t>
      </w:r>
      <w:r w:rsidR="2C7397AF" w:rsidRPr="003A115E">
        <w:rPr>
          <w:lang w:val="es-ES"/>
        </w:rPr>
        <w:t>que adjuntamos en el Anexo II</w:t>
      </w:r>
      <w:r w:rsidRPr="003A115E">
        <w:rPr>
          <w:lang w:val="es-ES"/>
        </w:rPr>
        <w:t xml:space="preserve">, presenta la información consolidada de los entes locales con sus </w:t>
      </w:r>
      <w:r w:rsidR="1D10AC8D" w:rsidRPr="003A115E">
        <w:rPr>
          <w:lang w:val="es-ES"/>
        </w:rPr>
        <w:t>OO.AA.</w:t>
      </w:r>
      <w:r w:rsidR="6A28BBB8" w:rsidRPr="003A115E">
        <w:rPr>
          <w:lang w:val="es-ES"/>
        </w:rPr>
        <w:t xml:space="preserve"> Dicho informe incorpora, un apartado que </w:t>
      </w:r>
      <w:r w:rsidR="006F5C60" w:rsidRPr="003A115E">
        <w:rPr>
          <w:lang w:val="es-ES"/>
        </w:rPr>
        <w:t xml:space="preserve">incluye datos consolidados con la sociedad </w:t>
      </w:r>
      <w:r w:rsidR="00D234B7" w:rsidRPr="003A115E">
        <w:rPr>
          <w:lang w:val="es-ES"/>
        </w:rPr>
        <w:t>pública</w:t>
      </w:r>
      <w:r w:rsidR="006F5C60" w:rsidRPr="003A115E">
        <w:rPr>
          <w:lang w:val="es-ES"/>
        </w:rPr>
        <w:t xml:space="preserve"> </w:t>
      </w:r>
      <w:r w:rsidR="6A28BBB8" w:rsidRPr="003A115E">
        <w:rPr>
          <w:lang w:val="es-ES"/>
        </w:rPr>
        <w:t>SCPSA</w:t>
      </w:r>
      <w:r w:rsidR="00285AB4" w:rsidRPr="003A115E">
        <w:rPr>
          <w:rStyle w:val="Refdenotaalpie"/>
          <w:lang w:val="es-ES"/>
        </w:rPr>
        <w:footnoteReference w:id="5"/>
      </w:r>
      <w:r w:rsidR="6A28BBB8" w:rsidRPr="003A115E">
        <w:rPr>
          <w:lang w:val="es-ES"/>
        </w:rPr>
        <w:t>, dependiente de la Mancomu</w:t>
      </w:r>
      <w:r w:rsidR="00D234B7" w:rsidRPr="003A115E">
        <w:rPr>
          <w:lang w:val="es-ES"/>
        </w:rPr>
        <w:t>nidad de la Comarca de Pamplona</w:t>
      </w:r>
      <w:r w:rsidR="6A28BBB8" w:rsidRPr="003A115E">
        <w:rPr>
          <w:lang w:val="es-ES"/>
        </w:rPr>
        <w:t xml:space="preserve">. </w:t>
      </w:r>
      <w:r w:rsidR="00105158" w:rsidRPr="003A115E">
        <w:rPr>
          <w:lang w:val="es-ES"/>
        </w:rPr>
        <w:t>Para la comparación con los ejercicios anteriores</w:t>
      </w:r>
      <w:r w:rsidR="003F02F7" w:rsidRPr="003A115E">
        <w:rPr>
          <w:lang w:val="es-ES"/>
        </w:rPr>
        <w:t>,</w:t>
      </w:r>
      <w:r w:rsidR="00C0004C" w:rsidRPr="003A115E">
        <w:rPr>
          <w:lang w:val="es-ES"/>
        </w:rPr>
        <w:t xml:space="preserve"> tomamos </w:t>
      </w:r>
      <w:r w:rsidR="00AE5EBE" w:rsidRPr="003A115E">
        <w:rPr>
          <w:lang w:val="es-ES"/>
        </w:rPr>
        <w:t>los datos</w:t>
      </w:r>
      <w:r w:rsidR="003F02F7" w:rsidRPr="003A115E">
        <w:rPr>
          <w:lang w:val="es-ES"/>
        </w:rPr>
        <w:t xml:space="preserve"> del 2021 que se recogía</w:t>
      </w:r>
      <w:r w:rsidR="00A76DE9" w:rsidRPr="003A115E">
        <w:rPr>
          <w:lang w:val="es-ES"/>
        </w:rPr>
        <w:t>n</w:t>
      </w:r>
      <w:r w:rsidR="003F02F7" w:rsidRPr="003A115E">
        <w:rPr>
          <w:lang w:val="es-ES"/>
        </w:rPr>
        <w:t xml:space="preserve"> en nuestro informe</w:t>
      </w:r>
      <w:r w:rsidR="00105158" w:rsidRPr="003A115E">
        <w:rPr>
          <w:lang w:val="es-ES"/>
        </w:rPr>
        <w:t>.</w:t>
      </w:r>
    </w:p>
    <w:p w14:paraId="4A0BE280" w14:textId="5D196F73" w:rsidR="002A4BE9" w:rsidRPr="003A115E" w:rsidRDefault="00280CDE" w:rsidP="003D27ED">
      <w:pPr>
        <w:pStyle w:val="atitulo2"/>
        <w:spacing w:before="240"/>
        <w:rPr>
          <w:color w:val="auto"/>
        </w:rPr>
      </w:pPr>
      <w:bookmarkStart w:id="60" w:name="_Toc465686688"/>
      <w:bookmarkStart w:id="61" w:name="_Toc529773882"/>
      <w:bookmarkStart w:id="62" w:name="_Toc24100143"/>
      <w:bookmarkStart w:id="63" w:name="_Toc52348291"/>
      <w:bookmarkStart w:id="64" w:name="_Toc123547407"/>
      <w:bookmarkStart w:id="65" w:name="_Toc183679747"/>
      <w:r w:rsidRPr="003A115E">
        <w:rPr>
          <w:color w:val="auto"/>
        </w:rPr>
        <w:t>VI.1</w:t>
      </w:r>
      <w:r w:rsidR="002A4BE9" w:rsidRPr="003A115E">
        <w:rPr>
          <w:color w:val="auto"/>
        </w:rPr>
        <w:t xml:space="preserve"> Ingresos</w:t>
      </w:r>
      <w:bookmarkEnd w:id="60"/>
      <w:bookmarkEnd w:id="61"/>
      <w:bookmarkEnd w:id="62"/>
      <w:bookmarkEnd w:id="63"/>
      <w:bookmarkEnd w:id="64"/>
      <w:bookmarkEnd w:id="65"/>
    </w:p>
    <w:p w14:paraId="5BB5608A" w14:textId="2264CA3E" w:rsidR="00F3012D" w:rsidRPr="003A115E" w:rsidRDefault="002A4BE9" w:rsidP="003D27ED">
      <w:pPr>
        <w:pStyle w:val="texto"/>
        <w:spacing w:after="160"/>
        <w:rPr>
          <w:lang w:val="es-ES"/>
        </w:rPr>
      </w:pPr>
      <w:r w:rsidRPr="003A115E">
        <w:rPr>
          <w:lang w:val="es-ES"/>
        </w:rPr>
        <w:t>A continuación, se muestra un resumen de la ejecución del presupuesto de in</w:t>
      </w:r>
      <w:r w:rsidR="00CF3254" w:rsidRPr="003A115E">
        <w:rPr>
          <w:lang w:val="es-ES"/>
        </w:rPr>
        <w:t xml:space="preserve">gresos de las entidades locales, </w:t>
      </w:r>
      <w:r w:rsidR="00E72E7F" w:rsidRPr="003A115E">
        <w:rPr>
          <w:lang w:val="es-ES"/>
        </w:rPr>
        <w:t>sus OO.AA.</w:t>
      </w:r>
      <w:r w:rsidR="00CF3254" w:rsidRPr="003A115E">
        <w:rPr>
          <w:lang w:val="es-ES"/>
        </w:rPr>
        <w:t xml:space="preserve"> </w:t>
      </w:r>
      <w:r w:rsidR="00B874A9" w:rsidRPr="003A115E">
        <w:rPr>
          <w:lang w:val="es-ES"/>
        </w:rPr>
        <w:t xml:space="preserve">y la sociedad SCPSA </w:t>
      </w:r>
      <w:r w:rsidR="00282D76" w:rsidRPr="003A115E">
        <w:rPr>
          <w:lang w:val="es-ES"/>
        </w:rPr>
        <w:t>en 2022</w:t>
      </w:r>
      <w:r w:rsidR="007D302F">
        <w:rPr>
          <w:lang w:val="es-ES"/>
        </w:rPr>
        <w:t>.</w:t>
      </w:r>
      <w:r w:rsidR="004B1D69" w:rsidRPr="003A115E">
        <w:rPr>
          <w:lang w:val="es-ES"/>
        </w:rPr>
        <w:t xml:space="preserve"> </w:t>
      </w:r>
    </w:p>
    <w:p w14:paraId="4C5AE97C" w14:textId="5D3143FA" w:rsidR="002A4BE9" w:rsidRPr="003A115E" w:rsidRDefault="00E0306B" w:rsidP="00164004">
      <w:pPr>
        <w:pStyle w:val="texto"/>
        <w:spacing w:after="0"/>
        <w:ind w:right="-1"/>
        <w:jc w:val="right"/>
        <w:rPr>
          <w:rFonts w:ascii="Arial Narrow" w:hAnsi="Arial Narrow"/>
          <w:sz w:val="18"/>
          <w:szCs w:val="18"/>
        </w:rPr>
      </w:pPr>
      <w:r w:rsidRPr="003A115E">
        <w:rPr>
          <w:rFonts w:ascii="Arial Narrow" w:hAnsi="Arial Narrow"/>
          <w:sz w:val="18"/>
          <w:szCs w:val="18"/>
        </w:rPr>
        <w:t>(</w:t>
      </w:r>
      <w:r w:rsidR="0092357E" w:rsidRPr="003A115E">
        <w:rPr>
          <w:rFonts w:ascii="Arial Narrow" w:hAnsi="Arial Narrow"/>
          <w:sz w:val="18"/>
          <w:szCs w:val="18"/>
        </w:rPr>
        <w:t>m</w:t>
      </w:r>
      <w:r w:rsidR="002A4BE9" w:rsidRPr="003A115E">
        <w:rPr>
          <w:rFonts w:ascii="Arial Narrow" w:hAnsi="Arial Narrow"/>
          <w:sz w:val="18"/>
          <w:szCs w:val="18"/>
        </w:rPr>
        <w:t>illones</w:t>
      </w:r>
      <w:r w:rsidRPr="003A115E">
        <w:rPr>
          <w:rFonts w:ascii="Arial Narrow" w:hAnsi="Arial Narrow"/>
          <w:sz w:val="18"/>
          <w:szCs w:val="18"/>
        </w:rPr>
        <w:t>)</w:t>
      </w:r>
      <w:r w:rsidR="002A4BE9" w:rsidRPr="003A115E">
        <w:rPr>
          <w:rFonts w:ascii="Arial Narrow" w:hAnsi="Arial Narrow"/>
          <w:sz w:val="18"/>
          <w:szCs w:val="18"/>
        </w:rPr>
        <w:t xml:space="preserve"> </w:t>
      </w:r>
    </w:p>
    <w:tbl>
      <w:tblPr>
        <w:tblW w:w="5040" w:type="pct"/>
        <w:tblLayout w:type="fixed"/>
        <w:tblCellMar>
          <w:left w:w="70" w:type="dxa"/>
          <w:right w:w="70" w:type="dxa"/>
        </w:tblCellMar>
        <w:tblLook w:val="04A0" w:firstRow="1" w:lastRow="0" w:firstColumn="1" w:lastColumn="0" w:noHBand="0" w:noVBand="1"/>
      </w:tblPr>
      <w:tblGrid>
        <w:gridCol w:w="2216"/>
        <w:gridCol w:w="1045"/>
        <w:gridCol w:w="1132"/>
        <w:gridCol w:w="994"/>
        <w:gridCol w:w="709"/>
        <w:gridCol w:w="992"/>
        <w:gridCol w:w="780"/>
        <w:gridCol w:w="990"/>
      </w:tblGrid>
      <w:tr w:rsidR="000A742F" w:rsidRPr="003A115E" w14:paraId="3468DECD" w14:textId="77777777" w:rsidTr="00F131AF">
        <w:trPr>
          <w:trHeight w:val="255"/>
        </w:trPr>
        <w:tc>
          <w:tcPr>
            <w:tcW w:w="1251" w:type="pct"/>
            <w:tcBorders>
              <w:top w:val="single" w:sz="4" w:space="0" w:color="auto"/>
              <w:left w:val="nil"/>
              <w:bottom w:val="single" w:sz="4" w:space="0" w:color="auto"/>
              <w:right w:val="nil"/>
            </w:tcBorders>
            <w:shd w:val="clear" w:color="auto" w:fill="FABF8F" w:themeFill="accent6" w:themeFillTint="99"/>
            <w:tcMar>
              <w:left w:w="0" w:type="dxa"/>
              <w:right w:w="0" w:type="dxa"/>
            </w:tcMar>
            <w:vAlign w:val="center"/>
            <w:hideMark/>
          </w:tcPr>
          <w:p w14:paraId="56A7E160" w14:textId="77777777" w:rsidR="0047072D" w:rsidRPr="003A115E" w:rsidRDefault="0047072D" w:rsidP="002D44BC">
            <w:pPr>
              <w:pStyle w:val="cuadroCabe"/>
              <w:rPr>
                <w:szCs w:val="18"/>
              </w:rPr>
            </w:pPr>
            <w:r w:rsidRPr="003A115E">
              <w:rPr>
                <w:szCs w:val="18"/>
              </w:rPr>
              <w:t>Capítulo</w:t>
            </w:r>
          </w:p>
        </w:tc>
        <w:tc>
          <w:tcPr>
            <w:tcW w:w="590" w:type="pct"/>
            <w:tcBorders>
              <w:top w:val="single" w:sz="4" w:space="0" w:color="auto"/>
              <w:left w:val="nil"/>
              <w:bottom w:val="single" w:sz="4" w:space="0" w:color="auto"/>
              <w:right w:val="single" w:sz="2" w:space="0" w:color="auto"/>
            </w:tcBorders>
            <w:shd w:val="clear" w:color="auto" w:fill="FABF8F" w:themeFill="accent6" w:themeFillTint="99"/>
            <w:tcMar>
              <w:left w:w="0" w:type="dxa"/>
              <w:right w:w="0" w:type="dxa"/>
            </w:tcMar>
            <w:vAlign w:val="center"/>
            <w:hideMark/>
          </w:tcPr>
          <w:p w14:paraId="340F81E4" w14:textId="77777777" w:rsidR="00F423D8" w:rsidRPr="003A115E" w:rsidRDefault="0047072D" w:rsidP="002D44BC">
            <w:pPr>
              <w:pStyle w:val="cuadroCabe"/>
              <w:jc w:val="right"/>
              <w:rPr>
                <w:szCs w:val="18"/>
                <w:lang w:val="es-ES"/>
              </w:rPr>
            </w:pPr>
            <w:r w:rsidRPr="003A115E">
              <w:rPr>
                <w:szCs w:val="18"/>
                <w:lang w:val="es-ES"/>
              </w:rPr>
              <w:t>Prev.</w:t>
            </w:r>
          </w:p>
          <w:p w14:paraId="017DFCB7" w14:textId="28DD3280" w:rsidR="0047072D" w:rsidRPr="003A115E" w:rsidRDefault="0047072D" w:rsidP="002D44BC">
            <w:pPr>
              <w:pStyle w:val="cuadroCabe"/>
              <w:jc w:val="right"/>
              <w:rPr>
                <w:szCs w:val="18"/>
              </w:rPr>
            </w:pPr>
            <w:r w:rsidRPr="003A115E">
              <w:rPr>
                <w:szCs w:val="18"/>
                <w:lang w:val="es-ES"/>
              </w:rPr>
              <w:t xml:space="preserve"> </w:t>
            </w:r>
            <w:r w:rsidR="00F423D8" w:rsidRPr="003A115E">
              <w:rPr>
                <w:szCs w:val="18"/>
                <w:lang w:val="es-ES"/>
              </w:rPr>
              <w:t>d</w:t>
            </w:r>
            <w:r w:rsidRPr="003A115E">
              <w:rPr>
                <w:szCs w:val="18"/>
                <w:lang w:val="es-ES"/>
              </w:rPr>
              <w:t>efinitivas</w:t>
            </w:r>
          </w:p>
        </w:tc>
        <w:tc>
          <w:tcPr>
            <w:tcW w:w="639" w:type="pct"/>
            <w:tcBorders>
              <w:top w:val="single" w:sz="4" w:space="0" w:color="auto"/>
              <w:left w:val="single" w:sz="2" w:space="0" w:color="auto"/>
              <w:bottom w:val="single" w:sz="4" w:space="0" w:color="auto"/>
              <w:right w:val="nil"/>
            </w:tcBorders>
            <w:shd w:val="clear" w:color="auto" w:fill="FABF8F" w:themeFill="accent6" w:themeFillTint="99"/>
            <w:tcMar>
              <w:left w:w="0" w:type="dxa"/>
              <w:right w:w="0" w:type="dxa"/>
            </w:tcMar>
            <w:vAlign w:val="center"/>
            <w:hideMark/>
          </w:tcPr>
          <w:p w14:paraId="5954ADFA" w14:textId="77777777" w:rsidR="0047072D" w:rsidRPr="003A115E" w:rsidRDefault="0047072D" w:rsidP="002D44BC">
            <w:pPr>
              <w:pStyle w:val="cuadroCabe"/>
              <w:jc w:val="right"/>
              <w:rPr>
                <w:szCs w:val="18"/>
              </w:rPr>
            </w:pPr>
            <w:r w:rsidRPr="003A115E">
              <w:rPr>
                <w:szCs w:val="18"/>
              </w:rPr>
              <w:t>DRN 2022</w:t>
            </w:r>
          </w:p>
        </w:tc>
        <w:tc>
          <w:tcPr>
            <w:tcW w:w="561" w:type="pct"/>
            <w:tcBorders>
              <w:top w:val="single" w:sz="4" w:space="0" w:color="auto"/>
              <w:left w:val="nil"/>
              <w:bottom w:val="single" w:sz="4" w:space="0" w:color="auto"/>
              <w:right w:val="nil"/>
            </w:tcBorders>
            <w:shd w:val="clear" w:color="auto" w:fill="FABF8F" w:themeFill="accent6" w:themeFillTint="99"/>
            <w:tcMar>
              <w:left w:w="0" w:type="dxa"/>
              <w:right w:w="0" w:type="dxa"/>
            </w:tcMar>
            <w:vAlign w:val="center"/>
            <w:hideMark/>
          </w:tcPr>
          <w:p w14:paraId="20A34430" w14:textId="77777777" w:rsidR="0047072D" w:rsidRPr="003A115E" w:rsidRDefault="0047072D" w:rsidP="002D44BC">
            <w:pPr>
              <w:pStyle w:val="cuadroCabe"/>
              <w:jc w:val="right"/>
              <w:rPr>
                <w:szCs w:val="18"/>
              </w:rPr>
            </w:pPr>
            <w:r w:rsidRPr="003A115E">
              <w:rPr>
                <w:szCs w:val="18"/>
              </w:rPr>
              <w:t>% s/ total ingresos</w:t>
            </w:r>
          </w:p>
        </w:tc>
        <w:tc>
          <w:tcPr>
            <w:tcW w:w="400" w:type="pct"/>
            <w:tcBorders>
              <w:top w:val="single" w:sz="4" w:space="0" w:color="auto"/>
              <w:left w:val="nil"/>
              <w:bottom w:val="single" w:sz="4" w:space="0" w:color="auto"/>
              <w:right w:val="single" w:sz="2" w:space="0" w:color="auto"/>
            </w:tcBorders>
            <w:shd w:val="clear" w:color="auto" w:fill="FABF8F" w:themeFill="accent6" w:themeFillTint="99"/>
            <w:tcMar>
              <w:left w:w="0" w:type="dxa"/>
              <w:right w:w="0" w:type="dxa"/>
            </w:tcMar>
            <w:vAlign w:val="center"/>
            <w:hideMark/>
          </w:tcPr>
          <w:p w14:paraId="327BA7C0" w14:textId="77777777" w:rsidR="0047072D" w:rsidRPr="003A115E" w:rsidRDefault="0047072D" w:rsidP="002D44BC">
            <w:pPr>
              <w:pStyle w:val="cuadroCabe"/>
              <w:jc w:val="right"/>
              <w:rPr>
                <w:szCs w:val="18"/>
              </w:rPr>
            </w:pPr>
            <w:r w:rsidRPr="003A115E">
              <w:rPr>
                <w:szCs w:val="18"/>
              </w:rPr>
              <w:t>% ejecución</w:t>
            </w:r>
          </w:p>
        </w:tc>
        <w:tc>
          <w:tcPr>
            <w:tcW w:w="560" w:type="pct"/>
            <w:tcBorders>
              <w:top w:val="single" w:sz="4" w:space="0" w:color="auto"/>
              <w:left w:val="single" w:sz="2" w:space="0" w:color="auto"/>
              <w:bottom w:val="single" w:sz="4" w:space="0" w:color="auto"/>
              <w:right w:val="nil"/>
            </w:tcBorders>
            <w:shd w:val="clear" w:color="auto" w:fill="FABF8F" w:themeFill="accent6" w:themeFillTint="99"/>
            <w:tcMar>
              <w:left w:w="0" w:type="dxa"/>
              <w:right w:w="0" w:type="dxa"/>
            </w:tcMar>
            <w:vAlign w:val="center"/>
            <w:hideMark/>
          </w:tcPr>
          <w:p w14:paraId="4CDF4113" w14:textId="1051EEA9" w:rsidR="0047072D" w:rsidRPr="003A115E" w:rsidRDefault="0047072D" w:rsidP="002D44BC">
            <w:pPr>
              <w:pStyle w:val="cuadroCabe"/>
              <w:jc w:val="right"/>
              <w:rPr>
                <w:szCs w:val="18"/>
              </w:rPr>
            </w:pPr>
            <w:r w:rsidRPr="003A115E">
              <w:rPr>
                <w:szCs w:val="18"/>
              </w:rPr>
              <w:t>Var</w:t>
            </w:r>
            <w:r w:rsidR="00A6301F">
              <w:rPr>
                <w:szCs w:val="18"/>
              </w:rPr>
              <w:t>.</w:t>
            </w:r>
            <w:r w:rsidRPr="003A115E">
              <w:rPr>
                <w:szCs w:val="18"/>
              </w:rPr>
              <w:t xml:space="preserve"> DRN 2022/21</w:t>
            </w:r>
          </w:p>
        </w:tc>
        <w:tc>
          <w:tcPr>
            <w:tcW w:w="440" w:type="pct"/>
            <w:tcBorders>
              <w:top w:val="single" w:sz="4" w:space="0" w:color="auto"/>
              <w:left w:val="nil"/>
              <w:bottom w:val="single" w:sz="4" w:space="0" w:color="auto"/>
              <w:right w:val="single" w:sz="2" w:space="0" w:color="auto"/>
            </w:tcBorders>
            <w:shd w:val="clear" w:color="auto" w:fill="FABF8F" w:themeFill="accent6" w:themeFillTint="99"/>
            <w:tcMar>
              <w:left w:w="0" w:type="dxa"/>
              <w:right w:w="0" w:type="dxa"/>
            </w:tcMar>
            <w:vAlign w:val="center"/>
            <w:hideMark/>
          </w:tcPr>
          <w:p w14:paraId="3C4ECD80" w14:textId="77777777" w:rsidR="00F423D8" w:rsidRPr="003A115E" w:rsidRDefault="0047072D" w:rsidP="002D44BC">
            <w:pPr>
              <w:pStyle w:val="cuadroCabe"/>
              <w:jc w:val="right"/>
              <w:rPr>
                <w:rFonts w:cs="Arial"/>
                <w:szCs w:val="18"/>
              </w:rPr>
            </w:pPr>
            <w:r w:rsidRPr="003A115E">
              <w:rPr>
                <w:rFonts w:cs="Arial"/>
                <w:szCs w:val="18"/>
              </w:rPr>
              <w:t>%</w:t>
            </w:r>
            <w:proofErr w:type="spellStart"/>
            <w:r w:rsidRPr="003A115E">
              <w:rPr>
                <w:rFonts w:cs="Arial"/>
                <w:szCs w:val="18"/>
              </w:rPr>
              <w:t>var</w:t>
            </w:r>
            <w:proofErr w:type="spellEnd"/>
            <w:r w:rsidRPr="003A115E">
              <w:rPr>
                <w:rFonts w:cs="Arial"/>
                <w:szCs w:val="18"/>
              </w:rPr>
              <w:t>.</w:t>
            </w:r>
          </w:p>
          <w:p w14:paraId="2BD044F4" w14:textId="42A7D979" w:rsidR="0047072D" w:rsidRPr="003A115E" w:rsidRDefault="0047072D" w:rsidP="002D44BC">
            <w:pPr>
              <w:pStyle w:val="cuadroCabe"/>
              <w:jc w:val="right"/>
              <w:rPr>
                <w:rFonts w:cs="Arial"/>
                <w:szCs w:val="18"/>
              </w:rPr>
            </w:pPr>
            <w:r w:rsidRPr="003A115E">
              <w:rPr>
                <w:rFonts w:cs="Arial"/>
                <w:szCs w:val="18"/>
              </w:rPr>
              <w:t>2022/21</w:t>
            </w:r>
          </w:p>
        </w:tc>
        <w:tc>
          <w:tcPr>
            <w:tcW w:w="559" w:type="pct"/>
            <w:tcBorders>
              <w:top w:val="single" w:sz="4" w:space="0" w:color="auto"/>
              <w:left w:val="single" w:sz="2" w:space="0" w:color="auto"/>
              <w:bottom w:val="single" w:sz="4" w:space="0" w:color="auto"/>
              <w:right w:val="nil"/>
            </w:tcBorders>
            <w:shd w:val="clear" w:color="auto" w:fill="FABF8F" w:themeFill="accent6" w:themeFillTint="99"/>
            <w:tcMar>
              <w:left w:w="0" w:type="dxa"/>
              <w:right w:w="0" w:type="dxa"/>
            </w:tcMar>
            <w:vAlign w:val="center"/>
            <w:hideMark/>
          </w:tcPr>
          <w:p w14:paraId="6FF21051" w14:textId="77777777" w:rsidR="0047072D" w:rsidRPr="003A115E" w:rsidRDefault="0047072D" w:rsidP="002D44BC">
            <w:pPr>
              <w:pStyle w:val="cuadroCabe"/>
              <w:jc w:val="right"/>
              <w:rPr>
                <w:szCs w:val="18"/>
              </w:rPr>
            </w:pPr>
            <w:r w:rsidRPr="003A115E">
              <w:rPr>
                <w:szCs w:val="18"/>
              </w:rPr>
              <w:t>DRN 2022 (*)</w:t>
            </w:r>
          </w:p>
        </w:tc>
      </w:tr>
      <w:tr w:rsidR="000A742F" w:rsidRPr="003A115E" w14:paraId="475CBBEC" w14:textId="77777777" w:rsidTr="00CF24F0">
        <w:trPr>
          <w:trHeight w:val="198"/>
        </w:trPr>
        <w:tc>
          <w:tcPr>
            <w:tcW w:w="1251" w:type="pct"/>
            <w:tcBorders>
              <w:top w:val="nil"/>
              <w:left w:val="nil"/>
              <w:bottom w:val="single" w:sz="2" w:space="0" w:color="auto"/>
              <w:right w:val="nil"/>
            </w:tcBorders>
            <w:shd w:val="clear" w:color="auto" w:fill="auto"/>
            <w:vAlign w:val="center"/>
            <w:hideMark/>
          </w:tcPr>
          <w:p w14:paraId="36381D30" w14:textId="77777777" w:rsidR="0047072D" w:rsidRPr="00036EDF" w:rsidRDefault="0047072D" w:rsidP="002D44BC">
            <w:pPr>
              <w:pStyle w:val="cuatexto"/>
              <w:rPr>
                <w:sz w:val="19"/>
                <w:szCs w:val="19"/>
              </w:rPr>
            </w:pPr>
            <w:r w:rsidRPr="00036EDF">
              <w:rPr>
                <w:sz w:val="19"/>
                <w:szCs w:val="19"/>
                <w:lang w:val="es-ES"/>
              </w:rPr>
              <w:t>1   Impuestos directos</w:t>
            </w:r>
          </w:p>
        </w:tc>
        <w:tc>
          <w:tcPr>
            <w:tcW w:w="590" w:type="pct"/>
            <w:tcBorders>
              <w:top w:val="nil"/>
              <w:left w:val="nil"/>
              <w:bottom w:val="single" w:sz="2" w:space="0" w:color="auto"/>
              <w:right w:val="single" w:sz="2" w:space="0" w:color="auto"/>
            </w:tcBorders>
            <w:shd w:val="clear" w:color="auto" w:fill="auto"/>
            <w:vAlign w:val="center"/>
            <w:hideMark/>
          </w:tcPr>
          <w:p w14:paraId="21C4958D" w14:textId="2285B73B" w:rsidR="0047072D" w:rsidRPr="00036EDF" w:rsidRDefault="0047072D" w:rsidP="002D44BC">
            <w:pPr>
              <w:pStyle w:val="cuatexto"/>
              <w:jc w:val="right"/>
              <w:rPr>
                <w:sz w:val="19"/>
                <w:szCs w:val="19"/>
              </w:rPr>
            </w:pPr>
            <w:r w:rsidRPr="00036EDF">
              <w:rPr>
                <w:sz w:val="19"/>
                <w:szCs w:val="19"/>
              </w:rPr>
              <w:t>192,45</w:t>
            </w:r>
          </w:p>
        </w:tc>
        <w:tc>
          <w:tcPr>
            <w:tcW w:w="639" w:type="pct"/>
            <w:tcBorders>
              <w:top w:val="single" w:sz="4" w:space="0" w:color="auto"/>
              <w:left w:val="single" w:sz="2" w:space="0" w:color="auto"/>
              <w:bottom w:val="single" w:sz="2" w:space="0" w:color="auto"/>
            </w:tcBorders>
            <w:shd w:val="clear" w:color="auto" w:fill="auto"/>
            <w:vAlign w:val="center"/>
            <w:hideMark/>
          </w:tcPr>
          <w:p w14:paraId="0DAA1745" w14:textId="0176C33C" w:rsidR="0047072D" w:rsidRPr="00036EDF" w:rsidRDefault="0047072D" w:rsidP="002D44BC">
            <w:pPr>
              <w:pStyle w:val="cuatexto"/>
              <w:jc w:val="right"/>
              <w:rPr>
                <w:sz w:val="19"/>
                <w:szCs w:val="19"/>
              </w:rPr>
            </w:pPr>
            <w:r w:rsidRPr="00036EDF">
              <w:rPr>
                <w:sz w:val="19"/>
                <w:szCs w:val="19"/>
              </w:rPr>
              <w:t>205,04</w:t>
            </w:r>
          </w:p>
        </w:tc>
        <w:tc>
          <w:tcPr>
            <w:tcW w:w="561" w:type="pct"/>
            <w:tcBorders>
              <w:top w:val="single" w:sz="4" w:space="0" w:color="auto"/>
              <w:bottom w:val="single" w:sz="2" w:space="0" w:color="auto"/>
            </w:tcBorders>
            <w:shd w:val="clear" w:color="auto" w:fill="auto"/>
            <w:vAlign w:val="center"/>
            <w:hideMark/>
          </w:tcPr>
          <w:p w14:paraId="514B6BC3" w14:textId="7935D0F7" w:rsidR="0047072D" w:rsidRPr="00036EDF" w:rsidRDefault="0047072D" w:rsidP="002D44BC">
            <w:pPr>
              <w:pStyle w:val="cuatexto"/>
              <w:jc w:val="right"/>
              <w:rPr>
                <w:sz w:val="19"/>
                <w:szCs w:val="19"/>
              </w:rPr>
            </w:pPr>
            <w:r w:rsidRPr="00036EDF">
              <w:rPr>
                <w:sz w:val="19"/>
                <w:szCs w:val="19"/>
              </w:rPr>
              <w:t>20</w:t>
            </w:r>
          </w:p>
        </w:tc>
        <w:tc>
          <w:tcPr>
            <w:tcW w:w="400" w:type="pct"/>
            <w:tcBorders>
              <w:top w:val="single" w:sz="4" w:space="0" w:color="auto"/>
              <w:bottom w:val="single" w:sz="2" w:space="0" w:color="auto"/>
              <w:right w:val="single" w:sz="2" w:space="0" w:color="auto"/>
            </w:tcBorders>
            <w:shd w:val="clear" w:color="auto" w:fill="auto"/>
            <w:vAlign w:val="center"/>
            <w:hideMark/>
          </w:tcPr>
          <w:p w14:paraId="5571EC6F" w14:textId="7D4DB8C6" w:rsidR="0047072D" w:rsidRPr="00036EDF" w:rsidRDefault="0047072D" w:rsidP="002D44BC">
            <w:pPr>
              <w:pStyle w:val="cuatexto"/>
              <w:jc w:val="right"/>
              <w:rPr>
                <w:sz w:val="19"/>
                <w:szCs w:val="19"/>
              </w:rPr>
            </w:pPr>
            <w:r w:rsidRPr="00036EDF">
              <w:rPr>
                <w:sz w:val="19"/>
                <w:szCs w:val="19"/>
              </w:rPr>
              <w:t>107</w:t>
            </w:r>
          </w:p>
        </w:tc>
        <w:tc>
          <w:tcPr>
            <w:tcW w:w="560" w:type="pct"/>
            <w:tcBorders>
              <w:top w:val="single" w:sz="4" w:space="0" w:color="auto"/>
              <w:left w:val="single" w:sz="2" w:space="0" w:color="auto"/>
              <w:bottom w:val="single" w:sz="2" w:space="0" w:color="auto"/>
            </w:tcBorders>
            <w:shd w:val="clear" w:color="auto" w:fill="auto"/>
            <w:vAlign w:val="center"/>
            <w:hideMark/>
          </w:tcPr>
          <w:p w14:paraId="0E883AF0" w14:textId="59820379" w:rsidR="0047072D" w:rsidRPr="00036EDF" w:rsidRDefault="0047072D" w:rsidP="002D44BC">
            <w:pPr>
              <w:pStyle w:val="cuatexto"/>
              <w:jc w:val="right"/>
              <w:rPr>
                <w:sz w:val="19"/>
                <w:szCs w:val="19"/>
              </w:rPr>
            </w:pPr>
            <w:r w:rsidRPr="00036EDF">
              <w:rPr>
                <w:sz w:val="19"/>
                <w:szCs w:val="19"/>
              </w:rPr>
              <w:t>11,82</w:t>
            </w:r>
          </w:p>
        </w:tc>
        <w:tc>
          <w:tcPr>
            <w:tcW w:w="440" w:type="pct"/>
            <w:tcBorders>
              <w:top w:val="single" w:sz="4" w:space="0" w:color="auto"/>
              <w:bottom w:val="single" w:sz="2" w:space="0" w:color="auto"/>
              <w:right w:val="single" w:sz="2" w:space="0" w:color="auto"/>
            </w:tcBorders>
            <w:shd w:val="clear" w:color="auto" w:fill="auto"/>
            <w:vAlign w:val="center"/>
            <w:hideMark/>
          </w:tcPr>
          <w:p w14:paraId="1B49D026" w14:textId="77777777" w:rsidR="0047072D" w:rsidRPr="00036EDF" w:rsidRDefault="0047072D" w:rsidP="002D44BC">
            <w:pPr>
              <w:pStyle w:val="cuatexto"/>
              <w:jc w:val="right"/>
              <w:rPr>
                <w:sz w:val="19"/>
                <w:szCs w:val="19"/>
              </w:rPr>
            </w:pPr>
            <w:r w:rsidRPr="00036EDF">
              <w:rPr>
                <w:sz w:val="19"/>
                <w:szCs w:val="19"/>
              </w:rPr>
              <w:t>6</w:t>
            </w:r>
          </w:p>
        </w:tc>
        <w:tc>
          <w:tcPr>
            <w:tcW w:w="559" w:type="pct"/>
            <w:tcBorders>
              <w:top w:val="single" w:sz="4" w:space="0" w:color="auto"/>
              <w:left w:val="single" w:sz="2" w:space="0" w:color="auto"/>
              <w:bottom w:val="single" w:sz="2" w:space="0" w:color="auto"/>
              <w:right w:val="nil"/>
            </w:tcBorders>
            <w:shd w:val="clear" w:color="auto" w:fill="auto"/>
            <w:vAlign w:val="center"/>
            <w:hideMark/>
          </w:tcPr>
          <w:p w14:paraId="79C2F5CD" w14:textId="13525BBC" w:rsidR="0047072D" w:rsidRPr="00036EDF" w:rsidRDefault="0047072D" w:rsidP="002D44BC">
            <w:pPr>
              <w:pStyle w:val="cuatexto"/>
              <w:jc w:val="right"/>
              <w:rPr>
                <w:sz w:val="19"/>
                <w:szCs w:val="19"/>
              </w:rPr>
            </w:pPr>
            <w:r w:rsidRPr="00036EDF">
              <w:rPr>
                <w:sz w:val="19"/>
                <w:szCs w:val="19"/>
              </w:rPr>
              <w:t>205,04</w:t>
            </w:r>
          </w:p>
        </w:tc>
      </w:tr>
      <w:tr w:rsidR="000A742F" w:rsidRPr="003A115E" w14:paraId="21F1A937" w14:textId="77777777" w:rsidTr="00CF24F0">
        <w:trPr>
          <w:trHeight w:val="198"/>
        </w:trPr>
        <w:tc>
          <w:tcPr>
            <w:tcW w:w="1251" w:type="pct"/>
            <w:tcBorders>
              <w:top w:val="single" w:sz="2" w:space="0" w:color="auto"/>
              <w:left w:val="nil"/>
              <w:bottom w:val="single" w:sz="2" w:space="0" w:color="auto"/>
              <w:right w:val="nil"/>
            </w:tcBorders>
            <w:shd w:val="clear" w:color="auto" w:fill="auto"/>
            <w:vAlign w:val="center"/>
            <w:hideMark/>
          </w:tcPr>
          <w:p w14:paraId="4BA22FB7" w14:textId="77777777" w:rsidR="0047072D" w:rsidRPr="00036EDF" w:rsidRDefault="0047072D" w:rsidP="002D44BC">
            <w:pPr>
              <w:pStyle w:val="cuatexto"/>
              <w:rPr>
                <w:sz w:val="19"/>
                <w:szCs w:val="19"/>
              </w:rPr>
            </w:pPr>
            <w:r w:rsidRPr="00036EDF">
              <w:rPr>
                <w:sz w:val="19"/>
                <w:szCs w:val="19"/>
                <w:lang w:val="es-ES"/>
              </w:rPr>
              <w:t>2   Impuestos indirectos</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280D574C" w14:textId="6A5D17EC" w:rsidR="0047072D" w:rsidRPr="00036EDF" w:rsidRDefault="0047072D" w:rsidP="002D44BC">
            <w:pPr>
              <w:pStyle w:val="cuatexto"/>
              <w:jc w:val="right"/>
              <w:rPr>
                <w:sz w:val="19"/>
                <w:szCs w:val="19"/>
              </w:rPr>
            </w:pPr>
            <w:r w:rsidRPr="00036EDF">
              <w:rPr>
                <w:sz w:val="19"/>
                <w:szCs w:val="19"/>
              </w:rPr>
              <w:t>26,21</w:t>
            </w:r>
          </w:p>
        </w:tc>
        <w:tc>
          <w:tcPr>
            <w:tcW w:w="639" w:type="pct"/>
            <w:tcBorders>
              <w:top w:val="single" w:sz="2" w:space="0" w:color="auto"/>
              <w:left w:val="single" w:sz="2" w:space="0" w:color="auto"/>
              <w:bottom w:val="single" w:sz="2" w:space="0" w:color="auto"/>
            </w:tcBorders>
            <w:shd w:val="clear" w:color="auto" w:fill="auto"/>
            <w:vAlign w:val="center"/>
            <w:hideMark/>
          </w:tcPr>
          <w:p w14:paraId="22DAD3F4" w14:textId="0FA2A0DD" w:rsidR="0047072D" w:rsidRPr="00036EDF" w:rsidRDefault="0047072D" w:rsidP="002D44BC">
            <w:pPr>
              <w:pStyle w:val="cuatexto"/>
              <w:jc w:val="right"/>
              <w:rPr>
                <w:sz w:val="19"/>
                <w:szCs w:val="19"/>
              </w:rPr>
            </w:pPr>
            <w:r w:rsidRPr="00036EDF">
              <w:rPr>
                <w:sz w:val="19"/>
                <w:szCs w:val="19"/>
              </w:rPr>
              <w:t>36,72</w:t>
            </w:r>
          </w:p>
        </w:tc>
        <w:tc>
          <w:tcPr>
            <w:tcW w:w="561" w:type="pct"/>
            <w:tcBorders>
              <w:top w:val="single" w:sz="2" w:space="0" w:color="auto"/>
              <w:bottom w:val="single" w:sz="2" w:space="0" w:color="auto"/>
            </w:tcBorders>
            <w:shd w:val="clear" w:color="auto" w:fill="auto"/>
            <w:vAlign w:val="center"/>
            <w:hideMark/>
          </w:tcPr>
          <w:p w14:paraId="40020D36" w14:textId="77777777" w:rsidR="0047072D" w:rsidRPr="00036EDF" w:rsidRDefault="0047072D" w:rsidP="002D44BC">
            <w:pPr>
              <w:pStyle w:val="cuatexto"/>
              <w:jc w:val="right"/>
              <w:rPr>
                <w:sz w:val="19"/>
                <w:szCs w:val="19"/>
              </w:rPr>
            </w:pPr>
            <w:r w:rsidRPr="00036EDF">
              <w:rPr>
                <w:sz w:val="19"/>
                <w:szCs w:val="19"/>
              </w:rPr>
              <w:t>4</w:t>
            </w:r>
          </w:p>
        </w:tc>
        <w:tc>
          <w:tcPr>
            <w:tcW w:w="400" w:type="pct"/>
            <w:tcBorders>
              <w:top w:val="single" w:sz="2" w:space="0" w:color="auto"/>
              <w:bottom w:val="single" w:sz="2" w:space="0" w:color="auto"/>
              <w:right w:val="single" w:sz="2" w:space="0" w:color="auto"/>
            </w:tcBorders>
            <w:shd w:val="clear" w:color="auto" w:fill="auto"/>
            <w:vAlign w:val="center"/>
            <w:hideMark/>
          </w:tcPr>
          <w:p w14:paraId="29C194BB" w14:textId="77777777" w:rsidR="0047072D" w:rsidRPr="00036EDF" w:rsidRDefault="0047072D" w:rsidP="002D44BC">
            <w:pPr>
              <w:pStyle w:val="cuatexto"/>
              <w:jc w:val="right"/>
              <w:rPr>
                <w:sz w:val="19"/>
                <w:szCs w:val="19"/>
              </w:rPr>
            </w:pPr>
            <w:r w:rsidRPr="00036EDF">
              <w:rPr>
                <w:sz w:val="19"/>
                <w:szCs w:val="19"/>
              </w:rPr>
              <w:t>140</w:t>
            </w:r>
          </w:p>
        </w:tc>
        <w:tc>
          <w:tcPr>
            <w:tcW w:w="560" w:type="pct"/>
            <w:tcBorders>
              <w:top w:val="single" w:sz="2" w:space="0" w:color="auto"/>
              <w:left w:val="single" w:sz="2" w:space="0" w:color="auto"/>
              <w:bottom w:val="single" w:sz="2" w:space="0" w:color="auto"/>
            </w:tcBorders>
            <w:shd w:val="clear" w:color="auto" w:fill="auto"/>
            <w:vAlign w:val="center"/>
            <w:hideMark/>
          </w:tcPr>
          <w:p w14:paraId="027381AF" w14:textId="7E935849" w:rsidR="0047072D" w:rsidRPr="00036EDF" w:rsidRDefault="0047072D" w:rsidP="002D44BC">
            <w:pPr>
              <w:pStyle w:val="cuatexto"/>
              <w:jc w:val="right"/>
              <w:rPr>
                <w:sz w:val="19"/>
                <w:szCs w:val="19"/>
              </w:rPr>
            </w:pPr>
            <w:r w:rsidRPr="00036EDF">
              <w:rPr>
                <w:sz w:val="19"/>
                <w:szCs w:val="19"/>
              </w:rPr>
              <w:t>3,24</w:t>
            </w:r>
          </w:p>
        </w:tc>
        <w:tc>
          <w:tcPr>
            <w:tcW w:w="440" w:type="pct"/>
            <w:tcBorders>
              <w:top w:val="single" w:sz="2" w:space="0" w:color="auto"/>
              <w:bottom w:val="single" w:sz="2" w:space="0" w:color="auto"/>
              <w:right w:val="single" w:sz="2" w:space="0" w:color="auto"/>
            </w:tcBorders>
            <w:shd w:val="clear" w:color="auto" w:fill="auto"/>
            <w:vAlign w:val="center"/>
            <w:hideMark/>
          </w:tcPr>
          <w:p w14:paraId="2442CF72" w14:textId="77777777" w:rsidR="0047072D" w:rsidRPr="00036EDF" w:rsidRDefault="0047072D" w:rsidP="002D44BC">
            <w:pPr>
              <w:pStyle w:val="cuatexto"/>
              <w:jc w:val="right"/>
              <w:rPr>
                <w:sz w:val="19"/>
                <w:szCs w:val="19"/>
              </w:rPr>
            </w:pPr>
            <w:r w:rsidRPr="00036EDF">
              <w:rPr>
                <w:sz w:val="19"/>
                <w:szCs w:val="19"/>
              </w:rPr>
              <w:t>10</w:t>
            </w:r>
          </w:p>
        </w:tc>
        <w:tc>
          <w:tcPr>
            <w:tcW w:w="559" w:type="pct"/>
            <w:tcBorders>
              <w:top w:val="single" w:sz="2" w:space="0" w:color="auto"/>
              <w:left w:val="single" w:sz="2" w:space="0" w:color="auto"/>
              <w:bottom w:val="single" w:sz="2" w:space="0" w:color="auto"/>
              <w:right w:val="nil"/>
            </w:tcBorders>
            <w:shd w:val="clear" w:color="auto" w:fill="auto"/>
            <w:vAlign w:val="center"/>
            <w:hideMark/>
          </w:tcPr>
          <w:p w14:paraId="321D1D16" w14:textId="50066B44" w:rsidR="0047072D" w:rsidRPr="00036EDF" w:rsidRDefault="0047072D" w:rsidP="002D44BC">
            <w:pPr>
              <w:pStyle w:val="cuatexto"/>
              <w:jc w:val="right"/>
              <w:rPr>
                <w:sz w:val="19"/>
                <w:szCs w:val="19"/>
              </w:rPr>
            </w:pPr>
            <w:r w:rsidRPr="00036EDF">
              <w:rPr>
                <w:sz w:val="19"/>
                <w:szCs w:val="19"/>
              </w:rPr>
              <w:t>36,72</w:t>
            </w:r>
          </w:p>
        </w:tc>
      </w:tr>
      <w:tr w:rsidR="000A742F" w:rsidRPr="003A115E" w14:paraId="2BFE16CF" w14:textId="77777777" w:rsidTr="00CF24F0">
        <w:trPr>
          <w:trHeight w:val="198"/>
        </w:trPr>
        <w:tc>
          <w:tcPr>
            <w:tcW w:w="1251" w:type="pct"/>
            <w:tcBorders>
              <w:top w:val="single" w:sz="2" w:space="0" w:color="auto"/>
              <w:left w:val="nil"/>
              <w:bottom w:val="single" w:sz="2" w:space="0" w:color="auto"/>
              <w:right w:val="nil"/>
            </w:tcBorders>
            <w:shd w:val="clear" w:color="auto" w:fill="auto"/>
            <w:vAlign w:val="center"/>
            <w:hideMark/>
          </w:tcPr>
          <w:p w14:paraId="4EF55CC0" w14:textId="77777777" w:rsidR="0047072D" w:rsidRPr="00036EDF" w:rsidRDefault="0047072D" w:rsidP="002D44BC">
            <w:pPr>
              <w:pStyle w:val="cuatexto"/>
              <w:rPr>
                <w:sz w:val="19"/>
                <w:szCs w:val="19"/>
              </w:rPr>
            </w:pPr>
            <w:r w:rsidRPr="00036EDF">
              <w:rPr>
                <w:sz w:val="19"/>
                <w:szCs w:val="19"/>
                <w:lang w:val="es-ES"/>
              </w:rPr>
              <w:t>3   Tasas, precios públicos y otros ingresos</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35F40D50" w14:textId="4721B2DB" w:rsidR="0047072D" w:rsidRPr="00036EDF" w:rsidRDefault="0047072D" w:rsidP="002D44BC">
            <w:pPr>
              <w:pStyle w:val="cuatexto"/>
              <w:jc w:val="right"/>
              <w:rPr>
                <w:sz w:val="19"/>
                <w:szCs w:val="19"/>
              </w:rPr>
            </w:pPr>
            <w:r w:rsidRPr="00036EDF">
              <w:rPr>
                <w:sz w:val="19"/>
                <w:szCs w:val="19"/>
              </w:rPr>
              <w:t>170,86</w:t>
            </w:r>
          </w:p>
        </w:tc>
        <w:tc>
          <w:tcPr>
            <w:tcW w:w="639" w:type="pct"/>
            <w:tcBorders>
              <w:top w:val="single" w:sz="2" w:space="0" w:color="auto"/>
              <w:left w:val="single" w:sz="2" w:space="0" w:color="auto"/>
              <w:bottom w:val="single" w:sz="2" w:space="0" w:color="auto"/>
            </w:tcBorders>
            <w:shd w:val="clear" w:color="auto" w:fill="auto"/>
            <w:vAlign w:val="center"/>
            <w:hideMark/>
          </w:tcPr>
          <w:p w14:paraId="6EAF8E8D" w14:textId="48C3496F" w:rsidR="0047072D" w:rsidRPr="00036EDF" w:rsidRDefault="0047072D" w:rsidP="002D44BC">
            <w:pPr>
              <w:pStyle w:val="cuatexto"/>
              <w:jc w:val="right"/>
              <w:rPr>
                <w:sz w:val="19"/>
                <w:szCs w:val="19"/>
              </w:rPr>
            </w:pPr>
            <w:r w:rsidRPr="00036EDF">
              <w:rPr>
                <w:sz w:val="19"/>
                <w:szCs w:val="19"/>
              </w:rPr>
              <w:t>196,39</w:t>
            </w:r>
          </w:p>
        </w:tc>
        <w:tc>
          <w:tcPr>
            <w:tcW w:w="561" w:type="pct"/>
            <w:tcBorders>
              <w:top w:val="single" w:sz="2" w:space="0" w:color="auto"/>
              <w:bottom w:val="single" w:sz="2" w:space="0" w:color="auto"/>
            </w:tcBorders>
            <w:shd w:val="clear" w:color="auto" w:fill="auto"/>
            <w:vAlign w:val="center"/>
            <w:hideMark/>
          </w:tcPr>
          <w:p w14:paraId="5FFCA4EB" w14:textId="77777777" w:rsidR="0047072D" w:rsidRPr="00036EDF" w:rsidRDefault="0047072D" w:rsidP="002D44BC">
            <w:pPr>
              <w:pStyle w:val="cuatexto"/>
              <w:jc w:val="right"/>
              <w:rPr>
                <w:sz w:val="19"/>
                <w:szCs w:val="19"/>
              </w:rPr>
            </w:pPr>
            <w:r w:rsidRPr="00036EDF">
              <w:rPr>
                <w:sz w:val="19"/>
                <w:szCs w:val="19"/>
              </w:rPr>
              <w:t>19</w:t>
            </w:r>
          </w:p>
        </w:tc>
        <w:tc>
          <w:tcPr>
            <w:tcW w:w="400" w:type="pct"/>
            <w:tcBorders>
              <w:top w:val="single" w:sz="2" w:space="0" w:color="auto"/>
              <w:bottom w:val="single" w:sz="2" w:space="0" w:color="auto"/>
              <w:right w:val="single" w:sz="2" w:space="0" w:color="auto"/>
            </w:tcBorders>
            <w:shd w:val="clear" w:color="auto" w:fill="auto"/>
            <w:vAlign w:val="center"/>
            <w:hideMark/>
          </w:tcPr>
          <w:p w14:paraId="7A4FA236" w14:textId="77777777" w:rsidR="0047072D" w:rsidRPr="00036EDF" w:rsidRDefault="0047072D" w:rsidP="002D44BC">
            <w:pPr>
              <w:pStyle w:val="cuatexto"/>
              <w:jc w:val="right"/>
              <w:rPr>
                <w:sz w:val="19"/>
                <w:szCs w:val="19"/>
              </w:rPr>
            </w:pPr>
            <w:r w:rsidRPr="00036EDF">
              <w:rPr>
                <w:sz w:val="19"/>
                <w:szCs w:val="19"/>
              </w:rPr>
              <w:t>115</w:t>
            </w:r>
          </w:p>
        </w:tc>
        <w:tc>
          <w:tcPr>
            <w:tcW w:w="560" w:type="pct"/>
            <w:tcBorders>
              <w:top w:val="single" w:sz="2" w:space="0" w:color="auto"/>
              <w:left w:val="single" w:sz="2" w:space="0" w:color="auto"/>
              <w:bottom w:val="single" w:sz="2" w:space="0" w:color="auto"/>
            </w:tcBorders>
            <w:shd w:val="clear" w:color="auto" w:fill="auto"/>
            <w:vAlign w:val="center"/>
            <w:hideMark/>
          </w:tcPr>
          <w:p w14:paraId="5C0EDF76" w14:textId="1C92611A" w:rsidR="0047072D" w:rsidRPr="00036EDF" w:rsidRDefault="0047072D" w:rsidP="002D44BC">
            <w:pPr>
              <w:pStyle w:val="cuatexto"/>
              <w:jc w:val="right"/>
              <w:rPr>
                <w:sz w:val="19"/>
                <w:szCs w:val="19"/>
              </w:rPr>
            </w:pPr>
            <w:r w:rsidRPr="00036EDF">
              <w:rPr>
                <w:sz w:val="19"/>
                <w:szCs w:val="19"/>
              </w:rPr>
              <w:t>18,34</w:t>
            </w:r>
          </w:p>
        </w:tc>
        <w:tc>
          <w:tcPr>
            <w:tcW w:w="440" w:type="pct"/>
            <w:tcBorders>
              <w:top w:val="single" w:sz="2" w:space="0" w:color="auto"/>
              <w:bottom w:val="single" w:sz="2" w:space="0" w:color="auto"/>
              <w:right w:val="single" w:sz="2" w:space="0" w:color="auto"/>
            </w:tcBorders>
            <w:shd w:val="clear" w:color="auto" w:fill="auto"/>
            <w:vAlign w:val="center"/>
            <w:hideMark/>
          </w:tcPr>
          <w:p w14:paraId="419F96CC" w14:textId="77777777" w:rsidR="0047072D" w:rsidRPr="00036EDF" w:rsidRDefault="0047072D" w:rsidP="002D44BC">
            <w:pPr>
              <w:pStyle w:val="cuatexto"/>
              <w:jc w:val="right"/>
              <w:rPr>
                <w:sz w:val="19"/>
                <w:szCs w:val="19"/>
              </w:rPr>
            </w:pPr>
            <w:r w:rsidRPr="00036EDF">
              <w:rPr>
                <w:sz w:val="19"/>
                <w:szCs w:val="19"/>
              </w:rPr>
              <w:t>10</w:t>
            </w:r>
          </w:p>
        </w:tc>
        <w:tc>
          <w:tcPr>
            <w:tcW w:w="559" w:type="pct"/>
            <w:tcBorders>
              <w:top w:val="single" w:sz="2" w:space="0" w:color="auto"/>
              <w:left w:val="single" w:sz="2" w:space="0" w:color="auto"/>
              <w:bottom w:val="single" w:sz="2" w:space="0" w:color="auto"/>
              <w:right w:val="nil"/>
            </w:tcBorders>
            <w:shd w:val="clear" w:color="auto" w:fill="auto"/>
            <w:vAlign w:val="center"/>
            <w:hideMark/>
          </w:tcPr>
          <w:p w14:paraId="2268DD4A" w14:textId="4869385A" w:rsidR="0047072D" w:rsidRPr="00036EDF" w:rsidRDefault="0047072D" w:rsidP="002D44BC">
            <w:pPr>
              <w:pStyle w:val="cuatexto"/>
              <w:jc w:val="right"/>
              <w:rPr>
                <w:sz w:val="19"/>
                <w:szCs w:val="19"/>
              </w:rPr>
            </w:pPr>
            <w:r w:rsidRPr="00036EDF">
              <w:rPr>
                <w:sz w:val="19"/>
                <w:szCs w:val="19"/>
              </w:rPr>
              <w:t>273,45</w:t>
            </w:r>
          </w:p>
        </w:tc>
      </w:tr>
      <w:tr w:rsidR="000A742F" w:rsidRPr="003A115E" w14:paraId="3F016CC0" w14:textId="77777777" w:rsidTr="00CF24F0">
        <w:trPr>
          <w:trHeight w:val="198"/>
        </w:trPr>
        <w:tc>
          <w:tcPr>
            <w:tcW w:w="1251" w:type="pct"/>
            <w:tcBorders>
              <w:top w:val="single" w:sz="2" w:space="0" w:color="auto"/>
              <w:left w:val="nil"/>
              <w:bottom w:val="single" w:sz="2" w:space="0" w:color="auto"/>
              <w:right w:val="nil"/>
            </w:tcBorders>
            <w:shd w:val="clear" w:color="auto" w:fill="auto"/>
            <w:vAlign w:val="center"/>
            <w:hideMark/>
          </w:tcPr>
          <w:p w14:paraId="4DBDBC25" w14:textId="77777777" w:rsidR="0047072D" w:rsidRPr="00036EDF" w:rsidRDefault="0047072D" w:rsidP="002D44BC">
            <w:pPr>
              <w:pStyle w:val="cuatexto"/>
              <w:rPr>
                <w:sz w:val="19"/>
                <w:szCs w:val="19"/>
              </w:rPr>
            </w:pPr>
            <w:r w:rsidRPr="00036EDF">
              <w:rPr>
                <w:sz w:val="19"/>
                <w:szCs w:val="19"/>
                <w:lang w:val="es-ES"/>
              </w:rPr>
              <w:t>4   Transferencias corrientes</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02E7B315" w14:textId="2D770EED" w:rsidR="0047072D" w:rsidRPr="00036EDF" w:rsidRDefault="0047072D" w:rsidP="002D44BC">
            <w:pPr>
              <w:pStyle w:val="cuatexto"/>
              <w:jc w:val="right"/>
              <w:rPr>
                <w:sz w:val="19"/>
                <w:szCs w:val="19"/>
              </w:rPr>
            </w:pPr>
            <w:r w:rsidRPr="00036EDF">
              <w:rPr>
                <w:sz w:val="19"/>
                <w:szCs w:val="19"/>
              </w:rPr>
              <w:t>397,69</w:t>
            </w:r>
          </w:p>
        </w:tc>
        <w:tc>
          <w:tcPr>
            <w:tcW w:w="639" w:type="pct"/>
            <w:tcBorders>
              <w:top w:val="single" w:sz="2" w:space="0" w:color="auto"/>
              <w:left w:val="single" w:sz="2" w:space="0" w:color="auto"/>
              <w:bottom w:val="single" w:sz="2" w:space="0" w:color="auto"/>
            </w:tcBorders>
            <w:shd w:val="clear" w:color="auto" w:fill="auto"/>
            <w:vAlign w:val="center"/>
            <w:hideMark/>
          </w:tcPr>
          <w:p w14:paraId="0DCDE5BA" w14:textId="30D6ED17" w:rsidR="0047072D" w:rsidRPr="00036EDF" w:rsidRDefault="0047072D" w:rsidP="002D44BC">
            <w:pPr>
              <w:pStyle w:val="cuatexto"/>
              <w:jc w:val="right"/>
              <w:rPr>
                <w:sz w:val="19"/>
                <w:szCs w:val="19"/>
              </w:rPr>
            </w:pPr>
            <w:r w:rsidRPr="00036EDF">
              <w:rPr>
                <w:sz w:val="19"/>
                <w:szCs w:val="19"/>
              </w:rPr>
              <w:t>406,16</w:t>
            </w:r>
          </w:p>
        </w:tc>
        <w:tc>
          <w:tcPr>
            <w:tcW w:w="561" w:type="pct"/>
            <w:tcBorders>
              <w:top w:val="single" w:sz="2" w:space="0" w:color="auto"/>
              <w:bottom w:val="single" w:sz="2" w:space="0" w:color="auto"/>
            </w:tcBorders>
            <w:shd w:val="clear" w:color="auto" w:fill="auto"/>
            <w:vAlign w:val="center"/>
            <w:hideMark/>
          </w:tcPr>
          <w:p w14:paraId="2EF2D3C9" w14:textId="77777777" w:rsidR="0047072D" w:rsidRPr="00036EDF" w:rsidRDefault="0047072D" w:rsidP="002D44BC">
            <w:pPr>
              <w:pStyle w:val="cuatexto"/>
              <w:jc w:val="right"/>
              <w:rPr>
                <w:sz w:val="19"/>
                <w:szCs w:val="19"/>
              </w:rPr>
            </w:pPr>
            <w:r w:rsidRPr="00036EDF">
              <w:rPr>
                <w:sz w:val="19"/>
                <w:szCs w:val="19"/>
              </w:rPr>
              <w:t>39</w:t>
            </w:r>
          </w:p>
        </w:tc>
        <w:tc>
          <w:tcPr>
            <w:tcW w:w="400" w:type="pct"/>
            <w:tcBorders>
              <w:top w:val="single" w:sz="2" w:space="0" w:color="auto"/>
              <w:bottom w:val="single" w:sz="2" w:space="0" w:color="auto"/>
              <w:right w:val="single" w:sz="2" w:space="0" w:color="auto"/>
            </w:tcBorders>
            <w:shd w:val="clear" w:color="auto" w:fill="auto"/>
            <w:vAlign w:val="center"/>
            <w:hideMark/>
          </w:tcPr>
          <w:p w14:paraId="34B38DE0" w14:textId="77777777" w:rsidR="0047072D" w:rsidRPr="00036EDF" w:rsidRDefault="0047072D" w:rsidP="002D44BC">
            <w:pPr>
              <w:pStyle w:val="cuatexto"/>
              <w:jc w:val="right"/>
              <w:rPr>
                <w:sz w:val="19"/>
                <w:szCs w:val="19"/>
              </w:rPr>
            </w:pPr>
            <w:r w:rsidRPr="00036EDF">
              <w:rPr>
                <w:sz w:val="19"/>
                <w:szCs w:val="19"/>
              </w:rPr>
              <w:t>102</w:t>
            </w:r>
          </w:p>
        </w:tc>
        <w:tc>
          <w:tcPr>
            <w:tcW w:w="560" w:type="pct"/>
            <w:tcBorders>
              <w:top w:val="single" w:sz="2" w:space="0" w:color="auto"/>
              <w:left w:val="single" w:sz="2" w:space="0" w:color="auto"/>
              <w:bottom w:val="single" w:sz="2" w:space="0" w:color="auto"/>
            </w:tcBorders>
            <w:shd w:val="clear" w:color="auto" w:fill="auto"/>
            <w:vAlign w:val="center"/>
            <w:hideMark/>
          </w:tcPr>
          <w:p w14:paraId="6756ABA1" w14:textId="2FC83177" w:rsidR="0047072D" w:rsidRPr="00036EDF" w:rsidRDefault="0047072D" w:rsidP="002D44BC">
            <w:pPr>
              <w:pStyle w:val="cuatexto"/>
              <w:jc w:val="right"/>
              <w:rPr>
                <w:sz w:val="19"/>
                <w:szCs w:val="19"/>
              </w:rPr>
            </w:pPr>
            <w:r w:rsidRPr="00036EDF">
              <w:rPr>
                <w:sz w:val="19"/>
                <w:szCs w:val="19"/>
              </w:rPr>
              <w:t>31,74</w:t>
            </w:r>
          </w:p>
        </w:tc>
        <w:tc>
          <w:tcPr>
            <w:tcW w:w="440" w:type="pct"/>
            <w:tcBorders>
              <w:top w:val="single" w:sz="2" w:space="0" w:color="auto"/>
              <w:bottom w:val="single" w:sz="2" w:space="0" w:color="auto"/>
              <w:right w:val="single" w:sz="2" w:space="0" w:color="auto"/>
            </w:tcBorders>
            <w:shd w:val="clear" w:color="auto" w:fill="auto"/>
            <w:vAlign w:val="center"/>
            <w:hideMark/>
          </w:tcPr>
          <w:p w14:paraId="030336DA" w14:textId="77777777" w:rsidR="0047072D" w:rsidRPr="00036EDF" w:rsidRDefault="0047072D" w:rsidP="002D44BC">
            <w:pPr>
              <w:pStyle w:val="cuatexto"/>
              <w:jc w:val="right"/>
              <w:rPr>
                <w:sz w:val="19"/>
                <w:szCs w:val="19"/>
              </w:rPr>
            </w:pPr>
            <w:r w:rsidRPr="00036EDF">
              <w:rPr>
                <w:sz w:val="19"/>
                <w:szCs w:val="19"/>
              </w:rPr>
              <w:t>8</w:t>
            </w:r>
          </w:p>
        </w:tc>
        <w:tc>
          <w:tcPr>
            <w:tcW w:w="559" w:type="pct"/>
            <w:tcBorders>
              <w:top w:val="single" w:sz="2" w:space="0" w:color="auto"/>
              <w:left w:val="single" w:sz="2" w:space="0" w:color="auto"/>
              <w:bottom w:val="single" w:sz="2" w:space="0" w:color="auto"/>
              <w:right w:val="nil"/>
            </w:tcBorders>
            <w:shd w:val="clear" w:color="auto" w:fill="auto"/>
            <w:vAlign w:val="center"/>
            <w:hideMark/>
          </w:tcPr>
          <w:p w14:paraId="2D5C0A3C" w14:textId="5EF87956" w:rsidR="0047072D" w:rsidRPr="00036EDF" w:rsidRDefault="0047072D" w:rsidP="002D44BC">
            <w:pPr>
              <w:pStyle w:val="cuatexto"/>
              <w:jc w:val="right"/>
              <w:rPr>
                <w:sz w:val="19"/>
                <w:szCs w:val="19"/>
              </w:rPr>
            </w:pPr>
            <w:r w:rsidRPr="00036EDF">
              <w:rPr>
                <w:sz w:val="19"/>
                <w:szCs w:val="19"/>
              </w:rPr>
              <w:t>414,70</w:t>
            </w:r>
          </w:p>
        </w:tc>
      </w:tr>
      <w:tr w:rsidR="000A742F" w:rsidRPr="003A115E" w14:paraId="345703A2" w14:textId="77777777" w:rsidTr="00CF24F0">
        <w:trPr>
          <w:trHeight w:val="198"/>
        </w:trPr>
        <w:tc>
          <w:tcPr>
            <w:tcW w:w="1251" w:type="pct"/>
            <w:tcBorders>
              <w:top w:val="single" w:sz="2" w:space="0" w:color="auto"/>
              <w:left w:val="nil"/>
              <w:bottom w:val="single" w:sz="2" w:space="0" w:color="auto"/>
              <w:right w:val="nil"/>
            </w:tcBorders>
            <w:shd w:val="clear" w:color="auto" w:fill="auto"/>
            <w:vAlign w:val="center"/>
            <w:hideMark/>
          </w:tcPr>
          <w:p w14:paraId="34B5E122" w14:textId="77777777" w:rsidR="0047072D" w:rsidRPr="00036EDF" w:rsidRDefault="0047072D" w:rsidP="0186A00D">
            <w:pPr>
              <w:pStyle w:val="cuatexto"/>
              <w:rPr>
                <w:sz w:val="19"/>
                <w:szCs w:val="19"/>
                <w:lang w:val="es-ES"/>
              </w:rPr>
            </w:pPr>
            <w:r w:rsidRPr="00036EDF">
              <w:rPr>
                <w:sz w:val="19"/>
                <w:szCs w:val="19"/>
                <w:lang w:val="es-ES"/>
              </w:rPr>
              <w:t>5   Ingresos patrimoniales y aprovecham. comunales</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408AB7F5" w14:textId="0FBE177A" w:rsidR="0047072D" w:rsidRPr="00036EDF" w:rsidRDefault="0047072D" w:rsidP="002D44BC">
            <w:pPr>
              <w:pStyle w:val="cuatexto"/>
              <w:jc w:val="right"/>
              <w:rPr>
                <w:sz w:val="19"/>
                <w:szCs w:val="19"/>
              </w:rPr>
            </w:pPr>
            <w:r w:rsidRPr="00036EDF">
              <w:rPr>
                <w:sz w:val="19"/>
                <w:szCs w:val="19"/>
              </w:rPr>
              <w:t>57,76</w:t>
            </w:r>
          </w:p>
        </w:tc>
        <w:tc>
          <w:tcPr>
            <w:tcW w:w="639" w:type="pct"/>
            <w:tcBorders>
              <w:top w:val="single" w:sz="2" w:space="0" w:color="auto"/>
              <w:left w:val="single" w:sz="2" w:space="0" w:color="auto"/>
              <w:bottom w:val="single" w:sz="2" w:space="0" w:color="auto"/>
            </w:tcBorders>
            <w:shd w:val="clear" w:color="auto" w:fill="auto"/>
            <w:vAlign w:val="center"/>
            <w:hideMark/>
          </w:tcPr>
          <w:p w14:paraId="24C00D58" w14:textId="69ECAD29" w:rsidR="0047072D" w:rsidRPr="00036EDF" w:rsidRDefault="0047072D" w:rsidP="002D44BC">
            <w:pPr>
              <w:pStyle w:val="cuatexto"/>
              <w:jc w:val="right"/>
              <w:rPr>
                <w:sz w:val="19"/>
                <w:szCs w:val="19"/>
              </w:rPr>
            </w:pPr>
            <w:r w:rsidRPr="00036EDF">
              <w:rPr>
                <w:sz w:val="19"/>
                <w:szCs w:val="19"/>
              </w:rPr>
              <w:t>58,90</w:t>
            </w:r>
          </w:p>
        </w:tc>
        <w:tc>
          <w:tcPr>
            <w:tcW w:w="561" w:type="pct"/>
            <w:tcBorders>
              <w:top w:val="single" w:sz="2" w:space="0" w:color="auto"/>
              <w:bottom w:val="single" w:sz="2" w:space="0" w:color="auto"/>
            </w:tcBorders>
            <w:shd w:val="clear" w:color="auto" w:fill="auto"/>
            <w:vAlign w:val="center"/>
            <w:hideMark/>
          </w:tcPr>
          <w:p w14:paraId="76CCAC8D" w14:textId="77777777" w:rsidR="0047072D" w:rsidRPr="00036EDF" w:rsidRDefault="0047072D" w:rsidP="002D44BC">
            <w:pPr>
              <w:pStyle w:val="cuatexto"/>
              <w:jc w:val="right"/>
              <w:rPr>
                <w:sz w:val="19"/>
                <w:szCs w:val="19"/>
              </w:rPr>
            </w:pPr>
            <w:r w:rsidRPr="00036EDF">
              <w:rPr>
                <w:sz w:val="19"/>
                <w:szCs w:val="19"/>
              </w:rPr>
              <w:t>6</w:t>
            </w:r>
          </w:p>
        </w:tc>
        <w:tc>
          <w:tcPr>
            <w:tcW w:w="400" w:type="pct"/>
            <w:tcBorders>
              <w:top w:val="single" w:sz="2" w:space="0" w:color="auto"/>
              <w:bottom w:val="single" w:sz="2" w:space="0" w:color="auto"/>
              <w:right w:val="single" w:sz="2" w:space="0" w:color="auto"/>
            </w:tcBorders>
            <w:shd w:val="clear" w:color="auto" w:fill="auto"/>
            <w:vAlign w:val="center"/>
            <w:hideMark/>
          </w:tcPr>
          <w:p w14:paraId="25049748" w14:textId="77777777" w:rsidR="0047072D" w:rsidRPr="00036EDF" w:rsidRDefault="0047072D" w:rsidP="002D44BC">
            <w:pPr>
              <w:pStyle w:val="cuatexto"/>
              <w:jc w:val="right"/>
              <w:rPr>
                <w:sz w:val="19"/>
                <w:szCs w:val="19"/>
              </w:rPr>
            </w:pPr>
            <w:r w:rsidRPr="00036EDF">
              <w:rPr>
                <w:sz w:val="19"/>
                <w:szCs w:val="19"/>
              </w:rPr>
              <w:t>102</w:t>
            </w:r>
          </w:p>
        </w:tc>
        <w:tc>
          <w:tcPr>
            <w:tcW w:w="560" w:type="pct"/>
            <w:tcBorders>
              <w:top w:val="single" w:sz="2" w:space="0" w:color="auto"/>
              <w:left w:val="single" w:sz="2" w:space="0" w:color="auto"/>
              <w:bottom w:val="single" w:sz="2" w:space="0" w:color="auto"/>
            </w:tcBorders>
            <w:shd w:val="clear" w:color="auto" w:fill="auto"/>
            <w:vAlign w:val="center"/>
            <w:hideMark/>
          </w:tcPr>
          <w:p w14:paraId="3C2C7AF3" w14:textId="3ED9BBBE" w:rsidR="0047072D" w:rsidRPr="00036EDF" w:rsidRDefault="0047072D" w:rsidP="002D44BC">
            <w:pPr>
              <w:pStyle w:val="cuatexto"/>
              <w:jc w:val="right"/>
              <w:rPr>
                <w:sz w:val="19"/>
                <w:szCs w:val="19"/>
              </w:rPr>
            </w:pPr>
            <w:r w:rsidRPr="00036EDF">
              <w:rPr>
                <w:sz w:val="19"/>
                <w:szCs w:val="19"/>
              </w:rPr>
              <w:t>8,49</w:t>
            </w:r>
          </w:p>
        </w:tc>
        <w:tc>
          <w:tcPr>
            <w:tcW w:w="440" w:type="pct"/>
            <w:tcBorders>
              <w:top w:val="single" w:sz="2" w:space="0" w:color="auto"/>
              <w:bottom w:val="single" w:sz="2" w:space="0" w:color="auto"/>
              <w:right w:val="single" w:sz="2" w:space="0" w:color="auto"/>
            </w:tcBorders>
            <w:shd w:val="clear" w:color="auto" w:fill="auto"/>
            <w:vAlign w:val="center"/>
            <w:hideMark/>
          </w:tcPr>
          <w:p w14:paraId="1175954C" w14:textId="77777777" w:rsidR="0047072D" w:rsidRPr="00036EDF" w:rsidRDefault="0047072D" w:rsidP="002D44BC">
            <w:pPr>
              <w:pStyle w:val="cuatexto"/>
              <w:jc w:val="right"/>
              <w:rPr>
                <w:sz w:val="19"/>
                <w:szCs w:val="19"/>
              </w:rPr>
            </w:pPr>
            <w:r w:rsidRPr="00036EDF">
              <w:rPr>
                <w:sz w:val="19"/>
                <w:szCs w:val="19"/>
              </w:rPr>
              <w:t>17</w:t>
            </w:r>
          </w:p>
        </w:tc>
        <w:tc>
          <w:tcPr>
            <w:tcW w:w="559" w:type="pct"/>
            <w:tcBorders>
              <w:top w:val="single" w:sz="2" w:space="0" w:color="auto"/>
              <w:left w:val="single" w:sz="2" w:space="0" w:color="auto"/>
              <w:bottom w:val="single" w:sz="2" w:space="0" w:color="auto"/>
              <w:right w:val="nil"/>
            </w:tcBorders>
            <w:shd w:val="clear" w:color="auto" w:fill="auto"/>
            <w:vAlign w:val="center"/>
            <w:hideMark/>
          </w:tcPr>
          <w:p w14:paraId="66ED2FFE" w14:textId="36B62019" w:rsidR="0047072D" w:rsidRPr="00036EDF" w:rsidRDefault="0047072D" w:rsidP="002D44BC">
            <w:pPr>
              <w:pStyle w:val="cuatexto"/>
              <w:jc w:val="right"/>
              <w:rPr>
                <w:sz w:val="19"/>
                <w:szCs w:val="19"/>
              </w:rPr>
            </w:pPr>
            <w:r w:rsidRPr="00036EDF">
              <w:rPr>
                <w:sz w:val="19"/>
                <w:szCs w:val="19"/>
              </w:rPr>
              <w:t>58,98</w:t>
            </w:r>
          </w:p>
        </w:tc>
      </w:tr>
      <w:tr w:rsidR="000A742F" w:rsidRPr="003A115E" w14:paraId="4AD44FEF" w14:textId="77777777" w:rsidTr="00CF24F0">
        <w:trPr>
          <w:trHeight w:val="198"/>
        </w:trPr>
        <w:tc>
          <w:tcPr>
            <w:tcW w:w="1251" w:type="pct"/>
            <w:tcBorders>
              <w:top w:val="single" w:sz="2" w:space="0" w:color="auto"/>
              <w:left w:val="nil"/>
              <w:bottom w:val="single" w:sz="2" w:space="0" w:color="auto"/>
              <w:right w:val="nil"/>
            </w:tcBorders>
            <w:shd w:val="clear" w:color="auto" w:fill="auto"/>
            <w:vAlign w:val="center"/>
            <w:hideMark/>
          </w:tcPr>
          <w:p w14:paraId="093327F6" w14:textId="03FA3494" w:rsidR="0047072D" w:rsidRPr="00036EDF" w:rsidRDefault="0047072D" w:rsidP="002D44BC">
            <w:pPr>
              <w:pStyle w:val="cuatexto"/>
              <w:rPr>
                <w:b/>
                <w:bCs/>
                <w:i/>
                <w:iCs/>
                <w:sz w:val="19"/>
                <w:szCs w:val="19"/>
              </w:rPr>
            </w:pPr>
            <w:r w:rsidRPr="00036EDF">
              <w:rPr>
                <w:b/>
                <w:bCs/>
                <w:i/>
                <w:iCs/>
                <w:sz w:val="19"/>
                <w:szCs w:val="19"/>
              </w:rPr>
              <w:t>Ingresos corrientes</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0A90AE22" w14:textId="49717C83" w:rsidR="0047072D" w:rsidRPr="00036EDF" w:rsidRDefault="0047072D" w:rsidP="002D44BC">
            <w:pPr>
              <w:pStyle w:val="cuatexto"/>
              <w:jc w:val="right"/>
              <w:rPr>
                <w:b/>
                <w:bCs/>
                <w:i/>
                <w:iCs/>
                <w:sz w:val="19"/>
                <w:szCs w:val="19"/>
              </w:rPr>
            </w:pPr>
            <w:r w:rsidRPr="00036EDF">
              <w:rPr>
                <w:b/>
                <w:bCs/>
                <w:i/>
                <w:iCs/>
                <w:sz w:val="19"/>
                <w:szCs w:val="19"/>
              </w:rPr>
              <w:t>844,96</w:t>
            </w:r>
          </w:p>
        </w:tc>
        <w:tc>
          <w:tcPr>
            <w:tcW w:w="639" w:type="pct"/>
            <w:tcBorders>
              <w:top w:val="single" w:sz="2" w:space="0" w:color="auto"/>
              <w:left w:val="single" w:sz="2" w:space="0" w:color="auto"/>
              <w:bottom w:val="single" w:sz="2" w:space="0" w:color="auto"/>
            </w:tcBorders>
            <w:shd w:val="clear" w:color="auto" w:fill="auto"/>
            <w:vAlign w:val="center"/>
            <w:hideMark/>
          </w:tcPr>
          <w:p w14:paraId="6B7516CE" w14:textId="3F92EFF8" w:rsidR="0047072D" w:rsidRPr="00036EDF" w:rsidRDefault="0047072D" w:rsidP="002D44BC">
            <w:pPr>
              <w:pStyle w:val="cuatexto"/>
              <w:jc w:val="right"/>
              <w:rPr>
                <w:b/>
                <w:bCs/>
                <w:i/>
                <w:iCs/>
                <w:sz w:val="19"/>
                <w:szCs w:val="19"/>
              </w:rPr>
            </w:pPr>
            <w:r w:rsidRPr="00036EDF">
              <w:rPr>
                <w:b/>
                <w:bCs/>
                <w:i/>
                <w:iCs/>
                <w:sz w:val="19"/>
                <w:szCs w:val="19"/>
              </w:rPr>
              <w:t>903,20</w:t>
            </w:r>
          </w:p>
        </w:tc>
        <w:tc>
          <w:tcPr>
            <w:tcW w:w="561" w:type="pct"/>
            <w:tcBorders>
              <w:top w:val="single" w:sz="2" w:space="0" w:color="auto"/>
              <w:bottom w:val="single" w:sz="2" w:space="0" w:color="auto"/>
            </w:tcBorders>
            <w:shd w:val="clear" w:color="auto" w:fill="auto"/>
            <w:vAlign w:val="center"/>
            <w:hideMark/>
          </w:tcPr>
          <w:p w14:paraId="05F8CF7B" w14:textId="77777777" w:rsidR="0047072D" w:rsidRPr="00036EDF" w:rsidRDefault="0047072D" w:rsidP="002D44BC">
            <w:pPr>
              <w:pStyle w:val="cuatexto"/>
              <w:jc w:val="right"/>
              <w:rPr>
                <w:b/>
                <w:bCs/>
                <w:i/>
                <w:iCs/>
                <w:sz w:val="19"/>
                <w:szCs w:val="19"/>
              </w:rPr>
            </w:pPr>
            <w:r w:rsidRPr="00036EDF">
              <w:rPr>
                <w:b/>
                <w:bCs/>
                <w:i/>
                <w:iCs/>
                <w:sz w:val="19"/>
                <w:szCs w:val="19"/>
              </w:rPr>
              <w:t>87</w:t>
            </w:r>
          </w:p>
        </w:tc>
        <w:tc>
          <w:tcPr>
            <w:tcW w:w="400" w:type="pct"/>
            <w:tcBorders>
              <w:top w:val="single" w:sz="2" w:space="0" w:color="auto"/>
              <w:bottom w:val="single" w:sz="2" w:space="0" w:color="auto"/>
              <w:right w:val="single" w:sz="2" w:space="0" w:color="auto"/>
            </w:tcBorders>
            <w:shd w:val="clear" w:color="auto" w:fill="auto"/>
            <w:vAlign w:val="center"/>
            <w:hideMark/>
          </w:tcPr>
          <w:p w14:paraId="353C51DD" w14:textId="77777777" w:rsidR="0047072D" w:rsidRPr="00036EDF" w:rsidRDefault="0047072D" w:rsidP="002D44BC">
            <w:pPr>
              <w:pStyle w:val="cuatexto"/>
              <w:jc w:val="right"/>
              <w:rPr>
                <w:b/>
                <w:bCs/>
                <w:i/>
                <w:iCs/>
                <w:sz w:val="19"/>
                <w:szCs w:val="19"/>
              </w:rPr>
            </w:pPr>
            <w:r w:rsidRPr="00036EDF">
              <w:rPr>
                <w:b/>
                <w:bCs/>
                <w:i/>
                <w:iCs/>
                <w:sz w:val="19"/>
                <w:szCs w:val="19"/>
              </w:rPr>
              <w:t>107</w:t>
            </w:r>
          </w:p>
        </w:tc>
        <w:tc>
          <w:tcPr>
            <w:tcW w:w="560" w:type="pct"/>
            <w:tcBorders>
              <w:top w:val="single" w:sz="2" w:space="0" w:color="auto"/>
              <w:left w:val="single" w:sz="2" w:space="0" w:color="auto"/>
              <w:bottom w:val="single" w:sz="2" w:space="0" w:color="auto"/>
            </w:tcBorders>
            <w:shd w:val="clear" w:color="auto" w:fill="auto"/>
            <w:vAlign w:val="center"/>
            <w:hideMark/>
          </w:tcPr>
          <w:p w14:paraId="661D5D41" w14:textId="1D6ACE56" w:rsidR="0047072D" w:rsidRPr="00036EDF" w:rsidRDefault="0047072D" w:rsidP="002D44BC">
            <w:pPr>
              <w:pStyle w:val="cuatexto"/>
              <w:jc w:val="right"/>
              <w:rPr>
                <w:b/>
                <w:bCs/>
                <w:i/>
                <w:iCs/>
                <w:sz w:val="19"/>
                <w:szCs w:val="19"/>
              </w:rPr>
            </w:pPr>
            <w:r w:rsidRPr="00036EDF">
              <w:rPr>
                <w:b/>
                <w:bCs/>
                <w:i/>
                <w:iCs/>
                <w:sz w:val="19"/>
                <w:szCs w:val="19"/>
              </w:rPr>
              <w:t>73,63</w:t>
            </w:r>
          </w:p>
        </w:tc>
        <w:tc>
          <w:tcPr>
            <w:tcW w:w="440" w:type="pct"/>
            <w:tcBorders>
              <w:top w:val="single" w:sz="2" w:space="0" w:color="auto"/>
              <w:bottom w:val="single" w:sz="2" w:space="0" w:color="auto"/>
              <w:right w:val="single" w:sz="2" w:space="0" w:color="auto"/>
            </w:tcBorders>
            <w:shd w:val="clear" w:color="auto" w:fill="auto"/>
            <w:vAlign w:val="center"/>
            <w:hideMark/>
          </w:tcPr>
          <w:p w14:paraId="0F8F7BE1" w14:textId="77777777" w:rsidR="0047072D" w:rsidRPr="00036EDF" w:rsidRDefault="0047072D" w:rsidP="002D44BC">
            <w:pPr>
              <w:pStyle w:val="cuatexto"/>
              <w:jc w:val="right"/>
              <w:rPr>
                <w:b/>
                <w:bCs/>
                <w:i/>
                <w:iCs/>
                <w:sz w:val="19"/>
                <w:szCs w:val="19"/>
              </w:rPr>
            </w:pPr>
            <w:r w:rsidRPr="00036EDF">
              <w:rPr>
                <w:b/>
                <w:bCs/>
                <w:i/>
                <w:iCs/>
                <w:sz w:val="19"/>
                <w:szCs w:val="19"/>
              </w:rPr>
              <w:t>9</w:t>
            </w:r>
          </w:p>
        </w:tc>
        <w:tc>
          <w:tcPr>
            <w:tcW w:w="559" w:type="pct"/>
            <w:tcBorders>
              <w:top w:val="single" w:sz="2" w:space="0" w:color="auto"/>
              <w:left w:val="single" w:sz="2" w:space="0" w:color="auto"/>
              <w:bottom w:val="single" w:sz="2" w:space="0" w:color="auto"/>
              <w:right w:val="nil"/>
            </w:tcBorders>
            <w:shd w:val="clear" w:color="auto" w:fill="auto"/>
            <w:vAlign w:val="center"/>
            <w:hideMark/>
          </w:tcPr>
          <w:p w14:paraId="0E90247C" w14:textId="676FB793" w:rsidR="0047072D" w:rsidRPr="00036EDF" w:rsidRDefault="0047072D" w:rsidP="002D44BC">
            <w:pPr>
              <w:pStyle w:val="cuatexto"/>
              <w:jc w:val="right"/>
              <w:rPr>
                <w:b/>
                <w:bCs/>
                <w:i/>
                <w:iCs/>
                <w:sz w:val="19"/>
                <w:szCs w:val="19"/>
              </w:rPr>
            </w:pPr>
            <w:r w:rsidRPr="00036EDF">
              <w:rPr>
                <w:b/>
                <w:bCs/>
                <w:i/>
                <w:iCs/>
                <w:sz w:val="19"/>
                <w:szCs w:val="19"/>
              </w:rPr>
              <w:t>988,89</w:t>
            </w:r>
          </w:p>
        </w:tc>
      </w:tr>
      <w:tr w:rsidR="000A742F" w:rsidRPr="003A115E" w14:paraId="69094C20" w14:textId="77777777" w:rsidTr="00CF24F0">
        <w:trPr>
          <w:trHeight w:val="198"/>
        </w:trPr>
        <w:tc>
          <w:tcPr>
            <w:tcW w:w="1251" w:type="pct"/>
            <w:tcBorders>
              <w:top w:val="single" w:sz="2" w:space="0" w:color="auto"/>
              <w:left w:val="nil"/>
              <w:bottom w:val="single" w:sz="2" w:space="0" w:color="auto"/>
              <w:right w:val="nil"/>
            </w:tcBorders>
            <w:shd w:val="clear" w:color="auto" w:fill="auto"/>
            <w:vAlign w:val="center"/>
            <w:hideMark/>
          </w:tcPr>
          <w:p w14:paraId="4E0B6814" w14:textId="77777777" w:rsidR="0047072D" w:rsidRPr="00036EDF" w:rsidRDefault="0047072D" w:rsidP="002D44BC">
            <w:pPr>
              <w:pStyle w:val="cuatexto"/>
              <w:rPr>
                <w:sz w:val="19"/>
                <w:szCs w:val="19"/>
              </w:rPr>
            </w:pPr>
            <w:r w:rsidRPr="00036EDF">
              <w:rPr>
                <w:sz w:val="19"/>
                <w:szCs w:val="19"/>
                <w:lang w:val="es-ES"/>
              </w:rPr>
              <w:t>6   Enajenación de inversiones reales</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26A4A275" w14:textId="5F3B79B6" w:rsidR="0047072D" w:rsidRPr="00036EDF" w:rsidRDefault="0047072D" w:rsidP="002D44BC">
            <w:pPr>
              <w:pStyle w:val="cuatexto"/>
              <w:jc w:val="right"/>
              <w:rPr>
                <w:sz w:val="19"/>
                <w:szCs w:val="19"/>
              </w:rPr>
            </w:pPr>
            <w:r w:rsidRPr="00036EDF">
              <w:rPr>
                <w:sz w:val="19"/>
                <w:szCs w:val="19"/>
              </w:rPr>
              <w:t>17,66</w:t>
            </w:r>
          </w:p>
        </w:tc>
        <w:tc>
          <w:tcPr>
            <w:tcW w:w="639" w:type="pct"/>
            <w:tcBorders>
              <w:top w:val="single" w:sz="2" w:space="0" w:color="auto"/>
              <w:left w:val="single" w:sz="2" w:space="0" w:color="auto"/>
              <w:bottom w:val="single" w:sz="2" w:space="0" w:color="auto"/>
            </w:tcBorders>
            <w:shd w:val="clear" w:color="auto" w:fill="auto"/>
            <w:vAlign w:val="center"/>
            <w:hideMark/>
          </w:tcPr>
          <w:p w14:paraId="14F91828" w14:textId="62268F85" w:rsidR="0047072D" w:rsidRPr="00036EDF" w:rsidRDefault="0047072D" w:rsidP="002D44BC">
            <w:pPr>
              <w:pStyle w:val="cuatexto"/>
              <w:jc w:val="right"/>
              <w:rPr>
                <w:sz w:val="19"/>
                <w:szCs w:val="19"/>
              </w:rPr>
            </w:pPr>
            <w:r w:rsidRPr="00036EDF">
              <w:rPr>
                <w:sz w:val="19"/>
                <w:szCs w:val="19"/>
              </w:rPr>
              <w:t>21,71</w:t>
            </w:r>
          </w:p>
        </w:tc>
        <w:tc>
          <w:tcPr>
            <w:tcW w:w="561" w:type="pct"/>
            <w:tcBorders>
              <w:top w:val="single" w:sz="2" w:space="0" w:color="auto"/>
              <w:bottom w:val="single" w:sz="2" w:space="0" w:color="auto"/>
            </w:tcBorders>
            <w:shd w:val="clear" w:color="auto" w:fill="auto"/>
            <w:vAlign w:val="center"/>
            <w:hideMark/>
          </w:tcPr>
          <w:p w14:paraId="33206C1B" w14:textId="77777777" w:rsidR="0047072D" w:rsidRPr="00036EDF" w:rsidRDefault="0047072D" w:rsidP="002D44BC">
            <w:pPr>
              <w:pStyle w:val="cuatexto"/>
              <w:jc w:val="right"/>
              <w:rPr>
                <w:sz w:val="19"/>
                <w:szCs w:val="19"/>
              </w:rPr>
            </w:pPr>
            <w:r w:rsidRPr="00036EDF">
              <w:rPr>
                <w:sz w:val="19"/>
                <w:szCs w:val="19"/>
              </w:rPr>
              <w:t>2</w:t>
            </w:r>
          </w:p>
        </w:tc>
        <w:tc>
          <w:tcPr>
            <w:tcW w:w="400" w:type="pct"/>
            <w:tcBorders>
              <w:top w:val="single" w:sz="2" w:space="0" w:color="auto"/>
              <w:bottom w:val="single" w:sz="2" w:space="0" w:color="auto"/>
              <w:right w:val="single" w:sz="2" w:space="0" w:color="auto"/>
            </w:tcBorders>
            <w:shd w:val="clear" w:color="auto" w:fill="auto"/>
            <w:vAlign w:val="center"/>
            <w:hideMark/>
          </w:tcPr>
          <w:p w14:paraId="7DE01CC6" w14:textId="77777777" w:rsidR="0047072D" w:rsidRPr="00036EDF" w:rsidRDefault="0047072D" w:rsidP="002D44BC">
            <w:pPr>
              <w:pStyle w:val="cuatexto"/>
              <w:jc w:val="right"/>
              <w:rPr>
                <w:sz w:val="19"/>
                <w:szCs w:val="19"/>
              </w:rPr>
            </w:pPr>
            <w:r w:rsidRPr="00036EDF">
              <w:rPr>
                <w:sz w:val="19"/>
                <w:szCs w:val="19"/>
              </w:rPr>
              <w:t>123</w:t>
            </w:r>
          </w:p>
        </w:tc>
        <w:tc>
          <w:tcPr>
            <w:tcW w:w="560" w:type="pct"/>
            <w:tcBorders>
              <w:top w:val="single" w:sz="2" w:space="0" w:color="auto"/>
              <w:left w:val="single" w:sz="2" w:space="0" w:color="auto"/>
              <w:bottom w:val="single" w:sz="2" w:space="0" w:color="auto"/>
            </w:tcBorders>
            <w:shd w:val="clear" w:color="auto" w:fill="auto"/>
            <w:vAlign w:val="center"/>
            <w:hideMark/>
          </w:tcPr>
          <w:p w14:paraId="19BCD763" w14:textId="0E8A27EE" w:rsidR="0047072D" w:rsidRPr="00036EDF" w:rsidRDefault="0047072D" w:rsidP="002D44BC">
            <w:pPr>
              <w:pStyle w:val="cuatexto"/>
              <w:jc w:val="right"/>
              <w:rPr>
                <w:sz w:val="19"/>
                <w:szCs w:val="19"/>
              </w:rPr>
            </w:pPr>
            <w:r w:rsidRPr="00036EDF">
              <w:rPr>
                <w:sz w:val="19"/>
                <w:szCs w:val="19"/>
              </w:rPr>
              <w:t>8,42</w:t>
            </w:r>
          </w:p>
        </w:tc>
        <w:tc>
          <w:tcPr>
            <w:tcW w:w="440" w:type="pct"/>
            <w:tcBorders>
              <w:top w:val="single" w:sz="2" w:space="0" w:color="auto"/>
              <w:bottom w:val="single" w:sz="2" w:space="0" w:color="auto"/>
              <w:right w:val="single" w:sz="2" w:space="0" w:color="auto"/>
            </w:tcBorders>
            <w:shd w:val="clear" w:color="auto" w:fill="auto"/>
            <w:vAlign w:val="center"/>
            <w:hideMark/>
          </w:tcPr>
          <w:p w14:paraId="7C9FA363" w14:textId="77777777" w:rsidR="0047072D" w:rsidRPr="00036EDF" w:rsidRDefault="0047072D" w:rsidP="002D44BC">
            <w:pPr>
              <w:pStyle w:val="cuatexto"/>
              <w:jc w:val="right"/>
              <w:rPr>
                <w:sz w:val="19"/>
                <w:szCs w:val="19"/>
              </w:rPr>
            </w:pPr>
            <w:r w:rsidRPr="00036EDF">
              <w:rPr>
                <w:sz w:val="19"/>
                <w:szCs w:val="19"/>
              </w:rPr>
              <w:t>63</w:t>
            </w:r>
          </w:p>
        </w:tc>
        <w:tc>
          <w:tcPr>
            <w:tcW w:w="559" w:type="pct"/>
            <w:tcBorders>
              <w:top w:val="single" w:sz="2" w:space="0" w:color="auto"/>
              <w:left w:val="single" w:sz="2" w:space="0" w:color="auto"/>
              <w:bottom w:val="single" w:sz="2" w:space="0" w:color="auto"/>
              <w:right w:val="nil"/>
            </w:tcBorders>
            <w:shd w:val="clear" w:color="auto" w:fill="auto"/>
            <w:vAlign w:val="center"/>
            <w:hideMark/>
          </w:tcPr>
          <w:p w14:paraId="134C1689" w14:textId="29DA479F" w:rsidR="0047072D" w:rsidRPr="00036EDF" w:rsidRDefault="0047072D" w:rsidP="002D44BC">
            <w:pPr>
              <w:pStyle w:val="cuatexto"/>
              <w:jc w:val="right"/>
              <w:rPr>
                <w:sz w:val="19"/>
                <w:szCs w:val="19"/>
              </w:rPr>
            </w:pPr>
            <w:r w:rsidRPr="00036EDF">
              <w:rPr>
                <w:sz w:val="19"/>
                <w:szCs w:val="19"/>
              </w:rPr>
              <w:t>21,78</w:t>
            </w:r>
          </w:p>
        </w:tc>
      </w:tr>
      <w:tr w:rsidR="000A742F" w:rsidRPr="003A115E" w14:paraId="308FCF9C" w14:textId="77777777" w:rsidTr="00CF24F0">
        <w:trPr>
          <w:trHeight w:val="198"/>
        </w:trPr>
        <w:tc>
          <w:tcPr>
            <w:tcW w:w="1251" w:type="pct"/>
            <w:tcBorders>
              <w:top w:val="single" w:sz="2" w:space="0" w:color="auto"/>
              <w:left w:val="nil"/>
              <w:bottom w:val="single" w:sz="2" w:space="0" w:color="auto"/>
              <w:right w:val="nil"/>
            </w:tcBorders>
            <w:shd w:val="clear" w:color="auto" w:fill="auto"/>
            <w:vAlign w:val="center"/>
            <w:hideMark/>
          </w:tcPr>
          <w:p w14:paraId="24BA56F8" w14:textId="77777777" w:rsidR="0047072D" w:rsidRPr="00036EDF" w:rsidRDefault="0047072D" w:rsidP="0186A00D">
            <w:pPr>
              <w:pStyle w:val="cuatexto"/>
              <w:rPr>
                <w:sz w:val="19"/>
                <w:szCs w:val="19"/>
                <w:lang w:val="es-ES"/>
              </w:rPr>
            </w:pPr>
            <w:r w:rsidRPr="00036EDF">
              <w:rPr>
                <w:sz w:val="19"/>
                <w:szCs w:val="19"/>
                <w:lang w:val="es-ES"/>
              </w:rPr>
              <w:t>7   Transferencias de capital</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1BA73ECA" w14:textId="64564499" w:rsidR="0047072D" w:rsidRPr="00036EDF" w:rsidRDefault="0047072D" w:rsidP="002D44BC">
            <w:pPr>
              <w:pStyle w:val="cuatexto"/>
              <w:jc w:val="right"/>
              <w:rPr>
                <w:sz w:val="19"/>
                <w:szCs w:val="19"/>
              </w:rPr>
            </w:pPr>
            <w:r w:rsidRPr="00036EDF">
              <w:rPr>
                <w:sz w:val="19"/>
                <w:szCs w:val="19"/>
              </w:rPr>
              <w:t>114,61</w:t>
            </w:r>
          </w:p>
        </w:tc>
        <w:tc>
          <w:tcPr>
            <w:tcW w:w="639" w:type="pct"/>
            <w:tcBorders>
              <w:top w:val="single" w:sz="2" w:space="0" w:color="auto"/>
              <w:left w:val="single" w:sz="2" w:space="0" w:color="auto"/>
              <w:bottom w:val="single" w:sz="2" w:space="0" w:color="auto"/>
            </w:tcBorders>
            <w:shd w:val="clear" w:color="auto" w:fill="auto"/>
            <w:vAlign w:val="center"/>
            <w:hideMark/>
          </w:tcPr>
          <w:p w14:paraId="7A2084ED" w14:textId="7F1EFBA8" w:rsidR="0047072D" w:rsidRPr="00036EDF" w:rsidRDefault="0047072D" w:rsidP="002D44BC">
            <w:pPr>
              <w:pStyle w:val="cuatexto"/>
              <w:jc w:val="right"/>
              <w:rPr>
                <w:sz w:val="19"/>
                <w:szCs w:val="19"/>
              </w:rPr>
            </w:pPr>
            <w:r w:rsidRPr="00036EDF">
              <w:rPr>
                <w:sz w:val="19"/>
                <w:szCs w:val="19"/>
              </w:rPr>
              <w:t>95,68</w:t>
            </w:r>
          </w:p>
        </w:tc>
        <w:tc>
          <w:tcPr>
            <w:tcW w:w="561" w:type="pct"/>
            <w:tcBorders>
              <w:top w:val="single" w:sz="2" w:space="0" w:color="auto"/>
              <w:bottom w:val="single" w:sz="2" w:space="0" w:color="auto"/>
            </w:tcBorders>
            <w:shd w:val="clear" w:color="auto" w:fill="auto"/>
            <w:vAlign w:val="center"/>
            <w:hideMark/>
          </w:tcPr>
          <w:p w14:paraId="4C98651E" w14:textId="77777777" w:rsidR="0047072D" w:rsidRPr="00036EDF" w:rsidRDefault="0047072D" w:rsidP="002D44BC">
            <w:pPr>
              <w:pStyle w:val="cuatexto"/>
              <w:jc w:val="right"/>
              <w:rPr>
                <w:sz w:val="19"/>
                <w:szCs w:val="19"/>
              </w:rPr>
            </w:pPr>
            <w:r w:rsidRPr="00036EDF">
              <w:rPr>
                <w:sz w:val="19"/>
                <w:szCs w:val="19"/>
              </w:rPr>
              <w:t>9</w:t>
            </w:r>
          </w:p>
        </w:tc>
        <w:tc>
          <w:tcPr>
            <w:tcW w:w="400" w:type="pct"/>
            <w:tcBorders>
              <w:top w:val="single" w:sz="2" w:space="0" w:color="auto"/>
              <w:bottom w:val="single" w:sz="2" w:space="0" w:color="auto"/>
              <w:right w:val="single" w:sz="2" w:space="0" w:color="auto"/>
            </w:tcBorders>
            <w:shd w:val="clear" w:color="auto" w:fill="auto"/>
            <w:vAlign w:val="center"/>
            <w:hideMark/>
          </w:tcPr>
          <w:p w14:paraId="0D6C14D5" w14:textId="77777777" w:rsidR="0047072D" w:rsidRPr="00036EDF" w:rsidRDefault="0047072D" w:rsidP="002D44BC">
            <w:pPr>
              <w:pStyle w:val="cuatexto"/>
              <w:jc w:val="right"/>
              <w:rPr>
                <w:sz w:val="19"/>
                <w:szCs w:val="19"/>
              </w:rPr>
            </w:pPr>
            <w:r w:rsidRPr="00036EDF">
              <w:rPr>
                <w:sz w:val="19"/>
                <w:szCs w:val="19"/>
              </w:rPr>
              <w:t>83</w:t>
            </w:r>
          </w:p>
        </w:tc>
        <w:tc>
          <w:tcPr>
            <w:tcW w:w="560" w:type="pct"/>
            <w:tcBorders>
              <w:top w:val="single" w:sz="2" w:space="0" w:color="auto"/>
              <w:left w:val="single" w:sz="2" w:space="0" w:color="auto"/>
              <w:bottom w:val="single" w:sz="2" w:space="0" w:color="auto"/>
            </w:tcBorders>
            <w:shd w:val="clear" w:color="auto" w:fill="auto"/>
            <w:vAlign w:val="center"/>
            <w:hideMark/>
          </w:tcPr>
          <w:p w14:paraId="0667D632" w14:textId="13E896B5" w:rsidR="0047072D" w:rsidRPr="00036EDF" w:rsidRDefault="0047072D" w:rsidP="002D44BC">
            <w:pPr>
              <w:pStyle w:val="cuatexto"/>
              <w:jc w:val="right"/>
              <w:rPr>
                <w:sz w:val="19"/>
                <w:szCs w:val="19"/>
              </w:rPr>
            </w:pPr>
            <w:r w:rsidRPr="00036EDF">
              <w:rPr>
                <w:sz w:val="19"/>
                <w:szCs w:val="19"/>
              </w:rPr>
              <w:t>48,67</w:t>
            </w:r>
          </w:p>
        </w:tc>
        <w:tc>
          <w:tcPr>
            <w:tcW w:w="440" w:type="pct"/>
            <w:tcBorders>
              <w:top w:val="single" w:sz="2" w:space="0" w:color="auto"/>
              <w:bottom w:val="single" w:sz="2" w:space="0" w:color="auto"/>
              <w:right w:val="single" w:sz="2" w:space="0" w:color="auto"/>
            </w:tcBorders>
            <w:shd w:val="clear" w:color="auto" w:fill="auto"/>
            <w:vAlign w:val="center"/>
            <w:hideMark/>
          </w:tcPr>
          <w:p w14:paraId="5890F316" w14:textId="77777777" w:rsidR="0047072D" w:rsidRPr="00036EDF" w:rsidRDefault="0047072D" w:rsidP="002D44BC">
            <w:pPr>
              <w:pStyle w:val="cuatexto"/>
              <w:jc w:val="right"/>
              <w:rPr>
                <w:sz w:val="19"/>
                <w:szCs w:val="19"/>
              </w:rPr>
            </w:pPr>
            <w:r w:rsidRPr="00036EDF">
              <w:rPr>
                <w:sz w:val="19"/>
                <w:szCs w:val="19"/>
              </w:rPr>
              <w:t>104</w:t>
            </w:r>
          </w:p>
        </w:tc>
        <w:tc>
          <w:tcPr>
            <w:tcW w:w="559" w:type="pct"/>
            <w:tcBorders>
              <w:top w:val="single" w:sz="2" w:space="0" w:color="auto"/>
              <w:left w:val="single" w:sz="2" w:space="0" w:color="auto"/>
              <w:bottom w:val="single" w:sz="2" w:space="0" w:color="auto"/>
              <w:right w:val="nil"/>
            </w:tcBorders>
            <w:shd w:val="clear" w:color="auto" w:fill="auto"/>
            <w:vAlign w:val="center"/>
            <w:hideMark/>
          </w:tcPr>
          <w:p w14:paraId="4BCA724D" w14:textId="22AB8815" w:rsidR="0047072D" w:rsidRPr="00036EDF" w:rsidRDefault="0047072D" w:rsidP="002D44BC">
            <w:pPr>
              <w:pStyle w:val="cuatexto"/>
              <w:jc w:val="right"/>
              <w:rPr>
                <w:sz w:val="19"/>
                <w:szCs w:val="19"/>
              </w:rPr>
            </w:pPr>
            <w:r w:rsidRPr="00036EDF">
              <w:rPr>
                <w:sz w:val="19"/>
                <w:szCs w:val="19"/>
              </w:rPr>
              <w:t>101,19</w:t>
            </w:r>
          </w:p>
        </w:tc>
      </w:tr>
      <w:tr w:rsidR="000A742F" w:rsidRPr="003A115E" w14:paraId="27147EBA" w14:textId="77777777" w:rsidTr="00CF24F0">
        <w:trPr>
          <w:trHeight w:val="198"/>
        </w:trPr>
        <w:tc>
          <w:tcPr>
            <w:tcW w:w="1251" w:type="pct"/>
            <w:tcBorders>
              <w:top w:val="single" w:sz="2" w:space="0" w:color="auto"/>
              <w:left w:val="nil"/>
              <w:bottom w:val="single" w:sz="2" w:space="0" w:color="auto"/>
              <w:right w:val="nil"/>
            </w:tcBorders>
            <w:shd w:val="clear" w:color="auto" w:fill="auto"/>
            <w:vAlign w:val="center"/>
            <w:hideMark/>
          </w:tcPr>
          <w:p w14:paraId="181C7322" w14:textId="29906466" w:rsidR="0047072D" w:rsidRPr="00036EDF" w:rsidRDefault="0047072D" w:rsidP="002D44BC">
            <w:pPr>
              <w:pStyle w:val="cuatexto"/>
              <w:rPr>
                <w:b/>
                <w:bCs/>
                <w:i/>
                <w:iCs/>
                <w:sz w:val="19"/>
                <w:szCs w:val="19"/>
              </w:rPr>
            </w:pPr>
            <w:r w:rsidRPr="00036EDF">
              <w:rPr>
                <w:b/>
                <w:bCs/>
                <w:i/>
                <w:iCs/>
                <w:sz w:val="19"/>
                <w:szCs w:val="19"/>
              </w:rPr>
              <w:t>Ingresos de capital</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1679A291" w14:textId="75DA6C93" w:rsidR="0047072D" w:rsidRPr="00036EDF" w:rsidRDefault="0047072D" w:rsidP="002D44BC">
            <w:pPr>
              <w:pStyle w:val="cuatexto"/>
              <w:jc w:val="right"/>
              <w:rPr>
                <w:b/>
                <w:bCs/>
                <w:i/>
                <w:iCs/>
                <w:sz w:val="19"/>
                <w:szCs w:val="19"/>
              </w:rPr>
            </w:pPr>
            <w:r w:rsidRPr="00036EDF">
              <w:rPr>
                <w:b/>
                <w:bCs/>
                <w:i/>
                <w:iCs/>
                <w:sz w:val="19"/>
                <w:szCs w:val="19"/>
              </w:rPr>
              <w:t>132,26</w:t>
            </w:r>
          </w:p>
        </w:tc>
        <w:tc>
          <w:tcPr>
            <w:tcW w:w="639" w:type="pct"/>
            <w:tcBorders>
              <w:top w:val="single" w:sz="2" w:space="0" w:color="auto"/>
              <w:left w:val="single" w:sz="2" w:space="0" w:color="auto"/>
              <w:bottom w:val="single" w:sz="2" w:space="0" w:color="auto"/>
            </w:tcBorders>
            <w:shd w:val="clear" w:color="auto" w:fill="auto"/>
            <w:vAlign w:val="center"/>
            <w:hideMark/>
          </w:tcPr>
          <w:p w14:paraId="535E4587" w14:textId="0417919E" w:rsidR="0047072D" w:rsidRPr="00036EDF" w:rsidRDefault="0047072D" w:rsidP="002D44BC">
            <w:pPr>
              <w:pStyle w:val="cuatexto"/>
              <w:jc w:val="right"/>
              <w:rPr>
                <w:b/>
                <w:bCs/>
                <w:i/>
                <w:iCs/>
                <w:sz w:val="19"/>
                <w:szCs w:val="19"/>
              </w:rPr>
            </w:pPr>
            <w:r w:rsidRPr="00036EDF">
              <w:rPr>
                <w:b/>
                <w:bCs/>
                <w:i/>
                <w:iCs/>
                <w:sz w:val="19"/>
                <w:szCs w:val="19"/>
              </w:rPr>
              <w:t>117,39</w:t>
            </w:r>
          </w:p>
        </w:tc>
        <w:tc>
          <w:tcPr>
            <w:tcW w:w="561" w:type="pct"/>
            <w:tcBorders>
              <w:top w:val="single" w:sz="2" w:space="0" w:color="auto"/>
              <w:bottom w:val="single" w:sz="2" w:space="0" w:color="auto"/>
            </w:tcBorders>
            <w:shd w:val="clear" w:color="auto" w:fill="auto"/>
            <w:vAlign w:val="center"/>
            <w:hideMark/>
          </w:tcPr>
          <w:p w14:paraId="629E365D" w14:textId="77777777" w:rsidR="0047072D" w:rsidRPr="00036EDF" w:rsidRDefault="0047072D" w:rsidP="002D44BC">
            <w:pPr>
              <w:pStyle w:val="cuatexto"/>
              <w:jc w:val="right"/>
              <w:rPr>
                <w:b/>
                <w:bCs/>
                <w:i/>
                <w:iCs/>
                <w:sz w:val="19"/>
                <w:szCs w:val="19"/>
              </w:rPr>
            </w:pPr>
            <w:r w:rsidRPr="00036EDF">
              <w:rPr>
                <w:b/>
                <w:bCs/>
                <w:i/>
                <w:iCs/>
                <w:sz w:val="19"/>
                <w:szCs w:val="19"/>
              </w:rPr>
              <w:t>11</w:t>
            </w:r>
          </w:p>
        </w:tc>
        <w:tc>
          <w:tcPr>
            <w:tcW w:w="400" w:type="pct"/>
            <w:tcBorders>
              <w:top w:val="single" w:sz="2" w:space="0" w:color="auto"/>
              <w:bottom w:val="single" w:sz="2" w:space="0" w:color="auto"/>
              <w:right w:val="single" w:sz="2" w:space="0" w:color="auto"/>
            </w:tcBorders>
            <w:shd w:val="clear" w:color="auto" w:fill="auto"/>
            <w:vAlign w:val="center"/>
            <w:hideMark/>
          </w:tcPr>
          <w:p w14:paraId="6A988452" w14:textId="77777777" w:rsidR="0047072D" w:rsidRPr="00036EDF" w:rsidRDefault="0047072D" w:rsidP="002D44BC">
            <w:pPr>
              <w:pStyle w:val="cuatexto"/>
              <w:jc w:val="right"/>
              <w:rPr>
                <w:b/>
                <w:bCs/>
                <w:i/>
                <w:iCs/>
                <w:sz w:val="19"/>
                <w:szCs w:val="19"/>
              </w:rPr>
            </w:pPr>
            <w:r w:rsidRPr="00036EDF">
              <w:rPr>
                <w:b/>
                <w:bCs/>
                <w:i/>
                <w:iCs/>
                <w:sz w:val="19"/>
                <w:szCs w:val="19"/>
              </w:rPr>
              <w:t>89</w:t>
            </w:r>
          </w:p>
        </w:tc>
        <w:tc>
          <w:tcPr>
            <w:tcW w:w="560" w:type="pct"/>
            <w:tcBorders>
              <w:top w:val="single" w:sz="2" w:space="0" w:color="auto"/>
              <w:left w:val="single" w:sz="2" w:space="0" w:color="auto"/>
              <w:bottom w:val="single" w:sz="2" w:space="0" w:color="auto"/>
            </w:tcBorders>
            <w:shd w:val="clear" w:color="auto" w:fill="auto"/>
            <w:vAlign w:val="center"/>
            <w:hideMark/>
          </w:tcPr>
          <w:p w14:paraId="78192543" w14:textId="284A4686" w:rsidR="0047072D" w:rsidRPr="00036EDF" w:rsidRDefault="0047072D" w:rsidP="002D44BC">
            <w:pPr>
              <w:pStyle w:val="cuatexto"/>
              <w:jc w:val="right"/>
              <w:rPr>
                <w:b/>
                <w:bCs/>
                <w:i/>
                <w:iCs/>
                <w:sz w:val="19"/>
                <w:szCs w:val="19"/>
              </w:rPr>
            </w:pPr>
            <w:r w:rsidRPr="00036EDF">
              <w:rPr>
                <w:b/>
                <w:bCs/>
                <w:i/>
                <w:iCs/>
                <w:sz w:val="19"/>
                <w:szCs w:val="19"/>
              </w:rPr>
              <w:t>57,09</w:t>
            </w:r>
          </w:p>
        </w:tc>
        <w:tc>
          <w:tcPr>
            <w:tcW w:w="440" w:type="pct"/>
            <w:tcBorders>
              <w:top w:val="single" w:sz="2" w:space="0" w:color="auto"/>
              <w:bottom w:val="single" w:sz="2" w:space="0" w:color="auto"/>
              <w:right w:val="single" w:sz="2" w:space="0" w:color="auto"/>
            </w:tcBorders>
            <w:shd w:val="clear" w:color="auto" w:fill="auto"/>
            <w:vAlign w:val="center"/>
            <w:hideMark/>
          </w:tcPr>
          <w:p w14:paraId="77B7759F" w14:textId="77777777" w:rsidR="0047072D" w:rsidRPr="00036EDF" w:rsidRDefault="0047072D" w:rsidP="002D44BC">
            <w:pPr>
              <w:pStyle w:val="cuatexto"/>
              <w:jc w:val="right"/>
              <w:rPr>
                <w:b/>
                <w:bCs/>
                <w:i/>
                <w:iCs/>
                <w:sz w:val="19"/>
                <w:szCs w:val="19"/>
              </w:rPr>
            </w:pPr>
            <w:r w:rsidRPr="00036EDF">
              <w:rPr>
                <w:b/>
                <w:bCs/>
                <w:i/>
                <w:iCs/>
                <w:sz w:val="19"/>
                <w:szCs w:val="19"/>
              </w:rPr>
              <w:t>95</w:t>
            </w:r>
          </w:p>
        </w:tc>
        <w:tc>
          <w:tcPr>
            <w:tcW w:w="559" w:type="pct"/>
            <w:tcBorders>
              <w:top w:val="single" w:sz="2" w:space="0" w:color="auto"/>
              <w:left w:val="single" w:sz="2" w:space="0" w:color="auto"/>
              <w:bottom w:val="single" w:sz="2" w:space="0" w:color="auto"/>
              <w:right w:val="nil"/>
            </w:tcBorders>
            <w:shd w:val="clear" w:color="auto" w:fill="auto"/>
            <w:vAlign w:val="center"/>
            <w:hideMark/>
          </w:tcPr>
          <w:p w14:paraId="54283F62" w14:textId="09A1208E" w:rsidR="0047072D" w:rsidRPr="00036EDF" w:rsidRDefault="0047072D" w:rsidP="002D44BC">
            <w:pPr>
              <w:pStyle w:val="cuatexto"/>
              <w:jc w:val="right"/>
              <w:rPr>
                <w:b/>
                <w:bCs/>
                <w:i/>
                <w:iCs/>
                <w:sz w:val="19"/>
                <w:szCs w:val="19"/>
              </w:rPr>
            </w:pPr>
            <w:r w:rsidRPr="00036EDF">
              <w:rPr>
                <w:b/>
                <w:bCs/>
                <w:i/>
                <w:iCs/>
                <w:sz w:val="19"/>
                <w:szCs w:val="19"/>
              </w:rPr>
              <w:t>122,97</w:t>
            </w:r>
          </w:p>
        </w:tc>
      </w:tr>
      <w:tr w:rsidR="000A742F" w:rsidRPr="003A115E" w14:paraId="2C734E26" w14:textId="77777777" w:rsidTr="00CF24F0">
        <w:trPr>
          <w:trHeight w:val="198"/>
        </w:trPr>
        <w:tc>
          <w:tcPr>
            <w:tcW w:w="1251" w:type="pct"/>
            <w:tcBorders>
              <w:top w:val="single" w:sz="2" w:space="0" w:color="auto"/>
              <w:left w:val="nil"/>
              <w:bottom w:val="single" w:sz="2" w:space="0" w:color="auto"/>
              <w:right w:val="nil"/>
            </w:tcBorders>
            <w:shd w:val="clear" w:color="auto" w:fill="auto"/>
            <w:vAlign w:val="center"/>
            <w:hideMark/>
          </w:tcPr>
          <w:p w14:paraId="584E5D2A" w14:textId="77777777" w:rsidR="0047072D" w:rsidRPr="00036EDF" w:rsidRDefault="0047072D" w:rsidP="002D44BC">
            <w:pPr>
              <w:pStyle w:val="cuatexto"/>
              <w:rPr>
                <w:sz w:val="19"/>
                <w:szCs w:val="19"/>
              </w:rPr>
            </w:pPr>
            <w:r w:rsidRPr="00036EDF">
              <w:rPr>
                <w:sz w:val="19"/>
                <w:szCs w:val="19"/>
                <w:lang w:val="es-ES"/>
              </w:rPr>
              <w:t>8   Activos financieros</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51590BEB" w14:textId="663021F5" w:rsidR="0047072D" w:rsidRPr="00036EDF" w:rsidRDefault="0047072D" w:rsidP="002D44BC">
            <w:pPr>
              <w:pStyle w:val="cuatexto"/>
              <w:jc w:val="right"/>
              <w:rPr>
                <w:sz w:val="19"/>
                <w:szCs w:val="19"/>
              </w:rPr>
            </w:pPr>
            <w:r w:rsidRPr="00036EDF">
              <w:rPr>
                <w:sz w:val="19"/>
                <w:szCs w:val="19"/>
              </w:rPr>
              <w:t>163,87</w:t>
            </w:r>
          </w:p>
        </w:tc>
        <w:tc>
          <w:tcPr>
            <w:tcW w:w="639" w:type="pct"/>
            <w:tcBorders>
              <w:top w:val="single" w:sz="2" w:space="0" w:color="auto"/>
              <w:left w:val="single" w:sz="2" w:space="0" w:color="auto"/>
              <w:bottom w:val="single" w:sz="2" w:space="0" w:color="auto"/>
            </w:tcBorders>
            <w:shd w:val="clear" w:color="auto" w:fill="auto"/>
            <w:vAlign w:val="center"/>
            <w:hideMark/>
          </w:tcPr>
          <w:p w14:paraId="602B1348" w14:textId="3C05BA03" w:rsidR="0047072D" w:rsidRPr="00036EDF" w:rsidRDefault="0047072D" w:rsidP="002D44BC">
            <w:pPr>
              <w:pStyle w:val="cuatexto"/>
              <w:jc w:val="right"/>
              <w:rPr>
                <w:sz w:val="19"/>
                <w:szCs w:val="19"/>
              </w:rPr>
            </w:pPr>
            <w:r w:rsidRPr="00036EDF">
              <w:rPr>
                <w:sz w:val="19"/>
                <w:szCs w:val="19"/>
              </w:rPr>
              <w:t>1,27</w:t>
            </w:r>
          </w:p>
        </w:tc>
        <w:tc>
          <w:tcPr>
            <w:tcW w:w="561" w:type="pct"/>
            <w:tcBorders>
              <w:top w:val="single" w:sz="2" w:space="0" w:color="auto"/>
              <w:bottom w:val="single" w:sz="2" w:space="0" w:color="auto"/>
            </w:tcBorders>
            <w:shd w:val="clear" w:color="auto" w:fill="auto"/>
            <w:vAlign w:val="center"/>
            <w:hideMark/>
          </w:tcPr>
          <w:p w14:paraId="6F8F93FC" w14:textId="77777777" w:rsidR="0047072D" w:rsidRPr="00036EDF" w:rsidRDefault="0047072D" w:rsidP="002D44BC">
            <w:pPr>
              <w:pStyle w:val="cuatexto"/>
              <w:jc w:val="right"/>
              <w:rPr>
                <w:sz w:val="19"/>
                <w:szCs w:val="19"/>
              </w:rPr>
            </w:pPr>
            <w:r w:rsidRPr="00036EDF">
              <w:rPr>
                <w:sz w:val="19"/>
                <w:szCs w:val="19"/>
              </w:rPr>
              <w:t>0</w:t>
            </w:r>
          </w:p>
        </w:tc>
        <w:tc>
          <w:tcPr>
            <w:tcW w:w="400" w:type="pct"/>
            <w:tcBorders>
              <w:top w:val="single" w:sz="2" w:space="0" w:color="auto"/>
              <w:bottom w:val="single" w:sz="2" w:space="0" w:color="auto"/>
              <w:right w:val="single" w:sz="2" w:space="0" w:color="auto"/>
            </w:tcBorders>
            <w:shd w:val="clear" w:color="auto" w:fill="auto"/>
            <w:vAlign w:val="center"/>
            <w:hideMark/>
          </w:tcPr>
          <w:p w14:paraId="722D1AC9" w14:textId="77777777" w:rsidR="0047072D" w:rsidRPr="00036EDF" w:rsidRDefault="0047072D" w:rsidP="002D44BC">
            <w:pPr>
              <w:pStyle w:val="cuatexto"/>
              <w:jc w:val="right"/>
              <w:rPr>
                <w:sz w:val="19"/>
                <w:szCs w:val="19"/>
              </w:rPr>
            </w:pPr>
            <w:r w:rsidRPr="00036EDF">
              <w:rPr>
                <w:sz w:val="19"/>
                <w:szCs w:val="19"/>
              </w:rPr>
              <w:t>1</w:t>
            </w:r>
          </w:p>
        </w:tc>
        <w:tc>
          <w:tcPr>
            <w:tcW w:w="560" w:type="pct"/>
            <w:tcBorders>
              <w:top w:val="single" w:sz="2" w:space="0" w:color="auto"/>
              <w:left w:val="single" w:sz="2" w:space="0" w:color="auto"/>
              <w:bottom w:val="single" w:sz="2" w:space="0" w:color="auto"/>
            </w:tcBorders>
            <w:shd w:val="clear" w:color="auto" w:fill="auto"/>
            <w:vAlign w:val="center"/>
            <w:hideMark/>
          </w:tcPr>
          <w:p w14:paraId="4769951E" w14:textId="77F75B7E" w:rsidR="0047072D" w:rsidRPr="00036EDF" w:rsidRDefault="00DD1E39" w:rsidP="002D44BC">
            <w:pPr>
              <w:pStyle w:val="cuatexto"/>
              <w:jc w:val="right"/>
              <w:rPr>
                <w:sz w:val="19"/>
                <w:szCs w:val="19"/>
              </w:rPr>
            </w:pPr>
            <w:r w:rsidRPr="00036EDF">
              <w:rPr>
                <w:sz w:val="19"/>
                <w:szCs w:val="19"/>
              </w:rPr>
              <w:t>-</w:t>
            </w:r>
            <w:r w:rsidR="0047072D" w:rsidRPr="00036EDF">
              <w:rPr>
                <w:sz w:val="19"/>
                <w:szCs w:val="19"/>
              </w:rPr>
              <w:t>0,21</w:t>
            </w:r>
          </w:p>
        </w:tc>
        <w:tc>
          <w:tcPr>
            <w:tcW w:w="440" w:type="pct"/>
            <w:tcBorders>
              <w:top w:val="single" w:sz="2" w:space="0" w:color="auto"/>
              <w:bottom w:val="single" w:sz="2" w:space="0" w:color="auto"/>
              <w:right w:val="single" w:sz="2" w:space="0" w:color="auto"/>
            </w:tcBorders>
            <w:shd w:val="clear" w:color="auto" w:fill="auto"/>
            <w:vAlign w:val="center"/>
            <w:hideMark/>
          </w:tcPr>
          <w:p w14:paraId="388A82BB" w14:textId="77777777" w:rsidR="0047072D" w:rsidRPr="00036EDF" w:rsidRDefault="0047072D" w:rsidP="002D44BC">
            <w:pPr>
              <w:pStyle w:val="cuatexto"/>
              <w:jc w:val="right"/>
              <w:rPr>
                <w:sz w:val="19"/>
                <w:szCs w:val="19"/>
              </w:rPr>
            </w:pPr>
            <w:r w:rsidRPr="00036EDF">
              <w:rPr>
                <w:sz w:val="19"/>
                <w:szCs w:val="19"/>
              </w:rPr>
              <w:t>14</w:t>
            </w:r>
          </w:p>
        </w:tc>
        <w:tc>
          <w:tcPr>
            <w:tcW w:w="559" w:type="pct"/>
            <w:tcBorders>
              <w:top w:val="single" w:sz="2" w:space="0" w:color="auto"/>
              <w:left w:val="single" w:sz="2" w:space="0" w:color="auto"/>
              <w:bottom w:val="single" w:sz="2" w:space="0" w:color="auto"/>
              <w:right w:val="nil"/>
            </w:tcBorders>
            <w:shd w:val="clear" w:color="auto" w:fill="auto"/>
            <w:vAlign w:val="center"/>
            <w:hideMark/>
          </w:tcPr>
          <w:p w14:paraId="34C609D0" w14:textId="745F7236" w:rsidR="0047072D" w:rsidRPr="00036EDF" w:rsidRDefault="0047072D" w:rsidP="002D44BC">
            <w:pPr>
              <w:pStyle w:val="cuatexto"/>
              <w:jc w:val="right"/>
              <w:rPr>
                <w:sz w:val="19"/>
                <w:szCs w:val="19"/>
              </w:rPr>
            </w:pPr>
            <w:r w:rsidRPr="00036EDF">
              <w:rPr>
                <w:sz w:val="19"/>
                <w:szCs w:val="19"/>
              </w:rPr>
              <w:t>1,27</w:t>
            </w:r>
          </w:p>
        </w:tc>
      </w:tr>
      <w:tr w:rsidR="000A742F" w:rsidRPr="003A115E" w14:paraId="4637808E" w14:textId="77777777" w:rsidTr="00CF24F0">
        <w:trPr>
          <w:trHeight w:val="198"/>
        </w:trPr>
        <w:tc>
          <w:tcPr>
            <w:tcW w:w="1251" w:type="pct"/>
            <w:tcBorders>
              <w:top w:val="single" w:sz="2" w:space="0" w:color="auto"/>
              <w:left w:val="nil"/>
              <w:bottom w:val="single" w:sz="2" w:space="0" w:color="auto"/>
              <w:right w:val="nil"/>
            </w:tcBorders>
            <w:shd w:val="clear" w:color="auto" w:fill="auto"/>
            <w:vAlign w:val="center"/>
            <w:hideMark/>
          </w:tcPr>
          <w:p w14:paraId="5E89DC9F" w14:textId="77777777" w:rsidR="0047072D" w:rsidRPr="00036EDF" w:rsidRDefault="0047072D" w:rsidP="002D44BC">
            <w:pPr>
              <w:pStyle w:val="cuatexto"/>
              <w:rPr>
                <w:sz w:val="19"/>
                <w:szCs w:val="19"/>
              </w:rPr>
            </w:pPr>
            <w:r w:rsidRPr="00036EDF">
              <w:rPr>
                <w:sz w:val="19"/>
                <w:szCs w:val="19"/>
                <w:lang w:val="es-ES"/>
              </w:rPr>
              <w:t>9   Pasivos financieros</w:t>
            </w:r>
          </w:p>
        </w:tc>
        <w:tc>
          <w:tcPr>
            <w:tcW w:w="590" w:type="pct"/>
            <w:tcBorders>
              <w:top w:val="single" w:sz="2" w:space="0" w:color="auto"/>
              <w:left w:val="nil"/>
              <w:bottom w:val="single" w:sz="2" w:space="0" w:color="auto"/>
              <w:right w:val="single" w:sz="2" w:space="0" w:color="auto"/>
            </w:tcBorders>
            <w:shd w:val="clear" w:color="auto" w:fill="auto"/>
            <w:vAlign w:val="center"/>
            <w:hideMark/>
          </w:tcPr>
          <w:p w14:paraId="69E1B147" w14:textId="762F347C" w:rsidR="0047072D" w:rsidRPr="00036EDF" w:rsidRDefault="0047072D" w:rsidP="002D44BC">
            <w:pPr>
              <w:pStyle w:val="cuatexto"/>
              <w:jc w:val="right"/>
              <w:rPr>
                <w:sz w:val="19"/>
                <w:szCs w:val="19"/>
              </w:rPr>
            </w:pPr>
            <w:r w:rsidRPr="00036EDF">
              <w:rPr>
                <w:sz w:val="19"/>
                <w:szCs w:val="19"/>
              </w:rPr>
              <w:t>42,23</w:t>
            </w:r>
          </w:p>
        </w:tc>
        <w:tc>
          <w:tcPr>
            <w:tcW w:w="639" w:type="pct"/>
            <w:tcBorders>
              <w:top w:val="single" w:sz="2" w:space="0" w:color="auto"/>
              <w:left w:val="single" w:sz="2" w:space="0" w:color="auto"/>
              <w:bottom w:val="single" w:sz="2" w:space="0" w:color="auto"/>
            </w:tcBorders>
            <w:shd w:val="clear" w:color="auto" w:fill="auto"/>
            <w:vAlign w:val="center"/>
            <w:hideMark/>
          </w:tcPr>
          <w:p w14:paraId="125AD1C1" w14:textId="1258A9A8" w:rsidR="0047072D" w:rsidRPr="00036EDF" w:rsidRDefault="0047072D" w:rsidP="002D44BC">
            <w:pPr>
              <w:pStyle w:val="cuatexto"/>
              <w:jc w:val="right"/>
              <w:rPr>
                <w:sz w:val="19"/>
                <w:szCs w:val="19"/>
              </w:rPr>
            </w:pPr>
            <w:r w:rsidRPr="00036EDF">
              <w:rPr>
                <w:sz w:val="19"/>
                <w:szCs w:val="19"/>
              </w:rPr>
              <w:t>19,41</w:t>
            </w:r>
          </w:p>
        </w:tc>
        <w:tc>
          <w:tcPr>
            <w:tcW w:w="561" w:type="pct"/>
            <w:tcBorders>
              <w:top w:val="single" w:sz="2" w:space="0" w:color="auto"/>
              <w:bottom w:val="single" w:sz="2" w:space="0" w:color="auto"/>
            </w:tcBorders>
            <w:shd w:val="clear" w:color="auto" w:fill="auto"/>
            <w:vAlign w:val="center"/>
            <w:hideMark/>
          </w:tcPr>
          <w:p w14:paraId="412D8E3D" w14:textId="77777777" w:rsidR="0047072D" w:rsidRPr="00036EDF" w:rsidRDefault="0047072D" w:rsidP="002D44BC">
            <w:pPr>
              <w:pStyle w:val="cuatexto"/>
              <w:jc w:val="right"/>
              <w:rPr>
                <w:sz w:val="19"/>
                <w:szCs w:val="19"/>
              </w:rPr>
            </w:pPr>
            <w:r w:rsidRPr="00036EDF">
              <w:rPr>
                <w:sz w:val="19"/>
                <w:szCs w:val="19"/>
              </w:rPr>
              <w:t>2</w:t>
            </w:r>
          </w:p>
        </w:tc>
        <w:tc>
          <w:tcPr>
            <w:tcW w:w="400" w:type="pct"/>
            <w:tcBorders>
              <w:top w:val="single" w:sz="2" w:space="0" w:color="auto"/>
              <w:bottom w:val="single" w:sz="2" w:space="0" w:color="auto"/>
              <w:right w:val="single" w:sz="2" w:space="0" w:color="auto"/>
            </w:tcBorders>
            <w:shd w:val="clear" w:color="auto" w:fill="auto"/>
            <w:vAlign w:val="center"/>
            <w:hideMark/>
          </w:tcPr>
          <w:p w14:paraId="0BB68BB0" w14:textId="77777777" w:rsidR="0047072D" w:rsidRPr="00036EDF" w:rsidRDefault="0047072D" w:rsidP="002D44BC">
            <w:pPr>
              <w:pStyle w:val="cuatexto"/>
              <w:jc w:val="right"/>
              <w:rPr>
                <w:sz w:val="19"/>
                <w:szCs w:val="19"/>
              </w:rPr>
            </w:pPr>
            <w:r w:rsidRPr="00036EDF">
              <w:rPr>
                <w:sz w:val="19"/>
                <w:szCs w:val="19"/>
              </w:rPr>
              <w:t>46</w:t>
            </w:r>
          </w:p>
        </w:tc>
        <w:tc>
          <w:tcPr>
            <w:tcW w:w="560" w:type="pct"/>
            <w:tcBorders>
              <w:top w:val="single" w:sz="2" w:space="0" w:color="auto"/>
              <w:left w:val="single" w:sz="2" w:space="0" w:color="auto"/>
              <w:bottom w:val="single" w:sz="2" w:space="0" w:color="auto"/>
            </w:tcBorders>
            <w:shd w:val="clear" w:color="auto" w:fill="auto"/>
            <w:vAlign w:val="center"/>
            <w:hideMark/>
          </w:tcPr>
          <w:p w14:paraId="75198406" w14:textId="0DB1D94D" w:rsidR="0047072D" w:rsidRPr="00036EDF" w:rsidRDefault="0047072D" w:rsidP="002D44BC">
            <w:pPr>
              <w:pStyle w:val="cuatexto"/>
              <w:jc w:val="right"/>
              <w:rPr>
                <w:sz w:val="19"/>
                <w:szCs w:val="19"/>
              </w:rPr>
            </w:pPr>
            <w:r w:rsidRPr="00036EDF">
              <w:rPr>
                <w:sz w:val="19"/>
                <w:szCs w:val="19"/>
              </w:rPr>
              <w:t>16,34</w:t>
            </w:r>
          </w:p>
        </w:tc>
        <w:tc>
          <w:tcPr>
            <w:tcW w:w="440" w:type="pct"/>
            <w:tcBorders>
              <w:top w:val="single" w:sz="2" w:space="0" w:color="auto"/>
              <w:bottom w:val="single" w:sz="2" w:space="0" w:color="auto"/>
              <w:right w:val="single" w:sz="2" w:space="0" w:color="auto"/>
            </w:tcBorders>
            <w:shd w:val="clear" w:color="auto" w:fill="auto"/>
            <w:vAlign w:val="center"/>
            <w:hideMark/>
          </w:tcPr>
          <w:p w14:paraId="6EEAD702" w14:textId="77777777" w:rsidR="0047072D" w:rsidRPr="00036EDF" w:rsidRDefault="0047072D" w:rsidP="002D44BC">
            <w:pPr>
              <w:pStyle w:val="cuatexto"/>
              <w:jc w:val="right"/>
              <w:rPr>
                <w:sz w:val="19"/>
                <w:szCs w:val="19"/>
              </w:rPr>
            </w:pPr>
            <w:r w:rsidRPr="00036EDF">
              <w:rPr>
                <w:sz w:val="19"/>
                <w:szCs w:val="19"/>
              </w:rPr>
              <w:t>530</w:t>
            </w:r>
          </w:p>
        </w:tc>
        <w:tc>
          <w:tcPr>
            <w:tcW w:w="559" w:type="pct"/>
            <w:tcBorders>
              <w:top w:val="single" w:sz="2" w:space="0" w:color="auto"/>
              <w:left w:val="single" w:sz="2" w:space="0" w:color="auto"/>
              <w:bottom w:val="single" w:sz="2" w:space="0" w:color="auto"/>
              <w:right w:val="nil"/>
            </w:tcBorders>
            <w:shd w:val="clear" w:color="auto" w:fill="auto"/>
            <w:vAlign w:val="center"/>
            <w:hideMark/>
          </w:tcPr>
          <w:p w14:paraId="4247593E" w14:textId="0436B066" w:rsidR="0047072D" w:rsidRPr="00036EDF" w:rsidRDefault="0047072D" w:rsidP="002D44BC">
            <w:pPr>
              <w:pStyle w:val="cuatexto"/>
              <w:jc w:val="right"/>
              <w:rPr>
                <w:sz w:val="19"/>
                <w:szCs w:val="19"/>
              </w:rPr>
            </w:pPr>
            <w:r w:rsidRPr="00036EDF">
              <w:rPr>
                <w:sz w:val="19"/>
                <w:szCs w:val="19"/>
              </w:rPr>
              <w:t>19,41</w:t>
            </w:r>
          </w:p>
        </w:tc>
      </w:tr>
      <w:tr w:rsidR="000A742F" w:rsidRPr="003A115E" w14:paraId="4B6F7CCD" w14:textId="77777777" w:rsidTr="00CF24F0">
        <w:trPr>
          <w:trHeight w:val="198"/>
        </w:trPr>
        <w:tc>
          <w:tcPr>
            <w:tcW w:w="1251" w:type="pct"/>
            <w:tcBorders>
              <w:top w:val="single" w:sz="2" w:space="0" w:color="auto"/>
              <w:left w:val="nil"/>
              <w:bottom w:val="single" w:sz="4" w:space="0" w:color="auto"/>
              <w:right w:val="nil"/>
            </w:tcBorders>
            <w:shd w:val="clear" w:color="auto" w:fill="auto"/>
            <w:vAlign w:val="center"/>
            <w:hideMark/>
          </w:tcPr>
          <w:p w14:paraId="5A4BAA0A" w14:textId="4119DB26" w:rsidR="0047072D" w:rsidRPr="00036EDF" w:rsidRDefault="0047072D" w:rsidP="002D44BC">
            <w:pPr>
              <w:pStyle w:val="cuatexto"/>
              <w:rPr>
                <w:b/>
                <w:bCs/>
                <w:i/>
                <w:iCs/>
                <w:sz w:val="19"/>
                <w:szCs w:val="19"/>
              </w:rPr>
            </w:pPr>
            <w:r w:rsidRPr="00036EDF">
              <w:rPr>
                <w:b/>
                <w:bCs/>
                <w:i/>
                <w:iCs/>
                <w:sz w:val="19"/>
                <w:szCs w:val="19"/>
              </w:rPr>
              <w:t>Ingresos financieros</w:t>
            </w:r>
          </w:p>
        </w:tc>
        <w:tc>
          <w:tcPr>
            <w:tcW w:w="590" w:type="pct"/>
            <w:tcBorders>
              <w:top w:val="single" w:sz="2" w:space="0" w:color="auto"/>
              <w:left w:val="nil"/>
              <w:bottom w:val="single" w:sz="4" w:space="0" w:color="auto"/>
              <w:right w:val="single" w:sz="2" w:space="0" w:color="auto"/>
            </w:tcBorders>
            <w:shd w:val="clear" w:color="auto" w:fill="auto"/>
            <w:vAlign w:val="center"/>
            <w:hideMark/>
          </w:tcPr>
          <w:p w14:paraId="23C73566" w14:textId="4877B505" w:rsidR="0047072D" w:rsidRPr="00036EDF" w:rsidRDefault="0047072D" w:rsidP="002D44BC">
            <w:pPr>
              <w:pStyle w:val="cuatexto"/>
              <w:jc w:val="right"/>
              <w:rPr>
                <w:b/>
                <w:bCs/>
                <w:i/>
                <w:iCs/>
                <w:sz w:val="19"/>
                <w:szCs w:val="19"/>
              </w:rPr>
            </w:pPr>
            <w:r w:rsidRPr="00036EDF">
              <w:rPr>
                <w:b/>
                <w:bCs/>
                <w:i/>
                <w:iCs/>
                <w:sz w:val="19"/>
                <w:szCs w:val="19"/>
              </w:rPr>
              <w:t>206,10</w:t>
            </w:r>
          </w:p>
        </w:tc>
        <w:tc>
          <w:tcPr>
            <w:tcW w:w="639" w:type="pct"/>
            <w:tcBorders>
              <w:top w:val="single" w:sz="2" w:space="0" w:color="auto"/>
              <w:left w:val="single" w:sz="2" w:space="0" w:color="auto"/>
              <w:bottom w:val="single" w:sz="4" w:space="0" w:color="auto"/>
            </w:tcBorders>
            <w:shd w:val="clear" w:color="auto" w:fill="auto"/>
            <w:vAlign w:val="center"/>
            <w:hideMark/>
          </w:tcPr>
          <w:p w14:paraId="2C5855E2" w14:textId="47E5F41F" w:rsidR="0047072D" w:rsidRPr="00036EDF" w:rsidRDefault="0047072D" w:rsidP="002D44BC">
            <w:pPr>
              <w:pStyle w:val="cuatexto"/>
              <w:jc w:val="right"/>
              <w:rPr>
                <w:b/>
                <w:bCs/>
                <w:i/>
                <w:iCs/>
                <w:sz w:val="19"/>
                <w:szCs w:val="19"/>
              </w:rPr>
            </w:pPr>
            <w:r w:rsidRPr="00036EDF">
              <w:rPr>
                <w:b/>
                <w:bCs/>
                <w:i/>
                <w:iCs/>
                <w:sz w:val="19"/>
                <w:szCs w:val="19"/>
              </w:rPr>
              <w:t>20,68</w:t>
            </w:r>
          </w:p>
        </w:tc>
        <w:tc>
          <w:tcPr>
            <w:tcW w:w="561" w:type="pct"/>
            <w:tcBorders>
              <w:top w:val="single" w:sz="2" w:space="0" w:color="auto"/>
              <w:bottom w:val="single" w:sz="4" w:space="0" w:color="auto"/>
            </w:tcBorders>
            <w:shd w:val="clear" w:color="auto" w:fill="auto"/>
            <w:vAlign w:val="center"/>
            <w:hideMark/>
          </w:tcPr>
          <w:p w14:paraId="53E3920C" w14:textId="77777777" w:rsidR="0047072D" w:rsidRPr="00036EDF" w:rsidRDefault="0047072D" w:rsidP="002D44BC">
            <w:pPr>
              <w:pStyle w:val="cuatexto"/>
              <w:jc w:val="right"/>
              <w:rPr>
                <w:b/>
                <w:bCs/>
                <w:i/>
                <w:iCs/>
                <w:sz w:val="19"/>
                <w:szCs w:val="19"/>
              </w:rPr>
            </w:pPr>
            <w:r w:rsidRPr="00036EDF">
              <w:rPr>
                <w:b/>
                <w:bCs/>
                <w:i/>
                <w:iCs/>
                <w:sz w:val="19"/>
                <w:szCs w:val="19"/>
              </w:rPr>
              <w:t>2</w:t>
            </w:r>
          </w:p>
        </w:tc>
        <w:tc>
          <w:tcPr>
            <w:tcW w:w="400" w:type="pct"/>
            <w:tcBorders>
              <w:top w:val="single" w:sz="2" w:space="0" w:color="auto"/>
              <w:bottom w:val="single" w:sz="4" w:space="0" w:color="auto"/>
              <w:right w:val="single" w:sz="2" w:space="0" w:color="auto"/>
            </w:tcBorders>
            <w:shd w:val="clear" w:color="auto" w:fill="auto"/>
            <w:vAlign w:val="center"/>
            <w:hideMark/>
          </w:tcPr>
          <w:p w14:paraId="5C66B31F" w14:textId="77777777" w:rsidR="0047072D" w:rsidRPr="00036EDF" w:rsidRDefault="0047072D" w:rsidP="002D44BC">
            <w:pPr>
              <w:pStyle w:val="cuatexto"/>
              <w:jc w:val="right"/>
              <w:rPr>
                <w:b/>
                <w:bCs/>
                <w:i/>
                <w:iCs/>
                <w:sz w:val="19"/>
                <w:szCs w:val="19"/>
              </w:rPr>
            </w:pPr>
            <w:r w:rsidRPr="00036EDF">
              <w:rPr>
                <w:b/>
                <w:bCs/>
                <w:i/>
                <w:iCs/>
                <w:sz w:val="19"/>
                <w:szCs w:val="19"/>
              </w:rPr>
              <w:t>10</w:t>
            </w:r>
          </w:p>
        </w:tc>
        <w:tc>
          <w:tcPr>
            <w:tcW w:w="560" w:type="pct"/>
            <w:tcBorders>
              <w:top w:val="single" w:sz="2" w:space="0" w:color="auto"/>
              <w:left w:val="single" w:sz="2" w:space="0" w:color="auto"/>
              <w:bottom w:val="single" w:sz="4" w:space="0" w:color="auto"/>
            </w:tcBorders>
            <w:shd w:val="clear" w:color="auto" w:fill="auto"/>
            <w:vAlign w:val="center"/>
            <w:hideMark/>
          </w:tcPr>
          <w:p w14:paraId="6AF28127" w14:textId="4F637DB1" w:rsidR="0047072D" w:rsidRPr="00036EDF" w:rsidRDefault="0047072D" w:rsidP="002D44BC">
            <w:pPr>
              <w:pStyle w:val="cuatexto"/>
              <w:jc w:val="right"/>
              <w:rPr>
                <w:b/>
                <w:bCs/>
                <w:i/>
                <w:iCs/>
                <w:sz w:val="19"/>
                <w:szCs w:val="19"/>
              </w:rPr>
            </w:pPr>
            <w:r w:rsidRPr="00036EDF">
              <w:rPr>
                <w:b/>
                <w:bCs/>
                <w:i/>
                <w:iCs/>
                <w:sz w:val="19"/>
                <w:szCs w:val="19"/>
              </w:rPr>
              <w:t>16,12</w:t>
            </w:r>
          </w:p>
        </w:tc>
        <w:tc>
          <w:tcPr>
            <w:tcW w:w="440" w:type="pct"/>
            <w:tcBorders>
              <w:top w:val="single" w:sz="2" w:space="0" w:color="auto"/>
              <w:bottom w:val="single" w:sz="4" w:space="0" w:color="auto"/>
              <w:right w:val="single" w:sz="2" w:space="0" w:color="auto"/>
            </w:tcBorders>
            <w:shd w:val="clear" w:color="auto" w:fill="auto"/>
            <w:vAlign w:val="center"/>
            <w:hideMark/>
          </w:tcPr>
          <w:p w14:paraId="7451ADA6" w14:textId="77777777" w:rsidR="0047072D" w:rsidRPr="00036EDF" w:rsidRDefault="0047072D" w:rsidP="002D44BC">
            <w:pPr>
              <w:pStyle w:val="cuatexto"/>
              <w:jc w:val="right"/>
              <w:rPr>
                <w:b/>
                <w:bCs/>
                <w:i/>
                <w:iCs/>
                <w:sz w:val="19"/>
                <w:szCs w:val="19"/>
              </w:rPr>
            </w:pPr>
            <w:r w:rsidRPr="00036EDF">
              <w:rPr>
                <w:b/>
                <w:bCs/>
                <w:i/>
                <w:iCs/>
                <w:sz w:val="19"/>
                <w:szCs w:val="19"/>
              </w:rPr>
              <w:t>354</w:t>
            </w:r>
          </w:p>
        </w:tc>
        <w:tc>
          <w:tcPr>
            <w:tcW w:w="559" w:type="pct"/>
            <w:tcBorders>
              <w:top w:val="single" w:sz="2" w:space="0" w:color="auto"/>
              <w:left w:val="single" w:sz="2" w:space="0" w:color="auto"/>
              <w:bottom w:val="single" w:sz="4" w:space="0" w:color="auto"/>
              <w:right w:val="nil"/>
            </w:tcBorders>
            <w:shd w:val="clear" w:color="auto" w:fill="auto"/>
            <w:vAlign w:val="center"/>
            <w:hideMark/>
          </w:tcPr>
          <w:p w14:paraId="7C7FBC80" w14:textId="5E0304DC" w:rsidR="0047072D" w:rsidRPr="00036EDF" w:rsidRDefault="0047072D" w:rsidP="002D44BC">
            <w:pPr>
              <w:pStyle w:val="cuatexto"/>
              <w:jc w:val="right"/>
              <w:rPr>
                <w:b/>
                <w:bCs/>
                <w:i/>
                <w:iCs/>
                <w:sz w:val="19"/>
                <w:szCs w:val="19"/>
              </w:rPr>
            </w:pPr>
            <w:r w:rsidRPr="00036EDF">
              <w:rPr>
                <w:b/>
                <w:bCs/>
                <w:i/>
                <w:iCs/>
                <w:sz w:val="19"/>
                <w:szCs w:val="19"/>
              </w:rPr>
              <w:t>20,68</w:t>
            </w:r>
          </w:p>
        </w:tc>
      </w:tr>
      <w:tr w:rsidR="000A742F" w:rsidRPr="003A115E" w14:paraId="61F76452" w14:textId="77777777" w:rsidTr="00F131AF">
        <w:trPr>
          <w:trHeight w:val="255"/>
        </w:trPr>
        <w:tc>
          <w:tcPr>
            <w:tcW w:w="1251" w:type="pct"/>
            <w:tcBorders>
              <w:top w:val="single" w:sz="4" w:space="0" w:color="auto"/>
              <w:left w:val="nil"/>
              <w:bottom w:val="single" w:sz="4" w:space="0" w:color="auto"/>
              <w:right w:val="nil"/>
            </w:tcBorders>
            <w:shd w:val="clear" w:color="auto" w:fill="FABF8F" w:themeFill="accent6" w:themeFillTint="99"/>
            <w:vAlign w:val="center"/>
            <w:hideMark/>
          </w:tcPr>
          <w:p w14:paraId="0F139985" w14:textId="34DE44CA" w:rsidR="0047072D" w:rsidRPr="003A115E" w:rsidRDefault="0047072D" w:rsidP="002D44BC">
            <w:pPr>
              <w:pStyle w:val="cuadroCabe"/>
              <w:rPr>
                <w:szCs w:val="18"/>
              </w:rPr>
            </w:pPr>
            <w:r w:rsidRPr="003A115E">
              <w:rPr>
                <w:szCs w:val="18"/>
              </w:rPr>
              <w:t>Total</w:t>
            </w:r>
          </w:p>
        </w:tc>
        <w:tc>
          <w:tcPr>
            <w:tcW w:w="590" w:type="pct"/>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7DF53D02" w14:textId="33C3E967" w:rsidR="0047072D" w:rsidRPr="003A115E" w:rsidRDefault="0047072D" w:rsidP="002D44BC">
            <w:pPr>
              <w:pStyle w:val="cuadroCabe"/>
              <w:jc w:val="right"/>
              <w:rPr>
                <w:szCs w:val="18"/>
              </w:rPr>
            </w:pPr>
            <w:r w:rsidRPr="003A115E">
              <w:rPr>
                <w:szCs w:val="18"/>
              </w:rPr>
              <w:t>1.183,32</w:t>
            </w:r>
          </w:p>
        </w:tc>
        <w:tc>
          <w:tcPr>
            <w:tcW w:w="639" w:type="pct"/>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443270AF" w14:textId="4391C81A" w:rsidR="0047072D" w:rsidRPr="003A115E" w:rsidRDefault="0047072D" w:rsidP="002D44BC">
            <w:pPr>
              <w:pStyle w:val="cuadroCabe"/>
              <w:jc w:val="right"/>
              <w:rPr>
                <w:szCs w:val="18"/>
              </w:rPr>
            </w:pPr>
            <w:r w:rsidRPr="003A115E">
              <w:rPr>
                <w:szCs w:val="18"/>
              </w:rPr>
              <w:t>1.041,27</w:t>
            </w:r>
          </w:p>
        </w:tc>
        <w:tc>
          <w:tcPr>
            <w:tcW w:w="561" w:type="pct"/>
            <w:tcBorders>
              <w:top w:val="single" w:sz="4" w:space="0" w:color="auto"/>
              <w:left w:val="nil"/>
              <w:bottom w:val="single" w:sz="4" w:space="0" w:color="auto"/>
              <w:right w:val="nil"/>
            </w:tcBorders>
            <w:shd w:val="clear" w:color="auto" w:fill="FABF8F" w:themeFill="accent6" w:themeFillTint="99"/>
            <w:vAlign w:val="center"/>
            <w:hideMark/>
          </w:tcPr>
          <w:p w14:paraId="5E19C642" w14:textId="77777777" w:rsidR="0047072D" w:rsidRPr="003A115E" w:rsidRDefault="0047072D" w:rsidP="002D44BC">
            <w:pPr>
              <w:pStyle w:val="cuadroCabe"/>
              <w:jc w:val="right"/>
              <w:rPr>
                <w:szCs w:val="18"/>
              </w:rPr>
            </w:pPr>
            <w:r w:rsidRPr="003A115E">
              <w:rPr>
                <w:szCs w:val="18"/>
              </w:rPr>
              <w:t>100</w:t>
            </w:r>
          </w:p>
        </w:tc>
        <w:tc>
          <w:tcPr>
            <w:tcW w:w="400" w:type="pct"/>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1DD7C645" w14:textId="77777777" w:rsidR="0047072D" w:rsidRPr="003A115E" w:rsidRDefault="0047072D" w:rsidP="002D44BC">
            <w:pPr>
              <w:pStyle w:val="cuadroCabe"/>
              <w:jc w:val="right"/>
              <w:rPr>
                <w:szCs w:val="18"/>
              </w:rPr>
            </w:pPr>
            <w:r w:rsidRPr="003A115E">
              <w:rPr>
                <w:szCs w:val="18"/>
              </w:rPr>
              <w:t>88</w:t>
            </w:r>
          </w:p>
        </w:tc>
        <w:tc>
          <w:tcPr>
            <w:tcW w:w="560" w:type="pct"/>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79DDF4F1" w14:textId="507D4605" w:rsidR="0047072D" w:rsidRPr="003A115E" w:rsidRDefault="0047072D" w:rsidP="002D44BC">
            <w:pPr>
              <w:pStyle w:val="cuadroCabe"/>
              <w:jc w:val="right"/>
              <w:rPr>
                <w:szCs w:val="18"/>
              </w:rPr>
            </w:pPr>
            <w:r w:rsidRPr="003A115E">
              <w:rPr>
                <w:szCs w:val="18"/>
              </w:rPr>
              <w:t>146,85</w:t>
            </w:r>
          </w:p>
        </w:tc>
        <w:tc>
          <w:tcPr>
            <w:tcW w:w="440" w:type="pct"/>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530AC460" w14:textId="77777777" w:rsidR="0047072D" w:rsidRPr="003A115E" w:rsidRDefault="0047072D" w:rsidP="002D44BC">
            <w:pPr>
              <w:pStyle w:val="cuadroCabe"/>
              <w:jc w:val="right"/>
              <w:rPr>
                <w:szCs w:val="18"/>
              </w:rPr>
            </w:pPr>
            <w:r w:rsidRPr="003A115E">
              <w:rPr>
                <w:szCs w:val="18"/>
              </w:rPr>
              <w:t>16</w:t>
            </w:r>
          </w:p>
        </w:tc>
        <w:tc>
          <w:tcPr>
            <w:tcW w:w="559" w:type="pct"/>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5F1C7668" w14:textId="6A2DD862" w:rsidR="0047072D" w:rsidRPr="003A115E" w:rsidRDefault="0047072D" w:rsidP="002D44BC">
            <w:pPr>
              <w:pStyle w:val="cuadroCabe"/>
              <w:jc w:val="right"/>
              <w:rPr>
                <w:szCs w:val="18"/>
              </w:rPr>
            </w:pPr>
            <w:r w:rsidRPr="003A115E">
              <w:rPr>
                <w:szCs w:val="18"/>
              </w:rPr>
              <w:t>1.132,55</w:t>
            </w:r>
          </w:p>
        </w:tc>
      </w:tr>
    </w:tbl>
    <w:p w14:paraId="40EB918F" w14:textId="2193428D" w:rsidR="002A4BE9" w:rsidRPr="003A115E" w:rsidRDefault="002A4BE9" w:rsidP="00A2712A">
      <w:pPr>
        <w:pStyle w:val="texto"/>
        <w:spacing w:before="60" w:after="40"/>
        <w:ind w:firstLine="0"/>
        <w:rPr>
          <w:rFonts w:ascii="Arial" w:hAnsi="Arial" w:cs="Arial"/>
          <w:sz w:val="14"/>
          <w:szCs w:val="14"/>
        </w:rPr>
      </w:pPr>
      <w:r w:rsidRPr="003A115E">
        <w:rPr>
          <w:rFonts w:ascii="Arial" w:hAnsi="Arial" w:cs="Arial"/>
          <w:sz w:val="14"/>
          <w:szCs w:val="14"/>
        </w:rPr>
        <w:t xml:space="preserve">(*) </w:t>
      </w:r>
      <w:r w:rsidR="00394D35" w:rsidRPr="003A115E">
        <w:rPr>
          <w:rFonts w:ascii="Arial" w:hAnsi="Arial" w:cs="Arial"/>
          <w:sz w:val="14"/>
          <w:szCs w:val="14"/>
        </w:rPr>
        <w:t>Derechos reconocidos consolidados con SCPSA.</w:t>
      </w:r>
    </w:p>
    <w:p w14:paraId="0B46B582" w14:textId="5F17B972" w:rsidR="002A4BE9" w:rsidRPr="003A115E" w:rsidRDefault="002A4BE9" w:rsidP="006F66AB">
      <w:pPr>
        <w:pStyle w:val="texto"/>
        <w:spacing w:before="240"/>
      </w:pPr>
      <w:r w:rsidRPr="003A115E">
        <w:t>Las previsiones definitivas de</w:t>
      </w:r>
      <w:r w:rsidR="00FD2EBB" w:rsidRPr="003A115E">
        <w:t xml:space="preserve"> ingresos para el ejercicio 2022</w:t>
      </w:r>
      <w:r w:rsidRPr="003A115E">
        <w:t xml:space="preserve"> ascendieron a 1.</w:t>
      </w:r>
      <w:r w:rsidR="00FD2EBB" w:rsidRPr="003A115E">
        <w:t xml:space="preserve">183,32 </w:t>
      </w:r>
      <w:r w:rsidRPr="003A115E">
        <w:t xml:space="preserve">millones y presentan un grado de ejecución del </w:t>
      </w:r>
      <w:r w:rsidR="00FD2EBB" w:rsidRPr="003A115E">
        <w:t>88</w:t>
      </w:r>
      <w:r w:rsidRPr="003A115E">
        <w:t xml:space="preserve"> por ciento. </w:t>
      </w:r>
      <w:r w:rsidR="00A2712A" w:rsidRPr="003A115E">
        <w:t>El grado de ejecución de l</w:t>
      </w:r>
      <w:r w:rsidRPr="003A115E">
        <w:t xml:space="preserve">os ingresos corrientes </w:t>
      </w:r>
      <w:r w:rsidR="00A2712A" w:rsidRPr="003A115E">
        <w:t>es</w:t>
      </w:r>
      <w:r w:rsidR="00CE198F" w:rsidRPr="003A115E">
        <w:t xml:space="preserve"> del 107</w:t>
      </w:r>
      <w:r w:rsidRPr="003A115E">
        <w:t xml:space="preserve"> por ciento, mientras que </w:t>
      </w:r>
      <w:r w:rsidR="00A2712A" w:rsidRPr="003A115E">
        <w:t xml:space="preserve">el de </w:t>
      </w:r>
      <w:r w:rsidRPr="003A115E">
        <w:t>los ingresos de capital</w:t>
      </w:r>
      <w:r w:rsidR="00A2712A" w:rsidRPr="003A115E">
        <w:t xml:space="preserve"> se sitúa en el </w:t>
      </w:r>
      <w:r w:rsidR="00CE198F" w:rsidRPr="003A115E">
        <w:t>89</w:t>
      </w:r>
      <w:r w:rsidRPr="003A115E">
        <w:t xml:space="preserve"> por ciento. Por su parte, la ejecución de los ingresos financieros </w:t>
      </w:r>
      <w:r w:rsidR="001D06C1" w:rsidRPr="003A115E">
        <w:t xml:space="preserve">fue del </w:t>
      </w:r>
      <w:r w:rsidR="00051FA8" w:rsidRPr="003A115E">
        <w:t>diez</w:t>
      </w:r>
      <w:r w:rsidRPr="003A115E">
        <w:t xml:space="preserve"> por ciento. </w:t>
      </w:r>
    </w:p>
    <w:p w14:paraId="739493C4" w14:textId="1891E564" w:rsidR="002A4BE9" w:rsidRPr="003A115E" w:rsidRDefault="002A4BE9" w:rsidP="002A4BE9">
      <w:pPr>
        <w:pStyle w:val="texto"/>
        <w:rPr>
          <w:spacing w:val="2"/>
        </w:rPr>
      </w:pPr>
      <w:r w:rsidRPr="003A115E">
        <w:rPr>
          <w:spacing w:val="2"/>
        </w:rPr>
        <w:t xml:space="preserve">Los derechos reconocidos netos </w:t>
      </w:r>
      <w:r w:rsidR="001D06C1" w:rsidRPr="003A115E">
        <w:rPr>
          <w:spacing w:val="2"/>
        </w:rPr>
        <w:t xml:space="preserve">(DRN) </w:t>
      </w:r>
      <w:r w:rsidRPr="003A115E">
        <w:rPr>
          <w:spacing w:val="2"/>
        </w:rPr>
        <w:t xml:space="preserve">ascendieron a </w:t>
      </w:r>
      <w:r w:rsidR="00C608D4" w:rsidRPr="003A115E">
        <w:rPr>
          <w:spacing w:val="2"/>
        </w:rPr>
        <w:t>1.041,27</w:t>
      </w:r>
      <w:r w:rsidRPr="003A115E">
        <w:rPr>
          <w:spacing w:val="2"/>
        </w:rPr>
        <w:t xml:space="preserve"> millones, de los que el </w:t>
      </w:r>
      <w:r w:rsidR="00C608D4" w:rsidRPr="003A115E">
        <w:rPr>
          <w:spacing w:val="2"/>
        </w:rPr>
        <w:t>87</w:t>
      </w:r>
      <w:r w:rsidRPr="003A115E">
        <w:rPr>
          <w:spacing w:val="2"/>
        </w:rPr>
        <w:t xml:space="preserve"> por ciento fueron ingresos corrientes (principalmente transferencias y tributos), mientras que los </w:t>
      </w:r>
      <w:r w:rsidR="00A2712A" w:rsidRPr="003A115E">
        <w:rPr>
          <w:spacing w:val="2"/>
        </w:rPr>
        <w:t xml:space="preserve">ingresos </w:t>
      </w:r>
      <w:r w:rsidRPr="003A115E">
        <w:rPr>
          <w:spacing w:val="2"/>
        </w:rPr>
        <w:t xml:space="preserve">de capital representan un </w:t>
      </w:r>
      <w:r w:rsidR="006249D7" w:rsidRPr="003A115E">
        <w:rPr>
          <w:spacing w:val="2"/>
        </w:rPr>
        <w:t>11</w:t>
      </w:r>
      <w:r w:rsidRPr="003A115E">
        <w:rPr>
          <w:spacing w:val="2"/>
        </w:rPr>
        <w:t xml:space="preserve"> por ciento</w:t>
      </w:r>
      <w:r w:rsidR="00A2712A" w:rsidRPr="003A115E">
        <w:rPr>
          <w:spacing w:val="2"/>
        </w:rPr>
        <w:t xml:space="preserve"> del total.</w:t>
      </w:r>
    </w:p>
    <w:p w14:paraId="3D4835DB" w14:textId="3A4CC286" w:rsidR="00F419E5" w:rsidRPr="003A115E" w:rsidRDefault="00A65153" w:rsidP="00C6711F">
      <w:pPr>
        <w:pStyle w:val="texto"/>
      </w:pPr>
      <w:r w:rsidRPr="003A115E">
        <w:t>Los ingresos totales de 2022</w:t>
      </w:r>
      <w:r w:rsidR="002A4BE9" w:rsidRPr="003A115E">
        <w:t xml:space="preserve"> aumentaron un </w:t>
      </w:r>
      <w:r w:rsidRPr="003A115E">
        <w:t>16</w:t>
      </w:r>
      <w:r w:rsidR="002A4BE9" w:rsidRPr="003A115E">
        <w:t xml:space="preserve"> por ciento con</w:t>
      </w:r>
      <w:r w:rsidR="00EE656A" w:rsidRPr="003A115E">
        <w:t xml:space="preserve"> respecto al ejercicio anterior</w:t>
      </w:r>
      <w:r w:rsidR="002A4BE9" w:rsidRPr="003A115E">
        <w:t xml:space="preserve">. Los ingresos corrientes registran un aumento del </w:t>
      </w:r>
      <w:r w:rsidR="00EE656A" w:rsidRPr="003A115E">
        <w:t>nueve</w:t>
      </w:r>
      <w:r w:rsidR="002A4BE9" w:rsidRPr="003A115E">
        <w:t xml:space="preserve"> por ciento </w:t>
      </w:r>
      <w:r w:rsidR="002A4BE9" w:rsidRPr="003A115E">
        <w:lastRenderedPageBreak/>
        <w:t xml:space="preserve">con respecto </w:t>
      </w:r>
      <w:r w:rsidR="00EE656A" w:rsidRPr="003A115E">
        <w:t>a 2021</w:t>
      </w:r>
      <w:r w:rsidR="002A4BE9" w:rsidRPr="003A115E">
        <w:t xml:space="preserve">, debido al </w:t>
      </w:r>
      <w:r w:rsidR="001940E1" w:rsidRPr="003A115E">
        <w:t>incremento</w:t>
      </w:r>
      <w:r w:rsidR="002A4BE9" w:rsidRPr="003A115E">
        <w:t xml:space="preserve"> de </w:t>
      </w:r>
      <w:r w:rsidR="00697890" w:rsidRPr="003A115E">
        <w:t xml:space="preserve">las transferencias, </w:t>
      </w:r>
      <w:r w:rsidR="002A4BE9" w:rsidRPr="003A115E">
        <w:t>los ingresos por tasas y precios públicos</w:t>
      </w:r>
      <w:r w:rsidR="001153BB" w:rsidRPr="003A115E">
        <w:t>, los</w:t>
      </w:r>
      <w:r w:rsidR="00C6711F" w:rsidRPr="003A115E">
        <w:t xml:space="preserve"> impuestos </w:t>
      </w:r>
      <w:r w:rsidR="00F419E5" w:rsidRPr="003A115E">
        <w:t>y los ingresos patrimoniales</w:t>
      </w:r>
      <w:r w:rsidR="006D557F" w:rsidRPr="003A115E">
        <w:t>. Las transferencias corrientes se incrementa</w:t>
      </w:r>
      <w:r w:rsidR="009D059E" w:rsidRPr="003A115E">
        <w:t>ron</w:t>
      </w:r>
      <w:r w:rsidR="006D557F" w:rsidRPr="003A115E">
        <w:t xml:space="preserve"> en 32 millones</w:t>
      </w:r>
      <w:r w:rsidR="001752E7">
        <w:t>,</w:t>
      </w:r>
      <w:r w:rsidR="006D557F" w:rsidRPr="003A115E">
        <w:t xml:space="preserve"> </w:t>
      </w:r>
      <w:r w:rsidR="00394209" w:rsidRPr="003A115E">
        <w:t xml:space="preserve">explicado principalmente por el aumento de la dotación del </w:t>
      </w:r>
      <w:r w:rsidR="00F53861" w:rsidRPr="003A115E">
        <w:t>FTC</w:t>
      </w:r>
      <w:r w:rsidR="00394209" w:rsidRPr="003A115E">
        <w:t xml:space="preserve"> para el ejercicio 2022 </w:t>
      </w:r>
      <w:r w:rsidR="006E3F24" w:rsidRPr="003A115E">
        <w:t>y el fondo extraordinario para paliar las consecuencias de la guerra en Ucrania</w:t>
      </w:r>
      <w:r w:rsidR="0035231C" w:rsidRPr="003A115E">
        <w:rPr>
          <w:rStyle w:val="Refdenotaalpie"/>
        </w:rPr>
        <w:footnoteReference w:id="6"/>
      </w:r>
      <w:r w:rsidR="00394209" w:rsidRPr="003A115E">
        <w:t>.</w:t>
      </w:r>
      <w:r w:rsidR="000C3E2C" w:rsidRPr="003A115E">
        <w:t xml:space="preserve"> </w:t>
      </w:r>
    </w:p>
    <w:p w14:paraId="7F8DAE6D" w14:textId="3EA5F967" w:rsidR="002A4BE9" w:rsidRPr="003A115E" w:rsidRDefault="6A28BBB8" w:rsidP="7A999140">
      <w:pPr>
        <w:pStyle w:val="texto"/>
        <w:rPr>
          <w:lang w:val="es-ES"/>
        </w:rPr>
      </w:pPr>
      <w:r w:rsidRPr="003A115E">
        <w:rPr>
          <w:lang w:val="es-ES"/>
        </w:rPr>
        <w:t>L</w:t>
      </w:r>
      <w:r w:rsidR="34CD8A04" w:rsidRPr="003A115E">
        <w:rPr>
          <w:lang w:val="es-ES"/>
        </w:rPr>
        <w:t xml:space="preserve">os ingresos de capital </w:t>
      </w:r>
      <w:r w:rsidR="0017622F" w:rsidRPr="003A115E">
        <w:rPr>
          <w:lang w:val="es-ES"/>
        </w:rPr>
        <w:t>aumentaron</w:t>
      </w:r>
      <w:r w:rsidR="34CD8A04" w:rsidRPr="003A115E">
        <w:rPr>
          <w:lang w:val="es-ES"/>
        </w:rPr>
        <w:t xml:space="preserve"> un </w:t>
      </w:r>
      <w:r w:rsidR="0017622F" w:rsidRPr="003A115E">
        <w:rPr>
          <w:lang w:val="es-ES"/>
        </w:rPr>
        <w:t>95</w:t>
      </w:r>
      <w:r w:rsidR="34CD8A04" w:rsidRPr="003A115E">
        <w:rPr>
          <w:lang w:val="es-ES"/>
        </w:rPr>
        <w:t xml:space="preserve"> por ciento con respecto a 202</w:t>
      </w:r>
      <w:r w:rsidR="00F81C62" w:rsidRPr="003A115E">
        <w:rPr>
          <w:lang w:val="es-ES"/>
        </w:rPr>
        <w:t>1</w:t>
      </w:r>
      <w:r w:rsidR="34CD8A04" w:rsidRPr="003A115E">
        <w:rPr>
          <w:lang w:val="es-ES"/>
        </w:rPr>
        <w:t>.</w:t>
      </w:r>
      <w:r w:rsidR="00CD276B" w:rsidRPr="003A115E">
        <w:rPr>
          <w:lang w:val="es-ES"/>
        </w:rPr>
        <w:t xml:space="preserve"> Este fuerte incremento se debe en gran medida</w:t>
      </w:r>
      <w:r w:rsidR="008E1B1C" w:rsidRPr="003A115E">
        <w:rPr>
          <w:lang w:val="es-ES"/>
        </w:rPr>
        <w:t xml:space="preserve"> al</w:t>
      </w:r>
      <w:r w:rsidR="00CD276B" w:rsidRPr="003A115E">
        <w:rPr>
          <w:lang w:val="es-ES"/>
        </w:rPr>
        <w:t xml:space="preserve"> </w:t>
      </w:r>
      <w:r w:rsidR="000650A1" w:rsidRPr="003A115E">
        <w:rPr>
          <w:lang w:val="es-ES"/>
        </w:rPr>
        <w:t>PIL</w:t>
      </w:r>
      <w:r w:rsidR="001752E7">
        <w:rPr>
          <w:lang w:val="es-ES"/>
        </w:rPr>
        <w:t>,</w:t>
      </w:r>
      <w:r w:rsidR="000650A1" w:rsidRPr="003A115E">
        <w:rPr>
          <w:lang w:val="es-ES"/>
        </w:rPr>
        <w:t xml:space="preserve"> </w:t>
      </w:r>
      <w:r w:rsidR="00CD276B" w:rsidRPr="003A115E">
        <w:rPr>
          <w:lang w:val="es-ES"/>
        </w:rPr>
        <w:t>que aumenta en 33,38 millones con respecto al año anterior</w:t>
      </w:r>
      <w:r w:rsidR="00F61035" w:rsidRPr="003A115E">
        <w:rPr>
          <w:lang w:val="es-ES"/>
        </w:rPr>
        <w:t xml:space="preserve">. </w:t>
      </w:r>
    </w:p>
    <w:p w14:paraId="131814C7" w14:textId="7188B687" w:rsidR="00C26F41" w:rsidRPr="003A115E" w:rsidRDefault="00C26F41" w:rsidP="7A999140">
      <w:pPr>
        <w:pStyle w:val="texto"/>
        <w:rPr>
          <w:lang w:val="es-ES"/>
        </w:rPr>
      </w:pPr>
      <w:r w:rsidRPr="003A115E">
        <w:rPr>
          <w:lang w:val="es-ES"/>
        </w:rPr>
        <w:t xml:space="preserve">Los ingresos </w:t>
      </w:r>
      <w:r w:rsidR="00A83250" w:rsidRPr="003A115E">
        <w:rPr>
          <w:lang w:val="es-ES"/>
        </w:rPr>
        <w:t>financieros</w:t>
      </w:r>
      <w:r w:rsidRPr="003A115E">
        <w:rPr>
          <w:lang w:val="es-ES"/>
        </w:rPr>
        <w:t xml:space="preserve"> aumentaron respecto a 2021</w:t>
      </w:r>
      <w:r w:rsidR="00655247" w:rsidRPr="003A115E">
        <w:rPr>
          <w:lang w:val="es-ES"/>
        </w:rPr>
        <w:t xml:space="preserve"> debido en gran medida a que </w:t>
      </w:r>
      <w:r w:rsidR="000C3E2C" w:rsidRPr="003A115E">
        <w:rPr>
          <w:lang w:val="es-ES"/>
        </w:rPr>
        <w:t>el Ayuntamiento de Pamplona</w:t>
      </w:r>
      <w:r w:rsidR="00655247" w:rsidRPr="003A115E">
        <w:rPr>
          <w:lang w:val="es-ES"/>
        </w:rPr>
        <w:t xml:space="preserve"> ha concertado </w:t>
      </w:r>
      <w:r w:rsidR="000C3E2C" w:rsidRPr="003A115E">
        <w:rPr>
          <w:lang w:val="es-ES"/>
        </w:rPr>
        <w:t>dos</w:t>
      </w:r>
      <w:r w:rsidR="00655247" w:rsidRPr="003A115E">
        <w:rPr>
          <w:lang w:val="es-ES"/>
        </w:rPr>
        <w:t xml:space="preserve"> préstamo</w:t>
      </w:r>
      <w:r w:rsidR="000C3E2C" w:rsidRPr="003A115E">
        <w:rPr>
          <w:lang w:val="es-ES"/>
        </w:rPr>
        <w:t>s</w:t>
      </w:r>
      <w:r w:rsidR="00655247" w:rsidRPr="003A115E">
        <w:rPr>
          <w:lang w:val="es-ES"/>
        </w:rPr>
        <w:t xml:space="preserve"> </w:t>
      </w:r>
      <w:r w:rsidR="008E1B1C" w:rsidRPr="003A115E">
        <w:rPr>
          <w:lang w:val="es-ES"/>
        </w:rPr>
        <w:t>por un total de 15 millones</w:t>
      </w:r>
      <w:r w:rsidR="00655247" w:rsidRPr="003A115E">
        <w:rPr>
          <w:lang w:val="es-ES"/>
        </w:rPr>
        <w:t>.</w:t>
      </w:r>
      <w:r w:rsidR="00675B61" w:rsidRPr="003A115E">
        <w:rPr>
          <w:lang w:val="es-ES"/>
        </w:rPr>
        <w:t xml:space="preserve"> </w:t>
      </w:r>
    </w:p>
    <w:p w14:paraId="7084ECE4" w14:textId="24A1B2BB" w:rsidR="002A4BE9" w:rsidRPr="003A115E" w:rsidRDefault="34CD8A04" w:rsidP="31020D79">
      <w:pPr>
        <w:pStyle w:val="texto"/>
        <w:rPr>
          <w:lang w:val="es-ES"/>
        </w:rPr>
      </w:pPr>
      <w:r w:rsidRPr="003A115E">
        <w:rPr>
          <w:lang w:val="es-ES"/>
        </w:rPr>
        <w:t>Del total de ingresos, el 8</w:t>
      </w:r>
      <w:r w:rsidR="1BA1D5F9" w:rsidRPr="003A115E">
        <w:rPr>
          <w:lang w:val="es-ES"/>
        </w:rPr>
        <w:t>3</w:t>
      </w:r>
      <w:r w:rsidRPr="003A115E">
        <w:rPr>
          <w:lang w:val="es-ES"/>
        </w:rPr>
        <w:t xml:space="preserve"> por ciento corresponde a municipios, el 1</w:t>
      </w:r>
      <w:r w:rsidR="1BA1D5F9" w:rsidRPr="003A115E">
        <w:rPr>
          <w:lang w:val="es-ES"/>
        </w:rPr>
        <w:t>5</w:t>
      </w:r>
      <w:r w:rsidRPr="003A115E">
        <w:rPr>
          <w:lang w:val="es-ES"/>
        </w:rPr>
        <w:t xml:space="preserve"> por ciento a mancomunidades y agrupaciones y el dos por ciento restante, a los concejos, distribución similar a la del ejercicio anterior.</w:t>
      </w:r>
    </w:p>
    <w:p w14:paraId="5CEC044A" w14:textId="09AA0E6C" w:rsidR="006475D6" w:rsidRPr="003A115E" w:rsidRDefault="56FC82D2" w:rsidP="00AF2E65">
      <w:pPr>
        <w:pStyle w:val="texto"/>
        <w:spacing w:after="120"/>
      </w:pPr>
      <w:r w:rsidRPr="003A115E">
        <w:t xml:space="preserve">Los ingresos </w:t>
      </w:r>
      <w:r w:rsidR="6F4C81D5" w:rsidRPr="003A115E">
        <w:t xml:space="preserve">por transferencias </w:t>
      </w:r>
      <w:r w:rsidR="3BC0E936" w:rsidRPr="003A115E">
        <w:t>recibidos</w:t>
      </w:r>
      <w:r w:rsidR="6F4C81D5" w:rsidRPr="003A115E">
        <w:t xml:space="preserve"> por el s</w:t>
      </w:r>
      <w:r w:rsidRPr="003A115E">
        <w:t xml:space="preserve">ector </w:t>
      </w:r>
      <w:r w:rsidR="6F4C81D5" w:rsidRPr="003A115E">
        <w:t>público l</w:t>
      </w:r>
      <w:r w:rsidRPr="003A115E">
        <w:t>ocal, in</w:t>
      </w:r>
      <w:r w:rsidR="00B25C38" w:rsidRPr="003A115E">
        <w:t xml:space="preserve">cluyendo las entidades locales y </w:t>
      </w:r>
      <w:r w:rsidRPr="003A115E">
        <w:t xml:space="preserve">sus </w:t>
      </w:r>
      <w:r w:rsidR="008B4803" w:rsidRPr="003A115E">
        <w:t>OO.AA.,</w:t>
      </w:r>
      <w:r w:rsidR="00B25C38" w:rsidRPr="003A115E">
        <w:t xml:space="preserve"> </w:t>
      </w:r>
      <w:r w:rsidRPr="003A115E">
        <w:t xml:space="preserve">proceden fundamentalmente </w:t>
      </w:r>
      <w:r w:rsidR="003C42D1" w:rsidRPr="003A115E">
        <w:t>de la</w:t>
      </w:r>
      <w:r w:rsidR="00F26CEE" w:rsidRPr="003A115E">
        <w:t xml:space="preserve"> ACFN</w:t>
      </w:r>
      <w:r w:rsidR="008319D5" w:rsidRPr="003A115E">
        <w:t xml:space="preserve">, cuyos </w:t>
      </w:r>
      <w:r w:rsidR="00A5521E" w:rsidRPr="003A115E">
        <w:t xml:space="preserve">presupuestos </w:t>
      </w:r>
      <w:r w:rsidR="008319D5" w:rsidRPr="003A115E">
        <w:t>de</w:t>
      </w:r>
      <w:r w:rsidR="000C434C" w:rsidRPr="003A115E">
        <w:t xml:space="preserve"> 2022</w:t>
      </w:r>
      <w:r w:rsidRPr="003A115E">
        <w:t xml:space="preserve"> </w:t>
      </w:r>
      <w:r w:rsidR="008319D5" w:rsidRPr="003A115E">
        <w:t>recogen</w:t>
      </w:r>
      <w:r w:rsidRPr="003A115E">
        <w:t xml:space="preserve"> un gasto de </w:t>
      </w:r>
      <w:r w:rsidR="000C434C" w:rsidRPr="003A115E">
        <w:t>453,49</w:t>
      </w:r>
      <w:r w:rsidRPr="003A115E">
        <w:t xml:space="preserve"> millones en transferencias corrientes y de capital.</w:t>
      </w:r>
      <w:r w:rsidR="006F22B2" w:rsidRPr="003A115E">
        <w:t xml:space="preserve"> </w:t>
      </w:r>
    </w:p>
    <w:p w14:paraId="1940F33E" w14:textId="4544C0D6" w:rsidR="009850D0" w:rsidRPr="003A115E" w:rsidRDefault="009850D0" w:rsidP="009850D0">
      <w:pPr>
        <w:pStyle w:val="texto"/>
        <w:spacing w:after="120"/>
        <w:jc w:val="right"/>
        <w:rPr>
          <w:rFonts w:ascii="Arial Narrow" w:hAnsi="Arial Narrow" w:cs="Calibri"/>
          <w:sz w:val="18"/>
          <w:szCs w:val="18"/>
          <w:lang w:val="es-ES" w:eastAsia="es-ES"/>
        </w:rPr>
      </w:pPr>
      <w:r w:rsidRPr="003A115E">
        <w:rPr>
          <w:rFonts w:ascii="Arial Narrow" w:hAnsi="Arial Narrow" w:cs="Calibri"/>
          <w:sz w:val="18"/>
          <w:szCs w:val="18"/>
          <w:lang w:val="es-ES" w:eastAsia="es-ES"/>
        </w:rPr>
        <w:t>(millones)</w:t>
      </w:r>
    </w:p>
    <w:tbl>
      <w:tblPr>
        <w:tblW w:w="5000" w:type="pct"/>
        <w:tblCellMar>
          <w:left w:w="70" w:type="dxa"/>
          <w:right w:w="70" w:type="dxa"/>
        </w:tblCellMar>
        <w:tblLook w:val="04A0" w:firstRow="1" w:lastRow="0" w:firstColumn="1" w:lastColumn="0" w:noHBand="0" w:noVBand="1"/>
      </w:tblPr>
      <w:tblGrid>
        <w:gridCol w:w="2626"/>
        <w:gridCol w:w="1106"/>
        <w:gridCol w:w="728"/>
        <w:gridCol w:w="787"/>
        <w:gridCol w:w="1035"/>
        <w:gridCol w:w="840"/>
        <w:gridCol w:w="833"/>
        <w:gridCol w:w="833"/>
      </w:tblGrid>
      <w:tr w:rsidR="000A742F" w:rsidRPr="003A115E" w14:paraId="33D8BA3E" w14:textId="77777777" w:rsidTr="005F3A0D">
        <w:trPr>
          <w:trHeight w:val="255"/>
        </w:trPr>
        <w:tc>
          <w:tcPr>
            <w:tcW w:w="1494" w:type="pct"/>
            <w:tcBorders>
              <w:top w:val="single" w:sz="4" w:space="0" w:color="auto"/>
              <w:left w:val="nil"/>
              <w:right w:val="nil"/>
            </w:tcBorders>
            <w:shd w:val="clear" w:color="auto" w:fill="FABF8F" w:themeFill="accent6" w:themeFillTint="99"/>
            <w:tcMar>
              <w:left w:w="0" w:type="dxa"/>
              <w:right w:w="0" w:type="dxa"/>
            </w:tcMar>
            <w:vAlign w:val="center"/>
            <w:hideMark/>
          </w:tcPr>
          <w:p w14:paraId="2AA55D45" w14:textId="77777777" w:rsidR="00661E7D" w:rsidRPr="003A115E" w:rsidRDefault="00661E7D" w:rsidP="002D44BC">
            <w:pPr>
              <w:pStyle w:val="cuadroCabe"/>
            </w:pPr>
            <w:r w:rsidRPr="003A115E">
              <w:t xml:space="preserve">Transferencias de PGN </w:t>
            </w:r>
          </w:p>
        </w:tc>
        <w:tc>
          <w:tcPr>
            <w:tcW w:w="629" w:type="pct"/>
            <w:vMerge w:val="restart"/>
            <w:tcBorders>
              <w:top w:val="single" w:sz="4" w:space="0" w:color="auto"/>
              <w:left w:val="nil"/>
              <w:bottom w:val="single" w:sz="4" w:space="0" w:color="auto"/>
              <w:right w:val="nil"/>
            </w:tcBorders>
            <w:shd w:val="clear" w:color="auto" w:fill="FABF8F" w:themeFill="accent6" w:themeFillTint="99"/>
            <w:tcMar>
              <w:left w:w="0" w:type="dxa"/>
              <w:right w:w="0" w:type="dxa"/>
            </w:tcMar>
            <w:vAlign w:val="center"/>
            <w:hideMark/>
          </w:tcPr>
          <w:p w14:paraId="24F7EDEB" w14:textId="77777777" w:rsidR="00661E7D" w:rsidRPr="003A115E" w:rsidRDefault="00661E7D" w:rsidP="002D44BC">
            <w:pPr>
              <w:pStyle w:val="cuadroCabe"/>
              <w:jc w:val="right"/>
            </w:pPr>
            <w:r w:rsidRPr="003A115E">
              <w:t>2020</w:t>
            </w:r>
          </w:p>
        </w:tc>
        <w:tc>
          <w:tcPr>
            <w:tcW w:w="414" w:type="pct"/>
            <w:vMerge w:val="restart"/>
            <w:tcBorders>
              <w:top w:val="single" w:sz="4" w:space="0" w:color="auto"/>
              <w:left w:val="nil"/>
              <w:bottom w:val="single" w:sz="4" w:space="0" w:color="auto"/>
              <w:right w:val="nil"/>
            </w:tcBorders>
            <w:shd w:val="clear" w:color="auto" w:fill="FABF8F" w:themeFill="accent6" w:themeFillTint="99"/>
            <w:tcMar>
              <w:left w:w="0" w:type="dxa"/>
              <w:right w:w="0" w:type="dxa"/>
            </w:tcMar>
            <w:vAlign w:val="center"/>
            <w:hideMark/>
          </w:tcPr>
          <w:p w14:paraId="566F1FA5" w14:textId="77777777" w:rsidR="00661E7D" w:rsidRPr="003A115E" w:rsidRDefault="00661E7D" w:rsidP="002D44BC">
            <w:pPr>
              <w:pStyle w:val="cuadroCabe"/>
              <w:jc w:val="right"/>
            </w:pPr>
            <w:r w:rsidRPr="003A115E">
              <w:t>2021</w:t>
            </w:r>
          </w:p>
        </w:tc>
        <w:tc>
          <w:tcPr>
            <w:tcW w:w="448" w:type="pct"/>
            <w:vMerge w:val="restart"/>
            <w:tcBorders>
              <w:top w:val="single" w:sz="4" w:space="0" w:color="auto"/>
              <w:left w:val="nil"/>
              <w:bottom w:val="single" w:sz="4" w:space="0" w:color="auto"/>
              <w:right w:val="nil"/>
            </w:tcBorders>
            <w:shd w:val="clear" w:color="auto" w:fill="FABF8F" w:themeFill="accent6" w:themeFillTint="99"/>
            <w:tcMar>
              <w:left w:w="0" w:type="dxa"/>
              <w:right w:w="0" w:type="dxa"/>
            </w:tcMar>
            <w:vAlign w:val="center"/>
            <w:hideMark/>
          </w:tcPr>
          <w:p w14:paraId="001DDD87" w14:textId="77777777" w:rsidR="00661E7D" w:rsidRPr="003A115E" w:rsidRDefault="00661E7D" w:rsidP="002D44BC">
            <w:pPr>
              <w:pStyle w:val="cuadroCabe"/>
              <w:jc w:val="right"/>
            </w:pPr>
            <w:r w:rsidRPr="003A115E">
              <w:t>2022</w:t>
            </w:r>
          </w:p>
        </w:tc>
        <w:tc>
          <w:tcPr>
            <w:tcW w:w="589" w:type="pct"/>
            <w:vMerge w:val="restart"/>
            <w:tcBorders>
              <w:top w:val="single" w:sz="4" w:space="0" w:color="auto"/>
              <w:left w:val="nil"/>
              <w:bottom w:val="single" w:sz="4" w:space="0" w:color="auto"/>
              <w:right w:val="nil"/>
            </w:tcBorders>
            <w:shd w:val="clear" w:color="auto" w:fill="FABF8F" w:themeFill="accent6" w:themeFillTint="99"/>
            <w:tcMar>
              <w:left w:w="0" w:type="dxa"/>
              <w:right w:w="0" w:type="dxa"/>
            </w:tcMar>
            <w:vAlign w:val="center"/>
            <w:hideMark/>
          </w:tcPr>
          <w:p w14:paraId="14C83CB1" w14:textId="52111FE7" w:rsidR="00661E7D" w:rsidRPr="003A115E" w:rsidRDefault="00661E7D" w:rsidP="00C35967">
            <w:pPr>
              <w:pStyle w:val="cuadroCabe"/>
              <w:jc w:val="right"/>
            </w:pPr>
            <w:r w:rsidRPr="003A115E">
              <w:rPr>
                <w:lang w:val="es-ES"/>
              </w:rPr>
              <w:t>Var</w:t>
            </w:r>
            <w:r w:rsidR="00AB29B0">
              <w:rPr>
                <w:lang w:val="es-ES"/>
              </w:rPr>
              <w:t>.</w:t>
            </w:r>
            <w:r w:rsidR="00C35967" w:rsidRPr="003A115E">
              <w:rPr>
                <w:lang w:val="es-ES"/>
              </w:rPr>
              <w:t xml:space="preserve"> </w:t>
            </w:r>
            <w:proofErr w:type="spellStart"/>
            <w:r w:rsidRPr="003A115E">
              <w:rPr>
                <w:lang w:val="es-ES"/>
              </w:rPr>
              <w:t>abs</w:t>
            </w:r>
            <w:proofErr w:type="spellEnd"/>
            <w:r w:rsidRPr="003A115E">
              <w:rPr>
                <w:lang w:val="es-ES"/>
              </w:rPr>
              <w:t>. 2022/20</w:t>
            </w:r>
          </w:p>
        </w:tc>
        <w:tc>
          <w:tcPr>
            <w:tcW w:w="478" w:type="pct"/>
            <w:vMerge w:val="restart"/>
            <w:tcBorders>
              <w:top w:val="single" w:sz="4" w:space="0" w:color="auto"/>
              <w:left w:val="nil"/>
              <w:bottom w:val="single" w:sz="4" w:space="0" w:color="auto"/>
              <w:right w:val="nil"/>
            </w:tcBorders>
            <w:shd w:val="clear" w:color="auto" w:fill="FABF8F" w:themeFill="accent6" w:themeFillTint="99"/>
            <w:tcMar>
              <w:left w:w="0" w:type="dxa"/>
              <w:right w:w="0" w:type="dxa"/>
            </w:tcMar>
            <w:vAlign w:val="center"/>
            <w:hideMark/>
          </w:tcPr>
          <w:p w14:paraId="60CD1211" w14:textId="631E270F" w:rsidR="00661E7D" w:rsidRPr="003A115E" w:rsidRDefault="00661E7D" w:rsidP="002D44BC">
            <w:pPr>
              <w:pStyle w:val="cuadroCabe"/>
              <w:jc w:val="right"/>
            </w:pPr>
            <w:r w:rsidRPr="003A115E">
              <w:rPr>
                <w:lang w:val="es-ES"/>
              </w:rPr>
              <w:t>% var</w:t>
            </w:r>
            <w:r w:rsidR="00AB29B0">
              <w:rPr>
                <w:lang w:val="es-ES"/>
              </w:rPr>
              <w:t>.</w:t>
            </w:r>
            <w:r w:rsidRPr="003A115E">
              <w:rPr>
                <w:lang w:val="es-ES"/>
              </w:rPr>
              <w:t xml:space="preserve"> 2022/20</w:t>
            </w:r>
          </w:p>
        </w:tc>
        <w:tc>
          <w:tcPr>
            <w:tcW w:w="474" w:type="pct"/>
            <w:vMerge w:val="restart"/>
            <w:tcBorders>
              <w:top w:val="single" w:sz="4" w:space="0" w:color="auto"/>
              <w:left w:val="nil"/>
              <w:bottom w:val="single" w:sz="4" w:space="0" w:color="auto"/>
              <w:right w:val="nil"/>
            </w:tcBorders>
            <w:shd w:val="clear" w:color="auto" w:fill="FABF8F" w:themeFill="accent6" w:themeFillTint="99"/>
            <w:tcMar>
              <w:left w:w="0" w:type="dxa"/>
              <w:right w:w="0" w:type="dxa"/>
            </w:tcMar>
            <w:vAlign w:val="center"/>
            <w:hideMark/>
          </w:tcPr>
          <w:p w14:paraId="363AEE20" w14:textId="34FD3A05" w:rsidR="00661E7D" w:rsidRPr="003A115E" w:rsidRDefault="00661E7D" w:rsidP="002D44BC">
            <w:pPr>
              <w:pStyle w:val="cuadroCabe"/>
              <w:jc w:val="right"/>
            </w:pPr>
            <w:r w:rsidRPr="003A115E">
              <w:rPr>
                <w:lang w:val="es-ES"/>
              </w:rPr>
              <w:t>Var</w:t>
            </w:r>
            <w:r w:rsidR="00AB29B0">
              <w:rPr>
                <w:lang w:val="es-ES"/>
              </w:rPr>
              <w:t>.</w:t>
            </w:r>
            <w:r w:rsidRPr="003A115E">
              <w:rPr>
                <w:lang w:val="es-ES"/>
              </w:rPr>
              <w:t xml:space="preserve"> </w:t>
            </w:r>
            <w:proofErr w:type="spellStart"/>
            <w:r w:rsidRPr="003A115E">
              <w:rPr>
                <w:lang w:val="es-ES"/>
              </w:rPr>
              <w:t>abs</w:t>
            </w:r>
            <w:proofErr w:type="spellEnd"/>
            <w:r w:rsidRPr="003A115E">
              <w:rPr>
                <w:lang w:val="es-ES"/>
              </w:rPr>
              <w:t>. 2022/21</w:t>
            </w:r>
          </w:p>
        </w:tc>
        <w:tc>
          <w:tcPr>
            <w:tcW w:w="474" w:type="pct"/>
            <w:vMerge w:val="restart"/>
            <w:tcBorders>
              <w:top w:val="single" w:sz="4" w:space="0" w:color="auto"/>
              <w:left w:val="nil"/>
              <w:bottom w:val="single" w:sz="4" w:space="0" w:color="auto"/>
              <w:right w:val="nil"/>
            </w:tcBorders>
            <w:shd w:val="clear" w:color="auto" w:fill="FABF8F" w:themeFill="accent6" w:themeFillTint="99"/>
            <w:tcMar>
              <w:left w:w="0" w:type="dxa"/>
              <w:right w:w="0" w:type="dxa"/>
            </w:tcMar>
            <w:vAlign w:val="center"/>
            <w:hideMark/>
          </w:tcPr>
          <w:p w14:paraId="0DCE066A" w14:textId="2F78BA80" w:rsidR="00661E7D" w:rsidRPr="003A115E" w:rsidRDefault="00661E7D" w:rsidP="002D44BC">
            <w:pPr>
              <w:pStyle w:val="cuadroCabe"/>
              <w:jc w:val="right"/>
            </w:pPr>
            <w:r w:rsidRPr="003A115E">
              <w:rPr>
                <w:lang w:val="es-ES"/>
              </w:rPr>
              <w:t>% var</w:t>
            </w:r>
            <w:r w:rsidR="00AB29B0">
              <w:rPr>
                <w:lang w:val="es-ES"/>
              </w:rPr>
              <w:t>.</w:t>
            </w:r>
            <w:r w:rsidRPr="003A115E">
              <w:rPr>
                <w:lang w:val="es-ES"/>
              </w:rPr>
              <w:t xml:space="preserve"> 2022/21</w:t>
            </w:r>
          </w:p>
        </w:tc>
      </w:tr>
      <w:tr w:rsidR="000A742F" w:rsidRPr="003A115E" w14:paraId="70D31AAE" w14:textId="77777777" w:rsidTr="005F3A0D">
        <w:trPr>
          <w:trHeight w:val="255"/>
        </w:trPr>
        <w:tc>
          <w:tcPr>
            <w:tcW w:w="1494" w:type="pct"/>
            <w:tcBorders>
              <w:left w:val="nil"/>
              <w:bottom w:val="single" w:sz="4" w:space="0" w:color="auto"/>
              <w:right w:val="nil"/>
            </w:tcBorders>
            <w:shd w:val="clear" w:color="auto" w:fill="FABF8F" w:themeFill="accent6" w:themeFillTint="99"/>
            <w:tcMar>
              <w:left w:w="0" w:type="dxa"/>
              <w:right w:w="0" w:type="dxa"/>
            </w:tcMar>
            <w:vAlign w:val="center"/>
            <w:hideMark/>
          </w:tcPr>
          <w:p w14:paraId="1C6DBD09" w14:textId="77777777" w:rsidR="00661E7D" w:rsidRPr="003A115E" w:rsidRDefault="00661E7D">
            <w:pPr>
              <w:rPr>
                <w:rFonts w:ascii="Arial" w:hAnsi="Arial" w:cs="Arial"/>
                <w:sz w:val="18"/>
                <w:szCs w:val="18"/>
              </w:rPr>
            </w:pPr>
            <w:r w:rsidRPr="003A115E">
              <w:rPr>
                <w:rFonts w:ascii="Arial" w:hAnsi="Arial" w:cs="Arial"/>
                <w:sz w:val="18"/>
                <w:szCs w:val="18"/>
              </w:rPr>
              <w:t>a entidades locales</w:t>
            </w:r>
          </w:p>
        </w:tc>
        <w:tc>
          <w:tcPr>
            <w:tcW w:w="629" w:type="pct"/>
            <w:vMerge/>
            <w:shd w:val="clear" w:color="auto" w:fill="FABF8F" w:themeFill="accent6" w:themeFillTint="99"/>
            <w:tcMar>
              <w:left w:w="0" w:type="dxa"/>
              <w:right w:w="0" w:type="dxa"/>
            </w:tcMar>
            <w:vAlign w:val="center"/>
            <w:hideMark/>
          </w:tcPr>
          <w:p w14:paraId="38F9B3F3" w14:textId="77777777" w:rsidR="00661E7D" w:rsidRPr="003A115E" w:rsidRDefault="00661E7D" w:rsidP="002D44BC">
            <w:pPr>
              <w:jc w:val="right"/>
              <w:rPr>
                <w:rFonts w:ascii="Arial Narrow" w:hAnsi="Arial Narrow" w:cs="Calibri"/>
                <w:sz w:val="16"/>
                <w:szCs w:val="16"/>
              </w:rPr>
            </w:pPr>
          </w:p>
        </w:tc>
        <w:tc>
          <w:tcPr>
            <w:tcW w:w="414" w:type="pct"/>
            <w:vMerge/>
            <w:shd w:val="clear" w:color="auto" w:fill="FABF8F" w:themeFill="accent6" w:themeFillTint="99"/>
            <w:tcMar>
              <w:left w:w="0" w:type="dxa"/>
              <w:right w:w="0" w:type="dxa"/>
            </w:tcMar>
            <w:vAlign w:val="center"/>
            <w:hideMark/>
          </w:tcPr>
          <w:p w14:paraId="5E793529" w14:textId="77777777" w:rsidR="00661E7D" w:rsidRPr="003A115E" w:rsidRDefault="00661E7D" w:rsidP="002D44BC">
            <w:pPr>
              <w:jc w:val="right"/>
              <w:rPr>
                <w:rFonts w:ascii="Arial Narrow" w:hAnsi="Arial Narrow" w:cs="Calibri"/>
                <w:sz w:val="16"/>
                <w:szCs w:val="16"/>
              </w:rPr>
            </w:pPr>
          </w:p>
        </w:tc>
        <w:tc>
          <w:tcPr>
            <w:tcW w:w="448" w:type="pct"/>
            <w:vMerge/>
            <w:shd w:val="clear" w:color="auto" w:fill="FABF8F" w:themeFill="accent6" w:themeFillTint="99"/>
            <w:tcMar>
              <w:left w:w="0" w:type="dxa"/>
              <w:right w:w="0" w:type="dxa"/>
            </w:tcMar>
            <w:vAlign w:val="center"/>
            <w:hideMark/>
          </w:tcPr>
          <w:p w14:paraId="6AF95576" w14:textId="77777777" w:rsidR="00661E7D" w:rsidRPr="003A115E" w:rsidRDefault="00661E7D" w:rsidP="002D44BC">
            <w:pPr>
              <w:jc w:val="right"/>
              <w:rPr>
                <w:rFonts w:ascii="Arial Narrow" w:hAnsi="Arial Narrow" w:cs="Calibri"/>
                <w:sz w:val="16"/>
                <w:szCs w:val="16"/>
              </w:rPr>
            </w:pPr>
          </w:p>
        </w:tc>
        <w:tc>
          <w:tcPr>
            <w:tcW w:w="589" w:type="pct"/>
            <w:vMerge/>
            <w:shd w:val="clear" w:color="auto" w:fill="FABF8F" w:themeFill="accent6" w:themeFillTint="99"/>
            <w:tcMar>
              <w:left w:w="0" w:type="dxa"/>
              <w:right w:w="0" w:type="dxa"/>
            </w:tcMar>
            <w:vAlign w:val="center"/>
            <w:hideMark/>
          </w:tcPr>
          <w:p w14:paraId="7A507B76" w14:textId="77777777" w:rsidR="00661E7D" w:rsidRPr="003A115E" w:rsidRDefault="00661E7D" w:rsidP="002D44BC">
            <w:pPr>
              <w:jc w:val="right"/>
              <w:rPr>
                <w:rFonts w:ascii="Arial Narrow" w:hAnsi="Arial Narrow" w:cs="Calibri"/>
                <w:sz w:val="16"/>
                <w:szCs w:val="16"/>
              </w:rPr>
            </w:pPr>
          </w:p>
        </w:tc>
        <w:tc>
          <w:tcPr>
            <w:tcW w:w="478" w:type="pct"/>
            <w:vMerge/>
            <w:shd w:val="clear" w:color="auto" w:fill="FABF8F" w:themeFill="accent6" w:themeFillTint="99"/>
            <w:tcMar>
              <w:left w:w="0" w:type="dxa"/>
              <w:right w:w="0" w:type="dxa"/>
            </w:tcMar>
            <w:vAlign w:val="center"/>
            <w:hideMark/>
          </w:tcPr>
          <w:p w14:paraId="7C9D57C6" w14:textId="77777777" w:rsidR="00661E7D" w:rsidRPr="003A115E" w:rsidRDefault="00661E7D" w:rsidP="002D44BC">
            <w:pPr>
              <w:jc w:val="right"/>
              <w:rPr>
                <w:rFonts w:ascii="Arial Narrow" w:hAnsi="Arial Narrow" w:cs="Calibri"/>
                <w:sz w:val="16"/>
                <w:szCs w:val="16"/>
              </w:rPr>
            </w:pPr>
          </w:p>
        </w:tc>
        <w:tc>
          <w:tcPr>
            <w:tcW w:w="474" w:type="pct"/>
            <w:vMerge/>
            <w:shd w:val="clear" w:color="auto" w:fill="FABF8F" w:themeFill="accent6" w:themeFillTint="99"/>
            <w:tcMar>
              <w:left w:w="0" w:type="dxa"/>
              <w:right w:w="0" w:type="dxa"/>
            </w:tcMar>
            <w:vAlign w:val="center"/>
            <w:hideMark/>
          </w:tcPr>
          <w:p w14:paraId="3B3D3526" w14:textId="77777777" w:rsidR="00661E7D" w:rsidRPr="003A115E" w:rsidRDefault="00661E7D" w:rsidP="002D44BC">
            <w:pPr>
              <w:jc w:val="right"/>
              <w:rPr>
                <w:rFonts w:ascii="Arial Narrow" w:hAnsi="Arial Narrow" w:cs="Calibri"/>
                <w:sz w:val="16"/>
                <w:szCs w:val="16"/>
              </w:rPr>
            </w:pPr>
          </w:p>
        </w:tc>
        <w:tc>
          <w:tcPr>
            <w:tcW w:w="474" w:type="pct"/>
            <w:vMerge/>
            <w:shd w:val="clear" w:color="auto" w:fill="FABF8F" w:themeFill="accent6" w:themeFillTint="99"/>
            <w:tcMar>
              <w:left w:w="0" w:type="dxa"/>
              <w:right w:w="0" w:type="dxa"/>
            </w:tcMar>
            <w:vAlign w:val="center"/>
            <w:hideMark/>
          </w:tcPr>
          <w:p w14:paraId="362CD423" w14:textId="77777777" w:rsidR="00661E7D" w:rsidRPr="003A115E" w:rsidRDefault="00661E7D" w:rsidP="002D44BC">
            <w:pPr>
              <w:jc w:val="right"/>
              <w:rPr>
                <w:rFonts w:ascii="Arial Narrow" w:hAnsi="Arial Narrow" w:cs="Calibri"/>
                <w:sz w:val="16"/>
                <w:szCs w:val="16"/>
              </w:rPr>
            </w:pPr>
          </w:p>
        </w:tc>
      </w:tr>
      <w:tr w:rsidR="000A742F" w:rsidRPr="003A115E" w14:paraId="266F0B35" w14:textId="77777777" w:rsidTr="003B4CAB">
        <w:trPr>
          <w:trHeight w:val="198"/>
        </w:trPr>
        <w:tc>
          <w:tcPr>
            <w:tcW w:w="1494" w:type="pct"/>
            <w:tcBorders>
              <w:top w:val="single" w:sz="4" w:space="0" w:color="auto"/>
              <w:left w:val="nil"/>
              <w:bottom w:val="single" w:sz="2" w:space="0" w:color="auto"/>
              <w:right w:val="nil"/>
            </w:tcBorders>
            <w:shd w:val="clear" w:color="auto" w:fill="auto"/>
            <w:vAlign w:val="center"/>
            <w:hideMark/>
          </w:tcPr>
          <w:p w14:paraId="6DB3687D" w14:textId="77777777" w:rsidR="00661E7D" w:rsidRPr="003A115E" w:rsidRDefault="00661E7D" w:rsidP="005F0CC5">
            <w:pPr>
              <w:rPr>
                <w:rFonts w:ascii="Arial Narrow" w:hAnsi="Arial Narrow" w:cs="Calibri"/>
                <w:sz w:val="18"/>
                <w:szCs w:val="18"/>
              </w:rPr>
            </w:pPr>
            <w:r w:rsidRPr="003A115E">
              <w:rPr>
                <w:rFonts w:ascii="Arial Narrow" w:hAnsi="Arial Narrow" w:cs="Calibri"/>
                <w:sz w:val="18"/>
                <w:szCs w:val="18"/>
              </w:rPr>
              <w:t>Corrientes - No covid</w:t>
            </w:r>
          </w:p>
        </w:tc>
        <w:tc>
          <w:tcPr>
            <w:tcW w:w="629" w:type="pct"/>
            <w:tcBorders>
              <w:top w:val="single" w:sz="4" w:space="0" w:color="auto"/>
              <w:left w:val="nil"/>
              <w:bottom w:val="single" w:sz="2" w:space="0" w:color="auto"/>
              <w:right w:val="nil"/>
            </w:tcBorders>
            <w:shd w:val="clear" w:color="auto" w:fill="auto"/>
            <w:vAlign w:val="center"/>
            <w:hideMark/>
          </w:tcPr>
          <w:p w14:paraId="16BC772D" w14:textId="7736E7AB" w:rsidR="00661E7D" w:rsidRPr="003A115E" w:rsidRDefault="00661E7D" w:rsidP="002D44BC">
            <w:pPr>
              <w:jc w:val="right"/>
              <w:rPr>
                <w:rFonts w:ascii="Arial Narrow" w:hAnsi="Arial Narrow" w:cs="Calibri"/>
                <w:sz w:val="18"/>
                <w:szCs w:val="18"/>
              </w:rPr>
            </w:pPr>
            <w:r w:rsidRPr="003A115E">
              <w:rPr>
                <w:rFonts w:ascii="Arial Narrow" w:hAnsi="Arial Narrow" w:cs="Calibri"/>
                <w:sz w:val="18"/>
                <w:szCs w:val="18"/>
              </w:rPr>
              <w:t>321,10</w:t>
            </w:r>
          </w:p>
        </w:tc>
        <w:tc>
          <w:tcPr>
            <w:tcW w:w="414" w:type="pct"/>
            <w:tcBorders>
              <w:top w:val="single" w:sz="4" w:space="0" w:color="auto"/>
              <w:left w:val="nil"/>
              <w:bottom w:val="single" w:sz="2" w:space="0" w:color="auto"/>
              <w:right w:val="nil"/>
            </w:tcBorders>
            <w:shd w:val="clear" w:color="auto" w:fill="auto"/>
            <w:vAlign w:val="center"/>
            <w:hideMark/>
          </w:tcPr>
          <w:p w14:paraId="5734C540" w14:textId="10627FB6" w:rsidR="00661E7D" w:rsidRPr="003A115E" w:rsidRDefault="00661E7D" w:rsidP="002D44BC">
            <w:pPr>
              <w:jc w:val="right"/>
              <w:rPr>
                <w:rFonts w:ascii="Arial Narrow" w:hAnsi="Arial Narrow" w:cs="Calibri"/>
                <w:sz w:val="18"/>
                <w:szCs w:val="18"/>
              </w:rPr>
            </w:pPr>
            <w:r w:rsidRPr="003A115E">
              <w:rPr>
                <w:rFonts w:ascii="Arial Narrow" w:hAnsi="Arial Narrow" w:cs="Calibri"/>
                <w:sz w:val="18"/>
                <w:szCs w:val="18"/>
              </w:rPr>
              <w:t>340,09</w:t>
            </w:r>
          </w:p>
        </w:tc>
        <w:tc>
          <w:tcPr>
            <w:tcW w:w="448" w:type="pct"/>
            <w:tcBorders>
              <w:top w:val="single" w:sz="4" w:space="0" w:color="auto"/>
              <w:left w:val="nil"/>
              <w:bottom w:val="single" w:sz="2" w:space="0" w:color="auto"/>
              <w:right w:val="nil"/>
            </w:tcBorders>
            <w:shd w:val="clear" w:color="auto" w:fill="auto"/>
            <w:vAlign w:val="center"/>
            <w:hideMark/>
          </w:tcPr>
          <w:p w14:paraId="1E80022B" w14:textId="2DCA34DF" w:rsidR="00661E7D" w:rsidRPr="003A115E" w:rsidRDefault="00661E7D" w:rsidP="002D44BC">
            <w:pPr>
              <w:jc w:val="right"/>
              <w:rPr>
                <w:rFonts w:ascii="Arial Narrow" w:hAnsi="Arial Narrow" w:cs="Calibri"/>
                <w:sz w:val="18"/>
                <w:szCs w:val="18"/>
              </w:rPr>
            </w:pPr>
            <w:r w:rsidRPr="003A115E">
              <w:rPr>
                <w:rFonts w:ascii="Arial Narrow" w:hAnsi="Arial Narrow" w:cs="Calibri"/>
                <w:sz w:val="18"/>
                <w:szCs w:val="18"/>
              </w:rPr>
              <w:t>367,89</w:t>
            </w:r>
          </w:p>
        </w:tc>
        <w:tc>
          <w:tcPr>
            <w:tcW w:w="589" w:type="pct"/>
            <w:tcBorders>
              <w:top w:val="single" w:sz="4" w:space="0" w:color="auto"/>
              <w:left w:val="nil"/>
              <w:bottom w:val="single" w:sz="2" w:space="0" w:color="auto"/>
              <w:right w:val="nil"/>
            </w:tcBorders>
            <w:shd w:val="clear" w:color="auto" w:fill="auto"/>
            <w:vAlign w:val="center"/>
            <w:hideMark/>
          </w:tcPr>
          <w:p w14:paraId="2FDFDDE6" w14:textId="415B1AFD" w:rsidR="00661E7D" w:rsidRPr="003A115E" w:rsidRDefault="00661E7D" w:rsidP="002D44BC">
            <w:pPr>
              <w:jc w:val="right"/>
              <w:rPr>
                <w:rFonts w:ascii="Arial Narrow" w:hAnsi="Arial Narrow" w:cs="Calibri"/>
                <w:sz w:val="18"/>
                <w:szCs w:val="18"/>
              </w:rPr>
            </w:pPr>
            <w:r w:rsidRPr="003A115E">
              <w:rPr>
                <w:rFonts w:ascii="Arial Narrow" w:hAnsi="Arial Narrow" w:cs="Calibri"/>
                <w:sz w:val="18"/>
                <w:szCs w:val="18"/>
              </w:rPr>
              <w:t>46,79</w:t>
            </w:r>
          </w:p>
        </w:tc>
        <w:tc>
          <w:tcPr>
            <w:tcW w:w="478" w:type="pct"/>
            <w:tcBorders>
              <w:top w:val="single" w:sz="4" w:space="0" w:color="auto"/>
              <w:left w:val="nil"/>
              <w:bottom w:val="single" w:sz="2" w:space="0" w:color="auto"/>
              <w:right w:val="nil"/>
            </w:tcBorders>
            <w:shd w:val="clear" w:color="auto" w:fill="auto"/>
            <w:vAlign w:val="center"/>
            <w:hideMark/>
          </w:tcPr>
          <w:p w14:paraId="3A5095D3" w14:textId="7F540C43" w:rsidR="00661E7D" w:rsidRPr="003A115E" w:rsidRDefault="00661E7D" w:rsidP="002D44BC">
            <w:pPr>
              <w:jc w:val="right"/>
              <w:rPr>
                <w:rFonts w:ascii="Arial Narrow" w:hAnsi="Arial Narrow" w:cs="Calibri"/>
                <w:sz w:val="18"/>
                <w:szCs w:val="18"/>
              </w:rPr>
            </w:pPr>
            <w:r w:rsidRPr="003A115E">
              <w:rPr>
                <w:rFonts w:ascii="Arial Narrow" w:hAnsi="Arial Narrow" w:cs="Calibri"/>
                <w:sz w:val="18"/>
                <w:szCs w:val="18"/>
              </w:rPr>
              <w:t>15</w:t>
            </w:r>
          </w:p>
        </w:tc>
        <w:tc>
          <w:tcPr>
            <w:tcW w:w="474" w:type="pct"/>
            <w:tcBorders>
              <w:top w:val="single" w:sz="4" w:space="0" w:color="auto"/>
              <w:left w:val="nil"/>
              <w:bottom w:val="single" w:sz="2" w:space="0" w:color="auto"/>
              <w:right w:val="nil"/>
            </w:tcBorders>
            <w:shd w:val="clear" w:color="auto" w:fill="auto"/>
            <w:vAlign w:val="center"/>
            <w:hideMark/>
          </w:tcPr>
          <w:p w14:paraId="40908E41" w14:textId="56676258" w:rsidR="00661E7D" w:rsidRPr="003A115E" w:rsidRDefault="00661E7D" w:rsidP="002D44BC">
            <w:pPr>
              <w:jc w:val="right"/>
              <w:rPr>
                <w:rFonts w:ascii="Arial Narrow" w:hAnsi="Arial Narrow" w:cs="Calibri"/>
                <w:sz w:val="18"/>
                <w:szCs w:val="18"/>
              </w:rPr>
            </w:pPr>
            <w:r w:rsidRPr="003A115E">
              <w:rPr>
                <w:rFonts w:ascii="Arial Narrow" w:hAnsi="Arial Narrow" w:cs="Calibri"/>
                <w:sz w:val="18"/>
                <w:szCs w:val="18"/>
              </w:rPr>
              <w:t>27,80</w:t>
            </w:r>
          </w:p>
        </w:tc>
        <w:tc>
          <w:tcPr>
            <w:tcW w:w="474" w:type="pct"/>
            <w:tcBorders>
              <w:top w:val="single" w:sz="4" w:space="0" w:color="auto"/>
              <w:left w:val="nil"/>
              <w:bottom w:val="single" w:sz="2" w:space="0" w:color="auto"/>
              <w:right w:val="nil"/>
            </w:tcBorders>
            <w:shd w:val="clear" w:color="auto" w:fill="auto"/>
            <w:vAlign w:val="center"/>
            <w:hideMark/>
          </w:tcPr>
          <w:p w14:paraId="04AE1BD9" w14:textId="1D096502" w:rsidR="00661E7D" w:rsidRPr="003A115E" w:rsidRDefault="00661E7D" w:rsidP="002D44BC">
            <w:pPr>
              <w:jc w:val="right"/>
              <w:rPr>
                <w:rFonts w:ascii="Arial Narrow" w:hAnsi="Arial Narrow" w:cs="Calibri"/>
                <w:sz w:val="18"/>
                <w:szCs w:val="18"/>
              </w:rPr>
            </w:pPr>
            <w:r w:rsidRPr="003A115E">
              <w:rPr>
                <w:rFonts w:ascii="Arial Narrow" w:hAnsi="Arial Narrow" w:cs="Calibri"/>
                <w:sz w:val="18"/>
                <w:szCs w:val="18"/>
              </w:rPr>
              <w:t>8</w:t>
            </w:r>
          </w:p>
        </w:tc>
      </w:tr>
      <w:tr w:rsidR="000A742F" w:rsidRPr="003A115E" w14:paraId="108EF761" w14:textId="77777777" w:rsidTr="003B4CAB">
        <w:trPr>
          <w:trHeight w:val="198"/>
        </w:trPr>
        <w:tc>
          <w:tcPr>
            <w:tcW w:w="1494" w:type="pct"/>
            <w:tcBorders>
              <w:top w:val="single" w:sz="2" w:space="0" w:color="auto"/>
              <w:left w:val="nil"/>
              <w:bottom w:val="single" w:sz="4" w:space="0" w:color="auto"/>
              <w:right w:val="nil"/>
            </w:tcBorders>
            <w:shd w:val="clear" w:color="auto" w:fill="auto"/>
            <w:vAlign w:val="center"/>
            <w:hideMark/>
          </w:tcPr>
          <w:p w14:paraId="0D0DACA6" w14:textId="77777777" w:rsidR="00661E7D" w:rsidRPr="003A115E" w:rsidRDefault="00661E7D" w:rsidP="0186A00D">
            <w:pPr>
              <w:pStyle w:val="cuatexto"/>
              <w:rPr>
                <w:lang w:val="es-ES"/>
              </w:rPr>
            </w:pPr>
            <w:r w:rsidRPr="003A115E">
              <w:rPr>
                <w:lang w:val="es-ES"/>
              </w:rPr>
              <w:t>De capital - No covid</w:t>
            </w:r>
          </w:p>
        </w:tc>
        <w:tc>
          <w:tcPr>
            <w:tcW w:w="629" w:type="pct"/>
            <w:tcBorders>
              <w:top w:val="single" w:sz="2" w:space="0" w:color="auto"/>
              <w:left w:val="nil"/>
              <w:bottom w:val="single" w:sz="4" w:space="0" w:color="auto"/>
              <w:right w:val="nil"/>
            </w:tcBorders>
            <w:shd w:val="clear" w:color="auto" w:fill="auto"/>
            <w:vAlign w:val="center"/>
            <w:hideMark/>
          </w:tcPr>
          <w:p w14:paraId="60A51F37" w14:textId="0C74B2DB" w:rsidR="00661E7D" w:rsidRPr="003A115E" w:rsidRDefault="00661E7D" w:rsidP="002D44BC">
            <w:pPr>
              <w:pStyle w:val="cuatexto"/>
              <w:jc w:val="right"/>
            </w:pPr>
            <w:r w:rsidRPr="003A115E">
              <w:t>49,28</w:t>
            </w:r>
          </w:p>
        </w:tc>
        <w:tc>
          <w:tcPr>
            <w:tcW w:w="414" w:type="pct"/>
            <w:tcBorders>
              <w:top w:val="single" w:sz="2" w:space="0" w:color="auto"/>
              <w:left w:val="nil"/>
              <w:bottom w:val="single" w:sz="4" w:space="0" w:color="auto"/>
              <w:right w:val="nil"/>
            </w:tcBorders>
            <w:shd w:val="clear" w:color="auto" w:fill="auto"/>
            <w:vAlign w:val="center"/>
            <w:hideMark/>
          </w:tcPr>
          <w:p w14:paraId="39AB62B0" w14:textId="73FE26B7" w:rsidR="00661E7D" w:rsidRPr="003A115E" w:rsidRDefault="00661E7D" w:rsidP="002D44BC">
            <w:pPr>
              <w:pStyle w:val="cuatexto"/>
              <w:jc w:val="right"/>
            </w:pPr>
            <w:r w:rsidRPr="003A115E">
              <w:t>30,26</w:t>
            </w:r>
          </w:p>
        </w:tc>
        <w:tc>
          <w:tcPr>
            <w:tcW w:w="448" w:type="pct"/>
            <w:tcBorders>
              <w:top w:val="single" w:sz="2" w:space="0" w:color="auto"/>
              <w:left w:val="nil"/>
              <w:bottom w:val="single" w:sz="4" w:space="0" w:color="auto"/>
              <w:right w:val="nil"/>
            </w:tcBorders>
            <w:shd w:val="clear" w:color="auto" w:fill="auto"/>
            <w:vAlign w:val="center"/>
            <w:hideMark/>
          </w:tcPr>
          <w:p w14:paraId="7EF5CE61" w14:textId="78202C4B" w:rsidR="00661E7D" w:rsidRPr="003A115E" w:rsidRDefault="00661E7D" w:rsidP="002D44BC">
            <w:pPr>
              <w:pStyle w:val="cuatexto"/>
              <w:jc w:val="right"/>
            </w:pPr>
            <w:r w:rsidRPr="003A115E">
              <w:t>84,62</w:t>
            </w:r>
          </w:p>
        </w:tc>
        <w:tc>
          <w:tcPr>
            <w:tcW w:w="589" w:type="pct"/>
            <w:tcBorders>
              <w:top w:val="single" w:sz="2" w:space="0" w:color="auto"/>
              <w:left w:val="nil"/>
              <w:bottom w:val="single" w:sz="4" w:space="0" w:color="auto"/>
              <w:right w:val="nil"/>
            </w:tcBorders>
            <w:shd w:val="clear" w:color="auto" w:fill="auto"/>
            <w:vAlign w:val="center"/>
            <w:hideMark/>
          </w:tcPr>
          <w:p w14:paraId="36FB5447" w14:textId="05503628" w:rsidR="00661E7D" w:rsidRPr="003A115E" w:rsidRDefault="00661E7D" w:rsidP="002D44BC">
            <w:pPr>
              <w:pStyle w:val="cuatexto"/>
              <w:jc w:val="right"/>
            </w:pPr>
            <w:r w:rsidRPr="003A115E">
              <w:t>35,34</w:t>
            </w:r>
          </w:p>
        </w:tc>
        <w:tc>
          <w:tcPr>
            <w:tcW w:w="478" w:type="pct"/>
            <w:tcBorders>
              <w:top w:val="single" w:sz="2" w:space="0" w:color="auto"/>
              <w:left w:val="nil"/>
              <w:bottom w:val="single" w:sz="4" w:space="0" w:color="auto"/>
              <w:right w:val="nil"/>
            </w:tcBorders>
            <w:shd w:val="clear" w:color="auto" w:fill="auto"/>
            <w:vAlign w:val="center"/>
            <w:hideMark/>
          </w:tcPr>
          <w:p w14:paraId="62DCF724" w14:textId="63F13BD9" w:rsidR="00661E7D" w:rsidRPr="003A115E" w:rsidRDefault="00661E7D" w:rsidP="002D44BC">
            <w:pPr>
              <w:pStyle w:val="cuatexto"/>
              <w:jc w:val="right"/>
            </w:pPr>
            <w:r w:rsidRPr="003A115E">
              <w:t>72</w:t>
            </w:r>
          </w:p>
        </w:tc>
        <w:tc>
          <w:tcPr>
            <w:tcW w:w="474" w:type="pct"/>
            <w:tcBorders>
              <w:top w:val="single" w:sz="2" w:space="0" w:color="auto"/>
              <w:left w:val="nil"/>
              <w:bottom w:val="single" w:sz="4" w:space="0" w:color="auto"/>
              <w:right w:val="nil"/>
            </w:tcBorders>
            <w:shd w:val="clear" w:color="auto" w:fill="auto"/>
            <w:vAlign w:val="center"/>
            <w:hideMark/>
          </w:tcPr>
          <w:p w14:paraId="520207A1" w14:textId="3891D3F7" w:rsidR="00661E7D" w:rsidRPr="003A115E" w:rsidRDefault="00661E7D" w:rsidP="002D44BC">
            <w:pPr>
              <w:pStyle w:val="cuatexto"/>
              <w:jc w:val="right"/>
            </w:pPr>
            <w:r w:rsidRPr="003A115E">
              <w:t>54,36</w:t>
            </w:r>
          </w:p>
        </w:tc>
        <w:tc>
          <w:tcPr>
            <w:tcW w:w="474" w:type="pct"/>
            <w:tcBorders>
              <w:top w:val="single" w:sz="2" w:space="0" w:color="auto"/>
              <w:left w:val="nil"/>
              <w:bottom w:val="single" w:sz="4" w:space="0" w:color="auto"/>
              <w:right w:val="nil"/>
            </w:tcBorders>
            <w:shd w:val="clear" w:color="auto" w:fill="auto"/>
            <w:vAlign w:val="center"/>
            <w:hideMark/>
          </w:tcPr>
          <w:p w14:paraId="32EB8661" w14:textId="6395C3BC" w:rsidR="00661E7D" w:rsidRPr="003A115E" w:rsidRDefault="00661E7D" w:rsidP="002D44BC">
            <w:pPr>
              <w:pStyle w:val="cuatexto"/>
              <w:jc w:val="right"/>
            </w:pPr>
            <w:r w:rsidRPr="003A115E">
              <w:t>180</w:t>
            </w:r>
          </w:p>
        </w:tc>
      </w:tr>
      <w:tr w:rsidR="000A742F" w:rsidRPr="003A115E" w14:paraId="060A4808" w14:textId="77777777" w:rsidTr="003B4CAB">
        <w:trPr>
          <w:trHeight w:val="198"/>
        </w:trPr>
        <w:tc>
          <w:tcPr>
            <w:tcW w:w="1494" w:type="pct"/>
            <w:tcBorders>
              <w:top w:val="single" w:sz="4" w:space="0" w:color="auto"/>
              <w:left w:val="nil"/>
              <w:bottom w:val="single" w:sz="4" w:space="0" w:color="auto"/>
              <w:right w:val="nil"/>
            </w:tcBorders>
            <w:shd w:val="clear" w:color="auto" w:fill="auto"/>
            <w:vAlign w:val="center"/>
            <w:hideMark/>
          </w:tcPr>
          <w:p w14:paraId="57B50A4C" w14:textId="77777777" w:rsidR="00661E7D" w:rsidRPr="003A115E" w:rsidRDefault="00661E7D" w:rsidP="0186A00D">
            <w:pPr>
              <w:pStyle w:val="cuatexto"/>
              <w:rPr>
                <w:b/>
                <w:bCs/>
                <w:i/>
                <w:iCs/>
                <w:lang w:val="es-ES"/>
              </w:rPr>
            </w:pPr>
            <w:r w:rsidRPr="003A115E">
              <w:rPr>
                <w:b/>
                <w:bCs/>
                <w:i/>
                <w:iCs/>
                <w:lang w:val="es-ES"/>
              </w:rPr>
              <w:t>Total transferencias no Covid</w:t>
            </w:r>
          </w:p>
        </w:tc>
        <w:tc>
          <w:tcPr>
            <w:tcW w:w="629" w:type="pct"/>
            <w:tcBorders>
              <w:top w:val="single" w:sz="4" w:space="0" w:color="auto"/>
              <w:left w:val="nil"/>
              <w:bottom w:val="single" w:sz="4" w:space="0" w:color="auto"/>
              <w:right w:val="nil"/>
            </w:tcBorders>
            <w:shd w:val="clear" w:color="auto" w:fill="auto"/>
            <w:vAlign w:val="center"/>
            <w:hideMark/>
          </w:tcPr>
          <w:p w14:paraId="5758D914" w14:textId="0382F0FF" w:rsidR="00661E7D" w:rsidRPr="003A115E" w:rsidRDefault="00661E7D" w:rsidP="002D44BC">
            <w:pPr>
              <w:pStyle w:val="cuatexto"/>
              <w:jc w:val="right"/>
              <w:rPr>
                <w:b/>
                <w:bCs/>
                <w:i/>
                <w:iCs/>
              </w:rPr>
            </w:pPr>
            <w:r w:rsidRPr="003A115E">
              <w:rPr>
                <w:b/>
                <w:bCs/>
                <w:i/>
                <w:iCs/>
              </w:rPr>
              <w:t>370,38</w:t>
            </w:r>
          </w:p>
        </w:tc>
        <w:tc>
          <w:tcPr>
            <w:tcW w:w="414" w:type="pct"/>
            <w:tcBorders>
              <w:top w:val="single" w:sz="4" w:space="0" w:color="auto"/>
              <w:left w:val="nil"/>
              <w:bottom w:val="single" w:sz="4" w:space="0" w:color="auto"/>
              <w:right w:val="nil"/>
            </w:tcBorders>
            <w:shd w:val="clear" w:color="auto" w:fill="auto"/>
            <w:vAlign w:val="center"/>
            <w:hideMark/>
          </w:tcPr>
          <w:p w14:paraId="068CBB72" w14:textId="5164171D" w:rsidR="00661E7D" w:rsidRPr="003A115E" w:rsidRDefault="00661E7D" w:rsidP="002D44BC">
            <w:pPr>
              <w:pStyle w:val="cuatexto"/>
              <w:jc w:val="right"/>
              <w:rPr>
                <w:b/>
                <w:bCs/>
                <w:i/>
                <w:iCs/>
              </w:rPr>
            </w:pPr>
            <w:r w:rsidRPr="003A115E">
              <w:rPr>
                <w:b/>
                <w:bCs/>
                <w:i/>
                <w:iCs/>
              </w:rPr>
              <w:t>370,35</w:t>
            </w:r>
          </w:p>
        </w:tc>
        <w:tc>
          <w:tcPr>
            <w:tcW w:w="448" w:type="pct"/>
            <w:tcBorders>
              <w:top w:val="single" w:sz="4" w:space="0" w:color="auto"/>
              <w:left w:val="nil"/>
              <w:bottom w:val="single" w:sz="4" w:space="0" w:color="auto"/>
              <w:right w:val="nil"/>
            </w:tcBorders>
            <w:shd w:val="clear" w:color="auto" w:fill="auto"/>
            <w:vAlign w:val="center"/>
            <w:hideMark/>
          </w:tcPr>
          <w:p w14:paraId="5FFFBC75" w14:textId="07D7A162" w:rsidR="00661E7D" w:rsidRPr="003A115E" w:rsidRDefault="00661E7D" w:rsidP="002D44BC">
            <w:pPr>
              <w:pStyle w:val="cuatexto"/>
              <w:jc w:val="right"/>
              <w:rPr>
                <w:b/>
                <w:bCs/>
                <w:i/>
                <w:iCs/>
              </w:rPr>
            </w:pPr>
            <w:r w:rsidRPr="003A115E">
              <w:rPr>
                <w:b/>
                <w:bCs/>
                <w:i/>
                <w:iCs/>
              </w:rPr>
              <w:t>452,50</w:t>
            </w:r>
          </w:p>
        </w:tc>
        <w:tc>
          <w:tcPr>
            <w:tcW w:w="589" w:type="pct"/>
            <w:tcBorders>
              <w:top w:val="single" w:sz="4" w:space="0" w:color="auto"/>
              <w:left w:val="nil"/>
              <w:bottom w:val="single" w:sz="4" w:space="0" w:color="auto"/>
              <w:right w:val="nil"/>
            </w:tcBorders>
            <w:shd w:val="clear" w:color="auto" w:fill="auto"/>
            <w:vAlign w:val="center"/>
            <w:hideMark/>
          </w:tcPr>
          <w:p w14:paraId="70EDCF9C" w14:textId="7656EB04" w:rsidR="00661E7D" w:rsidRPr="003A115E" w:rsidRDefault="00661E7D" w:rsidP="002D44BC">
            <w:pPr>
              <w:pStyle w:val="cuatexto"/>
              <w:jc w:val="right"/>
              <w:rPr>
                <w:b/>
                <w:bCs/>
                <w:i/>
                <w:iCs/>
              </w:rPr>
            </w:pPr>
            <w:r w:rsidRPr="003A115E">
              <w:rPr>
                <w:b/>
                <w:bCs/>
                <w:i/>
                <w:iCs/>
              </w:rPr>
              <w:t>82,12</w:t>
            </w:r>
          </w:p>
        </w:tc>
        <w:tc>
          <w:tcPr>
            <w:tcW w:w="478" w:type="pct"/>
            <w:tcBorders>
              <w:top w:val="single" w:sz="4" w:space="0" w:color="auto"/>
              <w:left w:val="nil"/>
              <w:bottom w:val="single" w:sz="4" w:space="0" w:color="auto"/>
              <w:right w:val="nil"/>
            </w:tcBorders>
            <w:shd w:val="clear" w:color="auto" w:fill="auto"/>
            <w:vAlign w:val="center"/>
            <w:hideMark/>
          </w:tcPr>
          <w:p w14:paraId="6E427E38" w14:textId="5A8DA49D" w:rsidR="00661E7D" w:rsidRPr="003A115E" w:rsidRDefault="00661E7D" w:rsidP="002D44BC">
            <w:pPr>
              <w:pStyle w:val="cuatexto"/>
              <w:jc w:val="right"/>
              <w:rPr>
                <w:b/>
                <w:bCs/>
                <w:i/>
                <w:iCs/>
              </w:rPr>
            </w:pPr>
            <w:r w:rsidRPr="003A115E">
              <w:rPr>
                <w:b/>
                <w:bCs/>
                <w:i/>
                <w:iCs/>
              </w:rPr>
              <w:t>22</w:t>
            </w:r>
          </w:p>
        </w:tc>
        <w:tc>
          <w:tcPr>
            <w:tcW w:w="474" w:type="pct"/>
            <w:tcBorders>
              <w:top w:val="single" w:sz="4" w:space="0" w:color="auto"/>
              <w:left w:val="nil"/>
              <w:bottom w:val="single" w:sz="4" w:space="0" w:color="auto"/>
              <w:right w:val="nil"/>
            </w:tcBorders>
            <w:shd w:val="clear" w:color="auto" w:fill="auto"/>
            <w:vAlign w:val="center"/>
            <w:hideMark/>
          </w:tcPr>
          <w:p w14:paraId="07F10F93" w14:textId="06F0F9AC" w:rsidR="00661E7D" w:rsidRPr="003A115E" w:rsidRDefault="00661E7D" w:rsidP="002D44BC">
            <w:pPr>
              <w:pStyle w:val="cuatexto"/>
              <w:jc w:val="right"/>
              <w:rPr>
                <w:b/>
                <w:bCs/>
                <w:i/>
                <w:iCs/>
              </w:rPr>
            </w:pPr>
            <w:r w:rsidRPr="003A115E">
              <w:rPr>
                <w:b/>
                <w:bCs/>
                <w:i/>
                <w:iCs/>
              </w:rPr>
              <w:t>82,15</w:t>
            </w:r>
          </w:p>
        </w:tc>
        <w:tc>
          <w:tcPr>
            <w:tcW w:w="474" w:type="pct"/>
            <w:tcBorders>
              <w:top w:val="single" w:sz="4" w:space="0" w:color="auto"/>
              <w:left w:val="nil"/>
              <w:bottom w:val="single" w:sz="4" w:space="0" w:color="auto"/>
              <w:right w:val="nil"/>
            </w:tcBorders>
            <w:shd w:val="clear" w:color="auto" w:fill="auto"/>
            <w:vAlign w:val="center"/>
            <w:hideMark/>
          </w:tcPr>
          <w:p w14:paraId="45EF3D2A" w14:textId="5288A9C0" w:rsidR="00661E7D" w:rsidRPr="003A115E" w:rsidRDefault="00661E7D" w:rsidP="002D44BC">
            <w:pPr>
              <w:pStyle w:val="cuatexto"/>
              <w:jc w:val="right"/>
              <w:rPr>
                <w:b/>
                <w:bCs/>
                <w:i/>
                <w:iCs/>
              </w:rPr>
            </w:pPr>
            <w:r w:rsidRPr="003A115E">
              <w:rPr>
                <w:b/>
                <w:bCs/>
                <w:i/>
                <w:iCs/>
              </w:rPr>
              <w:t>22</w:t>
            </w:r>
          </w:p>
        </w:tc>
      </w:tr>
      <w:tr w:rsidR="000A742F" w:rsidRPr="003A115E" w14:paraId="5E688B65" w14:textId="77777777" w:rsidTr="003B4CAB">
        <w:trPr>
          <w:trHeight w:val="198"/>
        </w:trPr>
        <w:tc>
          <w:tcPr>
            <w:tcW w:w="1494" w:type="pct"/>
            <w:tcBorders>
              <w:top w:val="single" w:sz="4" w:space="0" w:color="auto"/>
              <w:left w:val="nil"/>
              <w:bottom w:val="single" w:sz="2" w:space="0" w:color="auto"/>
              <w:right w:val="nil"/>
            </w:tcBorders>
            <w:shd w:val="clear" w:color="auto" w:fill="auto"/>
            <w:vAlign w:val="center"/>
            <w:hideMark/>
          </w:tcPr>
          <w:p w14:paraId="537A113A" w14:textId="77777777" w:rsidR="00661E7D" w:rsidRPr="003A115E" w:rsidRDefault="00661E7D" w:rsidP="0186A00D">
            <w:pPr>
              <w:pStyle w:val="cuatexto"/>
              <w:rPr>
                <w:lang w:val="es-ES"/>
              </w:rPr>
            </w:pPr>
            <w:r w:rsidRPr="003A115E">
              <w:rPr>
                <w:lang w:val="es-ES"/>
              </w:rPr>
              <w:t>Corrientes - Covid</w:t>
            </w:r>
          </w:p>
        </w:tc>
        <w:tc>
          <w:tcPr>
            <w:tcW w:w="629" w:type="pct"/>
            <w:tcBorders>
              <w:top w:val="single" w:sz="4" w:space="0" w:color="auto"/>
              <w:left w:val="nil"/>
              <w:bottom w:val="single" w:sz="2" w:space="0" w:color="auto"/>
              <w:right w:val="nil"/>
            </w:tcBorders>
            <w:shd w:val="clear" w:color="auto" w:fill="auto"/>
            <w:vAlign w:val="center"/>
            <w:hideMark/>
          </w:tcPr>
          <w:p w14:paraId="0CF3D25D" w14:textId="5FE510F3" w:rsidR="00661E7D" w:rsidRPr="003A115E" w:rsidRDefault="00661E7D" w:rsidP="002D44BC">
            <w:pPr>
              <w:pStyle w:val="cuatexto"/>
              <w:jc w:val="right"/>
            </w:pPr>
            <w:r w:rsidRPr="003A115E">
              <w:t>13,13</w:t>
            </w:r>
          </w:p>
        </w:tc>
        <w:tc>
          <w:tcPr>
            <w:tcW w:w="414" w:type="pct"/>
            <w:tcBorders>
              <w:top w:val="single" w:sz="4" w:space="0" w:color="auto"/>
              <w:left w:val="nil"/>
              <w:bottom w:val="single" w:sz="2" w:space="0" w:color="auto"/>
              <w:right w:val="nil"/>
            </w:tcBorders>
            <w:shd w:val="clear" w:color="auto" w:fill="auto"/>
            <w:vAlign w:val="center"/>
            <w:hideMark/>
          </w:tcPr>
          <w:p w14:paraId="00D9E9AB" w14:textId="71C83130" w:rsidR="00661E7D" w:rsidRPr="003A115E" w:rsidRDefault="00661E7D" w:rsidP="002D44BC">
            <w:pPr>
              <w:pStyle w:val="cuatexto"/>
              <w:jc w:val="right"/>
            </w:pPr>
            <w:r w:rsidRPr="003A115E">
              <w:t>0,75</w:t>
            </w:r>
          </w:p>
        </w:tc>
        <w:tc>
          <w:tcPr>
            <w:tcW w:w="448" w:type="pct"/>
            <w:tcBorders>
              <w:top w:val="single" w:sz="4" w:space="0" w:color="auto"/>
              <w:left w:val="nil"/>
              <w:bottom w:val="single" w:sz="2" w:space="0" w:color="auto"/>
              <w:right w:val="nil"/>
            </w:tcBorders>
            <w:shd w:val="clear" w:color="auto" w:fill="auto"/>
            <w:vAlign w:val="center"/>
            <w:hideMark/>
          </w:tcPr>
          <w:p w14:paraId="42E5FB38" w14:textId="2813E265" w:rsidR="00661E7D" w:rsidRPr="003A115E" w:rsidRDefault="00661E7D" w:rsidP="002D44BC">
            <w:pPr>
              <w:pStyle w:val="cuatexto"/>
              <w:jc w:val="right"/>
            </w:pPr>
            <w:r w:rsidRPr="003A115E">
              <w:t>0,98</w:t>
            </w:r>
          </w:p>
        </w:tc>
        <w:tc>
          <w:tcPr>
            <w:tcW w:w="589" w:type="pct"/>
            <w:tcBorders>
              <w:top w:val="single" w:sz="4" w:space="0" w:color="auto"/>
              <w:left w:val="nil"/>
              <w:bottom w:val="single" w:sz="2" w:space="0" w:color="auto"/>
              <w:right w:val="nil"/>
            </w:tcBorders>
            <w:shd w:val="clear" w:color="auto" w:fill="auto"/>
            <w:vAlign w:val="center"/>
            <w:hideMark/>
          </w:tcPr>
          <w:p w14:paraId="0BE372BB" w14:textId="1DE0FC28" w:rsidR="00661E7D" w:rsidRPr="003A115E" w:rsidRDefault="00661E7D" w:rsidP="002D44BC">
            <w:pPr>
              <w:pStyle w:val="cuatexto"/>
              <w:jc w:val="right"/>
            </w:pPr>
            <w:r w:rsidRPr="003A115E">
              <w:t>-12,15</w:t>
            </w:r>
          </w:p>
        </w:tc>
        <w:tc>
          <w:tcPr>
            <w:tcW w:w="478" w:type="pct"/>
            <w:tcBorders>
              <w:top w:val="single" w:sz="4" w:space="0" w:color="auto"/>
              <w:left w:val="nil"/>
              <w:bottom w:val="single" w:sz="2" w:space="0" w:color="auto"/>
              <w:right w:val="nil"/>
            </w:tcBorders>
            <w:shd w:val="clear" w:color="auto" w:fill="auto"/>
            <w:vAlign w:val="center"/>
            <w:hideMark/>
          </w:tcPr>
          <w:p w14:paraId="2FB537A4" w14:textId="5B365E99" w:rsidR="00661E7D" w:rsidRPr="003A115E" w:rsidRDefault="00661E7D" w:rsidP="002D44BC">
            <w:pPr>
              <w:pStyle w:val="cuatexto"/>
              <w:jc w:val="right"/>
            </w:pPr>
            <w:r w:rsidRPr="003A115E">
              <w:t>-93</w:t>
            </w:r>
          </w:p>
        </w:tc>
        <w:tc>
          <w:tcPr>
            <w:tcW w:w="474" w:type="pct"/>
            <w:tcBorders>
              <w:top w:val="single" w:sz="4" w:space="0" w:color="auto"/>
              <w:left w:val="nil"/>
              <w:bottom w:val="single" w:sz="2" w:space="0" w:color="auto"/>
              <w:right w:val="nil"/>
            </w:tcBorders>
            <w:shd w:val="clear" w:color="auto" w:fill="auto"/>
            <w:vAlign w:val="center"/>
            <w:hideMark/>
          </w:tcPr>
          <w:p w14:paraId="562461E6" w14:textId="4FD80C24" w:rsidR="00661E7D" w:rsidRPr="003A115E" w:rsidRDefault="00661E7D" w:rsidP="002D44BC">
            <w:pPr>
              <w:pStyle w:val="cuatexto"/>
              <w:jc w:val="right"/>
            </w:pPr>
            <w:r w:rsidRPr="003A115E">
              <w:t>0,23</w:t>
            </w:r>
          </w:p>
        </w:tc>
        <w:tc>
          <w:tcPr>
            <w:tcW w:w="474" w:type="pct"/>
            <w:tcBorders>
              <w:top w:val="single" w:sz="4" w:space="0" w:color="auto"/>
              <w:left w:val="nil"/>
              <w:bottom w:val="single" w:sz="2" w:space="0" w:color="auto"/>
              <w:right w:val="nil"/>
            </w:tcBorders>
            <w:shd w:val="clear" w:color="auto" w:fill="auto"/>
            <w:vAlign w:val="center"/>
            <w:hideMark/>
          </w:tcPr>
          <w:p w14:paraId="4CCC8DCB" w14:textId="4D0049D8" w:rsidR="00661E7D" w:rsidRPr="003A115E" w:rsidRDefault="00661E7D" w:rsidP="002D44BC">
            <w:pPr>
              <w:pStyle w:val="cuatexto"/>
              <w:jc w:val="right"/>
            </w:pPr>
            <w:r w:rsidRPr="003A115E">
              <w:t>31</w:t>
            </w:r>
          </w:p>
        </w:tc>
      </w:tr>
      <w:tr w:rsidR="000A742F" w:rsidRPr="003A115E" w14:paraId="0D10C937" w14:textId="77777777" w:rsidTr="003B4CAB">
        <w:trPr>
          <w:trHeight w:val="198"/>
        </w:trPr>
        <w:tc>
          <w:tcPr>
            <w:tcW w:w="1494" w:type="pct"/>
            <w:tcBorders>
              <w:top w:val="single" w:sz="2" w:space="0" w:color="auto"/>
              <w:left w:val="nil"/>
              <w:bottom w:val="single" w:sz="4" w:space="0" w:color="auto"/>
              <w:right w:val="nil"/>
            </w:tcBorders>
            <w:shd w:val="clear" w:color="auto" w:fill="auto"/>
            <w:vAlign w:val="center"/>
            <w:hideMark/>
          </w:tcPr>
          <w:p w14:paraId="6BB89C0C" w14:textId="77777777" w:rsidR="00661E7D" w:rsidRPr="003A115E" w:rsidRDefault="00661E7D" w:rsidP="0186A00D">
            <w:pPr>
              <w:pStyle w:val="cuatexto"/>
              <w:rPr>
                <w:lang w:val="es-ES"/>
              </w:rPr>
            </w:pPr>
            <w:r w:rsidRPr="003A115E">
              <w:rPr>
                <w:lang w:val="es-ES"/>
              </w:rPr>
              <w:t>De capital - Covid</w:t>
            </w:r>
          </w:p>
        </w:tc>
        <w:tc>
          <w:tcPr>
            <w:tcW w:w="629" w:type="pct"/>
            <w:tcBorders>
              <w:top w:val="single" w:sz="2" w:space="0" w:color="auto"/>
              <w:left w:val="nil"/>
              <w:bottom w:val="single" w:sz="4" w:space="0" w:color="auto"/>
              <w:right w:val="nil"/>
            </w:tcBorders>
            <w:shd w:val="clear" w:color="auto" w:fill="auto"/>
            <w:vAlign w:val="center"/>
            <w:hideMark/>
          </w:tcPr>
          <w:p w14:paraId="244769F4" w14:textId="1F1DB1D9" w:rsidR="00661E7D" w:rsidRPr="003A115E" w:rsidRDefault="00661E7D" w:rsidP="002D44BC">
            <w:pPr>
              <w:pStyle w:val="cuatexto"/>
              <w:jc w:val="right"/>
            </w:pPr>
            <w:r w:rsidRPr="003A115E">
              <w:t>13,50</w:t>
            </w:r>
          </w:p>
        </w:tc>
        <w:tc>
          <w:tcPr>
            <w:tcW w:w="414" w:type="pct"/>
            <w:tcBorders>
              <w:top w:val="single" w:sz="2" w:space="0" w:color="auto"/>
              <w:left w:val="nil"/>
              <w:bottom w:val="single" w:sz="4" w:space="0" w:color="auto"/>
              <w:right w:val="nil"/>
            </w:tcBorders>
            <w:shd w:val="clear" w:color="auto" w:fill="auto"/>
            <w:vAlign w:val="center"/>
            <w:hideMark/>
          </w:tcPr>
          <w:p w14:paraId="62B87733" w14:textId="513C8528" w:rsidR="00661E7D" w:rsidRPr="003A115E" w:rsidRDefault="00661E7D" w:rsidP="002D44BC">
            <w:pPr>
              <w:pStyle w:val="cuatexto"/>
              <w:jc w:val="right"/>
            </w:pPr>
            <w:r w:rsidRPr="003A115E">
              <w:t>0,00</w:t>
            </w:r>
          </w:p>
        </w:tc>
        <w:tc>
          <w:tcPr>
            <w:tcW w:w="448" w:type="pct"/>
            <w:tcBorders>
              <w:top w:val="single" w:sz="2" w:space="0" w:color="auto"/>
              <w:left w:val="nil"/>
              <w:bottom w:val="single" w:sz="4" w:space="0" w:color="auto"/>
              <w:right w:val="nil"/>
            </w:tcBorders>
            <w:shd w:val="clear" w:color="auto" w:fill="auto"/>
            <w:vAlign w:val="center"/>
            <w:hideMark/>
          </w:tcPr>
          <w:p w14:paraId="59C1DD41" w14:textId="19CD39A2" w:rsidR="00661E7D" w:rsidRPr="003A115E" w:rsidRDefault="00661E7D" w:rsidP="002D44BC">
            <w:pPr>
              <w:pStyle w:val="cuatexto"/>
              <w:jc w:val="right"/>
            </w:pPr>
            <w:r w:rsidRPr="003A115E">
              <w:t>0,00</w:t>
            </w:r>
          </w:p>
        </w:tc>
        <w:tc>
          <w:tcPr>
            <w:tcW w:w="589" w:type="pct"/>
            <w:tcBorders>
              <w:top w:val="single" w:sz="2" w:space="0" w:color="auto"/>
              <w:left w:val="nil"/>
              <w:bottom w:val="single" w:sz="4" w:space="0" w:color="auto"/>
              <w:right w:val="nil"/>
            </w:tcBorders>
            <w:shd w:val="clear" w:color="auto" w:fill="auto"/>
            <w:vAlign w:val="center"/>
            <w:hideMark/>
          </w:tcPr>
          <w:p w14:paraId="7D51FEDF" w14:textId="7128B71E" w:rsidR="00661E7D" w:rsidRPr="003A115E" w:rsidRDefault="00661E7D" w:rsidP="002D44BC">
            <w:pPr>
              <w:pStyle w:val="cuatexto"/>
              <w:jc w:val="right"/>
            </w:pPr>
            <w:r w:rsidRPr="003A115E">
              <w:t>-13,50</w:t>
            </w:r>
          </w:p>
        </w:tc>
        <w:tc>
          <w:tcPr>
            <w:tcW w:w="478" w:type="pct"/>
            <w:tcBorders>
              <w:top w:val="single" w:sz="2" w:space="0" w:color="auto"/>
              <w:left w:val="nil"/>
              <w:bottom w:val="single" w:sz="4" w:space="0" w:color="auto"/>
              <w:right w:val="nil"/>
            </w:tcBorders>
            <w:shd w:val="clear" w:color="auto" w:fill="auto"/>
            <w:vAlign w:val="center"/>
            <w:hideMark/>
          </w:tcPr>
          <w:p w14:paraId="4DAB9F4E" w14:textId="4205EDBD" w:rsidR="00661E7D" w:rsidRPr="003A115E" w:rsidRDefault="00661E7D" w:rsidP="002D44BC">
            <w:pPr>
              <w:pStyle w:val="cuatexto"/>
              <w:jc w:val="right"/>
            </w:pPr>
            <w:r w:rsidRPr="003A115E">
              <w:t>-100</w:t>
            </w:r>
          </w:p>
        </w:tc>
        <w:tc>
          <w:tcPr>
            <w:tcW w:w="474" w:type="pct"/>
            <w:tcBorders>
              <w:top w:val="single" w:sz="2" w:space="0" w:color="auto"/>
              <w:left w:val="nil"/>
              <w:bottom w:val="single" w:sz="4" w:space="0" w:color="auto"/>
              <w:right w:val="nil"/>
            </w:tcBorders>
            <w:shd w:val="clear" w:color="auto" w:fill="auto"/>
            <w:vAlign w:val="center"/>
            <w:hideMark/>
          </w:tcPr>
          <w:p w14:paraId="4C0B5B90" w14:textId="787E3E9A" w:rsidR="00661E7D" w:rsidRPr="003A115E" w:rsidRDefault="00661E7D" w:rsidP="002D44BC">
            <w:pPr>
              <w:pStyle w:val="cuatexto"/>
              <w:jc w:val="right"/>
            </w:pPr>
            <w:r w:rsidRPr="003A115E">
              <w:t>0,00</w:t>
            </w:r>
          </w:p>
        </w:tc>
        <w:tc>
          <w:tcPr>
            <w:tcW w:w="474" w:type="pct"/>
            <w:tcBorders>
              <w:top w:val="single" w:sz="2" w:space="0" w:color="auto"/>
              <w:left w:val="nil"/>
              <w:bottom w:val="single" w:sz="4" w:space="0" w:color="auto"/>
              <w:right w:val="nil"/>
            </w:tcBorders>
            <w:shd w:val="clear" w:color="auto" w:fill="auto"/>
            <w:vAlign w:val="center"/>
            <w:hideMark/>
          </w:tcPr>
          <w:p w14:paraId="6AC47030" w14:textId="637A9095" w:rsidR="00661E7D" w:rsidRPr="003A115E" w:rsidRDefault="00661E7D" w:rsidP="002D44BC">
            <w:pPr>
              <w:pStyle w:val="cuatexto"/>
              <w:jc w:val="right"/>
            </w:pPr>
            <w:r w:rsidRPr="003A115E">
              <w:t>-</w:t>
            </w:r>
          </w:p>
        </w:tc>
      </w:tr>
      <w:tr w:rsidR="000A742F" w:rsidRPr="003A115E" w14:paraId="74D86491" w14:textId="77777777" w:rsidTr="00280CDE">
        <w:trPr>
          <w:trHeight w:val="198"/>
        </w:trPr>
        <w:tc>
          <w:tcPr>
            <w:tcW w:w="1494" w:type="pct"/>
            <w:tcBorders>
              <w:top w:val="single" w:sz="4" w:space="0" w:color="auto"/>
              <w:left w:val="nil"/>
              <w:bottom w:val="single" w:sz="4" w:space="0" w:color="auto"/>
              <w:right w:val="nil"/>
            </w:tcBorders>
            <w:shd w:val="clear" w:color="auto" w:fill="auto"/>
            <w:vAlign w:val="center"/>
            <w:hideMark/>
          </w:tcPr>
          <w:p w14:paraId="58040C7C" w14:textId="77777777" w:rsidR="00661E7D" w:rsidRPr="003A115E" w:rsidRDefault="00661E7D" w:rsidP="005F0CC5">
            <w:pPr>
              <w:rPr>
                <w:rFonts w:ascii="Arial Narrow" w:hAnsi="Arial Narrow" w:cs="Calibri"/>
                <w:b/>
                <w:bCs/>
                <w:i/>
                <w:iCs/>
                <w:sz w:val="18"/>
                <w:szCs w:val="18"/>
              </w:rPr>
            </w:pPr>
            <w:r w:rsidRPr="003A115E">
              <w:rPr>
                <w:rFonts w:ascii="Arial Narrow" w:hAnsi="Arial Narrow" w:cs="Calibri"/>
                <w:b/>
                <w:bCs/>
                <w:i/>
                <w:iCs/>
                <w:sz w:val="18"/>
                <w:szCs w:val="18"/>
              </w:rPr>
              <w:t>Total transferencias Covid</w:t>
            </w:r>
          </w:p>
        </w:tc>
        <w:tc>
          <w:tcPr>
            <w:tcW w:w="629" w:type="pct"/>
            <w:tcBorders>
              <w:top w:val="single" w:sz="4" w:space="0" w:color="auto"/>
              <w:left w:val="nil"/>
              <w:bottom w:val="single" w:sz="4" w:space="0" w:color="auto"/>
              <w:right w:val="nil"/>
            </w:tcBorders>
            <w:shd w:val="clear" w:color="auto" w:fill="auto"/>
            <w:vAlign w:val="center"/>
            <w:hideMark/>
          </w:tcPr>
          <w:p w14:paraId="2E5FD228" w14:textId="7009842F" w:rsidR="00661E7D" w:rsidRPr="003A115E" w:rsidRDefault="00661E7D" w:rsidP="002D44BC">
            <w:pPr>
              <w:jc w:val="right"/>
              <w:rPr>
                <w:rFonts w:ascii="Arial Narrow" w:hAnsi="Arial Narrow" w:cs="Calibri"/>
                <w:b/>
                <w:bCs/>
                <w:i/>
                <w:iCs/>
                <w:sz w:val="18"/>
                <w:szCs w:val="18"/>
              </w:rPr>
            </w:pPr>
            <w:r w:rsidRPr="003A115E">
              <w:rPr>
                <w:rFonts w:ascii="Arial Narrow" w:hAnsi="Arial Narrow" w:cs="Calibri"/>
                <w:b/>
                <w:bCs/>
                <w:i/>
                <w:iCs/>
                <w:sz w:val="18"/>
                <w:szCs w:val="18"/>
              </w:rPr>
              <w:t>26,63</w:t>
            </w:r>
          </w:p>
        </w:tc>
        <w:tc>
          <w:tcPr>
            <w:tcW w:w="414" w:type="pct"/>
            <w:tcBorders>
              <w:top w:val="single" w:sz="4" w:space="0" w:color="auto"/>
              <w:left w:val="nil"/>
              <w:bottom w:val="single" w:sz="4" w:space="0" w:color="auto"/>
              <w:right w:val="nil"/>
            </w:tcBorders>
            <w:shd w:val="clear" w:color="auto" w:fill="auto"/>
            <w:vAlign w:val="center"/>
            <w:hideMark/>
          </w:tcPr>
          <w:p w14:paraId="2D0E0B98" w14:textId="3820FA08" w:rsidR="00661E7D" w:rsidRPr="003A115E" w:rsidRDefault="00661E7D" w:rsidP="002D44BC">
            <w:pPr>
              <w:jc w:val="right"/>
              <w:rPr>
                <w:rFonts w:ascii="Arial Narrow" w:hAnsi="Arial Narrow" w:cs="Calibri"/>
                <w:b/>
                <w:bCs/>
                <w:i/>
                <w:iCs/>
                <w:sz w:val="18"/>
                <w:szCs w:val="18"/>
              </w:rPr>
            </w:pPr>
            <w:r w:rsidRPr="003A115E">
              <w:rPr>
                <w:rFonts w:ascii="Arial Narrow" w:hAnsi="Arial Narrow" w:cs="Calibri"/>
                <w:b/>
                <w:bCs/>
                <w:i/>
                <w:iCs/>
                <w:sz w:val="18"/>
                <w:szCs w:val="18"/>
              </w:rPr>
              <w:t>0,75</w:t>
            </w:r>
          </w:p>
        </w:tc>
        <w:tc>
          <w:tcPr>
            <w:tcW w:w="448" w:type="pct"/>
            <w:tcBorders>
              <w:top w:val="single" w:sz="4" w:space="0" w:color="auto"/>
              <w:left w:val="nil"/>
              <w:bottom w:val="single" w:sz="4" w:space="0" w:color="auto"/>
              <w:right w:val="nil"/>
            </w:tcBorders>
            <w:shd w:val="clear" w:color="auto" w:fill="auto"/>
            <w:vAlign w:val="center"/>
            <w:hideMark/>
          </w:tcPr>
          <w:p w14:paraId="0EDF8F80" w14:textId="6424E197" w:rsidR="00661E7D" w:rsidRPr="003A115E" w:rsidRDefault="00661E7D" w:rsidP="002D44BC">
            <w:pPr>
              <w:jc w:val="right"/>
              <w:rPr>
                <w:rFonts w:ascii="Arial Narrow" w:hAnsi="Arial Narrow" w:cs="Calibri"/>
                <w:b/>
                <w:bCs/>
                <w:i/>
                <w:iCs/>
                <w:sz w:val="18"/>
                <w:szCs w:val="18"/>
              </w:rPr>
            </w:pPr>
            <w:r w:rsidRPr="003A115E">
              <w:rPr>
                <w:rFonts w:ascii="Arial Narrow" w:hAnsi="Arial Narrow" w:cs="Calibri"/>
                <w:b/>
                <w:bCs/>
                <w:i/>
                <w:iCs/>
                <w:sz w:val="18"/>
                <w:szCs w:val="18"/>
              </w:rPr>
              <w:t>0,98</w:t>
            </w:r>
          </w:p>
        </w:tc>
        <w:tc>
          <w:tcPr>
            <w:tcW w:w="589" w:type="pct"/>
            <w:tcBorders>
              <w:top w:val="single" w:sz="4" w:space="0" w:color="auto"/>
              <w:left w:val="nil"/>
              <w:bottom w:val="single" w:sz="4" w:space="0" w:color="auto"/>
              <w:right w:val="nil"/>
            </w:tcBorders>
            <w:shd w:val="clear" w:color="auto" w:fill="auto"/>
            <w:vAlign w:val="center"/>
            <w:hideMark/>
          </w:tcPr>
          <w:p w14:paraId="3190EDB4" w14:textId="75EF5224" w:rsidR="00661E7D" w:rsidRPr="003A115E" w:rsidRDefault="00661E7D" w:rsidP="002D44BC">
            <w:pPr>
              <w:jc w:val="right"/>
              <w:rPr>
                <w:rFonts w:ascii="Arial Narrow" w:hAnsi="Arial Narrow" w:cs="Calibri"/>
                <w:b/>
                <w:bCs/>
                <w:i/>
                <w:iCs/>
                <w:sz w:val="18"/>
                <w:szCs w:val="18"/>
              </w:rPr>
            </w:pPr>
            <w:r w:rsidRPr="003A115E">
              <w:rPr>
                <w:rFonts w:ascii="Arial Narrow" w:hAnsi="Arial Narrow" w:cs="Calibri"/>
                <w:b/>
                <w:bCs/>
                <w:i/>
                <w:iCs/>
                <w:sz w:val="18"/>
                <w:szCs w:val="18"/>
              </w:rPr>
              <w:t>-25,65</w:t>
            </w:r>
          </w:p>
        </w:tc>
        <w:tc>
          <w:tcPr>
            <w:tcW w:w="478" w:type="pct"/>
            <w:tcBorders>
              <w:top w:val="single" w:sz="4" w:space="0" w:color="auto"/>
              <w:left w:val="nil"/>
              <w:bottom w:val="single" w:sz="4" w:space="0" w:color="auto"/>
              <w:right w:val="nil"/>
            </w:tcBorders>
            <w:shd w:val="clear" w:color="auto" w:fill="auto"/>
            <w:vAlign w:val="center"/>
            <w:hideMark/>
          </w:tcPr>
          <w:p w14:paraId="1FFBE1D1" w14:textId="792F2BAE" w:rsidR="00661E7D" w:rsidRPr="003A115E" w:rsidRDefault="00661E7D" w:rsidP="002D44BC">
            <w:pPr>
              <w:jc w:val="right"/>
              <w:rPr>
                <w:rFonts w:ascii="Arial Narrow" w:hAnsi="Arial Narrow" w:cs="Calibri"/>
                <w:b/>
                <w:bCs/>
                <w:i/>
                <w:iCs/>
                <w:sz w:val="18"/>
                <w:szCs w:val="18"/>
              </w:rPr>
            </w:pPr>
            <w:r w:rsidRPr="003A115E">
              <w:rPr>
                <w:rFonts w:ascii="Arial Narrow" w:hAnsi="Arial Narrow" w:cs="Calibri"/>
                <w:b/>
                <w:bCs/>
                <w:i/>
                <w:iCs/>
                <w:sz w:val="18"/>
                <w:szCs w:val="18"/>
              </w:rPr>
              <w:t>-96</w:t>
            </w:r>
          </w:p>
        </w:tc>
        <w:tc>
          <w:tcPr>
            <w:tcW w:w="474" w:type="pct"/>
            <w:tcBorders>
              <w:top w:val="single" w:sz="4" w:space="0" w:color="auto"/>
              <w:left w:val="nil"/>
              <w:bottom w:val="single" w:sz="4" w:space="0" w:color="auto"/>
              <w:right w:val="nil"/>
            </w:tcBorders>
            <w:shd w:val="clear" w:color="auto" w:fill="auto"/>
            <w:vAlign w:val="center"/>
            <w:hideMark/>
          </w:tcPr>
          <w:p w14:paraId="1D12D716" w14:textId="21ABB51D" w:rsidR="00661E7D" w:rsidRPr="003A115E" w:rsidRDefault="00661E7D" w:rsidP="002D44BC">
            <w:pPr>
              <w:jc w:val="right"/>
              <w:rPr>
                <w:rFonts w:ascii="Arial Narrow" w:hAnsi="Arial Narrow" w:cs="Calibri"/>
                <w:b/>
                <w:bCs/>
                <w:i/>
                <w:iCs/>
                <w:sz w:val="18"/>
                <w:szCs w:val="18"/>
              </w:rPr>
            </w:pPr>
            <w:r w:rsidRPr="003A115E">
              <w:rPr>
                <w:rFonts w:ascii="Arial Narrow" w:hAnsi="Arial Narrow" w:cs="Calibri"/>
                <w:b/>
                <w:bCs/>
                <w:i/>
                <w:iCs/>
                <w:sz w:val="18"/>
                <w:szCs w:val="18"/>
              </w:rPr>
              <w:t>0,23</w:t>
            </w:r>
          </w:p>
        </w:tc>
        <w:tc>
          <w:tcPr>
            <w:tcW w:w="474" w:type="pct"/>
            <w:tcBorders>
              <w:top w:val="single" w:sz="4" w:space="0" w:color="auto"/>
              <w:left w:val="nil"/>
              <w:bottom w:val="single" w:sz="4" w:space="0" w:color="auto"/>
              <w:right w:val="nil"/>
            </w:tcBorders>
            <w:shd w:val="clear" w:color="auto" w:fill="auto"/>
            <w:vAlign w:val="center"/>
            <w:hideMark/>
          </w:tcPr>
          <w:p w14:paraId="76D21765" w14:textId="395BA809" w:rsidR="00661E7D" w:rsidRPr="003A115E" w:rsidRDefault="00661E7D" w:rsidP="002D44BC">
            <w:pPr>
              <w:jc w:val="right"/>
              <w:rPr>
                <w:rFonts w:ascii="Arial Narrow" w:hAnsi="Arial Narrow" w:cs="Calibri"/>
                <w:b/>
                <w:bCs/>
                <w:i/>
                <w:iCs/>
                <w:sz w:val="18"/>
                <w:szCs w:val="18"/>
              </w:rPr>
            </w:pPr>
            <w:r w:rsidRPr="003A115E">
              <w:rPr>
                <w:rFonts w:ascii="Arial Narrow" w:hAnsi="Arial Narrow" w:cs="Calibri"/>
                <w:b/>
                <w:bCs/>
                <w:i/>
                <w:iCs/>
                <w:sz w:val="18"/>
                <w:szCs w:val="18"/>
              </w:rPr>
              <w:t>31</w:t>
            </w:r>
          </w:p>
        </w:tc>
      </w:tr>
      <w:tr w:rsidR="000A742F" w:rsidRPr="003A115E" w14:paraId="29FBFFEE" w14:textId="77777777" w:rsidTr="005F3A0D">
        <w:trPr>
          <w:trHeight w:val="255"/>
        </w:trPr>
        <w:tc>
          <w:tcPr>
            <w:tcW w:w="1494" w:type="pct"/>
            <w:tcBorders>
              <w:top w:val="single" w:sz="4" w:space="0" w:color="auto"/>
              <w:left w:val="nil"/>
              <w:bottom w:val="single" w:sz="4" w:space="0" w:color="auto"/>
              <w:right w:val="nil"/>
            </w:tcBorders>
            <w:shd w:val="clear" w:color="auto" w:fill="FABF8F" w:themeFill="accent6" w:themeFillTint="99"/>
            <w:vAlign w:val="center"/>
            <w:hideMark/>
          </w:tcPr>
          <w:p w14:paraId="2C96F7A7" w14:textId="0C4A38DD" w:rsidR="00661E7D" w:rsidRPr="003A115E" w:rsidRDefault="00661E7D" w:rsidP="002D44BC">
            <w:pPr>
              <w:pStyle w:val="cuadroCabe"/>
            </w:pPr>
            <w:r w:rsidRPr="003A115E">
              <w:t>Total</w:t>
            </w:r>
          </w:p>
        </w:tc>
        <w:tc>
          <w:tcPr>
            <w:tcW w:w="629" w:type="pct"/>
            <w:tcBorders>
              <w:top w:val="single" w:sz="4" w:space="0" w:color="auto"/>
              <w:left w:val="nil"/>
              <w:bottom w:val="single" w:sz="4" w:space="0" w:color="auto"/>
              <w:right w:val="nil"/>
            </w:tcBorders>
            <w:shd w:val="clear" w:color="auto" w:fill="FABF8F" w:themeFill="accent6" w:themeFillTint="99"/>
            <w:vAlign w:val="center"/>
            <w:hideMark/>
          </w:tcPr>
          <w:p w14:paraId="36A78794" w14:textId="167436BA" w:rsidR="00661E7D" w:rsidRPr="003A115E" w:rsidRDefault="00661E7D" w:rsidP="002D44BC">
            <w:pPr>
              <w:pStyle w:val="cuadroCabe"/>
              <w:jc w:val="right"/>
            </w:pPr>
            <w:r w:rsidRPr="003A115E">
              <w:t>397,01</w:t>
            </w:r>
          </w:p>
        </w:tc>
        <w:tc>
          <w:tcPr>
            <w:tcW w:w="414" w:type="pct"/>
            <w:tcBorders>
              <w:top w:val="single" w:sz="4" w:space="0" w:color="auto"/>
              <w:left w:val="nil"/>
              <w:bottom w:val="single" w:sz="4" w:space="0" w:color="auto"/>
              <w:right w:val="nil"/>
            </w:tcBorders>
            <w:shd w:val="clear" w:color="auto" w:fill="FABF8F" w:themeFill="accent6" w:themeFillTint="99"/>
            <w:vAlign w:val="center"/>
            <w:hideMark/>
          </w:tcPr>
          <w:p w14:paraId="5408FE4C" w14:textId="03643924" w:rsidR="00661E7D" w:rsidRPr="003A115E" w:rsidRDefault="00661E7D" w:rsidP="002D44BC">
            <w:pPr>
              <w:pStyle w:val="cuadroCabe"/>
              <w:jc w:val="right"/>
            </w:pPr>
            <w:r w:rsidRPr="003A115E">
              <w:t>371,10</w:t>
            </w:r>
          </w:p>
        </w:tc>
        <w:tc>
          <w:tcPr>
            <w:tcW w:w="448" w:type="pct"/>
            <w:tcBorders>
              <w:top w:val="single" w:sz="4" w:space="0" w:color="auto"/>
              <w:left w:val="nil"/>
              <w:bottom w:val="single" w:sz="4" w:space="0" w:color="auto"/>
              <w:right w:val="nil"/>
            </w:tcBorders>
            <w:shd w:val="clear" w:color="auto" w:fill="FABF8F" w:themeFill="accent6" w:themeFillTint="99"/>
            <w:vAlign w:val="center"/>
            <w:hideMark/>
          </w:tcPr>
          <w:p w14:paraId="78109906" w14:textId="36F0DD11" w:rsidR="00661E7D" w:rsidRPr="003A115E" w:rsidRDefault="00661E7D" w:rsidP="002D44BC">
            <w:pPr>
              <w:pStyle w:val="cuadroCabe"/>
              <w:jc w:val="right"/>
            </w:pPr>
            <w:r w:rsidRPr="003A115E">
              <w:t>453,49</w:t>
            </w:r>
          </w:p>
        </w:tc>
        <w:tc>
          <w:tcPr>
            <w:tcW w:w="589" w:type="pct"/>
            <w:tcBorders>
              <w:top w:val="single" w:sz="4" w:space="0" w:color="auto"/>
              <w:left w:val="nil"/>
              <w:bottom w:val="single" w:sz="4" w:space="0" w:color="auto"/>
              <w:right w:val="nil"/>
            </w:tcBorders>
            <w:shd w:val="clear" w:color="auto" w:fill="FABF8F" w:themeFill="accent6" w:themeFillTint="99"/>
            <w:vAlign w:val="center"/>
            <w:hideMark/>
          </w:tcPr>
          <w:p w14:paraId="2FCB7F34" w14:textId="515D977D" w:rsidR="00661E7D" w:rsidRPr="003A115E" w:rsidRDefault="00661E7D" w:rsidP="002D44BC">
            <w:pPr>
              <w:pStyle w:val="cuadroCabe"/>
              <w:jc w:val="right"/>
            </w:pPr>
            <w:r w:rsidRPr="003A115E">
              <w:t>56,48</w:t>
            </w:r>
          </w:p>
        </w:tc>
        <w:tc>
          <w:tcPr>
            <w:tcW w:w="478" w:type="pct"/>
            <w:tcBorders>
              <w:top w:val="single" w:sz="4" w:space="0" w:color="auto"/>
              <w:left w:val="nil"/>
              <w:bottom w:val="single" w:sz="4" w:space="0" w:color="auto"/>
              <w:right w:val="nil"/>
            </w:tcBorders>
            <w:shd w:val="clear" w:color="auto" w:fill="FABF8F" w:themeFill="accent6" w:themeFillTint="99"/>
            <w:vAlign w:val="center"/>
            <w:hideMark/>
          </w:tcPr>
          <w:p w14:paraId="2CDBC9D4" w14:textId="48370959" w:rsidR="00661E7D" w:rsidRPr="003A115E" w:rsidRDefault="00661E7D" w:rsidP="002D44BC">
            <w:pPr>
              <w:pStyle w:val="cuadroCabe"/>
              <w:jc w:val="right"/>
            </w:pPr>
            <w:r w:rsidRPr="003A115E">
              <w:t>14</w:t>
            </w:r>
          </w:p>
        </w:tc>
        <w:tc>
          <w:tcPr>
            <w:tcW w:w="474" w:type="pct"/>
            <w:tcBorders>
              <w:top w:val="single" w:sz="4" w:space="0" w:color="auto"/>
              <w:left w:val="nil"/>
              <w:bottom w:val="single" w:sz="4" w:space="0" w:color="auto"/>
              <w:right w:val="nil"/>
            </w:tcBorders>
            <w:shd w:val="clear" w:color="auto" w:fill="FABF8F" w:themeFill="accent6" w:themeFillTint="99"/>
            <w:vAlign w:val="center"/>
            <w:hideMark/>
          </w:tcPr>
          <w:p w14:paraId="06DA9EFD" w14:textId="026E6704" w:rsidR="00661E7D" w:rsidRPr="003A115E" w:rsidRDefault="00661E7D" w:rsidP="002D44BC">
            <w:pPr>
              <w:pStyle w:val="cuadroCabe"/>
              <w:jc w:val="right"/>
            </w:pPr>
            <w:r w:rsidRPr="003A115E">
              <w:t>82,39</w:t>
            </w:r>
          </w:p>
        </w:tc>
        <w:tc>
          <w:tcPr>
            <w:tcW w:w="474" w:type="pct"/>
            <w:tcBorders>
              <w:top w:val="single" w:sz="4" w:space="0" w:color="auto"/>
              <w:left w:val="nil"/>
              <w:bottom w:val="single" w:sz="4" w:space="0" w:color="auto"/>
              <w:right w:val="nil"/>
            </w:tcBorders>
            <w:shd w:val="clear" w:color="auto" w:fill="FABF8F" w:themeFill="accent6" w:themeFillTint="99"/>
            <w:vAlign w:val="center"/>
            <w:hideMark/>
          </w:tcPr>
          <w:p w14:paraId="0C1202A4" w14:textId="28E7DB17" w:rsidR="00661E7D" w:rsidRPr="003A115E" w:rsidRDefault="00661E7D" w:rsidP="002D44BC">
            <w:pPr>
              <w:pStyle w:val="cuadroCabe"/>
              <w:jc w:val="right"/>
            </w:pPr>
            <w:r w:rsidRPr="003A115E">
              <w:t>22</w:t>
            </w:r>
          </w:p>
        </w:tc>
      </w:tr>
    </w:tbl>
    <w:p w14:paraId="0ED49721" w14:textId="5368B984" w:rsidR="004A3B35" w:rsidRPr="003A115E" w:rsidRDefault="004A3B35" w:rsidP="008B07AC">
      <w:pPr>
        <w:pStyle w:val="texto"/>
        <w:spacing w:before="240" w:after="120"/>
        <w:rPr>
          <w:lang w:val="es-ES"/>
        </w:rPr>
      </w:pPr>
      <w:r w:rsidRPr="003A115E">
        <w:t xml:space="preserve">El total de transferencias a las entidades locales con cargo a los </w:t>
      </w:r>
      <w:r w:rsidR="00F26CEE" w:rsidRPr="003A115E">
        <w:t>presupuestos generales de Navarra</w:t>
      </w:r>
      <w:r w:rsidRPr="003A115E">
        <w:t xml:space="preserve"> se </w:t>
      </w:r>
      <w:r w:rsidR="00C8772D" w:rsidRPr="003A115E">
        <w:t>incrementa</w:t>
      </w:r>
      <w:r w:rsidRPr="003A115E">
        <w:t xml:space="preserve"> un </w:t>
      </w:r>
      <w:r w:rsidR="00C8772D" w:rsidRPr="003A115E">
        <w:t>22 por ciento con respecto a 202</w:t>
      </w:r>
      <w:r w:rsidR="00D83FA9" w:rsidRPr="003A115E">
        <w:t>1</w:t>
      </w:r>
      <w:r w:rsidRPr="003A115E">
        <w:t xml:space="preserve"> </w:t>
      </w:r>
      <w:r w:rsidR="00C3580D" w:rsidRPr="003A115E">
        <w:t xml:space="preserve">debido al incremento </w:t>
      </w:r>
      <w:r w:rsidR="006D2613" w:rsidRPr="003A115E">
        <w:t xml:space="preserve">de </w:t>
      </w:r>
      <w:r w:rsidR="006D2613" w:rsidRPr="003A115E">
        <w:rPr>
          <w:lang w:val="es-ES"/>
        </w:rPr>
        <w:t>las</w:t>
      </w:r>
      <w:r w:rsidRPr="003A115E">
        <w:rPr>
          <w:lang w:val="es-ES"/>
        </w:rPr>
        <w:t xml:space="preserve"> transferencias ‘no Covid</w:t>
      </w:r>
      <w:r w:rsidR="006D2613" w:rsidRPr="003A115E">
        <w:rPr>
          <w:lang w:val="es-ES"/>
        </w:rPr>
        <w:t>’.</w:t>
      </w:r>
      <w:r w:rsidR="001D149F" w:rsidRPr="003A115E">
        <w:rPr>
          <w:lang w:val="es-ES"/>
        </w:rPr>
        <w:t xml:space="preserve"> En función de su naturaleza destacamos</w:t>
      </w:r>
      <w:r w:rsidR="00F419E5" w:rsidRPr="003A115E">
        <w:rPr>
          <w:lang w:val="es-ES"/>
        </w:rPr>
        <w:t>:</w:t>
      </w:r>
    </w:p>
    <w:p w14:paraId="1EFC5EA0" w14:textId="43F1E8C4" w:rsidR="008353A9" w:rsidRPr="003A115E" w:rsidRDefault="56FC82D2" w:rsidP="31020D79">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lang w:val="es-ES"/>
        </w:rPr>
      </w:pPr>
      <w:r w:rsidRPr="003A115E">
        <w:rPr>
          <w:rFonts w:cs="Arial"/>
          <w:lang w:val="es-ES"/>
        </w:rPr>
        <w:t>Las transferencias corrientes</w:t>
      </w:r>
      <w:r w:rsidR="1BA1D5F9" w:rsidRPr="003A115E">
        <w:rPr>
          <w:rFonts w:cs="Arial"/>
          <w:lang w:val="es-ES"/>
        </w:rPr>
        <w:t xml:space="preserve"> ‘no Covid’</w:t>
      </w:r>
      <w:r w:rsidRPr="003A115E">
        <w:rPr>
          <w:rFonts w:cs="Arial"/>
          <w:lang w:val="es-ES"/>
        </w:rPr>
        <w:t xml:space="preserve"> aumentan un </w:t>
      </w:r>
      <w:r w:rsidR="00F26CEE" w:rsidRPr="003A115E">
        <w:rPr>
          <w:rFonts w:cs="Arial"/>
          <w:lang w:val="es-ES"/>
        </w:rPr>
        <w:t>ocho</w:t>
      </w:r>
      <w:r w:rsidRPr="003A115E">
        <w:rPr>
          <w:rFonts w:cs="Arial"/>
          <w:lang w:val="es-ES"/>
        </w:rPr>
        <w:t xml:space="preserve"> por ciento, principalmente debido al incremento del Fondo de Participación de las Haciendas Locales en los Tributos de Navarra en </w:t>
      </w:r>
      <w:r w:rsidR="00C96FF5" w:rsidRPr="003A115E">
        <w:rPr>
          <w:rFonts w:cs="Arial"/>
          <w:lang w:val="es-ES"/>
        </w:rPr>
        <w:t>18</w:t>
      </w:r>
      <w:r w:rsidRPr="003A115E">
        <w:rPr>
          <w:rFonts w:cs="Arial"/>
          <w:lang w:val="es-ES"/>
        </w:rPr>
        <w:t xml:space="preserve"> millones. </w:t>
      </w:r>
    </w:p>
    <w:p w14:paraId="7F83A8B8" w14:textId="68D33525" w:rsidR="004A3B35" w:rsidRPr="003A115E" w:rsidRDefault="008353A9" w:rsidP="008353A9">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ind w:firstLine="567"/>
        <w:rPr>
          <w:rFonts w:cs="Arial"/>
          <w:lang w:val="es-ES"/>
        </w:rPr>
      </w:pPr>
      <w:r w:rsidRPr="003A115E">
        <w:rPr>
          <w:rFonts w:cs="Arial"/>
          <w:lang w:val="es-ES"/>
        </w:rPr>
        <w:t>Dentro de este capítulo se incluyen</w:t>
      </w:r>
      <w:r w:rsidR="56FC82D2" w:rsidRPr="003A115E">
        <w:rPr>
          <w:rFonts w:cs="Arial"/>
          <w:lang w:val="es-ES"/>
        </w:rPr>
        <w:t xml:space="preserve"> 12,</w:t>
      </w:r>
      <w:r w:rsidR="00D47690" w:rsidRPr="003A115E">
        <w:rPr>
          <w:rFonts w:cs="Arial"/>
          <w:lang w:val="es-ES"/>
        </w:rPr>
        <w:t>3</w:t>
      </w:r>
      <w:r w:rsidR="56FC82D2" w:rsidRPr="003A115E">
        <w:rPr>
          <w:rFonts w:cs="Arial"/>
          <w:lang w:val="es-ES"/>
        </w:rPr>
        <w:t xml:space="preserve"> millones </w:t>
      </w:r>
      <w:r w:rsidRPr="003A115E">
        <w:rPr>
          <w:rFonts w:cs="Arial"/>
          <w:lang w:val="es-ES"/>
        </w:rPr>
        <w:t xml:space="preserve">que </w:t>
      </w:r>
      <w:r w:rsidR="56FC82D2" w:rsidRPr="003A115E">
        <w:rPr>
          <w:rFonts w:cs="Arial"/>
          <w:lang w:val="es-ES"/>
        </w:rPr>
        <w:t xml:space="preserve">corresponden a </w:t>
      </w:r>
      <w:r w:rsidR="00C96FF5" w:rsidRPr="003A115E">
        <w:rPr>
          <w:rFonts w:cs="Arial"/>
          <w:lang w:val="es-ES"/>
        </w:rPr>
        <w:t>la</w:t>
      </w:r>
      <w:r w:rsidR="56FC82D2" w:rsidRPr="003A115E">
        <w:rPr>
          <w:rFonts w:cs="Arial"/>
          <w:lang w:val="es-ES"/>
        </w:rPr>
        <w:t xml:space="preserve"> compensación a las entidades locales por la pérdida de recaudaci</w:t>
      </w:r>
      <w:r w:rsidR="00A34D68" w:rsidRPr="003A115E">
        <w:rPr>
          <w:rFonts w:cs="Arial"/>
          <w:lang w:val="es-ES"/>
        </w:rPr>
        <w:t>ón derivada de la exención del impuesto de actividades e</w:t>
      </w:r>
      <w:r w:rsidR="56FC82D2" w:rsidRPr="003A115E">
        <w:rPr>
          <w:rFonts w:cs="Arial"/>
          <w:lang w:val="es-ES"/>
        </w:rPr>
        <w:t>conómicas para sujetos pasivos con cifra de negocios inferior a un millón</w:t>
      </w:r>
      <w:r w:rsidR="22547E17" w:rsidRPr="003A115E">
        <w:rPr>
          <w:rFonts w:cs="Arial"/>
          <w:lang w:val="es-ES"/>
        </w:rPr>
        <w:t>.</w:t>
      </w:r>
    </w:p>
    <w:p w14:paraId="6C7A6DB2" w14:textId="22072A06" w:rsidR="004A3B35" w:rsidRPr="003A115E" w:rsidRDefault="00CC3F47" w:rsidP="7A999140">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lang w:val="es-ES"/>
        </w:rPr>
      </w:pPr>
      <w:r w:rsidRPr="003A115E">
        <w:rPr>
          <w:rFonts w:cs="Arial"/>
          <w:lang w:val="es-ES"/>
        </w:rPr>
        <w:lastRenderedPageBreak/>
        <w:t>L</w:t>
      </w:r>
      <w:r w:rsidR="56FC82D2" w:rsidRPr="003A115E">
        <w:rPr>
          <w:rFonts w:cs="Arial"/>
          <w:lang w:val="es-ES"/>
        </w:rPr>
        <w:t xml:space="preserve">as </w:t>
      </w:r>
      <w:r w:rsidR="56FC82D2" w:rsidRPr="003A115E">
        <w:rPr>
          <w:rFonts w:cs="Arial"/>
          <w:spacing w:val="4"/>
          <w:lang w:val="es-ES"/>
        </w:rPr>
        <w:t>transferencias</w:t>
      </w:r>
      <w:r w:rsidR="56FC82D2" w:rsidRPr="003A115E">
        <w:rPr>
          <w:rFonts w:cs="Arial"/>
          <w:lang w:val="es-ES"/>
        </w:rPr>
        <w:t xml:space="preserve"> de capital </w:t>
      </w:r>
      <w:r w:rsidRPr="003A115E">
        <w:rPr>
          <w:rFonts w:cs="Arial"/>
          <w:lang w:val="es-ES"/>
        </w:rPr>
        <w:t>se incrementan</w:t>
      </w:r>
      <w:r w:rsidR="56FC82D2" w:rsidRPr="003A115E">
        <w:rPr>
          <w:rFonts w:cs="Arial"/>
          <w:lang w:val="es-ES"/>
        </w:rPr>
        <w:t xml:space="preserve"> un </w:t>
      </w:r>
      <w:r w:rsidR="00CB0B2E" w:rsidRPr="003A115E">
        <w:rPr>
          <w:rFonts w:cs="Arial"/>
          <w:lang w:val="es-ES"/>
        </w:rPr>
        <w:t>180</w:t>
      </w:r>
      <w:r w:rsidR="56FC82D2" w:rsidRPr="003A115E">
        <w:rPr>
          <w:rFonts w:cs="Arial"/>
          <w:lang w:val="es-ES"/>
        </w:rPr>
        <w:t xml:space="preserve"> por ciento con respecto al ejercicio anterior y un </w:t>
      </w:r>
      <w:r w:rsidR="00CB0B2E" w:rsidRPr="003A115E">
        <w:rPr>
          <w:rFonts w:cs="Arial"/>
          <w:lang w:val="es-ES"/>
        </w:rPr>
        <w:t>72</w:t>
      </w:r>
      <w:r w:rsidR="56FC82D2" w:rsidRPr="003A115E">
        <w:rPr>
          <w:rFonts w:cs="Arial"/>
          <w:lang w:val="es-ES"/>
        </w:rPr>
        <w:t xml:space="preserve"> p</w:t>
      </w:r>
      <w:r w:rsidR="00794832" w:rsidRPr="003A115E">
        <w:rPr>
          <w:rFonts w:cs="Arial"/>
          <w:lang w:val="es-ES"/>
        </w:rPr>
        <w:t>o</w:t>
      </w:r>
      <w:r w:rsidR="00CA368F" w:rsidRPr="003A115E">
        <w:rPr>
          <w:rFonts w:cs="Arial"/>
          <w:lang w:val="es-ES"/>
        </w:rPr>
        <w:t>r ciento con respecto a 2020</w:t>
      </w:r>
      <w:r w:rsidR="56FC82D2" w:rsidRPr="003A115E">
        <w:rPr>
          <w:rFonts w:cs="Arial"/>
          <w:lang w:val="es-ES"/>
        </w:rPr>
        <w:t xml:space="preserve">, fundamentalmente debido </w:t>
      </w:r>
      <w:r w:rsidR="00DE3814" w:rsidRPr="003A115E">
        <w:rPr>
          <w:rFonts w:cs="Arial"/>
          <w:lang w:val="es-ES"/>
        </w:rPr>
        <w:t xml:space="preserve">al incremento </w:t>
      </w:r>
      <w:r w:rsidR="00A83A9F" w:rsidRPr="003A115E">
        <w:rPr>
          <w:rFonts w:cs="Arial"/>
          <w:lang w:val="es-ES"/>
        </w:rPr>
        <w:t>de 33</w:t>
      </w:r>
      <w:r w:rsidR="0041768E" w:rsidRPr="003A115E">
        <w:rPr>
          <w:rFonts w:cs="Arial"/>
          <w:lang w:val="es-ES"/>
        </w:rPr>
        <w:t xml:space="preserve"> millones</w:t>
      </w:r>
      <w:r w:rsidR="00A83A9F" w:rsidRPr="003A115E">
        <w:rPr>
          <w:rFonts w:cs="Arial"/>
          <w:lang w:val="es-ES"/>
        </w:rPr>
        <w:t xml:space="preserve"> </w:t>
      </w:r>
      <w:r w:rsidR="00DE3814" w:rsidRPr="003A115E">
        <w:rPr>
          <w:rFonts w:cs="Arial"/>
          <w:lang w:val="es-ES"/>
        </w:rPr>
        <w:t xml:space="preserve">del </w:t>
      </w:r>
      <w:r w:rsidR="00C91D3A" w:rsidRPr="003A115E">
        <w:rPr>
          <w:rFonts w:cs="Arial"/>
          <w:lang w:val="es-ES"/>
        </w:rPr>
        <w:t xml:space="preserve">Fondo de Participación </w:t>
      </w:r>
      <w:r w:rsidR="004218FF" w:rsidRPr="003A115E">
        <w:rPr>
          <w:rFonts w:cs="Arial"/>
          <w:lang w:val="es-ES"/>
        </w:rPr>
        <w:t xml:space="preserve">de las entidades locales en </w:t>
      </w:r>
      <w:r w:rsidR="0041768E" w:rsidRPr="003A115E">
        <w:rPr>
          <w:rFonts w:cs="Arial"/>
          <w:lang w:val="es-ES"/>
        </w:rPr>
        <w:t>los tributos</w:t>
      </w:r>
      <w:r w:rsidR="004218FF" w:rsidRPr="003A115E">
        <w:rPr>
          <w:rFonts w:cs="Arial"/>
          <w:lang w:val="es-ES"/>
        </w:rPr>
        <w:t xml:space="preserve"> de Navarra, en la parte de transf</w:t>
      </w:r>
      <w:r w:rsidR="00B523A3" w:rsidRPr="003A115E">
        <w:rPr>
          <w:rFonts w:cs="Arial"/>
          <w:lang w:val="es-ES"/>
        </w:rPr>
        <w:t>erencias de capital, a través del PIL</w:t>
      </w:r>
      <w:r w:rsidR="56FC82D2" w:rsidRPr="003A115E">
        <w:rPr>
          <w:rFonts w:cs="Arial"/>
          <w:lang w:val="es-ES"/>
        </w:rPr>
        <w:t xml:space="preserve">. </w:t>
      </w:r>
    </w:p>
    <w:p w14:paraId="3B7C0659" w14:textId="0FD088AB" w:rsidR="000922AD" w:rsidRPr="003A115E" w:rsidRDefault="004A3B35" w:rsidP="004D3E9C">
      <w:pPr>
        <w:pStyle w:val="texto"/>
        <w:spacing w:after="120"/>
      </w:pPr>
      <w:r w:rsidRPr="003A115E">
        <w:t xml:space="preserve">La tabla siguiente muestra la clasificación funcional de las </w:t>
      </w:r>
      <w:r w:rsidR="00F419E5" w:rsidRPr="003A115E">
        <w:t xml:space="preserve">obligaciones reconocidas netas (ORN) con cargo a los PGN por </w:t>
      </w:r>
      <w:r w:rsidRPr="003A115E">
        <w:t>transferencias corrientes y de capital no vinculadas a la Covid-19</w:t>
      </w:r>
      <w:r w:rsidR="00E042F5" w:rsidRPr="003A115E">
        <w:t xml:space="preserve"> concedidas a las entidades locales y sus OOAA</w:t>
      </w:r>
      <w:r w:rsidRPr="003A115E">
        <w:t>:</w:t>
      </w:r>
      <w:r w:rsidR="00C66A24" w:rsidRPr="003A115E">
        <w:t xml:space="preserve"> </w:t>
      </w:r>
    </w:p>
    <w:p w14:paraId="62B599E2" w14:textId="39394663" w:rsidR="00083878" w:rsidRPr="003A115E" w:rsidRDefault="001D196E" w:rsidP="00F33818">
      <w:pPr>
        <w:pStyle w:val="texto"/>
        <w:spacing w:after="0"/>
        <w:jc w:val="right"/>
        <w:rPr>
          <w:rFonts w:ascii="Arial Narrow" w:hAnsi="Arial Narrow"/>
          <w:sz w:val="18"/>
          <w:szCs w:val="18"/>
        </w:rPr>
      </w:pPr>
      <w:r w:rsidRPr="003A115E">
        <w:rPr>
          <w:rFonts w:ascii="Arial Narrow" w:hAnsi="Arial Narrow"/>
          <w:sz w:val="18"/>
          <w:szCs w:val="18"/>
        </w:rPr>
        <w:t>(</w:t>
      </w:r>
      <w:r w:rsidR="0092357E" w:rsidRPr="003A115E">
        <w:rPr>
          <w:rFonts w:ascii="Arial Narrow" w:hAnsi="Arial Narrow"/>
          <w:sz w:val="18"/>
          <w:szCs w:val="18"/>
        </w:rPr>
        <w:t>m</w:t>
      </w:r>
      <w:r w:rsidR="00F419E5" w:rsidRPr="003A115E">
        <w:rPr>
          <w:rFonts w:ascii="Arial Narrow" w:hAnsi="Arial Narrow"/>
          <w:sz w:val="18"/>
          <w:szCs w:val="18"/>
        </w:rPr>
        <w:t>illones</w:t>
      </w:r>
      <w:r w:rsidRPr="003A115E">
        <w:rPr>
          <w:rFonts w:ascii="Arial Narrow" w:hAnsi="Arial Narrow"/>
          <w:sz w:val="18"/>
          <w:szCs w:val="18"/>
        </w:rPr>
        <w:t>)</w:t>
      </w:r>
    </w:p>
    <w:tbl>
      <w:tblPr>
        <w:tblW w:w="5000" w:type="pct"/>
        <w:tblCellMar>
          <w:left w:w="70" w:type="dxa"/>
          <w:right w:w="70" w:type="dxa"/>
        </w:tblCellMar>
        <w:tblLook w:val="04A0" w:firstRow="1" w:lastRow="0" w:firstColumn="1" w:lastColumn="0" w:noHBand="0" w:noVBand="1"/>
      </w:tblPr>
      <w:tblGrid>
        <w:gridCol w:w="3676"/>
        <w:gridCol w:w="1555"/>
        <w:gridCol w:w="991"/>
        <w:gridCol w:w="1380"/>
        <w:gridCol w:w="1186"/>
      </w:tblGrid>
      <w:tr w:rsidR="000A742F" w:rsidRPr="003A115E" w14:paraId="30CB8D67" w14:textId="77777777" w:rsidTr="005F3A0D">
        <w:trPr>
          <w:trHeight w:val="255"/>
        </w:trPr>
        <w:tc>
          <w:tcPr>
            <w:tcW w:w="2091" w:type="pct"/>
            <w:tcBorders>
              <w:top w:val="single" w:sz="4" w:space="0" w:color="auto"/>
              <w:left w:val="nil"/>
              <w:bottom w:val="single" w:sz="2" w:space="0" w:color="auto"/>
              <w:right w:val="nil"/>
            </w:tcBorders>
            <w:shd w:val="clear" w:color="auto" w:fill="FABF8F" w:themeFill="accent6" w:themeFillTint="99"/>
            <w:vAlign w:val="center"/>
            <w:hideMark/>
          </w:tcPr>
          <w:p w14:paraId="73A72F11" w14:textId="144FE8D6" w:rsidR="005F0CC5" w:rsidRPr="003A115E" w:rsidRDefault="005F0CC5" w:rsidP="00540533">
            <w:pPr>
              <w:pStyle w:val="cuadroCabe"/>
            </w:pPr>
            <w:r w:rsidRPr="003A115E">
              <w:t>Clasificación funcional</w:t>
            </w:r>
          </w:p>
        </w:tc>
        <w:tc>
          <w:tcPr>
            <w:tcW w:w="885" w:type="pct"/>
            <w:vMerge w:val="restart"/>
            <w:tcBorders>
              <w:top w:val="single" w:sz="4" w:space="0" w:color="auto"/>
              <w:left w:val="nil"/>
              <w:bottom w:val="single" w:sz="2" w:space="0" w:color="auto"/>
              <w:right w:val="nil"/>
            </w:tcBorders>
            <w:shd w:val="clear" w:color="auto" w:fill="FABF8F" w:themeFill="accent6" w:themeFillTint="99"/>
            <w:vAlign w:val="center"/>
            <w:hideMark/>
          </w:tcPr>
          <w:p w14:paraId="6FC58B85" w14:textId="77777777" w:rsidR="005F0CC5" w:rsidRPr="003A115E" w:rsidRDefault="005F0CC5" w:rsidP="00540533">
            <w:pPr>
              <w:pStyle w:val="cuadroCabe"/>
              <w:jc w:val="right"/>
            </w:pPr>
            <w:r w:rsidRPr="003A115E">
              <w:t>2021</w:t>
            </w:r>
          </w:p>
        </w:tc>
        <w:tc>
          <w:tcPr>
            <w:tcW w:w="564" w:type="pct"/>
            <w:vMerge w:val="restart"/>
            <w:tcBorders>
              <w:top w:val="single" w:sz="4" w:space="0" w:color="auto"/>
              <w:left w:val="nil"/>
              <w:bottom w:val="single" w:sz="2" w:space="0" w:color="auto"/>
              <w:right w:val="nil"/>
            </w:tcBorders>
            <w:shd w:val="clear" w:color="auto" w:fill="FABF8F" w:themeFill="accent6" w:themeFillTint="99"/>
            <w:vAlign w:val="center"/>
            <w:hideMark/>
          </w:tcPr>
          <w:p w14:paraId="08866056" w14:textId="77777777" w:rsidR="005F0CC5" w:rsidRPr="003A115E" w:rsidRDefault="005F0CC5" w:rsidP="00540533">
            <w:pPr>
              <w:pStyle w:val="cuadroCabe"/>
              <w:jc w:val="right"/>
            </w:pPr>
            <w:r w:rsidRPr="003A115E">
              <w:t>2022</w:t>
            </w:r>
          </w:p>
        </w:tc>
        <w:tc>
          <w:tcPr>
            <w:tcW w:w="785" w:type="pct"/>
            <w:vMerge w:val="restart"/>
            <w:tcBorders>
              <w:top w:val="single" w:sz="4" w:space="0" w:color="auto"/>
              <w:left w:val="nil"/>
              <w:bottom w:val="single" w:sz="2" w:space="0" w:color="auto"/>
              <w:right w:val="nil"/>
            </w:tcBorders>
            <w:shd w:val="clear" w:color="auto" w:fill="FABF8F" w:themeFill="accent6" w:themeFillTint="99"/>
            <w:vAlign w:val="center"/>
            <w:hideMark/>
          </w:tcPr>
          <w:p w14:paraId="262A6FD4" w14:textId="77777777" w:rsidR="005F0CC5" w:rsidRPr="003A115E" w:rsidRDefault="005F0CC5" w:rsidP="00540533">
            <w:pPr>
              <w:pStyle w:val="cuadroCabe"/>
              <w:jc w:val="right"/>
            </w:pPr>
            <w:r w:rsidRPr="003A115E">
              <w:rPr>
                <w:lang w:val="es-ES"/>
              </w:rPr>
              <w:t xml:space="preserve">Var </w:t>
            </w:r>
            <w:proofErr w:type="spellStart"/>
            <w:r w:rsidRPr="003A115E">
              <w:rPr>
                <w:lang w:val="es-ES"/>
              </w:rPr>
              <w:t>abs</w:t>
            </w:r>
            <w:proofErr w:type="spellEnd"/>
            <w:r w:rsidRPr="003A115E">
              <w:rPr>
                <w:lang w:val="es-ES"/>
              </w:rPr>
              <w:t>. 2022/21</w:t>
            </w:r>
          </w:p>
        </w:tc>
        <w:tc>
          <w:tcPr>
            <w:tcW w:w="675" w:type="pct"/>
            <w:vMerge w:val="restart"/>
            <w:tcBorders>
              <w:top w:val="single" w:sz="4" w:space="0" w:color="auto"/>
              <w:left w:val="nil"/>
              <w:bottom w:val="single" w:sz="2" w:space="0" w:color="auto"/>
              <w:right w:val="nil"/>
            </w:tcBorders>
            <w:shd w:val="clear" w:color="auto" w:fill="FABF8F" w:themeFill="accent6" w:themeFillTint="99"/>
            <w:vAlign w:val="center"/>
            <w:hideMark/>
          </w:tcPr>
          <w:p w14:paraId="4510CE6A" w14:textId="42629D95" w:rsidR="005F0CC5" w:rsidRPr="003A115E" w:rsidRDefault="005F0CC5" w:rsidP="00540533">
            <w:pPr>
              <w:pStyle w:val="cuadroCabe"/>
              <w:jc w:val="right"/>
            </w:pPr>
            <w:r w:rsidRPr="003A115E">
              <w:rPr>
                <w:lang w:val="es-ES"/>
              </w:rPr>
              <w:t>% var</w:t>
            </w:r>
            <w:r w:rsidR="009571C9">
              <w:rPr>
                <w:lang w:val="es-ES"/>
              </w:rPr>
              <w:t>.</w:t>
            </w:r>
            <w:r w:rsidRPr="003A115E">
              <w:rPr>
                <w:lang w:val="es-ES"/>
              </w:rPr>
              <w:t xml:space="preserve"> 2022/21</w:t>
            </w:r>
          </w:p>
        </w:tc>
      </w:tr>
      <w:tr w:rsidR="000A742F" w:rsidRPr="003A115E" w14:paraId="6C0CECAC" w14:textId="77777777" w:rsidTr="005F3A0D">
        <w:trPr>
          <w:trHeight w:val="255"/>
        </w:trPr>
        <w:tc>
          <w:tcPr>
            <w:tcW w:w="2091" w:type="pct"/>
            <w:tcBorders>
              <w:top w:val="single" w:sz="2" w:space="0" w:color="auto"/>
              <w:left w:val="nil"/>
              <w:bottom w:val="single" w:sz="4" w:space="0" w:color="auto"/>
              <w:right w:val="nil"/>
            </w:tcBorders>
            <w:shd w:val="clear" w:color="auto" w:fill="FABF8F" w:themeFill="accent6" w:themeFillTint="99"/>
            <w:vAlign w:val="center"/>
            <w:hideMark/>
          </w:tcPr>
          <w:p w14:paraId="0BFC7A8B" w14:textId="77777777" w:rsidR="005F0CC5" w:rsidRPr="003A115E" w:rsidRDefault="005F0CC5" w:rsidP="00540533">
            <w:pPr>
              <w:pStyle w:val="cuadroCabe"/>
            </w:pPr>
            <w:r w:rsidRPr="003A115E">
              <w:rPr>
                <w:lang w:val="es-ES"/>
              </w:rPr>
              <w:t>de transferencias ‘no Covid’</w:t>
            </w:r>
          </w:p>
        </w:tc>
        <w:tc>
          <w:tcPr>
            <w:tcW w:w="885" w:type="pct"/>
            <w:vMerge/>
            <w:tcBorders>
              <w:top w:val="single" w:sz="2" w:space="0" w:color="auto"/>
            </w:tcBorders>
            <w:shd w:val="clear" w:color="auto" w:fill="FABF8F" w:themeFill="accent6" w:themeFillTint="99"/>
            <w:vAlign w:val="center"/>
            <w:hideMark/>
          </w:tcPr>
          <w:p w14:paraId="6FF5DCF7" w14:textId="77777777" w:rsidR="005F0CC5" w:rsidRPr="003A115E" w:rsidRDefault="005F0CC5" w:rsidP="00540533">
            <w:pPr>
              <w:pStyle w:val="cuadroCabe"/>
              <w:jc w:val="right"/>
            </w:pPr>
          </w:p>
        </w:tc>
        <w:tc>
          <w:tcPr>
            <w:tcW w:w="564" w:type="pct"/>
            <w:vMerge/>
            <w:tcBorders>
              <w:top w:val="single" w:sz="2" w:space="0" w:color="auto"/>
            </w:tcBorders>
            <w:shd w:val="clear" w:color="auto" w:fill="FABF8F" w:themeFill="accent6" w:themeFillTint="99"/>
            <w:vAlign w:val="center"/>
            <w:hideMark/>
          </w:tcPr>
          <w:p w14:paraId="462AF1F5" w14:textId="77777777" w:rsidR="005F0CC5" w:rsidRPr="003A115E" w:rsidRDefault="005F0CC5" w:rsidP="00540533">
            <w:pPr>
              <w:pStyle w:val="cuadroCabe"/>
              <w:jc w:val="right"/>
            </w:pPr>
          </w:p>
        </w:tc>
        <w:tc>
          <w:tcPr>
            <w:tcW w:w="785" w:type="pct"/>
            <w:vMerge/>
            <w:tcBorders>
              <w:top w:val="single" w:sz="2" w:space="0" w:color="auto"/>
            </w:tcBorders>
            <w:shd w:val="clear" w:color="auto" w:fill="FABF8F" w:themeFill="accent6" w:themeFillTint="99"/>
            <w:vAlign w:val="center"/>
            <w:hideMark/>
          </w:tcPr>
          <w:p w14:paraId="78911227" w14:textId="77777777" w:rsidR="005F0CC5" w:rsidRPr="003A115E" w:rsidRDefault="005F0CC5" w:rsidP="00540533">
            <w:pPr>
              <w:pStyle w:val="cuadroCabe"/>
              <w:jc w:val="right"/>
            </w:pPr>
          </w:p>
        </w:tc>
        <w:tc>
          <w:tcPr>
            <w:tcW w:w="675" w:type="pct"/>
            <w:vMerge/>
            <w:tcBorders>
              <w:top w:val="single" w:sz="2" w:space="0" w:color="auto"/>
            </w:tcBorders>
            <w:shd w:val="clear" w:color="auto" w:fill="FABF8F" w:themeFill="accent6" w:themeFillTint="99"/>
            <w:vAlign w:val="center"/>
            <w:hideMark/>
          </w:tcPr>
          <w:p w14:paraId="70724D50" w14:textId="77777777" w:rsidR="005F0CC5" w:rsidRPr="003A115E" w:rsidRDefault="005F0CC5" w:rsidP="00540533">
            <w:pPr>
              <w:pStyle w:val="cuadroCabe"/>
              <w:jc w:val="right"/>
            </w:pPr>
          </w:p>
        </w:tc>
      </w:tr>
      <w:tr w:rsidR="000A742F" w:rsidRPr="003A115E" w14:paraId="27295B65" w14:textId="77777777" w:rsidTr="00CC28BD">
        <w:trPr>
          <w:trHeight w:val="198"/>
        </w:trPr>
        <w:tc>
          <w:tcPr>
            <w:tcW w:w="2091" w:type="pct"/>
            <w:tcBorders>
              <w:top w:val="single" w:sz="4" w:space="0" w:color="auto"/>
              <w:left w:val="nil"/>
              <w:bottom w:val="single" w:sz="2" w:space="0" w:color="auto"/>
              <w:right w:val="nil"/>
            </w:tcBorders>
            <w:shd w:val="clear" w:color="auto" w:fill="auto"/>
            <w:vAlign w:val="center"/>
            <w:hideMark/>
          </w:tcPr>
          <w:p w14:paraId="46E07101" w14:textId="77777777" w:rsidR="005F0CC5" w:rsidRPr="003A115E" w:rsidRDefault="005F0CC5" w:rsidP="00540533">
            <w:pPr>
              <w:pStyle w:val="cuatexto"/>
            </w:pPr>
            <w:r w:rsidRPr="003A115E">
              <w:rPr>
                <w:lang w:val="es-ES"/>
              </w:rPr>
              <w:t xml:space="preserve">94 Transferencias a otras </w:t>
            </w:r>
            <w:proofErr w:type="spellStart"/>
            <w:r w:rsidRPr="003A115E">
              <w:rPr>
                <w:lang w:val="es-ES"/>
              </w:rPr>
              <w:t>administr</w:t>
            </w:r>
            <w:proofErr w:type="spellEnd"/>
            <w:r w:rsidRPr="003A115E">
              <w:rPr>
                <w:lang w:val="es-ES"/>
              </w:rPr>
              <w:t>.</w:t>
            </w:r>
          </w:p>
        </w:tc>
        <w:tc>
          <w:tcPr>
            <w:tcW w:w="885" w:type="pct"/>
            <w:tcBorders>
              <w:top w:val="single" w:sz="4" w:space="0" w:color="auto"/>
              <w:left w:val="nil"/>
              <w:bottom w:val="single" w:sz="2" w:space="0" w:color="auto"/>
              <w:right w:val="nil"/>
            </w:tcBorders>
            <w:shd w:val="clear" w:color="auto" w:fill="auto"/>
            <w:vAlign w:val="center"/>
            <w:hideMark/>
          </w:tcPr>
          <w:p w14:paraId="2B5C0A35" w14:textId="283FF328" w:rsidR="005F0CC5" w:rsidRPr="003A115E" w:rsidRDefault="005F0CC5" w:rsidP="00540533">
            <w:pPr>
              <w:pStyle w:val="cuatexto"/>
              <w:jc w:val="right"/>
            </w:pPr>
            <w:r w:rsidRPr="003A115E">
              <w:t>270,55</w:t>
            </w:r>
          </w:p>
        </w:tc>
        <w:tc>
          <w:tcPr>
            <w:tcW w:w="564" w:type="pct"/>
            <w:tcBorders>
              <w:top w:val="single" w:sz="4" w:space="0" w:color="auto"/>
              <w:left w:val="nil"/>
              <w:bottom w:val="single" w:sz="2" w:space="0" w:color="auto"/>
              <w:right w:val="nil"/>
            </w:tcBorders>
            <w:shd w:val="clear" w:color="auto" w:fill="auto"/>
            <w:vAlign w:val="center"/>
            <w:hideMark/>
          </w:tcPr>
          <w:p w14:paraId="05005ABD" w14:textId="57533734" w:rsidR="005F0CC5" w:rsidRPr="003A115E" w:rsidRDefault="005F0CC5" w:rsidP="00540533">
            <w:pPr>
              <w:pStyle w:val="cuatexto"/>
              <w:jc w:val="right"/>
            </w:pPr>
            <w:r w:rsidRPr="003A115E">
              <w:t>292,18</w:t>
            </w:r>
          </w:p>
        </w:tc>
        <w:tc>
          <w:tcPr>
            <w:tcW w:w="785" w:type="pct"/>
            <w:tcBorders>
              <w:top w:val="single" w:sz="4" w:space="0" w:color="auto"/>
              <w:left w:val="nil"/>
              <w:bottom w:val="single" w:sz="2" w:space="0" w:color="auto"/>
              <w:right w:val="nil"/>
            </w:tcBorders>
            <w:shd w:val="clear" w:color="auto" w:fill="auto"/>
            <w:vAlign w:val="center"/>
            <w:hideMark/>
          </w:tcPr>
          <w:p w14:paraId="79A5C312" w14:textId="2E79B59C" w:rsidR="005F0CC5" w:rsidRPr="003A115E" w:rsidRDefault="005F0CC5" w:rsidP="00540533">
            <w:pPr>
              <w:pStyle w:val="cuatexto"/>
              <w:jc w:val="right"/>
            </w:pPr>
            <w:r w:rsidRPr="003A115E">
              <w:t>21,63</w:t>
            </w:r>
          </w:p>
        </w:tc>
        <w:tc>
          <w:tcPr>
            <w:tcW w:w="675" w:type="pct"/>
            <w:tcBorders>
              <w:top w:val="single" w:sz="4" w:space="0" w:color="auto"/>
              <w:left w:val="nil"/>
              <w:bottom w:val="single" w:sz="2" w:space="0" w:color="auto"/>
              <w:right w:val="nil"/>
            </w:tcBorders>
            <w:shd w:val="clear" w:color="auto" w:fill="auto"/>
            <w:vAlign w:val="center"/>
            <w:hideMark/>
          </w:tcPr>
          <w:p w14:paraId="67399581" w14:textId="0E38F4D8" w:rsidR="005F0CC5" w:rsidRPr="003A115E" w:rsidRDefault="005F0CC5" w:rsidP="00540533">
            <w:pPr>
              <w:pStyle w:val="cuatexto"/>
              <w:jc w:val="right"/>
            </w:pPr>
            <w:r w:rsidRPr="003A115E">
              <w:t>8</w:t>
            </w:r>
          </w:p>
        </w:tc>
      </w:tr>
      <w:tr w:rsidR="000A742F" w:rsidRPr="003A115E" w14:paraId="6C137932" w14:textId="77777777" w:rsidTr="00CC28BD">
        <w:trPr>
          <w:trHeight w:val="198"/>
        </w:trPr>
        <w:tc>
          <w:tcPr>
            <w:tcW w:w="2091" w:type="pct"/>
            <w:tcBorders>
              <w:top w:val="single" w:sz="2" w:space="0" w:color="auto"/>
              <w:left w:val="nil"/>
              <w:bottom w:val="single" w:sz="2" w:space="0" w:color="auto"/>
              <w:right w:val="nil"/>
            </w:tcBorders>
            <w:shd w:val="clear" w:color="auto" w:fill="auto"/>
            <w:vAlign w:val="center"/>
            <w:hideMark/>
          </w:tcPr>
          <w:p w14:paraId="78A3E9E2" w14:textId="77777777" w:rsidR="005F0CC5" w:rsidRPr="003A115E" w:rsidRDefault="005F0CC5" w:rsidP="00540533">
            <w:pPr>
              <w:pStyle w:val="cuatexto"/>
            </w:pPr>
            <w:r w:rsidRPr="003A115E">
              <w:rPr>
                <w:lang w:val="es-ES"/>
              </w:rPr>
              <w:t>26 Acceso a la vivienda y fomento</w:t>
            </w:r>
          </w:p>
        </w:tc>
        <w:tc>
          <w:tcPr>
            <w:tcW w:w="885" w:type="pct"/>
            <w:tcBorders>
              <w:top w:val="single" w:sz="2" w:space="0" w:color="auto"/>
              <w:left w:val="nil"/>
              <w:bottom w:val="single" w:sz="2" w:space="0" w:color="auto"/>
              <w:right w:val="nil"/>
            </w:tcBorders>
            <w:shd w:val="clear" w:color="auto" w:fill="auto"/>
            <w:vAlign w:val="center"/>
            <w:hideMark/>
          </w:tcPr>
          <w:p w14:paraId="43508C25" w14:textId="7183ED75" w:rsidR="005F0CC5" w:rsidRPr="003A115E" w:rsidRDefault="005F0CC5" w:rsidP="00540533">
            <w:pPr>
              <w:pStyle w:val="cuatexto"/>
              <w:jc w:val="right"/>
            </w:pPr>
            <w:r w:rsidRPr="003A115E">
              <w:t>4,67</w:t>
            </w:r>
          </w:p>
        </w:tc>
        <w:tc>
          <w:tcPr>
            <w:tcW w:w="564" w:type="pct"/>
            <w:tcBorders>
              <w:top w:val="single" w:sz="2" w:space="0" w:color="auto"/>
              <w:left w:val="nil"/>
              <w:bottom w:val="single" w:sz="2" w:space="0" w:color="auto"/>
              <w:right w:val="nil"/>
            </w:tcBorders>
            <w:shd w:val="clear" w:color="auto" w:fill="auto"/>
            <w:vAlign w:val="center"/>
            <w:hideMark/>
          </w:tcPr>
          <w:p w14:paraId="041D49D4" w14:textId="560079E1" w:rsidR="005F0CC5" w:rsidRPr="003A115E" w:rsidRDefault="005F0CC5" w:rsidP="00540533">
            <w:pPr>
              <w:pStyle w:val="cuatexto"/>
              <w:jc w:val="right"/>
            </w:pPr>
            <w:r w:rsidRPr="003A115E">
              <w:t>33,62</w:t>
            </w:r>
          </w:p>
        </w:tc>
        <w:tc>
          <w:tcPr>
            <w:tcW w:w="785" w:type="pct"/>
            <w:tcBorders>
              <w:top w:val="single" w:sz="2" w:space="0" w:color="auto"/>
              <w:left w:val="nil"/>
              <w:bottom w:val="single" w:sz="2" w:space="0" w:color="auto"/>
              <w:right w:val="nil"/>
            </w:tcBorders>
            <w:shd w:val="clear" w:color="auto" w:fill="auto"/>
            <w:vAlign w:val="center"/>
            <w:hideMark/>
          </w:tcPr>
          <w:p w14:paraId="72A5EA15" w14:textId="6B509E8D" w:rsidR="005F0CC5" w:rsidRPr="003A115E" w:rsidRDefault="005F0CC5" w:rsidP="00540533">
            <w:pPr>
              <w:pStyle w:val="cuatexto"/>
              <w:jc w:val="right"/>
            </w:pPr>
            <w:r w:rsidRPr="003A115E">
              <w:t>28,95</w:t>
            </w:r>
          </w:p>
        </w:tc>
        <w:tc>
          <w:tcPr>
            <w:tcW w:w="675" w:type="pct"/>
            <w:tcBorders>
              <w:top w:val="single" w:sz="2" w:space="0" w:color="auto"/>
              <w:left w:val="nil"/>
              <w:bottom w:val="single" w:sz="2" w:space="0" w:color="auto"/>
              <w:right w:val="nil"/>
            </w:tcBorders>
            <w:shd w:val="clear" w:color="auto" w:fill="auto"/>
            <w:vAlign w:val="center"/>
            <w:hideMark/>
          </w:tcPr>
          <w:p w14:paraId="62121DF0" w14:textId="0EDF840E" w:rsidR="005F0CC5" w:rsidRPr="003A115E" w:rsidRDefault="005F0CC5" w:rsidP="00540533">
            <w:pPr>
              <w:pStyle w:val="cuatexto"/>
              <w:jc w:val="right"/>
            </w:pPr>
            <w:r w:rsidRPr="003A115E">
              <w:t>620</w:t>
            </w:r>
          </w:p>
        </w:tc>
      </w:tr>
      <w:tr w:rsidR="000A742F" w:rsidRPr="003A115E" w14:paraId="38092593" w14:textId="77777777" w:rsidTr="00CC28BD">
        <w:trPr>
          <w:trHeight w:val="198"/>
        </w:trPr>
        <w:tc>
          <w:tcPr>
            <w:tcW w:w="2091" w:type="pct"/>
            <w:tcBorders>
              <w:top w:val="single" w:sz="2" w:space="0" w:color="auto"/>
              <w:left w:val="nil"/>
              <w:bottom w:val="single" w:sz="2" w:space="0" w:color="auto"/>
              <w:right w:val="nil"/>
            </w:tcBorders>
            <w:shd w:val="clear" w:color="auto" w:fill="auto"/>
            <w:vAlign w:val="center"/>
            <w:hideMark/>
          </w:tcPr>
          <w:p w14:paraId="421D5A6A" w14:textId="77777777" w:rsidR="005F0CC5" w:rsidRPr="003A115E" w:rsidRDefault="005F0CC5" w:rsidP="00540533">
            <w:pPr>
              <w:pStyle w:val="cuatexto"/>
            </w:pPr>
            <w:r w:rsidRPr="003A115E">
              <w:rPr>
                <w:lang w:val="es-ES"/>
              </w:rPr>
              <w:t>23 Servicios sociales y promoción</w:t>
            </w:r>
          </w:p>
        </w:tc>
        <w:tc>
          <w:tcPr>
            <w:tcW w:w="885" w:type="pct"/>
            <w:tcBorders>
              <w:top w:val="single" w:sz="2" w:space="0" w:color="auto"/>
              <w:left w:val="nil"/>
              <w:bottom w:val="single" w:sz="2" w:space="0" w:color="auto"/>
              <w:right w:val="nil"/>
            </w:tcBorders>
            <w:shd w:val="clear" w:color="auto" w:fill="auto"/>
            <w:vAlign w:val="center"/>
            <w:hideMark/>
          </w:tcPr>
          <w:p w14:paraId="7B227A08" w14:textId="53497D1E" w:rsidR="005F0CC5" w:rsidRPr="003A115E" w:rsidRDefault="005F0CC5" w:rsidP="00540533">
            <w:pPr>
              <w:pStyle w:val="cuatexto"/>
              <w:jc w:val="right"/>
            </w:pPr>
            <w:r w:rsidRPr="003A115E">
              <w:t>27,21</w:t>
            </w:r>
          </w:p>
        </w:tc>
        <w:tc>
          <w:tcPr>
            <w:tcW w:w="564" w:type="pct"/>
            <w:tcBorders>
              <w:top w:val="single" w:sz="2" w:space="0" w:color="auto"/>
              <w:left w:val="nil"/>
              <w:bottom w:val="single" w:sz="2" w:space="0" w:color="auto"/>
              <w:right w:val="nil"/>
            </w:tcBorders>
            <w:shd w:val="clear" w:color="auto" w:fill="auto"/>
            <w:vAlign w:val="center"/>
            <w:hideMark/>
          </w:tcPr>
          <w:p w14:paraId="74B089D3" w14:textId="6CC17E7C" w:rsidR="005F0CC5" w:rsidRPr="003A115E" w:rsidRDefault="005F0CC5" w:rsidP="00540533">
            <w:pPr>
              <w:pStyle w:val="cuatexto"/>
              <w:jc w:val="right"/>
            </w:pPr>
            <w:r w:rsidRPr="003A115E">
              <w:t>32,02</w:t>
            </w:r>
          </w:p>
        </w:tc>
        <w:tc>
          <w:tcPr>
            <w:tcW w:w="785" w:type="pct"/>
            <w:tcBorders>
              <w:top w:val="single" w:sz="2" w:space="0" w:color="auto"/>
              <w:left w:val="nil"/>
              <w:bottom w:val="single" w:sz="2" w:space="0" w:color="auto"/>
              <w:right w:val="nil"/>
            </w:tcBorders>
            <w:shd w:val="clear" w:color="auto" w:fill="auto"/>
            <w:vAlign w:val="center"/>
            <w:hideMark/>
          </w:tcPr>
          <w:p w14:paraId="33A46CD9" w14:textId="561E4CDD" w:rsidR="005F0CC5" w:rsidRPr="003A115E" w:rsidRDefault="005F0CC5" w:rsidP="00540533">
            <w:pPr>
              <w:pStyle w:val="cuatexto"/>
              <w:jc w:val="right"/>
            </w:pPr>
            <w:r w:rsidRPr="003A115E">
              <w:t>4,81</w:t>
            </w:r>
          </w:p>
        </w:tc>
        <w:tc>
          <w:tcPr>
            <w:tcW w:w="675" w:type="pct"/>
            <w:tcBorders>
              <w:top w:val="single" w:sz="2" w:space="0" w:color="auto"/>
              <w:left w:val="nil"/>
              <w:bottom w:val="single" w:sz="2" w:space="0" w:color="auto"/>
              <w:right w:val="nil"/>
            </w:tcBorders>
            <w:shd w:val="clear" w:color="auto" w:fill="auto"/>
            <w:vAlign w:val="center"/>
            <w:hideMark/>
          </w:tcPr>
          <w:p w14:paraId="45F08AC9" w14:textId="637790D3" w:rsidR="005F0CC5" w:rsidRPr="003A115E" w:rsidRDefault="005F0CC5" w:rsidP="00540533">
            <w:pPr>
              <w:pStyle w:val="cuatexto"/>
              <w:jc w:val="right"/>
            </w:pPr>
            <w:r w:rsidRPr="003A115E">
              <w:t>18</w:t>
            </w:r>
          </w:p>
        </w:tc>
      </w:tr>
      <w:tr w:rsidR="000A742F" w:rsidRPr="003A115E" w14:paraId="7DB327B4" w14:textId="77777777" w:rsidTr="00CC28BD">
        <w:trPr>
          <w:trHeight w:val="198"/>
        </w:trPr>
        <w:tc>
          <w:tcPr>
            <w:tcW w:w="2091" w:type="pct"/>
            <w:tcBorders>
              <w:top w:val="single" w:sz="2" w:space="0" w:color="auto"/>
              <w:left w:val="nil"/>
              <w:bottom w:val="single" w:sz="2" w:space="0" w:color="auto"/>
              <w:right w:val="nil"/>
            </w:tcBorders>
            <w:shd w:val="clear" w:color="auto" w:fill="auto"/>
            <w:vAlign w:val="center"/>
            <w:hideMark/>
          </w:tcPr>
          <w:p w14:paraId="51F34919" w14:textId="77777777" w:rsidR="005F0CC5" w:rsidRPr="003A115E" w:rsidRDefault="005F0CC5" w:rsidP="0186A00D">
            <w:pPr>
              <w:pStyle w:val="cuatexto"/>
              <w:rPr>
                <w:lang w:val="es-ES"/>
              </w:rPr>
            </w:pPr>
            <w:r w:rsidRPr="003A115E">
              <w:rPr>
                <w:lang w:val="es-ES"/>
              </w:rPr>
              <w:t>32 Educación</w:t>
            </w:r>
          </w:p>
        </w:tc>
        <w:tc>
          <w:tcPr>
            <w:tcW w:w="885" w:type="pct"/>
            <w:tcBorders>
              <w:top w:val="single" w:sz="2" w:space="0" w:color="auto"/>
              <w:left w:val="nil"/>
              <w:bottom w:val="single" w:sz="2" w:space="0" w:color="auto"/>
              <w:right w:val="nil"/>
            </w:tcBorders>
            <w:shd w:val="clear" w:color="auto" w:fill="auto"/>
            <w:vAlign w:val="center"/>
            <w:hideMark/>
          </w:tcPr>
          <w:p w14:paraId="7D4835F8" w14:textId="66D946CF" w:rsidR="005F0CC5" w:rsidRPr="003A115E" w:rsidRDefault="005F0CC5" w:rsidP="00540533">
            <w:pPr>
              <w:pStyle w:val="cuatexto"/>
              <w:jc w:val="right"/>
            </w:pPr>
            <w:r w:rsidRPr="003A115E">
              <w:t>24,30</w:t>
            </w:r>
          </w:p>
        </w:tc>
        <w:tc>
          <w:tcPr>
            <w:tcW w:w="564" w:type="pct"/>
            <w:tcBorders>
              <w:top w:val="single" w:sz="2" w:space="0" w:color="auto"/>
              <w:left w:val="nil"/>
              <w:bottom w:val="single" w:sz="2" w:space="0" w:color="auto"/>
              <w:right w:val="nil"/>
            </w:tcBorders>
            <w:shd w:val="clear" w:color="auto" w:fill="auto"/>
            <w:vAlign w:val="center"/>
            <w:hideMark/>
          </w:tcPr>
          <w:p w14:paraId="564B6EE4" w14:textId="61EAF875" w:rsidR="005F0CC5" w:rsidRPr="003A115E" w:rsidRDefault="005F0CC5" w:rsidP="00540533">
            <w:pPr>
              <w:pStyle w:val="cuatexto"/>
              <w:jc w:val="right"/>
            </w:pPr>
            <w:r w:rsidRPr="003A115E">
              <w:t>29,86</w:t>
            </w:r>
          </w:p>
        </w:tc>
        <w:tc>
          <w:tcPr>
            <w:tcW w:w="785" w:type="pct"/>
            <w:tcBorders>
              <w:top w:val="single" w:sz="2" w:space="0" w:color="auto"/>
              <w:left w:val="nil"/>
              <w:bottom w:val="single" w:sz="2" w:space="0" w:color="auto"/>
              <w:right w:val="nil"/>
            </w:tcBorders>
            <w:shd w:val="clear" w:color="auto" w:fill="auto"/>
            <w:vAlign w:val="center"/>
            <w:hideMark/>
          </w:tcPr>
          <w:p w14:paraId="26EA0E26" w14:textId="0E4A80A4" w:rsidR="005F0CC5" w:rsidRPr="003A115E" w:rsidRDefault="005F0CC5" w:rsidP="00540533">
            <w:pPr>
              <w:pStyle w:val="cuatexto"/>
              <w:jc w:val="right"/>
            </w:pPr>
            <w:r w:rsidRPr="003A115E">
              <w:t>5,56</w:t>
            </w:r>
          </w:p>
        </w:tc>
        <w:tc>
          <w:tcPr>
            <w:tcW w:w="675" w:type="pct"/>
            <w:tcBorders>
              <w:top w:val="single" w:sz="2" w:space="0" w:color="auto"/>
              <w:left w:val="nil"/>
              <w:bottom w:val="single" w:sz="2" w:space="0" w:color="auto"/>
              <w:right w:val="nil"/>
            </w:tcBorders>
            <w:shd w:val="clear" w:color="auto" w:fill="auto"/>
            <w:vAlign w:val="center"/>
            <w:hideMark/>
          </w:tcPr>
          <w:p w14:paraId="7C2DA22A" w14:textId="5B35C8C7" w:rsidR="005F0CC5" w:rsidRPr="003A115E" w:rsidRDefault="005F0CC5" w:rsidP="00540533">
            <w:pPr>
              <w:pStyle w:val="cuatexto"/>
              <w:jc w:val="right"/>
            </w:pPr>
            <w:r w:rsidRPr="003A115E">
              <w:t>23</w:t>
            </w:r>
          </w:p>
        </w:tc>
      </w:tr>
      <w:tr w:rsidR="000A742F" w:rsidRPr="003A115E" w14:paraId="3A880F8D" w14:textId="77777777" w:rsidTr="00CC28BD">
        <w:trPr>
          <w:trHeight w:val="198"/>
        </w:trPr>
        <w:tc>
          <w:tcPr>
            <w:tcW w:w="2091" w:type="pct"/>
            <w:tcBorders>
              <w:top w:val="single" w:sz="2" w:space="0" w:color="auto"/>
              <w:left w:val="nil"/>
              <w:bottom w:val="single" w:sz="2" w:space="0" w:color="auto"/>
              <w:right w:val="nil"/>
            </w:tcBorders>
            <w:shd w:val="clear" w:color="auto" w:fill="auto"/>
            <w:vAlign w:val="center"/>
            <w:hideMark/>
          </w:tcPr>
          <w:p w14:paraId="5D072DBC" w14:textId="77777777" w:rsidR="005F0CC5" w:rsidRPr="003A115E" w:rsidRDefault="005F0CC5" w:rsidP="00540533">
            <w:pPr>
              <w:pStyle w:val="cuatexto"/>
            </w:pPr>
            <w:r w:rsidRPr="003A115E">
              <w:rPr>
                <w:lang w:val="es-ES"/>
              </w:rPr>
              <w:t>44 Subvenciones al transporte</w:t>
            </w:r>
          </w:p>
        </w:tc>
        <w:tc>
          <w:tcPr>
            <w:tcW w:w="885" w:type="pct"/>
            <w:tcBorders>
              <w:top w:val="single" w:sz="2" w:space="0" w:color="auto"/>
              <w:left w:val="nil"/>
              <w:bottom w:val="single" w:sz="2" w:space="0" w:color="auto"/>
              <w:right w:val="nil"/>
            </w:tcBorders>
            <w:shd w:val="clear" w:color="auto" w:fill="auto"/>
            <w:vAlign w:val="center"/>
            <w:hideMark/>
          </w:tcPr>
          <w:p w14:paraId="77725D2F" w14:textId="58C8B05A" w:rsidR="005F0CC5" w:rsidRPr="003A115E" w:rsidRDefault="005F0CC5" w:rsidP="00540533">
            <w:pPr>
              <w:pStyle w:val="cuatexto"/>
              <w:jc w:val="right"/>
            </w:pPr>
            <w:r w:rsidRPr="003A115E">
              <w:t>15,89</w:t>
            </w:r>
          </w:p>
        </w:tc>
        <w:tc>
          <w:tcPr>
            <w:tcW w:w="564" w:type="pct"/>
            <w:tcBorders>
              <w:top w:val="single" w:sz="2" w:space="0" w:color="auto"/>
              <w:left w:val="nil"/>
              <w:bottom w:val="single" w:sz="2" w:space="0" w:color="auto"/>
              <w:right w:val="nil"/>
            </w:tcBorders>
            <w:shd w:val="clear" w:color="auto" w:fill="auto"/>
            <w:vAlign w:val="center"/>
            <w:hideMark/>
          </w:tcPr>
          <w:p w14:paraId="796DD6BF" w14:textId="0B85CC9E" w:rsidR="005F0CC5" w:rsidRPr="003A115E" w:rsidRDefault="005F0CC5" w:rsidP="00540533">
            <w:pPr>
              <w:pStyle w:val="cuatexto"/>
              <w:jc w:val="right"/>
            </w:pPr>
            <w:r w:rsidRPr="003A115E">
              <w:t>15,14</w:t>
            </w:r>
          </w:p>
        </w:tc>
        <w:tc>
          <w:tcPr>
            <w:tcW w:w="785" w:type="pct"/>
            <w:tcBorders>
              <w:top w:val="single" w:sz="2" w:space="0" w:color="auto"/>
              <w:left w:val="nil"/>
              <w:bottom w:val="single" w:sz="2" w:space="0" w:color="auto"/>
              <w:right w:val="nil"/>
            </w:tcBorders>
            <w:shd w:val="clear" w:color="auto" w:fill="auto"/>
            <w:vAlign w:val="center"/>
            <w:hideMark/>
          </w:tcPr>
          <w:p w14:paraId="05D45533" w14:textId="270787D1" w:rsidR="005F0CC5" w:rsidRPr="003A115E" w:rsidRDefault="005F0CC5" w:rsidP="00540533">
            <w:pPr>
              <w:pStyle w:val="cuatexto"/>
              <w:jc w:val="right"/>
            </w:pPr>
            <w:r w:rsidRPr="003A115E">
              <w:t>-0,75</w:t>
            </w:r>
          </w:p>
        </w:tc>
        <w:tc>
          <w:tcPr>
            <w:tcW w:w="675" w:type="pct"/>
            <w:tcBorders>
              <w:top w:val="single" w:sz="2" w:space="0" w:color="auto"/>
              <w:left w:val="nil"/>
              <w:bottom w:val="single" w:sz="2" w:space="0" w:color="auto"/>
              <w:right w:val="nil"/>
            </w:tcBorders>
            <w:shd w:val="clear" w:color="auto" w:fill="auto"/>
            <w:vAlign w:val="center"/>
            <w:hideMark/>
          </w:tcPr>
          <w:p w14:paraId="3DD54A16" w14:textId="66F21C2A" w:rsidR="005F0CC5" w:rsidRPr="003A115E" w:rsidRDefault="005F0CC5" w:rsidP="00540533">
            <w:pPr>
              <w:pStyle w:val="cuatexto"/>
              <w:jc w:val="right"/>
            </w:pPr>
            <w:r w:rsidRPr="003A115E">
              <w:t>-5</w:t>
            </w:r>
          </w:p>
        </w:tc>
      </w:tr>
      <w:tr w:rsidR="000A742F" w:rsidRPr="003A115E" w14:paraId="3C7B2BF5" w14:textId="77777777" w:rsidTr="00CC28BD">
        <w:trPr>
          <w:trHeight w:val="198"/>
        </w:trPr>
        <w:tc>
          <w:tcPr>
            <w:tcW w:w="2091" w:type="pct"/>
            <w:tcBorders>
              <w:top w:val="single" w:sz="2" w:space="0" w:color="auto"/>
              <w:left w:val="nil"/>
              <w:bottom w:val="single" w:sz="2" w:space="0" w:color="auto"/>
              <w:right w:val="nil"/>
            </w:tcBorders>
            <w:shd w:val="clear" w:color="auto" w:fill="auto"/>
            <w:vAlign w:val="center"/>
            <w:hideMark/>
          </w:tcPr>
          <w:p w14:paraId="10C95ABC" w14:textId="77777777" w:rsidR="005F0CC5" w:rsidRPr="003A115E" w:rsidRDefault="005F0CC5" w:rsidP="0186A00D">
            <w:pPr>
              <w:pStyle w:val="cuatexto"/>
              <w:rPr>
                <w:lang w:val="es-ES"/>
              </w:rPr>
            </w:pPr>
            <w:r w:rsidRPr="003A115E">
              <w:rPr>
                <w:lang w:val="es-ES"/>
              </w:rPr>
              <w:t>45 Infraestructuras</w:t>
            </w:r>
          </w:p>
        </w:tc>
        <w:tc>
          <w:tcPr>
            <w:tcW w:w="885" w:type="pct"/>
            <w:tcBorders>
              <w:top w:val="single" w:sz="2" w:space="0" w:color="auto"/>
              <w:left w:val="nil"/>
              <w:bottom w:val="single" w:sz="2" w:space="0" w:color="auto"/>
              <w:right w:val="nil"/>
            </w:tcBorders>
            <w:shd w:val="clear" w:color="auto" w:fill="auto"/>
            <w:vAlign w:val="center"/>
            <w:hideMark/>
          </w:tcPr>
          <w:p w14:paraId="17AA8EDA" w14:textId="41076994" w:rsidR="005F0CC5" w:rsidRPr="003A115E" w:rsidRDefault="005F0CC5" w:rsidP="00540533">
            <w:pPr>
              <w:pStyle w:val="cuatexto"/>
              <w:jc w:val="right"/>
            </w:pPr>
            <w:r w:rsidRPr="003A115E">
              <w:t>7,85</w:t>
            </w:r>
          </w:p>
        </w:tc>
        <w:tc>
          <w:tcPr>
            <w:tcW w:w="564" w:type="pct"/>
            <w:tcBorders>
              <w:top w:val="single" w:sz="2" w:space="0" w:color="auto"/>
              <w:left w:val="nil"/>
              <w:bottom w:val="single" w:sz="2" w:space="0" w:color="auto"/>
              <w:right w:val="nil"/>
            </w:tcBorders>
            <w:shd w:val="clear" w:color="auto" w:fill="auto"/>
            <w:vAlign w:val="center"/>
            <w:hideMark/>
          </w:tcPr>
          <w:p w14:paraId="05370FA6" w14:textId="0996F877" w:rsidR="005F0CC5" w:rsidRPr="003A115E" w:rsidRDefault="005F0CC5" w:rsidP="00540533">
            <w:pPr>
              <w:pStyle w:val="cuatexto"/>
              <w:jc w:val="right"/>
            </w:pPr>
            <w:r w:rsidRPr="003A115E">
              <w:t>14,10</w:t>
            </w:r>
          </w:p>
        </w:tc>
        <w:tc>
          <w:tcPr>
            <w:tcW w:w="785" w:type="pct"/>
            <w:tcBorders>
              <w:top w:val="single" w:sz="2" w:space="0" w:color="auto"/>
              <w:left w:val="nil"/>
              <w:bottom w:val="single" w:sz="2" w:space="0" w:color="auto"/>
              <w:right w:val="nil"/>
            </w:tcBorders>
            <w:shd w:val="clear" w:color="auto" w:fill="auto"/>
            <w:vAlign w:val="center"/>
            <w:hideMark/>
          </w:tcPr>
          <w:p w14:paraId="2C600D9A" w14:textId="7FC6A473" w:rsidR="005F0CC5" w:rsidRPr="003A115E" w:rsidRDefault="005F0CC5" w:rsidP="00540533">
            <w:pPr>
              <w:pStyle w:val="cuatexto"/>
              <w:jc w:val="right"/>
            </w:pPr>
            <w:r w:rsidRPr="003A115E">
              <w:t>6,25</w:t>
            </w:r>
          </w:p>
        </w:tc>
        <w:tc>
          <w:tcPr>
            <w:tcW w:w="675" w:type="pct"/>
            <w:tcBorders>
              <w:top w:val="single" w:sz="2" w:space="0" w:color="auto"/>
              <w:left w:val="nil"/>
              <w:bottom w:val="single" w:sz="2" w:space="0" w:color="auto"/>
              <w:right w:val="nil"/>
            </w:tcBorders>
            <w:shd w:val="clear" w:color="auto" w:fill="auto"/>
            <w:vAlign w:val="center"/>
            <w:hideMark/>
          </w:tcPr>
          <w:p w14:paraId="7BF68C8E" w14:textId="029FCAF7" w:rsidR="005F0CC5" w:rsidRPr="003A115E" w:rsidRDefault="005F0CC5" w:rsidP="00540533">
            <w:pPr>
              <w:pStyle w:val="cuatexto"/>
              <w:jc w:val="right"/>
            </w:pPr>
            <w:r w:rsidRPr="003A115E">
              <w:t>80</w:t>
            </w:r>
          </w:p>
        </w:tc>
      </w:tr>
      <w:tr w:rsidR="000A742F" w:rsidRPr="003A115E" w14:paraId="18B577D0" w14:textId="77777777" w:rsidTr="00CC28BD">
        <w:trPr>
          <w:trHeight w:val="198"/>
        </w:trPr>
        <w:tc>
          <w:tcPr>
            <w:tcW w:w="2091" w:type="pct"/>
            <w:tcBorders>
              <w:top w:val="single" w:sz="2" w:space="0" w:color="auto"/>
              <w:left w:val="nil"/>
              <w:bottom w:val="single" w:sz="2" w:space="0" w:color="auto"/>
              <w:right w:val="nil"/>
            </w:tcBorders>
            <w:shd w:val="clear" w:color="auto" w:fill="auto"/>
            <w:vAlign w:val="center"/>
            <w:hideMark/>
          </w:tcPr>
          <w:p w14:paraId="5C521FF5" w14:textId="500C0FE6" w:rsidR="005F0CC5" w:rsidRPr="003A115E" w:rsidRDefault="009571C9" w:rsidP="00540533">
            <w:pPr>
              <w:pStyle w:val="cuatexto"/>
            </w:pPr>
            <w:r>
              <w:rPr>
                <w:lang w:val="es-ES"/>
              </w:rPr>
              <w:t xml:space="preserve">43 </w:t>
            </w:r>
            <w:r w:rsidR="005F0CC5" w:rsidRPr="003A115E">
              <w:rPr>
                <w:lang w:val="es-ES"/>
              </w:rPr>
              <w:t>Comercio, Turismo y Pymes</w:t>
            </w:r>
          </w:p>
        </w:tc>
        <w:tc>
          <w:tcPr>
            <w:tcW w:w="885" w:type="pct"/>
            <w:tcBorders>
              <w:top w:val="single" w:sz="2" w:space="0" w:color="auto"/>
              <w:left w:val="nil"/>
              <w:bottom w:val="single" w:sz="2" w:space="0" w:color="auto"/>
              <w:right w:val="nil"/>
            </w:tcBorders>
            <w:shd w:val="clear" w:color="auto" w:fill="auto"/>
            <w:vAlign w:val="center"/>
            <w:hideMark/>
          </w:tcPr>
          <w:p w14:paraId="55A0DE8F" w14:textId="18B27147" w:rsidR="005F0CC5" w:rsidRPr="003A115E" w:rsidRDefault="005F0CC5" w:rsidP="00540533">
            <w:pPr>
              <w:pStyle w:val="cuatexto"/>
              <w:jc w:val="right"/>
            </w:pPr>
            <w:r w:rsidRPr="003A115E">
              <w:t>0,61</w:t>
            </w:r>
          </w:p>
        </w:tc>
        <w:tc>
          <w:tcPr>
            <w:tcW w:w="564" w:type="pct"/>
            <w:tcBorders>
              <w:top w:val="single" w:sz="2" w:space="0" w:color="auto"/>
              <w:left w:val="nil"/>
              <w:bottom w:val="single" w:sz="2" w:space="0" w:color="auto"/>
              <w:right w:val="nil"/>
            </w:tcBorders>
            <w:shd w:val="clear" w:color="auto" w:fill="auto"/>
            <w:vAlign w:val="center"/>
            <w:hideMark/>
          </w:tcPr>
          <w:p w14:paraId="1786E4A6" w14:textId="5DB53230" w:rsidR="005F0CC5" w:rsidRPr="003A115E" w:rsidRDefault="005F0CC5" w:rsidP="00540533">
            <w:pPr>
              <w:pStyle w:val="cuatexto"/>
              <w:jc w:val="right"/>
            </w:pPr>
            <w:r w:rsidRPr="003A115E">
              <w:t>11,25</w:t>
            </w:r>
          </w:p>
        </w:tc>
        <w:tc>
          <w:tcPr>
            <w:tcW w:w="785" w:type="pct"/>
            <w:tcBorders>
              <w:top w:val="single" w:sz="2" w:space="0" w:color="auto"/>
              <w:left w:val="nil"/>
              <w:bottom w:val="single" w:sz="2" w:space="0" w:color="auto"/>
              <w:right w:val="nil"/>
            </w:tcBorders>
            <w:shd w:val="clear" w:color="auto" w:fill="auto"/>
            <w:vAlign w:val="center"/>
            <w:hideMark/>
          </w:tcPr>
          <w:p w14:paraId="2CFE7FD5" w14:textId="0B534E15" w:rsidR="005F0CC5" w:rsidRPr="003A115E" w:rsidRDefault="005F0CC5" w:rsidP="00540533">
            <w:pPr>
              <w:pStyle w:val="cuatexto"/>
              <w:jc w:val="right"/>
            </w:pPr>
            <w:r w:rsidRPr="003A115E">
              <w:t>10,63</w:t>
            </w:r>
          </w:p>
        </w:tc>
        <w:tc>
          <w:tcPr>
            <w:tcW w:w="675" w:type="pct"/>
            <w:tcBorders>
              <w:top w:val="single" w:sz="2" w:space="0" w:color="auto"/>
              <w:left w:val="nil"/>
              <w:bottom w:val="single" w:sz="2" w:space="0" w:color="auto"/>
              <w:right w:val="nil"/>
            </w:tcBorders>
            <w:shd w:val="clear" w:color="auto" w:fill="auto"/>
            <w:vAlign w:val="center"/>
            <w:hideMark/>
          </w:tcPr>
          <w:p w14:paraId="3A7AEBD1" w14:textId="15E72BA9" w:rsidR="005F0CC5" w:rsidRPr="003A115E" w:rsidRDefault="005F0CC5" w:rsidP="00540533">
            <w:pPr>
              <w:pStyle w:val="cuatexto"/>
              <w:jc w:val="right"/>
            </w:pPr>
            <w:r w:rsidRPr="003A115E">
              <w:t>1.741</w:t>
            </w:r>
          </w:p>
        </w:tc>
      </w:tr>
      <w:tr w:rsidR="000A742F" w:rsidRPr="003A115E" w14:paraId="3AA4AE0D" w14:textId="77777777" w:rsidTr="00CC28BD">
        <w:trPr>
          <w:trHeight w:val="198"/>
        </w:trPr>
        <w:tc>
          <w:tcPr>
            <w:tcW w:w="2091" w:type="pct"/>
            <w:tcBorders>
              <w:top w:val="single" w:sz="2" w:space="0" w:color="auto"/>
              <w:left w:val="nil"/>
              <w:bottom w:val="single" w:sz="2" w:space="0" w:color="auto"/>
              <w:right w:val="nil"/>
            </w:tcBorders>
            <w:shd w:val="clear" w:color="auto" w:fill="auto"/>
            <w:vAlign w:val="center"/>
            <w:hideMark/>
          </w:tcPr>
          <w:p w14:paraId="04C21399" w14:textId="77777777" w:rsidR="005F0CC5" w:rsidRPr="003A115E" w:rsidRDefault="005F0CC5" w:rsidP="0186A00D">
            <w:pPr>
              <w:pStyle w:val="cuatexto"/>
              <w:rPr>
                <w:lang w:val="es-ES"/>
              </w:rPr>
            </w:pPr>
            <w:r w:rsidRPr="003A115E">
              <w:rPr>
                <w:lang w:val="es-ES"/>
              </w:rPr>
              <w:t>33 Cultura</w:t>
            </w:r>
          </w:p>
        </w:tc>
        <w:tc>
          <w:tcPr>
            <w:tcW w:w="885" w:type="pct"/>
            <w:tcBorders>
              <w:top w:val="single" w:sz="2" w:space="0" w:color="auto"/>
              <w:left w:val="nil"/>
              <w:bottom w:val="single" w:sz="2" w:space="0" w:color="auto"/>
              <w:right w:val="nil"/>
            </w:tcBorders>
            <w:shd w:val="clear" w:color="auto" w:fill="auto"/>
            <w:vAlign w:val="center"/>
            <w:hideMark/>
          </w:tcPr>
          <w:p w14:paraId="24768E6E" w14:textId="119D711B" w:rsidR="005F0CC5" w:rsidRPr="003A115E" w:rsidRDefault="005F0CC5" w:rsidP="00540533">
            <w:pPr>
              <w:pStyle w:val="cuatexto"/>
              <w:jc w:val="right"/>
            </w:pPr>
            <w:r w:rsidRPr="003A115E">
              <w:t>6,62</w:t>
            </w:r>
          </w:p>
        </w:tc>
        <w:tc>
          <w:tcPr>
            <w:tcW w:w="564" w:type="pct"/>
            <w:tcBorders>
              <w:top w:val="single" w:sz="2" w:space="0" w:color="auto"/>
              <w:left w:val="nil"/>
              <w:bottom w:val="single" w:sz="2" w:space="0" w:color="auto"/>
              <w:right w:val="nil"/>
            </w:tcBorders>
            <w:shd w:val="clear" w:color="auto" w:fill="auto"/>
            <w:vAlign w:val="center"/>
            <w:hideMark/>
          </w:tcPr>
          <w:p w14:paraId="7342CE20" w14:textId="4DFEEDC4" w:rsidR="005F0CC5" w:rsidRPr="003A115E" w:rsidRDefault="005F0CC5" w:rsidP="00540533">
            <w:pPr>
              <w:pStyle w:val="cuatexto"/>
              <w:jc w:val="right"/>
            </w:pPr>
            <w:r w:rsidRPr="003A115E">
              <w:t>7,67</w:t>
            </w:r>
          </w:p>
        </w:tc>
        <w:tc>
          <w:tcPr>
            <w:tcW w:w="785" w:type="pct"/>
            <w:tcBorders>
              <w:top w:val="single" w:sz="2" w:space="0" w:color="auto"/>
              <w:left w:val="nil"/>
              <w:bottom w:val="single" w:sz="2" w:space="0" w:color="auto"/>
              <w:right w:val="nil"/>
            </w:tcBorders>
            <w:shd w:val="clear" w:color="auto" w:fill="auto"/>
            <w:vAlign w:val="center"/>
            <w:hideMark/>
          </w:tcPr>
          <w:p w14:paraId="64EA9C5B" w14:textId="47F45F4E" w:rsidR="005F0CC5" w:rsidRPr="003A115E" w:rsidRDefault="005F0CC5" w:rsidP="00540533">
            <w:pPr>
              <w:pStyle w:val="cuatexto"/>
              <w:jc w:val="right"/>
            </w:pPr>
            <w:r w:rsidRPr="003A115E">
              <w:t>1,05</w:t>
            </w:r>
          </w:p>
        </w:tc>
        <w:tc>
          <w:tcPr>
            <w:tcW w:w="675" w:type="pct"/>
            <w:tcBorders>
              <w:top w:val="single" w:sz="2" w:space="0" w:color="auto"/>
              <w:left w:val="nil"/>
              <w:bottom w:val="single" w:sz="2" w:space="0" w:color="auto"/>
              <w:right w:val="nil"/>
            </w:tcBorders>
            <w:shd w:val="clear" w:color="auto" w:fill="auto"/>
            <w:vAlign w:val="center"/>
            <w:hideMark/>
          </w:tcPr>
          <w:p w14:paraId="177D3D48" w14:textId="04F90AC8" w:rsidR="005F0CC5" w:rsidRPr="003A115E" w:rsidRDefault="005F0CC5" w:rsidP="00540533">
            <w:pPr>
              <w:pStyle w:val="cuatexto"/>
              <w:jc w:val="right"/>
            </w:pPr>
            <w:r w:rsidRPr="003A115E">
              <w:t>16</w:t>
            </w:r>
          </w:p>
        </w:tc>
      </w:tr>
      <w:tr w:rsidR="000A742F" w:rsidRPr="003A115E" w14:paraId="707B3D5B" w14:textId="77777777" w:rsidTr="00CC28BD">
        <w:trPr>
          <w:trHeight w:val="198"/>
        </w:trPr>
        <w:tc>
          <w:tcPr>
            <w:tcW w:w="2091" w:type="pct"/>
            <w:tcBorders>
              <w:top w:val="single" w:sz="2" w:space="0" w:color="auto"/>
              <w:left w:val="nil"/>
              <w:bottom w:val="single" w:sz="4" w:space="0" w:color="auto"/>
              <w:right w:val="nil"/>
            </w:tcBorders>
            <w:shd w:val="clear" w:color="auto" w:fill="auto"/>
            <w:vAlign w:val="center"/>
            <w:hideMark/>
          </w:tcPr>
          <w:p w14:paraId="5AB5F9B8" w14:textId="611F4D28" w:rsidR="005F0CC5" w:rsidRPr="003A115E" w:rsidRDefault="005F0CC5" w:rsidP="00540533">
            <w:pPr>
              <w:pStyle w:val="cuatexto"/>
            </w:pPr>
            <w:r w:rsidRPr="003A115E">
              <w:t>Resto</w:t>
            </w:r>
          </w:p>
        </w:tc>
        <w:tc>
          <w:tcPr>
            <w:tcW w:w="885" w:type="pct"/>
            <w:tcBorders>
              <w:top w:val="single" w:sz="2" w:space="0" w:color="auto"/>
              <w:left w:val="nil"/>
              <w:bottom w:val="single" w:sz="4" w:space="0" w:color="auto"/>
              <w:right w:val="nil"/>
            </w:tcBorders>
            <w:shd w:val="clear" w:color="auto" w:fill="auto"/>
            <w:vAlign w:val="center"/>
            <w:hideMark/>
          </w:tcPr>
          <w:p w14:paraId="1239EF3F" w14:textId="0FE29EFE" w:rsidR="005F0CC5" w:rsidRPr="003A115E" w:rsidRDefault="005F0CC5" w:rsidP="00540533">
            <w:pPr>
              <w:pStyle w:val="cuatexto"/>
              <w:jc w:val="right"/>
            </w:pPr>
            <w:r w:rsidRPr="003A115E">
              <w:t>12,66</w:t>
            </w:r>
          </w:p>
        </w:tc>
        <w:tc>
          <w:tcPr>
            <w:tcW w:w="564" w:type="pct"/>
            <w:tcBorders>
              <w:top w:val="single" w:sz="2" w:space="0" w:color="auto"/>
              <w:left w:val="nil"/>
              <w:bottom w:val="single" w:sz="4" w:space="0" w:color="auto"/>
              <w:right w:val="nil"/>
            </w:tcBorders>
            <w:shd w:val="clear" w:color="auto" w:fill="auto"/>
            <w:vAlign w:val="center"/>
            <w:hideMark/>
          </w:tcPr>
          <w:p w14:paraId="539C10D6" w14:textId="3267D6A9" w:rsidR="005F0CC5" w:rsidRPr="003A115E" w:rsidRDefault="005F0CC5" w:rsidP="00540533">
            <w:pPr>
              <w:pStyle w:val="cuatexto"/>
              <w:jc w:val="right"/>
            </w:pPr>
            <w:r w:rsidRPr="003A115E">
              <w:t>16,68</w:t>
            </w:r>
          </w:p>
        </w:tc>
        <w:tc>
          <w:tcPr>
            <w:tcW w:w="785" w:type="pct"/>
            <w:tcBorders>
              <w:top w:val="single" w:sz="2" w:space="0" w:color="auto"/>
              <w:left w:val="nil"/>
              <w:bottom w:val="single" w:sz="4" w:space="0" w:color="auto"/>
              <w:right w:val="nil"/>
            </w:tcBorders>
            <w:shd w:val="clear" w:color="auto" w:fill="auto"/>
            <w:vAlign w:val="center"/>
            <w:hideMark/>
          </w:tcPr>
          <w:p w14:paraId="253ED07D" w14:textId="54A2DCB2" w:rsidR="005F0CC5" w:rsidRPr="003A115E" w:rsidRDefault="005F0CC5" w:rsidP="00540533">
            <w:pPr>
              <w:pStyle w:val="cuatexto"/>
              <w:jc w:val="right"/>
            </w:pPr>
            <w:r w:rsidRPr="003A115E">
              <w:t>4,03</w:t>
            </w:r>
          </w:p>
        </w:tc>
        <w:tc>
          <w:tcPr>
            <w:tcW w:w="675" w:type="pct"/>
            <w:tcBorders>
              <w:top w:val="single" w:sz="2" w:space="0" w:color="auto"/>
              <w:left w:val="nil"/>
              <w:bottom w:val="single" w:sz="4" w:space="0" w:color="auto"/>
              <w:right w:val="nil"/>
            </w:tcBorders>
            <w:shd w:val="clear" w:color="auto" w:fill="auto"/>
            <w:vAlign w:val="center"/>
            <w:hideMark/>
          </w:tcPr>
          <w:p w14:paraId="75D110B7" w14:textId="06F98790" w:rsidR="005F0CC5" w:rsidRPr="003A115E" w:rsidRDefault="005F0CC5" w:rsidP="00540533">
            <w:pPr>
              <w:pStyle w:val="cuatexto"/>
              <w:jc w:val="right"/>
            </w:pPr>
            <w:r w:rsidRPr="003A115E">
              <w:t>32</w:t>
            </w:r>
          </w:p>
        </w:tc>
      </w:tr>
      <w:tr w:rsidR="000A742F" w:rsidRPr="003A115E" w14:paraId="1E70BE19" w14:textId="77777777" w:rsidTr="005F3A0D">
        <w:trPr>
          <w:trHeight w:val="57"/>
        </w:trPr>
        <w:tc>
          <w:tcPr>
            <w:tcW w:w="2091" w:type="pct"/>
            <w:tcBorders>
              <w:top w:val="single" w:sz="4" w:space="0" w:color="auto"/>
              <w:left w:val="nil"/>
              <w:bottom w:val="single" w:sz="4" w:space="0" w:color="auto"/>
              <w:right w:val="nil"/>
            </w:tcBorders>
            <w:shd w:val="clear" w:color="auto" w:fill="FABF8F" w:themeFill="accent6" w:themeFillTint="99"/>
            <w:vAlign w:val="center"/>
            <w:hideMark/>
          </w:tcPr>
          <w:p w14:paraId="42EDB615" w14:textId="77777777" w:rsidR="005F0CC5" w:rsidRPr="003A115E" w:rsidRDefault="005F0CC5" w:rsidP="00540533">
            <w:pPr>
              <w:pStyle w:val="cuadroCabe"/>
            </w:pPr>
            <w:r w:rsidRPr="003A115E">
              <w:t>Total</w:t>
            </w:r>
          </w:p>
        </w:tc>
        <w:tc>
          <w:tcPr>
            <w:tcW w:w="885" w:type="pct"/>
            <w:tcBorders>
              <w:top w:val="single" w:sz="4" w:space="0" w:color="auto"/>
              <w:left w:val="nil"/>
              <w:bottom w:val="single" w:sz="4" w:space="0" w:color="auto"/>
              <w:right w:val="nil"/>
            </w:tcBorders>
            <w:shd w:val="clear" w:color="auto" w:fill="FABF8F" w:themeFill="accent6" w:themeFillTint="99"/>
            <w:vAlign w:val="center"/>
            <w:hideMark/>
          </w:tcPr>
          <w:p w14:paraId="346F1E5E" w14:textId="77C1EC6F" w:rsidR="005F0CC5" w:rsidRPr="003A115E" w:rsidRDefault="005F0CC5" w:rsidP="00540533">
            <w:pPr>
              <w:pStyle w:val="cuadroCabe"/>
              <w:jc w:val="right"/>
            </w:pPr>
            <w:r w:rsidRPr="003A115E">
              <w:t>370,35</w:t>
            </w:r>
          </w:p>
        </w:tc>
        <w:tc>
          <w:tcPr>
            <w:tcW w:w="564" w:type="pct"/>
            <w:tcBorders>
              <w:top w:val="single" w:sz="4" w:space="0" w:color="auto"/>
              <w:left w:val="nil"/>
              <w:bottom w:val="single" w:sz="4" w:space="0" w:color="auto"/>
              <w:right w:val="nil"/>
            </w:tcBorders>
            <w:shd w:val="clear" w:color="auto" w:fill="FABF8F" w:themeFill="accent6" w:themeFillTint="99"/>
            <w:vAlign w:val="center"/>
            <w:hideMark/>
          </w:tcPr>
          <w:p w14:paraId="25ECD4B7" w14:textId="1E3917C8" w:rsidR="005F0CC5" w:rsidRPr="003A115E" w:rsidRDefault="005F0CC5" w:rsidP="00540533">
            <w:pPr>
              <w:pStyle w:val="cuadroCabe"/>
              <w:jc w:val="right"/>
            </w:pPr>
            <w:r w:rsidRPr="003A115E">
              <w:t>452,50</w:t>
            </w:r>
          </w:p>
        </w:tc>
        <w:tc>
          <w:tcPr>
            <w:tcW w:w="785" w:type="pct"/>
            <w:tcBorders>
              <w:top w:val="single" w:sz="4" w:space="0" w:color="auto"/>
              <w:left w:val="nil"/>
              <w:bottom w:val="single" w:sz="4" w:space="0" w:color="auto"/>
              <w:right w:val="nil"/>
            </w:tcBorders>
            <w:shd w:val="clear" w:color="auto" w:fill="FABF8F" w:themeFill="accent6" w:themeFillTint="99"/>
            <w:vAlign w:val="center"/>
            <w:hideMark/>
          </w:tcPr>
          <w:p w14:paraId="09A93EC9" w14:textId="0F520304" w:rsidR="005F0CC5" w:rsidRPr="003A115E" w:rsidRDefault="005F0CC5" w:rsidP="00540533">
            <w:pPr>
              <w:pStyle w:val="cuadroCabe"/>
              <w:jc w:val="right"/>
            </w:pPr>
            <w:r w:rsidRPr="003A115E">
              <w:t>82,15</w:t>
            </w:r>
          </w:p>
        </w:tc>
        <w:tc>
          <w:tcPr>
            <w:tcW w:w="675" w:type="pct"/>
            <w:tcBorders>
              <w:top w:val="single" w:sz="4" w:space="0" w:color="auto"/>
              <w:left w:val="nil"/>
              <w:bottom w:val="single" w:sz="4" w:space="0" w:color="auto"/>
              <w:right w:val="nil"/>
            </w:tcBorders>
            <w:shd w:val="clear" w:color="auto" w:fill="FABF8F" w:themeFill="accent6" w:themeFillTint="99"/>
            <w:vAlign w:val="center"/>
            <w:hideMark/>
          </w:tcPr>
          <w:p w14:paraId="3CDA5161" w14:textId="584A5C23" w:rsidR="005F0CC5" w:rsidRPr="003A115E" w:rsidRDefault="005F0CC5" w:rsidP="00540533">
            <w:pPr>
              <w:pStyle w:val="cuadroCabe"/>
              <w:jc w:val="right"/>
            </w:pPr>
            <w:r w:rsidRPr="003A115E">
              <w:t>22</w:t>
            </w:r>
          </w:p>
        </w:tc>
      </w:tr>
    </w:tbl>
    <w:p w14:paraId="40946CCF" w14:textId="16A5A570" w:rsidR="0027211B" w:rsidRDefault="002444FA" w:rsidP="0027211B">
      <w:pPr>
        <w:pStyle w:val="texto"/>
        <w:spacing w:before="240" w:after="0"/>
      </w:pPr>
      <w:r w:rsidRPr="003A115E">
        <w:t xml:space="preserve">El </w:t>
      </w:r>
      <w:r w:rsidR="00BF1275" w:rsidRPr="003A115E">
        <w:t>65</w:t>
      </w:r>
      <w:r w:rsidR="00BE678D" w:rsidRPr="003A115E">
        <w:t xml:space="preserve"> </w:t>
      </w:r>
      <w:r w:rsidR="004A3B35" w:rsidRPr="003A115E">
        <w:t>por ciento de las transferencias (</w:t>
      </w:r>
      <w:r w:rsidR="00BB327B" w:rsidRPr="003A115E">
        <w:t>292,18</w:t>
      </w:r>
      <w:r w:rsidR="004A3B35" w:rsidRPr="003A115E">
        <w:t xml:space="preserve"> millones) corresponden a la política ‘Transferencias a otras administraciones’, que incluye las transferencias corrientes del Fondo de Participación de las Haciendas Locales en los Tributos de Navarra.</w:t>
      </w:r>
    </w:p>
    <w:p w14:paraId="6BC87C85" w14:textId="77777777" w:rsidR="0027211B" w:rsidRDefault="0027211B">
      <w:pPr>
        <w:rPr>
          <w:spacing w:val="6"/>
          <w:sz w:val="26"/>
          <w:lang w:val="es-ES_tradnl" w:eastAsia="en-US"/>
        </w:rPr>
      </w:pPr>
      <w:r>
        <w:br w:type="page"/>
      </w:r>
    </w:p>
    <w:p w14:paraId="3AFC60E5" w14:textId="65DEA1C9" w:rsidR="002A4BE9" w:rsidRPr="003A115E" w:rsidRDefault="000C1EAB" w:rsidP="000922AD">
      <w:pPr>
        <w:pStyle w:val="atitulo2"/>
        <w:spacing w:before="240"/>
        <w:rPr>
          <w:color w:val="auto"/>
        </w:rPr>
      </w:pPr>
      <w:bookmarkStart w:id="66" w:name="_Toc465686689"/>
      <w:bookmarkStart w:id="67" w:name="_Toc529773883"/>
      <w:bookmarkStart w:id="68" w:name="_Toc24100144"/>
      <w:bookmarkStart w:id="69" w:name="_Toc52348292"/>
      <w:bookmarkStart w:id="70" w:name="_Toc123547408"/>
      <w:bookmarkStart w:id="71" w:name="_Toc183679748"/>
      <w:r>
        <w:rPr>
          <w:color w:val="auto"/>
        </w:rPr>
        <w:lastRenderedPageBreak/>
        <w:t>VI.2</w:t>
      </w:r>
      <w:r w:rsidR="002A4BE9" w:rsidRPr="003A115E">
        <w:rPr>
          <w:color w:val="auto"/>
        </w:rPr>
        <w:t xml:space="preserve"> Gastos</w:t>
      </w:r>
      <w:bookmarkEnd w:id="66"/>
      <w:bookmarkEnd w:id="67"/>
      <w:bookmarkEnd w:id="68"/>
      <w:bookmarkEnd w:id="69"/>
      <w:bookmarkEnd w:id="70"/>
      <w:bookmarkEnd w:id="71"/>
      <w:r w:rsidR="00023147" w:rsidRPr="003A115E">
        <w:rPr>
          <w:color w:val="auto"/>
        </w:rPr>
        <w:t xml:space="preserve"> </w:t>
      </w:r>
    </w:p>
    <w:p w14:paraId="6874F433" w14:textId="29155EB4" w:rsidR="004D3E9C" w:rsidRPr="003A115E" w:rsidRDefault="004D3E9C" w:rsidP="00CC28BD">
      <w:pPr>
        <w:pStyle w:val="texto"/>
        <w:spacing w:after="240"/>
        <w:rPr>
          <w:lang w:val="es-ES"/>
        </w:rPr>
      </w:pPr>
      <w:r w:rsidRPr="003A115E">
        <w:rPr>
          <w:lang w:val="es-ES"/>
        </w:rPr>
        <w:t>A continuación, se muestra un resumen de la ejecución del presupuesto de gastos de las entida</w:t>
      </w:r>
      <w:r w:rsidR="00B874A9" w:rsidRPr="003A115E">
        <w:rPr>
          <w:lang w:val="es-ES"/>
        </w:rPr>
        <w:t xml:space="preserve">des locales, </w:t>
      </w:r>
      <w:r w:rsidR="009D02FE" w:rsidRPr="003A115E">
        <w:rPr>
          <w:lang w:val="es-ES"/>
        </w:rPr>
        <w:t>sus OO.AA.</w:t>
      </w:r>
      <w:r w:rsidR="00B874A9" w:rsidRPr="003A115E">
        <w:rPr>
          <w:lang w:val="es-ES"/>
        </w:rPr>
        <w:t xml:space="preserve"> y la sociedad SCPSA</w:t>
      </w:r>
      <w:r w:rsidR="009D02FE" w:rsidRPr="003A115E">
        <w:rPr>
          <w:lang w:val="es-ES"/>
        </w:rPr>
        <w:t xml:space="preserve"> en 2022</w:t>
      </w:r>
      <w:r w:rsidRPr="003A115E">
        <w:rPr>
          <w:lang w:val="es-ES"/>
        </w:rPr>
        <w:t xml:space="preserve">: </w:t>
      </w:r>
    </w:p>
    <w:p w14:paraId="69C94581" w14:textId="4A97852D" w:rsidR="004D3E9C" w:rsidRPr="003A115E" w:rsidRDefault="001D196E" w:rsidP="004D3E9C">
      <w:pPr>
        <w:pStyle w:val="texto"/>
        <w:spacing w:after="0"/>
        <w:jc w:val="right"/>
        <w:rPr>
          <w:rFonts w:ascii="Arial Narrow" w:hAnsi="Arial Narrow"/>
          <w:sz w:val="18"/>
          <w:szCs w:val="18"/>
        </w:rPr>
      </w:pPr>
      <w:r w:rsidRPr="003A115E">
        <w:rPr>
          <w:rFonts w:ascii="Arial Narrow" w:hAnsi="Arial Narrow"/>
          <w:sz w:val="18"/>
          <w:szCs w:val="18"/>
        </w:rPr>
        <w:t>(</w:t>
      </w:r>
      <w:r w:rsidR="0092357E" w:rsidRPr="003A115E">
        <w:rPr>
          <w:rFonts w:ascii="Arial Narrow" w:hAnsi="Arial Narrow"/>
          <w:sz w:val="18"/>
          <w:szCs w:val="18"/>
        </w:rPr>
        <w:t>m</w:t>
      </w:r>
      <w:r w:rsidR="004D3E9C" w:rsidRPr="003A115E">
        <w:rPr>
          <w:rFonts w:ascii="Arial Narrow" w:hAnsi="Arial Narrow"/>
          <w:sz w:val="18"/>
          <w:szCs w:val="18"/>
        </w:rPr>
        <w:t>illones</w:t>
      </w:r>
      <w:r w:rsidRPr="003A115E">
        <w:rPr>
          <w:rFonts w:ascii="Arial Narrow" w:hAnsi="Arial Narrow"/>
          <w:sz w:val="18"/>
          <w:szCs w:val="18"/>
        </w:rPr>
        <w:t>)</w:t>
      </w:r>
    </w:p>
    <w:tbl>
      <w:tblPr>
        <w:tblW w:w="5040" w:type="pct"/>
        <w:tblCellMar>
          <w:left w:w="70" w:type="dxa"/>
          <w:right w:w="70" w:type="dxa"/>
        </w:tblCellMar>
        <w:tblLook w:val="04A0" w:firstRow="1" w:lastRow="0" w:firstColumn="1" w:lastColumn="0" w:noHBand="0" w:noVBand="1"/>
      </w:tblPr>
      <w:tblGrid>
        <w:gridCol w:w="2245"/>
        <w:gridCol w:w="1017"/>
        <w:gridCol w:w="985"/>
        <w:gridCol w:w="1001"/>
        <w:gridCol w:w="709"/>
        <w:gridCol w:w="992"/>
        <w:gridCol w:w="1059"/>
        <w:gridCol w:w="850"/>
      </w:tblGrid>
      <w:tr w:rsidR="005F3A0D" w:rsidRPr="003A115E" w14:paraId="39861C84" w14:textId="77777777" w:rsidTr="00AC6594">
        <w:trPr>
          <w:trHeight w:val="255"/>
        </w:trPr>
        <w:tc>
          <w:tcPr>
            <w:tcW w:w="1268"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6B6AA959" w14:textId="77777777" w:rsidR="00327C65" w:rsidRPr="00180CF4" w:rsidRDefault="00327C65" w:rsidP="00540533">
            <w:pPr>
              <w:pStyle w:val="cuadroCabe"/>
              <w:rPr>
                <w:sz w:val="17"/>
                <w:szCs w:val="17"/>
              </w:rPr>
            </w:pPr>
            <w:r w:rsidRPr="00180CF4">
              <w:rPr>
                <w:sz w:val="17"/>
                <w:szCs w:val="17"/>
              </w:rPr>
              <w:t>Capítulo</w:t>
            </w:r>
          </w:p>
        </w:tc>
        <w:tc>
          <w:tcPr>
            <w:tcW w:w="574" w:type="pct"/>
            <w:tcBorders>
              <w:top w:val="single" w:sz="4" w:space="0" w:color="000000" w:themeColor="text1"/>
              <w:left w:val="nil"/>
              <w:bottom w:val="single" w:sz="4" w:space="0" w:color="000000" w:themeColor="text1"/>
              <w:right w:val="single" w:sz="2" w:space="0" w:color="000000" w:themeColor="text1"/>
            </w:tcBorders>
            <w:shd w:val="clear" w:color="auto" w:fill="FABF8F" w:themeFill="accent6" w:themeFillTint="99"/>
            <w:vAlign w:val="center"/>
            <w:hideMark/>
          </w:tcPr>
          <w:p w14:paraId="75EFBBC2" w14:textId="77777777" w:rsidR="00327C65" w:rsidRPr="00180CF4" w:rsidRDefault="00327C65" w:rsidP="00540533">
            <w:pPr>
              <w:pStyle w:val="cuadroCabe"/>
              <w:jc w:val="right"/>
              <w:rPr>
                <w:sz w:val="17"/>
                <w:szCs w:val="17"/>
              </w:rPr>
            </w:pPr>
            <w:r w:rsidRPr="00180CF4">
              <w:rPr>
                <w:sz w:val="17"/>
                <w:szCs w:val="17"/>
              </w:rPr>
              <w:t>Créditos definitivos</w:t>
            </w:r>
          </w:p>
        </w:tc>
        <w:tc>
          <w:tcPr>
            <w:tcW w:w="556" w:type="pct"/>
            <w:tcBorders>
              <w:top w:val="single" w:sz="4" w:space="0" w:color="000000" w:themeColor="text1"/>
              <w:left w:val="single" w:sz="2" w:space="0" w:color="000000" w:themeColor="text1"/>
              <w:bottom w:val="single" w:sz="4" w:space="0" w:color="000000" w:themeColor="text1"/>
              <w:right w:val="single" w:sz="2" w:space="0" w:color="000000" w:themeColor="text1"/>
            </w:tcBorders>
            <w:shd w:val="clear" w:color="auto" w:fill="FABF8F" w:themeFill="accent6" w:themeFillTint="99"/>
            <w:vAlign w:val="center"/>
            <w:hideMark/>
          </w:tcPr>
          <w:p w14:paraId="0902E835" w14:textId="77777777" w:rsidR="00327C65" w:rsidRPr="00180CF4" w:rsidRDefault="00327C65" w:rsidP="00540533">
            <w:pPr>
              <w:pStyle w:val="cuadroCabe"/>
              <w:jc w:val="right"/>
              <w:rPr>
                <w:sz w:val="17"/>
                <w:szCs w:val="17"/>
              </w:rPr>
            </w:pPr>
            <w:r w:rsidRPr="00180CF4">
              <w:rPr>
                <w:sz w:val="17"/>
                <w:szCs w:val="17"/>
              </w:rPr>
              <w:t>ORN 2022</w:t>
            </w:r>
          </w:p>
        </w:tc>
        <w:tc>
          <w:tcPr>
            <w:tcW w:w="565" w:type="pct"/>
            <w:tcBorders>
              <w:top w:val="single" w:sz="4" w:space="0" w:color="000000" w:themeColor="text1"/>
              <w:left w:val="single" w:sz="2" w:space="0" w:color="000000" w:themeColor="text1"/>
              <w:bottom w:val="single" w:sz="4" w:space="0" w:color="000000" w:themeColor="text1"/>
              <w:right w:val="single" w:sz="2" w:space="0" w:color="000000" w:themeColor="text1"/>
            </w:tcBorders>
            <w:shd w:val="clear" w:color="auto" w:fill="FABF8F" w:themeFill="accent6" w:themeFillTint="99"/>
            <w:vAlign w:val="center"/>
            <w:hideMark/>
          </w:tcPr>
          <w:p w14:paraId="4F92EDEE" w14:textId="77777777" w:rsidR="00327C65" w:rsidRPr="00180CF4" w:rsidRDefault="00327C65" w:rsidP="00540533">
            <w:pPr>
              <w:pStyle w:val="cuadroCabe"/>
              <w:jc w:val="right"/>
              <w:rPr>
                <w:sz w:val="17"/>
                <w:szCs w:val="17"/>
              </w:rPr>
            </w:pPr>
            <w:r w:rsidRPr="00180CF4">
              <w:rPr>
                <w:sz w:val="17"/>
                <w:szCs w:val="17"/>
              </w:rPr>
              <w:t>% s/ total gastos</w:t>
            </w:r>
          </w:p>
        </w:tc>
        <w:tc>
          <w:tcPr>
            <w:tcW w:w="400" w:type="pct"/>
            <w:tcBorders>
              <w:top w:val="single" w:sz="4" w:space="0" w:color="000000" w:themeColor="text1"/>
              <w:left w:val="single" w:sz="2" w:space="0" w:color="000000" w:themeColor="text1"/>
              <w:bottom w:val="single" w:sz="4" w:space="0" w:color="000000" w:themeColor="text1"/>
              <w:right w:val="single" w:sz="2" w:space="0" w:color="000000" w:themeColor="text1"/>
            </w:tcBorders>
            <w:shd w:val="clear" w:color="auto" w:fill="FABF8F" w:themeFill="accent6" w:themeFillTint="99"/>
            <w:vAlign w:val="center"/>
            <w:hideMark/>
          </w:tcPr>
          <w:p w14:paraId="52BE9189" w14:textId="77777777" w:rsidR="00327C65" w:rsidRPr="00180CF4" w:rsidRDefault="00327C65" w:rsidP="00540533">
            <w:pPr>
              <w:pStyle w:val="cuadroCabe"/>
              <w:jc w:val="right"/>
              <w:rPr>
                <w:sz w:val="17"/>
                <w:szCs w:val="17"/>
              </w:rPr>
            </w:pPr>
            <w:r w:rsidRPr="00180CF4">
              <w:rPr>
                <w:sz w:val="17"/>
                <w:szCs w:val="17"/>
              </w:rPr>
              <w:t>% ejecución</w:t>
            </w:r>
          </w:p>
        </w:tc>
        <w:tc>
          <w:tcPr>
            <w:tcW w:w="560" w:type="pct"/>
            <w:tcBorders>
              <w:top w:val="single" w:sz="4" w:space="0" w:color="000000" w:themeColor="text1"/>
              <w:left w:val="single" w:sz="2" w:space="0" w:color="000000" w:themeColor="text1"/>
              <w:bottom w:val="single" w:sz="4" w:space="0" w:color="000000" w:themeColor="text1"/>
              <w:right w:val="single" w:sz="2" w:space="0" w:color="000000" w:themeColor="text1"/>
            </w:tcBorders>
            <w:shd w:val="clear" w:color="auto" w:fill="FABF8F" w:themeFill="accent6" w:themeFillTint="99"/>
            <w:vAlign w:val="center"/>
            <w:hideMark/>
          </w:tcPr>
          <w:p w14:paraId="73E218F2" w14:textId="77777777" w:rsidR="00327C65" w:rsidRPr="00180CF4" w:rsidRDefault="00327C65" w:rsidP="00540533">
            <w:pPr>
              <w:pStyle w:val="cuadroCabe"/>
              <w:jc w:val="right"/>
              <w:rPr>
                <w:sz w:val="17"/>
                <w:szCs w:val="17"/>
              </w:rPr>
            </w:pPr>
            <w:r w:rsidRPr="00180CF4">
              <w:rPr>
                <w:sz w:val="17"/>
                <w:szCs w:val="17"/>
              </w:rPr>
              <w:t>Var ORN 2022/21</w:t>
            </w:r>
          </w:p>
        </w:tc>
        <w:tc>
          <w:tcPr>
            <w:tcW w:w="598" w:type="pct"/>
            <w:tcBorders>
              <w:top w:val="single" w:sz="4" w:space="0" w:color="000000" w:themeColor="text1"/>
              <w:left w:val="single" w:sz="2" w:space="0" w:color="000000" w:themeColor="text1"/>
              <w:bottom w:val="single" w:sz="4" w:space="0" w:color="000000" w:themeColor="text1"/>
              <w:right w:val="single" w:sz="2" w:space="0" w:color="000000" w:themeColor="text1"/>
            </w:tcBorders>
            <w:shd w:val="clear" w:color="auto" w:fill="FABF8F" w:themeFill="accent6" w:themeFillTint="99"/>
            <w:vAlign w:val="center"/>
            <w:hideMark/>
          </w:tcPr>
          <w:p w14:paraId="43E3F67F" w14:textId="77777777" w:rsidR="00327C65" w:rsidRPr="00180CF4" w:rsidRDefault="00327C65" w:rsidP="00540533">
            <w:pPr>
              <w:pStyle w:val="cuadroCabe"/>
              <w:jc w:val="right"/>
              <w:rPr>
                <w:sz w:val="17"/>
                <w:szCs w:val="17"/>
              </w:rPr>
            </w:pPr>
            <w:r w:rsidRPr="00180CF4">
              <w:rPr>
                <w:sz w:val="17"/>
                <w:szCs w:val="17"/>
              </w:rPr>
              <w:t>%variación 2022/21</w:t>
            </w:r>
          </w:p>
        </w:tc>
        <w:tc>
          <w:tcPr>
            <w:tcW w:w="480" w:type="pct"/>
            <w:tcBorders>
              <w:top w:val="single" w:sz="4" w:space="0" w:color="000000" w:themeColor="text1"/>
              <w:left w:val="single" w:sz="2" w:space="0" w:color="000000" w:themeColor="text1"/>
              <w:bottom w:val="single" w:sz="4" w:space="0" w:color="000000" w:themeColor="text1"/>
            </w:tcBorders>
            <w:shd w:val="clear" w:color="auto" w:fill="FABF8F" w:themeFill="accent6" w:themeFillTint="99"/>
            <w:vAlign w:val="center"/>
            <w:hideMark/>
          </w:tcPr>
          <w:p w14:paraId="03F718FC" w14:textId="77777777" w:rsidR="00327C65" w:rsidRPr="00180CF4" w:rsidRDefault="00327C65" w:rsidP="00540533">
            <w:pPr>
              <w:pStyle w:val="cuadroCabe"/>
              <w:jc w:val="right"/>
              <w:rPr>
                <w:sz w:val="17"/>
                <w:szCs w:val="17"/>
              </w:rPr>
            </w:pPr>
            <w:r w:rsidRPr="00180CF4">
              <w:rPr>
                <w:sz w:val="17"/>
                <w:szCs w:val="17"/>
              </w:rPr>
              <w:t>ORN 2022 (*)</w:t>
            </w:r>
          </w:p>
        </w:tc>
      </w:tr>
      <w:tr w:rsidR="000A742F" w:rsidRPr="003A115E" w14:paraId="5ED17C00" w14:textId="77777777" w:rsidTr="00AC6594">
        <w:trPr>
          <w:trHeight w:val="198"/>
        </w:trPr>
        <w:tc>
          <w:tcPr>
            <w:tcW w:w="1268" w:type="pct"/>
            <w:tcBorders>
              <w:top w:val="single" w:sz="4" w:space="0" w:color="000000" w:themeColor="text1"/>
              <w:left w:val="nil"/>
              <w:bottom w:val="single" w:sz="2" w:space="0" w:color="000000" w:themeColor="text1"/>
            </w:tcBorders>
            <w:shd w:val="clear" w:color="auto" w:fill="auto"/>
            <w:vAlign w:val="center"/>
            <w:hideMark/>
          </w:tcPr>
          <w:p w14:paraId="6900CACB" w14:textId="77777777" w:rsidR="00327C65" w:rsidRPr="003A115E" w:rsidRDefault="00327C65" w:rsidP="00540533">
            <w:pPr>
              <w:pStyle w:val="cuatexto"/>
            </w:pPr>
            <w:r w:rsidRPr="003A115E">
              <w:rPr>
                <w:lang w:val="es-ES"/>
              </w:rPr>
              <w:t>1   Gastos de personal</w:t>
            </w:r>
          </w:p>
        </w:tc>
        <w:tc>
          <w:tcPr>
            <w:tcW w:w="574" w:type="pct"/>
            <w:tcBorders>
              <w:top w:val="single" w:sz="4" w:space="0" w:color="000000" w:themeColor="text1"/>
              <w:bottom w:val="single" w:sz="2" w:space="0" w:color="000000" w:themeColor="text1"/>
              <w:right w:val="single" w:sz="2" w:space="0" w:color="000000" w:themeColor="text1"/>
            </w:tcBorders>
            <w:shd w:val="clear" w:color="auto" w:fill="auto"/>
            <w:vAlign w:val="center"/>
            <w:hideMark/>
          </w:tcPr>
          <w:p w14:paraId="5E70BB97" w14:textId="77777777" w:rsidR="00327C65" w:rsidRPr="003A115E" w:rsidRDefault="00327C65" w:rsidP="00540533">
            <w:pPr>
              <w:pStyle w:val="cuatexto"/>
              <w:jc w:val="right"/>
            </w:pPr>
            <w:r w:rsidRPr="003A115E">
              <w:t>343,38</w:t>
            </w:r>
          </w:p>
        </w:tc>
        <w:tc>
          <w:tcPr>
            <w:tcW w:w="556" w:type="pct"/>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5D974A3" w14:textId="77777777" w:rsidR="00327C65" w:rsidRPr="003A115E" w:rsidRDefault="00327C65" w:rsidP="00540533">
            <w:pPr>
              <w:pStyle w:val="cuatexto"/>
              <w:jc w:val="right"/>
            </w:pPr>
            <w:r w:rsidRPr="003A115E">
              <w:t>333,14</w:t>
            </w:r>
          </w:p>
        </w:tc>
        <w:tc>
          <w:tcPr>
            <w:tcW w:w="565" w:type="pct"/>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25C5075" w14:textId="77777777" w:rsidR="00327C65" w:rsidRPr="003A115E" w:rsidRDefault="00327C65" w:rsidP="00540533">
            <w:pPr>
              <w:pStyle w:val="cuatexto"/>
              <w:jc w:val="right"/>
            </w:pPr>
            <w:r w:rsidRPr="003A115E">
              <w:t>34,5</w:t>
            </w:r>
          </w:p>
        </w:tc>
        <w:tc>
          <w:tcPr>
            <w:tcW w:w="400" w:type="pct"/>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4A8757AB" w14:textId="77777777" w:rsidR="00327C65" w:rsidRPr="003A115E" w:rsidRDefault="00327C65" w:rsidP="00540533">
            <w:pPr>
              <w:pStyle w:val="cuatexto"/>
              <w:jc w:val="right"/>
            </w:pPr>
            <w:r w:rsidRPr="003A115E">
              <w:t>97</w:t>
            </w:r>
          </w:p>
        </w:tc>
        <w:tc>
          <w:tcPr>
            <w:tcW w:w="560" w:type="pct"/>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453B19AE" w14:textId="0C912CA8" w:rsidR="00327C65" w:rsidRPr="003A115E" w:rsidRDefault="00327C65" w:rsidP="00540533">
            <w:pPr>
              <w:pStyle w:val="cuatexto"/>
              <w:jc w:val="right"/>
            </w:pPr>
            <w:r w:rsidRPr="003A115E">
              <w:t>16,09</w:t>
            </w:r>
          </w:p>
        </w:tc>
        <w:tc>
          <w:tcPr>
            <w:tcW w:w="598" w:type="pct"/>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7550AE5" w14:textId="77777777" w:rsidR="00327C65" w:rsidRPr="003A115E" w:rsidRDefault="00327C65" w:rsidP="00540533">
            <w:pPr>
              <w:pStyle w:val="cuatexto"/>
              <w:jc w:val="right"/>
            </w:pPr>
            <w:r w:rsidRPr="003A115E">
              <w:t>5</w:t>
            </w:r>
          </w:p>
        </w:tc>
        <w:tc>
          <w:tcPr>
            <w:tcW w:w="480" w:type="pct"/>
            <w:tcBorders>
              <w:top w:val="single" w:sz="4" w:space="0" w:color="000000" w:themeColor="text1"/>
              <w:left w:val="single" w:sz="2" w:space="0" w:color="000000" w:themeColor="text1"/>
              <w:bottom w:val="single" w:sz="2" w:space="0" w:color="000000" w:themeColor="text1"/>
            </w:tcBorders>
            <w:shd w:val="clear" w:color="auto" w:fill="auto"/>
            <w:vAlign w:val="center"/>
            <w:hideMark/>
          </w:tcPr>
          <w:p w14:paraId="365465C8" w14:textId="77777777" w:rsidR="00327C65" w:rsidRPr="003A115E" w:rsidRDefault="00327C65" w:rsidP="00540533">
            <w:pPr>
              <w:pStyle w:val="cuatexto"/>
              <w:jc w:val="right"/>
            </w:pPr>
            <w:r w:rsidRPr="003A115E">
              <w:t>361,39</w:t>
            </w:r>
          </w:p>
        </w:tc>
      </w:tr>
      <w:tr w:rsidR="000A742F" w:rsidRPr="003A115E" w14:paraId="65262E14" w14:textId="77777777" w:rsidTr="00AC6594">
        <w:trPr>
          <w:trHeight w:val="198"/>
        </w:trPr>
        <w:tc>
          <w:tcPr>
            <w:tcW w:w="1268" w:type="pct"/>
            <w:tcBorders>
              <w:top w:val="single" w:sz="2" w:space="0" w:color="000000" w:themeColor="text1"/>
              <w:bottom w:val="single" w:sz="2" w:space="0" w:color="000000" w:themeColor="text1"/>
            </w:tcBorders>
            <w:shd w:val="clear" w:color="auto" w:fill="auto"/>
            <w:vAlign w:val="center"/>
            <w:hideMark/>
          </w:tcPr>
          <w:p w14:paraId="5F5CF570" w14:textId="77777777" w:rsidR="00BE0B5A" w:rsidRDefault="00327C65" w:rsidP="00540533">
            <w:pPr>
              <w:pStyle w:val="cuatexto"/>
              <w:rPr>
                <w:lang w:val="es-ES"/>
              </w:rPr>
            </w:pPr>
            <w:r w:rsidRPr="003A115E">
              <w:rPr>
                <w:lang w:val="es-ES"/>
              </w:rPr>
              <w:t xml:space="preserve">2   Gastos en bienes </w:t>
            </w:r>
          </w:p>
          <w:p w14:paraId="258EFDBE" w14:textId="2DE90476" w:rsidR="00327C65" w:rsidRPr="003A115E" w:rsidRDefault="00327C65" w:rsidP="00071899">
            <w:pPr>
              <w:pStyle w:val="cuatexto"/>
              <w:ind w:left="217"/>
            </w:pPr>
            <w:r w:rsidRPr="003A115E">
              <w:rPr>
                <w:lang w:val="es-ES"/>
              </w:rPr>
              <w:t>corrientes y servicios</w:t>
            </w:r>
          </w:p>
        </w:tc>
        <w:tc>
          <w:tcPr>
            <w:tcW w:w="574" w:type="pct"/>
            <w:tcBorders>
              <w:top w:val="single" w:sz="2" w:space="0" w:color="000000" w:themeColor="text1"/>
              <w:bottom w:val="single" w:sz="2" w:space="0" w:color="000000" w:themeColor="text1"/>
              <w:right w:val="single" w:sz="2" w:space="0" w:color="000000" w:themeColor="text1"/>
            </w:tcBorders>
            <w:shd w:val="clear" w:color="auto" w:fill="auto"/>
            <w:vAlign w:val="center"/>
            <w:hideMark/>
          </w:tcPr>
          <w:p w14:paraId="79A93185" w14:textId="77777777" w:rsidR="00327C65" w:rsidRPr="003A115E" w:rsidRDefault="00327C65" w:rsidP="00540533">
            <w:pPr>
              <w:pStyle w:val="cuatexto"/>
              <w:jc w:val="right"/>
            </w:pPr>
            <w:r w:rsidRPr="003A115E">
              <w:t>367,49</w:t>
            </w:r>
          </w:p>
        </w:tc>
        <w:tc>
          <w:tcPr>
            <w:tcW w:w="55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6ADDB0CD" w14:textId="77777777" w:rsidR="00327C65" w:rsidRPr="003A115E" w:rsidRDefault="00327C65" w:rsidP="00540533">
            <w:pPr>
              <w:pStyle w:val="cuatexto"/>
              <w:jc w:val="right"/>
            </w:pPr>
            <w:r w:rsidRPr="003A115E">
              <w:t>349,72</w:t>
            </w:r>
          </w:p>
        </w:tc>
        <w:tc>
          <w:tcPr>
            <w:tcW w:w="56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55D4A17B" w14:textId="77777777" w:rsidR="00327C65" w:rsidRPr="003A115E" w:rsidRDefault="00327C65" w:rsidP="00540533">
            <w:pPr>
              <w:pStyle w:val="cuatexto"/>
              <w:jc w:val="right"/>
            </w:pPr>
            <w:r w:rsidRPr="003A115E">
              <w:t>36,3</w:t>
            </w:r>
          </w:p>
        </w:tc>
        <w:tc>
          <w:tcPr>
            <w:tcW w:w="4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5943D302" w14:textId="77777777" w:rsidR="00327C65" w:rsidRPr="003A115E" w:rsidRDefault="00327C65" w:rsidP="00540533">
            <w:pPr>
              <w:pStyle w:val="cuatexto"/>
              <w:jc w:val="right"/>
            </w:pPr>
            <w:r w:rsidRPr="003A115E">
              <w:t>95</w:t>
            </w:r>
          </w:p>
        </w:tc>
        <w:tc>
          <w:tcPr>
            <w:tcW w:w="56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1A02E013" w14:textId="77777777" w:rsidR="00327C65" w:rsidRPr="003A115E" w:rsidRDefault="00327C65" w:rsidP="00540533">
            <w:pPr>
              <w:pStyle w:val="cuatexto"/>
              <w:jc w:val="right"/>
            </w:pPr>
            <w:r w:rsidRPr="003A115E">
              <w:t>58,96</w:t>
            </w:r>
          </w:p>
        </w:tc>
        <w:tc>
          <w:tcPr>
            <w:tcW w:w="59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B5B0567" w14:textId="77777777" w:rsidR="00327C65" w:rsidRPr="003A115E" w:rsidRDefault="00327C65" w:rsidP="00540533">
            <w:pPr>
              <w:pStyle w:val="cuatexto"/>
              <w:jc w:val="right"/>
            </w:pPr>
            <w:r w:rsidRPr="003A115E">
              <w:t>20</w:t>
            </w:r>
          </w:p>
        </w:tc>
        <w:tc>
          <w:tcPr>
            <w:tcW w:w="480" w:type="pct"/>
            <w:tcBorders>
              <w:top w:val="single" w:sz="2" w:space="0" w:color="000000" w:themeColor="text1"/>
              <w:left w:val="single" w:sz="2" w:space="0" w:color="000000" w:themeColor="text1"/>
              <w:bottom w:val="single" w:sz="2" w:space="0" w:color="000000" w:themeColor="text1"/>
            </w:tcBorders>
            <w:shd w:val="clear" w:color="auto" w:fill="auto"/>
            <w:vAlign w:val="center"/>
            <w:hideMark/>
          </w:tcPr>
          <w:p w14:paraId="7523454A" w14:textId="77777777" w:rsidR="00327C65" w:rsidRPr="003A115E" w:rsidRDefault="00327C65" w:rsidP="00540533">
            <w:pPr>
              <w:pStyle w:val="cuatexto"/>
              <w:jc w:val="right"/>
            </w:pPr>
            <w:r w:rsidRPr="003A115E">
              <w:t>394,11</w:t>
            </w:r>
          </w:p>
        </w:tc>
      </w:tr>
      <w:tr w:rsidR="000A742F" w:rsidRPr="003A115E" w14:paraId="42FE3B0F" w14:textId="77777777" w:rsidTr="00AC6594">
        <w:trPr>
          <w:trHeight w:val="198"/>
        </w:trPr>
        <w:tc>
          <w:tcPr>
            <w:tcW w:w="1268" w:type="pct"/>
            <w:tcBorders>
              <w:top w:val="single" w:sz="2" w:space="0" w:color="000000" w:themeColor="text1"/>
              <w:bottom w:val="single" w:sz="2" w:space="0" w:color="000000" w:themeColor="text1"/>
            </w:tcBorders>
            <w:shd w:val="clear" w:color="auto" w:fill="auto"/>
            <w:vAlign w:val="center"/>
            <w:hideMark/>
          </w:tcPr>
          <w:p w14:paraId="04C29B66" w14:textId="77777777" w:rsidR="00327C65" w:rsidRPr="003A115E" w:rsidRDefault="00327C65" w:rsidP="00540533">
            <w:pPr>
              <w:pStyle w:val="cuatexto"/>
            </w:pPr>
            <w:r w:rsidRPr="003A115E">
              <w:rPr>
                <w:lang w:val="es-ES"/>
              </w:rPr>
              <w:t>3   Gastos financieros</w:t>
            </w:r>
          </w:p>
        </w:tc>
        <w:tc>
          <w:tcPr>
            <w:tcW w:w="574" w:type="pct"/>
            <w:tcBorders>
              <w:top w:val="single" w:sz="2" w:space="0" w:color="000000" w:themeColor="text1"/>
              <w:bottom w:val="single" w:sz="2" w:space="0" w:color="000000" w:themeColor="text1"/>
              <w:right w:val="single" w:sz="2" w:space="0" w:color="000000" w:themeColor="text1"/>
            </w:tcBorders>
            <w:shd w:val="clear" w:color="auto" w:fill="auto"/>
            <w:vAlign w:val="center"/>
            <w:hideMark/>
          </w:tcPr>
          <w:p w14:paraId="38D03B46" w14:textId="77777777" w:rsidR="00327C65" w:rsidRPr="003A115E" w:rsidRDefault="00327C65" w:rsidP="00540533">
            <w:pPr>
              <w:pStyle w:val="cuatexto"/>
              <w:jc w:val="right"/>
            </w:pPr>
            <w:r w:rsidRPr="003A115E">
              <w:t>1,32</w:t>
            </w:r>
          </w:p>
        </w:tc>
        <w:tc>
          <w:tcPr>
            <w:tcW w:w="55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77EAE25" w14:textId="77777777" w:rsidR="00327C65" w:rsidRPr="003A115E" w:rsidRDefault="00327C65" w:rsidP="00540533">
            <w:pPr>
              <w:pStyle w:val="cuatexto"/>
              <w:jc w:val="right"/>
            </w:pPr>
            <w:r w:rsidRPr="003A115E">
              <w:t>1,05</w:t>
            </w:r>
          </w:p>
        </w:tc>
        <w:tc>
          <w:tcPr>
            <w:tcW w:w="56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41EB8062" w14:textId="77777777" w:rsidR="00327C65" w:rsidRPr="003A115E" w:rsidRDefault="00327C65" w:rsidP="00540533">
            <w:pPr>
              <w:pStyle w:val="cuatexto"/>
              <w:jc w:val="right"/>
            </w:pPr>
            <w:r w:rsidRPr="003A115E">
              <w:t>0,1</w:t>
            </w:r>
          </w:p>
        </w:tc>
        <w:tc>
          <w:tcPr>
            <w:tcW w:w="4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2A8F943" w14:textId="77777777" w:rsidR="00327C65" w:rsidRPr="003A115E" w:rsidRDefault="00327C65" w:rsidP="00540533">
            <w:pPr>
              <w:pStyle w:val="cuatexto"/>
              <w:jc w:val="right"/>
            </w:pPr>
            <w:r w:rsidRPr="003A115E">
              <w:t>79</w:t>
            </w:r>
          </w:p>
        </w:tc>
        <w:tc>
          <w:tcPr>
            <w:tcW w:w="56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76F21A9" w14:textId="77777777" w:rsidR="00327C65" w:rsidRPr="003A115E" w:rsidRDefault="00327C65" w:rsidP="00540533">
            <w:pPr>
              <w:pStyle w:val="cuatexto"/>
              <w:jc w:val="right"/>
            </w:pPr>
            <w:r w:rsidRPr="003A115E">
              <w:t>0,01</w:t>
            </w:r>
          </w:p>
        </w:tc>
        <w:tc>
          <w:tcPr>
            <w:tcW w:w="59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6D6B0B37" w14:textId="77777777" w:rsidR="00327C65" w:rsidRPr="003A115E" w:rsidRDefault="00327C65" w:rsidP="00540533">
            <w:pPr>
              <w:pStyle w:val="cuatexto"/>
              <w:jc w:val="right"/>
            </w:pPr>
            <w:r w:rsidRPr="003A115E">
              <w:t>1</w:t>
            </w:r>
          </w:p>
        </w:tc>
        <w:tc>
          <w:tcPr>
            <w:tcW w:w="480" w:type="pct"/>
            <w:tcBorders>
              <w:top w:val="single" w:sz="2" w:space="0" w:color="000000" w:themeColor="text1"/>
              <w:left w:val="single" w:sz="2" w:space="0" w:color="000000" w:themeColor="text1"/>
              <w:bottom w:val="single" w:sz="2" w:space="0" w:color="000000" w:themeColor="text1"/>
            </w:tcBorders>
            <w:shd w:val="clear" w:color="auto" w:fill="auto"/>
            <w:vAlign w:val="center"/>
            <w:hideMark/>
          </w:tcPr>
          <w:p w14:paraId="3AC21722" w14:textId="77777777" w:rsidR="00327C65" w:rsidRPr="003A115E" w:rsidRDefault="00327C65" w:rsidP="00540533">
            <w:pPr>
              <w:pStyle w:val="cuatexto"/>
              <w:jc w:val="right"/>
            </w:pPr>
            <w:r w:rsidRPr="003A115E">
              <w:t>1,05</w:t>
            </w:r>
          </w:p>
        </w:tc>
      </w:tr>
      <w:tr w:rsidR="000A742F" w:rsidRPr="003A115E" w14:paraId="27E7493E" w14:textId="77777777" w:rsidTr="00AC6594">
        <w:trPr>
          <w:trHeight w:val="198"/>
        </w:trPr>
        <w:tc>
          <w:tcPr>
            <w:tcW w:w="1268" w:type="pct"/>
            <w:tcBorders>
              <w:top w:val="single" w:sz="2" w:space="0" w:color="000000" w:themeColor="text1"/>
              <w:bottom w:val="single" w:sz="2" w:space="0" w:color="000000" w:themeColor="text1"/>
            </w:tcBorders>
            <w:shd w:val="clear" w:color="auto" w:fill="auto"/>
            <w:vAlign w:val="center"/>
            <w:hideMark/>
          </w:tcPr>
          <w:p w14:paraId="21C40774" w14:textId="77777777" w:rsidR="00654208" w:rsidRDefault="00327C65" w:rsidP="00540533">
            <w:pPr>
              <w:pStyle w:val="cuatexto"/>
              <w:rPr>
                <w:lang w:val="es-ES"/>
              </w:rPr>
            </w:pPr>
            <w:r w:rsidRPr="003A115E">
              <w:rPr>
                <w:lang w:val="es-ES"/>
              </w:rPr>
              <w:t xml:space="preserve">4   Transferencias </w:t>
            </w:r>
          </w:p>
          <w:p w14:paraId="2E2C81C5" w14:textId="48F95F26" w:rsidR="00327C65" w:rsidRPr="003A115E" w:rsidRDefault="00327C65" w:rsidP="00071899">
            <w:pPr>
              <w:pStyle w:val="cuatexto"/>
              <w:ind w:left="217"/>
            </w:pPr>
            <w:r w:rsidRPr="003A115E">
              <w:rPr>
                <w:lang w:val="es-ES"/>
              </w:rPr>
              <w:t>corrientes</w:t>
            </w:r>
          </w:p>
        </w:tc>
        <w:tc>
          <w:tcPr>
            <w:tcW w:w="574" w:type="pct"/>
            <w:tcBorders>
              <w:top w:val="single" w:sz="2" w:space="0" w:color="000000" w:themeColor="text1"/>
              <w:bottom w:val="single" w:sz="2" w:space="0" w:color="000000" w:themeColor="text1"/>
              <w:right w:val="single" w:sz="2" w:space="0" w:color="000000" w:themeColor="text1"/>
            </w:tcBorders>
            <w:shd w:val="clear" w:color="auto" w:fill="auto"/>
            <w:vAlign w:val="center"/>
            <w:hideMark/>
          </w:tcPr>
          <w:p w14:paraId="7C7B3BCD" w14:textId="77777777" w:rsidR="00327C65" w:rsidRPr="003A115E" w:rsidRDefault="00327C65" w:rsidP="00540533">
            <w:pPr>
              <w:pStyle w:val="cuatexto"/>
              <w:jc w:val="right"/>
            </w:pPr>
            <w:r w:rsidRPr="003A115E">
              <w:t>98,46</w:t>
            </w:r>
          </w:p>
        </w:tc>
        <w:tc>
          <w:tcPr>
            <w:tcW w:w="55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1EB2347D" w14:textId="77777777" w:rsidR="00327C65" w:rsidRPr="003A115E" w:rsidRDefault="00327C65" w:rsidP="00540533">
            <w:pPr>
              <w:pStyle w:val="cuatexto"/>
              <w:jc w:val="right"/>
            </w:pPr>
            <w:r w:rsidRPr="003A115E">
              <w:t>91,77</w:t>
            </w:r>
          </w:p>
        </w:tc>
        <w:tc>
          <w:tcPr>
            <w:tcW w:w="56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594738E" w14:textId="77777777" w:rsidR="00327C65" w:rsidRPr="003A115E" w:rsidRDefault="00327C65" w:rsidP="00540533">
            <w:pPr>
              <w:pStyle w:val="cuatexto"/>
              <w:jc w:val="right"/>
            </w:pPr>
            <w:r w:rsidRPr="003A115E">
              <w:t>9,5</w:t>
            </w:r>
          </w:p>
        </w:tc>
        <w:tc>
          <w:tcPr>
            <w:tcW w:w="4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1B21E7C1" w14:textId="77777777" w:rsidR="00327C65" w:rsidRPr="003A115E" w:rsidRDefault="00327C65" w:rsidP="00540533">
            <w:pPr>
              <w:pStyle w:val="cuatexto"/>
              <w:jc w:val="right"/>
            </w:pPr>
            <w:r w:rsidRPr="003A115E">
              <w:t>93</w:t>
            </w:r>
          </w:p>
        </w:tc>
        <w:tc>
          <w:tcPr>
            <w:tcW w:w="56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EC4906E" w14:textId="77777777" w:rsidR="00327C65" w:rsidRPr="003A115E" w:rsidRDefault="00327C65" w:rsidP="00540533">
            <w:pPr>
              <w:pStyle w:val="cuatexto"/>
              <w:jc w:val="right"/>
            </w:pPr>
            <w:r w:rsidRPr="003A115E">
              <w:t>9,11</w:t>
            </w:r>
          </w:p>
        </w:tc>
        <w:tc>
          <w:tcPr>
            <w:tcW w:w="59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55E5CA70" w14:textId="77777777" w:rsidR="00327C65" w:rsidRPr="003A115E" w:rsidRDefault="00327C65" w:rsidP="00540533">
            <w:pPr>
              <w:pStyle w:val="cuatexto"/>
              <w:jc w:val="right"/>
            </w:pPr>
            <w:r w:rsidRPr="003A115E">
              <w:t>11</w:t>
            </w:r>
          </w:p>
        </w:tc>
        <w:tc>
          <w:tcPr>
            <w:tcW w:w="480" w:type="pct"/>
            <w:tcBorders>
              <w:top w:val="single" w:sz="2" w:space="0" w:color="000000" w:themeColor="text1"/>
              <w:left w:val="single" w:sz="2" w:space="0" w:color="000000" w:themeColor="text1"/>
              <w:bottom w:val="single" w:sz="2" w:space="0" w:color="000000" w:themeColor="text1"/>
            </w:tcBorders>
            <w:shd w:val="clear" w:color="auto" w:fill="auto"/>
            <w:vAlign w:val="center"/>
            <w:hideMark/>
          </w:tcPr>
          <w:p w14:paraId="7DEDD3E7" w14:textId="77777777" w:rsidR="00327C65" w:rsidRPr="003A115E" w:rsidRDefault="00327C65" w:rsidP="00540533">
            <w:pPr>
              <w:pStyle w:val="cuatexto"/>
              <w:jc w:val="right"/>
            </w:pPr>
            <w:r w:rsidRPr="003A115E">
              <w:t>92,84</w:t>
            </w:r>
          </w:p>
        </w:tc>
      </w:tr>
      <w:tr w:rsidR="000A742F" w:rsidRPr="003A115E" w14:paraId="55FFE3E3" w14:textId="77777777" w:rsidTr="00AC6594">
        <w:trPr>
          <w:trHeight w:val="198"/>
        </w:trPr>
        <w:tc>
          <w:tcPr>
            <w:tcW w:w="1268" w:type="pct"/>
            <w:tcBorders>
              <w:top w:val="single" w:sz="2" w:space="0" w:color="000000" w:themeColor="text1"/>
              <w:bottom w:val="single" w:sz="2" w:space="0" w:color="000000" w:themeColor="text1"/>
            </w:tcBorders>
            <w:shd w:val="clear" w:color="auto" w:fill="auto"/>
            <w:vAlign w:val="center"/>
            <w:hideMark/>
          </w:tcPr>
          <w:p w14:paraId="6EF1A0F8" w14:textId="3711F11A" w:rsidR="00327C65" w:rsidRPr="003A115E" w:rsidRDefault="00327C65" w:rsidP="00540533">
            <w:pPr>
              <w:pStyle w:val="cuatexto"/>
              <w:rPr>
                <w:b/>
                <w:bCs/>
                <w:i/>
                <w:iCs/>
              </w:rPr>
            </w:pPr>
            <w:r w:rsidRPr="003A115E">
              <w:rPr>
                <w:b/>
                <w:bCs/>
                <w:i/>
                <w:iCs/>
              </w:rPr>
              <w:t>Operaciones corrientes</w:t>
            </w:r>
          </w:p>
        </w:tc>
        <w:tc>
          <w:tcPr>
            <w:tcW w:w="574" w:type="pct"/>
            <w:tcBorders>
              <w:top w:val="single" w:sz="2" w:space="0" w:color="000000" w:themeColor="text1"/>
              <w:bottom w:val="single" w:sz="2" w:space="0" w:color="000000" w:themeColor="text1"/>
              <w:right w:val="single" w:sz="2" w:space="0" w:color="000000" w:themeColor="text1"/>
            </w:tcBorders>
            <w:shd w:val="clear" w:color="auto" w:fill="auto"/>
            <w:vAlign w:val="center"/>
            <w:hideMark/>
          </w:tcPr>
          <w:p w14:paraId="46B934F1" w14:textId="77777777" w:rsidR="00327C65" w:rsidRPr="003A115E" w:rsidRDefault="00327C65" w:rsidP="00540533">
            <w:pPr>
              <w:pStyle w:val="cuatexto"/>
              <w:jc w:val="right"/>
              <w:rPr>
                <w:b/>
                <w:bCs/>
                <w:i/>
                <w:iCs/>
              </w:rPr>
            </w:pPr>
            <w:r w:rsidRPr="003A115E">
              <w:rPr>
                <w:b/>
                <w:bCs/>
                <w:i/>
                <w:iCs/>
              </w:rPr>
              <w:t>810,64</w:t>
            </w:r>
          </w:p>
        </w:tc>
        <w:tc>
          <w:tcPr>
            <w:tcW w:w="55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4A30DC4A" w14:textId="77777777" w:rsidR="00327C65" w:rsidRPr="003A115E" w:rsidRDefault="00327C65" w:rsidP="00540533">
            <w:pPr>
              <w:pStyle w:val="cuatexto"/>
              <w:jc w:val="right"/>
              <w:rPr>
                <w:b/>
                <w:i/>
              </w:rPr>
            </w:pPr>
            <w:r w:rsidRPr="003A115E">
              <w:rPr>
                <w:b/>
                <w:i/>
              </w:rPr>
              <w:t>775,68</w:t>
            </w:r>
          </w:p>
        </w:tc>
        <w:tc>
          <w:tcPr>
            <w:tcW w:w="56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4F7FDB73" w14:textId="77777777" w:rsidR="00327C65" w:rsidRPr="003A115E" w:rsidRDefault="00327C65" w:rsidP="00540533">
            <w:pPr>
              <w:pStyle w:val="cuatexto"/>
              <w:jc w:val="right"/>
              <w:rPr>
                <w:b/>
                <w:bCs/>
                <w:i/>
                <w:iCs/>
              </w:rPr>
            </w:pPr>
            <w:r w:rsidRPr="003A115E">
              <w:rPr>
                <w:b/>
                <w:bCs/>
                <w:i/>
                <w:iCs/>
              </w:rPr>
              <w:t>80,4</w:t>
            </w:r>
          </w:p>
        </w:tc>
        <w:tc>
          <w:tcPr>
            <w:tcW w:w="4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7129913" w14:textId="77777777" w:rsidR="00327C65" w:rsidRPr="003A115E" w:rsidRDefault="00327C65" w:rsidP="00540533">
            <w:pPr>
              <w:pStyle w:val="cuatexto"/>
              <w:jc w:val="right"/>
              <w:rPr>
                <w:b/>
                <w:bCs/>
                <w:i/>
                <w:iCs/>
              </w:rPr>
            </w:pPr>
            <w:r w:rsidRPr="003A115E">
              <w:rPr>
                <w:b/>
                <w:bCs/>
                <w:i/>
                <w:iCs/>
              </w:rPr>
              <w:t>96</w:t>
            </w:r>
          </w:p>
        </w:tc>
        <w:tc>
          <w:tcPr>
            <w:tcW w:w="56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1F8766FD" w14:textId="77777777" w:rsidR="00327C65" w:rsidRPr="003A115E" w:rsidRDefault="00327C65" w:rsidP="00540533">
            <w:pPr>
              <w:pStyle w:val="cuatexto"/>
              <w:jc w:val="right"/>
              <w:rPr>
                <w:b/>
                <w:bCs/>
                <w:i/>
                <w:iCs/>
              </w:rPr>
            </w:pPr>
            <w:r w:rsidRPr="003A115E">
              <w:rPr>
                <w:b/>
                <w:bCs/>
                <w:i/>
                <w:iCs/>
              </w:rPr>
              <w:t>84,16</w:t>
            </w:r>
          </w:p>
        </w:tc>
        <w:tc>
          <w:tcPr>
            <w:tcW w:w="59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886BFC5" w14:textId="77777777" w:rsidR="00327C65" w:rsidRPr="003A115E" w:rsidRDefault="00327C65" w:rsidP="00540533">
            <w:pPr>
              <w:pStyle w:val="cuatexto"/>
              <w:jc w:val="right"/>
              <w:rPr>
                <w:b/>
                <w:bCs/>
                <w:i/>
                <w:iCs/>
              </w:rPr>
            </w:pPr>
            <w:r w:rsidRPr="003A115E">
              <w:rPr>
                <w:b/>
                <w:bCs/>
                <w:i/>
                <w:iCs/>
              </w:rPr>
              <w:t>12</w:t>
            </w:r>
          </w:p>
        </w:tc>
        <w:tc>
          <w:tcPr>
            <w:tcW w:w="480" w:type="pct"/>
            <w:tcBorders>
              <w:top w:val="single" w:sz="2" w:space="0" w:color="000000" w:themeColor="text1"/>
              <w:left w:val="single" w:sz="2" w:space="0" w:color="000000" w:themeColor="text1"/>
              <w:bottom w:val="single" w:sz="2" w:space="0" w:color="000000" w:themeColor="text1"/>
            </w:tcBorders>
            <w:shd w:val="clear" w:color="auto" w:fill="auto"/>
            <w:vAlign w:val="center"/>
            <w:hideMark/>
          </w:tcPr>
          <w:p w14:paraId="3E6223B0" w14:textId="77777777" w:rsidR="00327C65" w:rsidRPr="003A115E" w:rsidRDefault="00327C65" w:rsidP="00540533">
            <w:pPr>
              <w:pStyle w:val="cuatexto"/>
              <w:jc w:val="right"/>
              <w:rPr>
                <w:b/>
                <w:i/>
              </w:rPr>
            </w:pPr>
            <w:r w:rsidRPr="003A115E">
              <w:rPr>
                <w:b/>
                <w:i/>
              </w:rPr>
              <w:t>849,38</w:t>
            </w:r>
          </w:p>
        </w:tc>
      </w:tr>
      <w:tr w:rsidR="000A742F" w:rsidRPr="003A115E" w14:paraId="437A08F1" w14:textId="77777777" w:rsidTr="00AC6594">
        <w:trPr>
          <w:trHeight w:val="198"/>
        </w:trPr>
        <w:tc>
          <w:tcPr>
            <w:tcW w:w="1268" w:type="pct"/>
            <w:tcBorders>
              <w:top w:val="single" w:sz="2" w:space="0" w:color="000000" w:themeColor="text1"/>
              <w:bottom w:val="single" w:sz="2" w:space="0" w:color="000000" w:themeColor="text1"/>
            </w:tcBorders>
            <w:shd w:val="clear" w:color="auto" w:fill="auto"/>
            <w:vAlign w:val="center"/>
            <w:hideMark/>
          </w:tcPr>
          <w:p w14:paraId="54D66A35" w14:textId="77777777" w:rsidR="00327C65" w:rsidRPr="003A115E" w:rsidRDefault="00327C65" w:rsidP="0186A00D">
            <w:pPr>
              <w:pStyle w:val="cuatexto"/>
              <w:rPr>
                <w:lang w:val="es-ES"/>
              </w:rPr>
            </w:pPr>
            <w:r w:rsidRPr="003A115E">
              <w:rPr>
                <w:lang w:val="es-ES"/>
              </w:rPr>
              <w:t>5   Fondo de contingencia</w:t>
            </w:r>
          </w:p>
        </w:tc>
        <w:tc>
          <w:tcPr>
            <w:tcW w:w="574" w:type="pct"/>
            <w:tcBorders>
              <w:top w:val="single" w:sz="2" w:space="0" w:color="000000" w:themeColor="text1"/>
              <w:bottom w:val="single" w:sz="2" w:space="0" w:color="000000" w:themeColor="text1"/>
              <w:right w:val="single" w:sz="2" w:space="0" w:color="000000" w:themeColor="text1"/>
            </w:tcBorders>
            <w:shd w:val="clear" w:color="auto" w:fill="auto"/>
            <w:vAlign w:val="center"/>
            <w:hideMark/>
          </w:tcPr>
          <w:p w14:paraId="40B55EED" w14:textId="77777777" w:rsidR="00327C65" w:rsidRPr="003A115E" w:rsidRDefault="00327C65" w:rsidP="00540533">
            <w:pPr>
              <w:pStyle w:val="cuatexto"/>
              <w:jc w:val="right"/>
            </w:pPr>
            <w:r w:rsidRPr="003A115E">
              <w:t>0,37</w:t>
            </w:r>
          </w:p>
        </w:tc>
        <w:tc>
          <w:tcPr>
            <w:tcW w:w="55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907849D" w14:textId="77777777" w:rsidR="00327C65" w:rsidRPr="003A115E" w:rsidRDefault="00327C65" w:rsidP="00540533">
            <w:pPr>
              <w:pStyle w:val="cuatexto"/>
              <w:jc w:val="right"/>
            </w:pPr>
            <w:r w:rsidRPr="003A115E">
              <w:t>0,00</w:t>
            </w:r>
          </w:p>
        </w:tc>
        <w:tc>
          <w:tcPr>
            <w:tcW w:w="56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0773EB3" w14:textId="77777777" w:rsidR="00327C65" w:rsidRPr="003A115E" w:rsidRDefault="00327C65" w:rsidP="00540533">
            <w:pPr>
              <w:pStyle w:val="cuatexto"/>
              <w:jc w:val="right"/>
            </w:pPr>
            <w:r w:rsidRPr="003A115E">
              <w:t>0,0</w:t>
            </w:r>
          </w:p>
        </w:tc>
        <w:tc>
          <w:tcPr>
            <w:tcW w:w="4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9AD0D53" w14:textId="77777777" w:rsidR="00327C65" w:rsidRPr="003A115E" w:rsidRDefault="00327C65" w:rsidP="00540533">
            <w:pPr>
              <w:pStyle w:val="cuatexto"/>
              <w:jc w:val="right"/>
            </w:pPr>
            <w:r w:rsidRPr="003A115E">
              <w:t>0</w:t>
            </w:r>
          </w:p>
        </w:tc>
        <w:tc>
          <w:tcPr>
            <w:tcW w:w="56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EE5211C" w14:textId="77777777" w:rsidR="00327C65" w:rsidRPr="003A115E" w:rsidRDefault="00327C65" w:rsidP="00540533">
            <w:pPr>
              <w:pStyle w:val="cuatexto"/>
              <w:jc w:val="right"/>
            </w:pPr>
            <w:r w:rsidRPr="003A115E">
              <w:t>0,00</w:t>
            </w:r>
          </w:p>
        </w:tc>
        <w:tc>
          <w:tcPr>
            <w:tcW w:w="59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7343392" w14:textId="77777777" w:rsidR="00327C65" w:rsidRPr="003A115E" w:rsidRDefault="00327C65" w:rsidP="00540533">
            <w:pPr>
              <w:pStyle w:val="cuatexto"/>
              <w:jc w:val="right"/>
            </w:pPr>
            <w:r w:rsidRPr="003A115E">
              <w:t>-</w:t>
            </w:r>
          </w:p>
        </w:tc>
        <w:tc>
          <w:tcPr>
            <w:tcW w:w="480" w:type="pct"/>
            <w:tcBorders>
              <w:top w:val="single" w:sz="2" w:space="0" w:color="000000" w:themeColor="text1"/>
              <w:left w:val="single" w:sz="2" w:space="0" w:color="000000" w:themeColor="text1"/>
              <w:bottom w:val="single" w:sz="2" w:space="0" w:color="000000" w:themeColor="text1"/>
            </w:tcBorders>
            <w:shd w:val="clear" w:color="auto" w:fill="auto"/>
            <w:vAlign w:val="center"/>
            <w:hideMark/>
          </w:tcPr>
          <w:p w14:paraId="624D1DB8" w14:textId="77777777" w:rsidR="00327C65" w:rsidRPr="003A115E" w:rsidRDefault="00327C65" w:rsidP="00540533">
            <w:pPr>
              <w:pStyle w:val="cuatexto"/>
              <w:jc w:val="right"/>
            </w:pPr>
            <w:r w:rsidRPr="003A115E">
              <w:t>0,00</w:t>
            </w:r>
          </w:p>
        </w:tc>
      </w:tr>
      <w:tr w:rsidR="000A742F" w:rsidRPr="003A115E" w14:paraId="37207DF2" w14:textId="77777777" w:rsidTr="00AC6594">
        <w:trPr>
          <w:trHeight w:val="198"/>
        </w:trPr>
        <w:tc>
          <w:tcPr>
            <w:tcW w:w="1268" w:type="pct"/>
            <w:tcBorders>
              <w:top w:val="single" w:sz="2" w:space="0" w:color="000000" w:themeColor="text1"/>
              <w:bottom w:val="single" w:sz="2" w:space="0" w:color="000000" w:themeColor="text1"/>
            </w:tcBorders>
            <w:shd w:val="clear" w:color="auto" w:fill="auto"/>
            <w:vAlign w:val="center"/>
            <w:hideMark/>
          </w:tcPr>
          <w:p w14:paraId="3BB5CB03" w14:textId="465B3282" w:rsidR="00327C65" w:rsidRPr="003A115E" w:rsidRDefault="00327C65" w:rsidP="00540533">
            <w:pPr>
              <w:pStyle w:val="cuatexto"/>
              <w:rPr>
                <w:b/>
                <w:bCs/>
                <w:i/>
                <w:iCs/>
              </w:rPr>
            </w:pPr>
            <w:r w:rsidRPr="003A115E">
              <w:rPr>
                <w:b/>
                <w:bCs/>
                <w:i/>
                <w:iCs/>
              </w:rPr>
              <w:t>Fondo de contingencia</w:t>
            </w:r>
          </w:p>
        </w:tc>
        <w:tc>
          <w:tcPr>
            <w:tcW w:w="574" w:type="pct"/>
            <w:tcBorders>
              <w:top w:val="single" w:sz="2" w:space="0" w:color="000000" w:themeColor="text1"/>
              <w:bottom w:val="single" w:sz="2" w:space="0" w:color="000000" w:themeColor="text1"/>
              <w:right w:val="single" w:sz="2" w:space="0" w:color="000000" w:themeColor="text1"/>
            </w:tcBorders>
            <w:shd w:val="clear" w:color="auto" w:fill="auto"/>
            <w:vAlign w:val="center"/>
            <w:hideMark/>
          </w:tcPr>
          <w:p w14:paraId="4839F42D" w14:textId="77777777" w:rsidR="00327C65" w:rsidRPr="003A115E" w:rsidRDefault="00327C65" w:rsidP="00540533">
            <w:pPr>
              <w:pStyle w:val="cuatexto"/>
              <w:jc w:val="right"/>
              <w:rPr>
                <w:b/>
                <w:bCs/>
                <w:i/>
                <w:iCs/>
              </w:rPr>
            </w:pPr>
            <w:r w:rsidRPr="003A115E">
              <w:rPr>
                <w:b/>
                <w:bCs/>
                <w:i/>
                <w:iCs/>
              </w:rPr>
              <w:t>0,37</w:t>
            </w:r>
          </w:p>
        </w:tc>
        <w:tc>
          <w:tcPr>
            <w:tcW w:w="55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2594420" w14:textId="77777777" w:rsidR="00327C65" w:rsidRPr="003A115E" w:rsidRDefault="00327C65" w:rsidP="00540533">
            <w:pPr>
              <w:pStyle w:val="cuatexto"/>
              <w:jc w:val="right"/>
              <w:rPr>
                <w:b/>
                <w:i/>
              </w:rPr>
            </w:pPr>
            <w:r w:rsidRPr="003A115E">
              <w:rPr>
                <w:b/>
                <w:i/>
              </w:rPr>
              <w:t>0,00</w:t>
            </w:r>
          </w:p>
        </w:tc>
        <w:tc>
          <w:tcPr>
            <w:tcW w:w="56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65978166" w14:textId="77777777" w:rsidR="00327C65" w:rsidRPr="003A115E" w:rsidRDefault="00327C65" w:rsidP="00540533">
            <w:pPr>
              <w:pStyle w:val="cuatexto"/>
              <w:jc w:val="right"/>
              <w:rPr>
                <w:b/>
                <w:bCs/>
                <w:i/>
                <w:iCs/>
              </w:rPr>
            </w:pPr>
            <w:r w:rsidRPr="003A115E">
              <w:rPr>
                <w:b/>
                <w:bCs/>
                <w:i/>
                <w:iCs/>
              </w:rPr>
              <w:t>0,0</w:t>
            </w:r>
          </w:p>
        </w:tc>
        <w:tc>
          <w:tcPr>
            <w:tcW w:w="4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04C16FA" w14:textId="77777777" w:rsidR="00327C65" w:rsidRPr="003A115E" w:rsidRDefault="00327C65" w:rsidP="00540533">
            <w:pPr>
              <w:pStyle w:val="cuatexto"/>
              <w:jc w:val="right"/>
              <w:rPr>
                <w:b/>
                <w:bCs/>
                <w:i/>
                <w:iCs/>
              </w:rPr>
            </w:pPr>
            <w:r w:rsidRPr="003A115E">
              <w:rPr>
                <w:b/>
                <w:bCs/>
                <w:i/>
                <w:iCs/>
              </w:rPr>
              <w:t>0</w:t>
            </w:r>
          </w:p>
        </w:tc>
        <w:tc>
          <w:tcPr>
            <w:tcW w:w="56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21A1E09" w14:textId="77777777" w:rsidR="00327C65" w:rsidRPr="003A115E" w:rsidRDefault="00327C65" w:rsidP="00540533">
            <w:pPr>
              <w:pStyle w:val="cuatexto"/>
              <w:jc w:val="right"/>
              <w:rPr>
                <w:b/>
                <w:bCs/>
                <w:i/>
                <w:iCs/>
              </w:rPr>
            </w:pPr>
            <w:r w:rsidRPr="003A115E">
              <w:rPr>
                <w:b/>
                <w:bCs/>
                <w:i/>
                <w:iCs/>
              </w:rPr>
              <w:t>0,00</w:t>
            </w:r>
          </w:p>
        </w:tc>
        <w:tc>
          <w:tcPr>
            <w:tcW w:w="59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EFEEF00" w14:textId="77777777" w:rsidR="00327C65" w:rsidRPr="003A115E" w:rsidRDefault="00327C65" w:rsidP="00540533">
            <w:pPr>
              <w:pStyle w:val="cuatexto"/>
              <w:jc w:val="right"/>
              <w:rPr>
                <w:b/>
                <w:bCs/>
                <w:i/>
                <w:iCs/>
              </w:rPr>
            </w:pPr>
            <w:r w:rsidRPr="003A115E">
              <w:rPr>
                <w:b/>
                <w:bCs/>
                <w:i/>
                <w:iCs/>
              </w:rPr>
              <w:t>-</w:t>
            </w:r>
          </w:p>
        </w:tc>
        <w:tc>
          <w:tcPr>
            <w:tcW w:w="480" w:type="pct"/>
            <w:tcBorders>
              <w:top w:val="single" w:sz="2" w:space="0" w:color="000000" w:themeColor="text1"/>
              <w:left w:val="single" w:sz="2" w:space="0" w:color="000000" w:themeColor="text1"/>
              <w:bottom w:val="single" w:sz="2" w:space="0" w:color="000000" w:themeColor="text1"/>
            </w:tcBorders>
            <w:shd w:val="clear" w:color="auto" w:fill="auto"/>
            <w:vAlign w:val="center"/>
            <w:hideMark/>
          </w:tcPr>
          <w:p w14:paraId="44E598B7" w14:textId="77777777" w:rsidR="00327C65" w:rsidRPr="003A115E" w:rsidRDefault="00327C65" w:rsidP="00540533">
            <w:pPr>
              <w:pStyle w:val="cuatexto"/>
              <w:jc w:val="right"/>
              <w:rPr>
                <w:b/>
                <w:i/>
              </w:rPr>
            </w:pPr>
            <w:r w:rsidRPr="003A115E">
              <w:rPr>
                <w:b/>
                <w:i/>
              </w:rPr>
              <w:t>0,00</w:t>
            </w:r>
          </w:p>
        </w:tc>
      </w:tr>
      <w:tr w:rsidR="000A742F" w:rsidRPr="003A115E" w14:paraId="0958349F" w14:textId="77777777" w:rsidTr="00AC6594">
        <w:trPr>
          <w:trHeight w:val="198"/>
        </w:trPr>
        <w:tc>
          <w:tcPr>
            <w:tcW w:w="1268" w:type="pct"/>
            <w:tcBorders>
              <w:top w:val="single" w:sz="2" w:space="0" w:color="000000" w:themeColor="text1"/>
              <w:bottom w:val="single" w:sz="2" w:space="0" w:color="000000" w:themeColor="text1"/>
            </w:tcBorders>
            <w:shd w:val="clear" w:color="auto" w:fill="auto"/>
            <w:vAlign w:val="center"/>
            <w:hideMark/>
          </w:tcPr>
          <w:p w14:paraId="748C821B" w14:textId="77777777" w:rsidR="00327C65" w:rsidRPr="003A115E" w:rsidRDefault="00327C65" w:rsidP="00540533">
            <w:pPr>
              <w:pStyle w:val="cuatexto"/>
            </w:pPr>
            <w:r w:rsidRPr="003A115E">
              <w:rPr>
                <w:lang w:val="es-ES"/>
              </w:rPr>
              <w:t>6   Inversiones reales</w:t>
            </w:r>
          </w:p>
        </w:tc>
        <w:tc>
          <w:tcPr>
            <w:tcW w:w="574" w:type="pct"/>
            <w:tcBorders>
              <w:top w:val="single" w:sz="2" w:space="0" w:color="000000" w:themeColor="text1"/>
              <w:bottom w:val="single" w:sz="2" w:space="0" w:color="000000" w:themeColor="text1"/>
              <w:right w:val="single" w:sz="2" w:space="0" w:color="000000" w:themeColor="text1"/>
            </w:tcBorders>
            <w:shd w:val="clear" w:color="auto" w:fill="auto"/>
            <w:vAlign w:val="center"/>
            <w:hideMark/>
          </w:tcPr>
          <w:p w14:paraId="4D6833CE" w14:textId="77777777" w:rsidR="00327C65" w:rsidRPr="003A115E" w:rsidRDefault="00327C65" w:rsidP="00540533">
            <w:pPr>
              <w:pStyle w:val="cuatexto"/>
              <w:jc w:val="right"/>
            </w:pPr>
            <w:r w:rsidRPr="003A115E">
              <w:t>320,39</w:t>
            </w:r>
          </w:p>
        </w:tc>
        <w:tc>
          <w:tcPr>
            <w:tcW w:w="55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1983230" w14:textId="77777777" w:rsidR="00327C65" w:rsidRPr="003A115E" w:rsidRDefault="00327C65" w:rsidP="00540533">
            <w:pPr>
              <w:pStyle w:val="cuatexto"/>
              <w:jc w:val="right"/>
            </w:pPr>
            <w:r w:rsidRPr="003A115E">
              <w:t>149,85</w:t>
            </w:r>
          </w:p>
        </w:tc>
        <w:tc>
          <w:tcPr>
            <w:tcW w:w="56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6CA38CD" w14:textId="77777777" w:rsidR="00327C65" w:rsidRPr="003A115E" w:rsidRDefault="00327C65" w:rsidP="00540533">
            <w:pPr>
              <w:pStyle w:val="cuatexto"/>
              <w:jc w:val="right"/>
            </w:pPr>
            <w:r w:rsidRPr="003A115E">
              <w:t>15,5</w:t>
            </w:r>
          </w:p>
        </w:tc>
        <w:tc>
          <w:tcPr>
            <w:tcW w:w="4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6F1D064" w14:textId="77777777" w:rsidR="00327C65" w:rsidRPr="003A115E" w:rsidRDefault="00327C65" w:rsidP="00540533">
            <w:pPr>
              <w:pStyle w:val="cuatexto"/>
              <w:jc w:val="right"/>
            </w:pPr>
            <w:r w:rsidRPr="003A115E">
              <w:t>47</w:t>
            </w:r>
          </w:p>
        </w:tc>
        <w:tc>
          <w:tcPr>
            <w:tcW w:w="56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5D43D7C" w14:textId="77777777" w:rsidR="00327C65" w:rsidRPr="003A115E" w:rsidRDefault="00327C65" w:rsidP="00540533">
            <w:pPr>
              <w:pStyle w:val="cuatexto"/>
              <w:jc w:val="right"/>
            </w:pPr>
            <w:r w:rsidRPr="003A115E">
              <w:t>-6,56</w:t>
            </w:r>
          </w:p>
        </w:tc>
        <w:tc>
          <w:tcPr>
            <w:tcW w:w="59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A477784" w14:textId="77777777" w:rsidR="00327C65" w:rsidRPr="003A115E" w:rsidRDefault="00327C65" w:rsidP="00540533">
            <w:pPr>
              <w:pStyle w:val="cuatexto"/>
              <w:jc w:val="right"/>
            </w:pPr>
            <w:r w:rsidRPr="003A115E">
              <w:t>-4</w:t>
            </w:r>
          </w:p>
        </w:tc>
        <w:tc>
          <w:tcPr>
            <w:tcW w:w="480" w:type="pct"/>
            <w:tcBorders>
              <w:top w:val="single" w:sz="2" w:space="0" w:color="000000" w:themeColor="text1"/>
              <w:left w:val="single" w:sz="2" w:space="0" w:color="000000" w:themeColor="text1"/>
              <w:bottom w:val="single" w:sz="2" w:space="0" w:color="000000" w:themeColor="text1"/>
            </w:tcBorders>
            <w:shd w:val="clear" w:color="auto" w:fill="auto"/>
            <w:vAlign w:val="center"/>
            <w:hideMark/>
          </w:tcPr>
          <w:p w14:paraId="2B8E3371" w14:textId="77777777" w:rsidR="00327C65" w:rsidRPr="003A115E" w:rsidRDefault="00327C65" w:rsidP="00540533">
            <w:pPr>
              <w:pStyle w:val="cuatexto"/>
              <w:jc w:val="right"/>
            </w:pPr>
            <w:r w:rsidRPr="003A115E">
              <w:t>174,25</w:t>
            </w:r>
          </w:p>
        </w:tc>
      </w:tr>
      <w:tr w:rsidR="000A742F" w:rsidRPr="003A115E" w14:paraId="3BAB6BD2" w14:textId="77777777" w:rsidTr="00AC6594">
        <w:trPr>
          <w:trHeight w:val="198"/>
        </w:trPr>
        <w:tc>
          <w:tcPr>
            <w:tcW w:w="1268" w:type="pct"/>
            <w:tcBorders>
              <w:top w:val="single" w:sz="2" w:space="0" w:color="000000" w:themeColor="text1"/>
              <w:bottom w:val="single" w:sz="2" w:space="0" w:color="000000" w:themeColor="text1"/>
            </w:tcBorders>
            <w:shd w:val="clear" w:color="auto" w:fill="auto"/>
            <w:vAlign w:val="center"/>
            <w:hideMark/>
          </w:tcPr>
          <w:p w14:paraId="194D40EA" w14:textId="77777777" w:rsidR="00071899" w:rsidRDefault="00327C65" w:rsidP="0186A00D">
            <w:pPr>
              <w:pStyle w:val="cuatexto"/>
              <w:rPr>
                <w:lang w:val="es-ES"/>
              </w:rPr>
            </w:pPr>
            <w:r w:rsidRPr="003A115E">
              <w:rPr>
                <w:lang w:val="es-ES"/>
              </w:rPr>
              <w:t>7   Transferencias de</w:t>
            </w:r>
          </w:p>
          <w:p w14:paraId="17E75E94" w14:textId="4B2659BB" w:rsidR="00327C65" w:rsidRPr="003A115E" w:rsidRDefault="00327C65" w:rsidP="00071899">
            <w:pPr>
              <w:pStyle w:val="cuatexto"/>
              <w:ind w:left="217"/>
              <w:rPr>
                <w:lang w:val="es-ES"/>
              </w:rPr>
            </w:pPr>
            <w:r w:rsidRPr="003A115E">
              <w:rPr>
                <w:lang w:val="es-ES"/>
              </w:rPr>
              <w:t xml:space="preserve"> capital</w:t>
            </w:r>
          </w:p>
        </w:tc>
        <w:tc>
          <w:tcPr>
            <w:tcW w:w="574" w:type="pct"/>
            <w:tcBorders>
              <w:top w:val="single" w:sz="2" w:space="0" w:color="000000" w:themeColor="text1"/>
              <w:bottom w:val="single" w:sz="2" w:space="0" w:color="000000" w:themeColor="text1"/>
              <w:right w:val="single" w:sz="2" w:space="0" w:color="000000" w:themeColor="text1"/>
            </w:tcBorders>
            <w:shd w:val="clear" w:color="auto" w:fill="auto"/>
            <w:vAlign w:val="center"/>
            <w:hideMark/>
          </w:tcPr>
          <w:p w14:paraId="22240AB1" w14:textId="77777777" w:rsidR="00327C65" w:rsidRPr="003A115E" w:rsidRDefault="00327C65" w:rsidP="00540533">
            <w:pPr>
              <w:pStyle w:val="cuatexto"/>
              <w:jc w:val="right"/>
            </w:pPr>
            <w:r w:rsidRPr="003A115E">
              <w:t>24,92</w:t>
            </w:r>
          </w:p>
        </w:tc>
        <w:tc>
          <w:tcPr>
            <w:tcW w:w="55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5BBAE13F" w14:textId="77777777" w:rsidR="00327C65" w:rsidRPr="003A115E" w:rsidRDefault="00327C65" w:rsidP="00540533">
            <w:pPr>
              <w:pStyle w:val="cuatexto"/>
              <w:jc w:val="right"/>
            </w:pPr>
            <w:r w:rsidRPr="003A115E">
              <w:t>17,70</w:t>
            </w:r>
          </w:p>
        </w:tc>
        <w:tc>
          <w:tcPr>
            <w:tcW w:w="56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B600987" w14:textId="77777777" w:rsidR="00327C65" w:rsidRPr="003A115E" w:rsidRDefault="00327C65" w:rsidP="00540533">
            <w:pPr>
              <w:pStyle w:val="cuatexto"/>
              <w:jc w:val="right"/>
            </w:pPr>
            <w:r w:rsidRPr="003A115E">
              <w:t>1,8</w:t>
            </w:r>
          </w:p>
        </w:tc>
        <w:tc>
          <w:tcPr>
            <w:tcW w:w="4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1E5A3924" w14:textId="77777777" w:rsidR="00327C65" w:rsidRPr="003A115E" w:rsidRDefault="00327C65" w:rsidP="00540533">
            <w:pPr>
              <w:pStyle w:val="cuatexto"/>
              <w:jc w:val="right"/>
            </w:pPr>
            <w:r w:rsidRPr="003A115E">
              <w:t>71</w:t>
            </w:r>
          </w:p>
        </w:tc>
        <w:tc>
          <w:tcPr>
            <w:tcW w:w="56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64EDD4B" w14:textId="77777777" w:rsidR="00327C65" w:rsidRPr="003A115E" w:rsidRDefault="00327C65" w:rsidP="00540533">
            <w:pPr>
              <w:pStyle w:val="cuatexto"/>
              <w:jc w:val="right"/>
            </w:pPr>
            <w:r w:rsidRPr="003A115E">
              <w:t>0,20</w:t>
            </w:r>
          </w:p>
        </w:tc>
        <w:tc>
          <w:tcPr>
            <w:tcW w:w="59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1A8C371A" w14:textId="77777777" w:rsidR="00327C65" w:rsidRPr="003A115E" w:rsidRDefault="00327C65" w:rsidP="00540533">
            <w:pPr>
              <w:pStyle w:val="cuatexto"/>
              <w:jc w:val="right"/>
            </w:pPr>
            <w:r w:rsidRPr="003A115E">
              <w:t>1</w:t>
            </w:r>
          </w:p>
        </w:tc>
        <w:tc>
          <w:tcPr>
            <w:tcW w:w="480" w:type="pct"/>
            <w:tcBorders>
              <w:top w:val="single" w:sz="2" w:space="0" w:color="000000" w:themeColor="text1"/>
              <w:left w:val="single" w:sz="2" w:space="0" w:color="000000" w:themeColor="text1"/>
              <w:bottom w:val="single" w:sz="2" w:space="0" w:color="000000" w:themeColor="text1"/>
            </w:tcBorders>
            <w:shd w:val="clear" w:color="auto" w:fill="auto"/>
            <w:vAlign w:val="center"/>
            <w:hideMark/>
          </w:tcPr>
          <w:p w14:paraId="340EED1E" w14:textId="77777777" w:rsidR="00327C65" w:rsidRPr="003A115E" w:rsidRDefault="00327C65" w:rsidP="00540533">
            <w:pPr>
              <w:pStyle w:val="cuatexto"/>
              <w:jc w:val="right"/>
            </w:pPr>
            <w:r w:rsidRPr="003A115E">
              <w:t>17,70</w:t>
            </w:r>
          </w:p>
        </w:tc>
      </w:tr>
      <w:tr w:rsidR="000A742F" w:rsidRPr="003A115E" w14:paraId="69E35157" w14:textId="77777777" w:rsidTr="00AC6594">
        <w:trPr>
          <w:trHeight w:val="198"/>
        </w:trPr>
        <w:tc>
          <w:tcPr>
            <w:tcW w:w="1268" w:type="pct"/>
            <w:tcBorders>
              <w:top w:val="single" w:sz="2" w:space="0" w:color="000000" w:themeColor="text1"/>
              <w:bottom w:val="single" w:sz="2" w:space="0" w:color="000000" w:themeColor="text1"/>
            </w:tcBorders>
            <w:shd w:val="clear" w:color="auto" w:fill="auto"/>
            <w:vAlign w:val="center"/>
            <w:hideMark/>
          </w:tcPr>
          <w:p w14:paraId="3A541B8D" w14:textId="33AD8AAE" w:rsidR="00327C65" w:rsidRPr="003A115E" w:rsidRDefault="00327C65" w:rsidP="00540533">
            <w:pPr>
              <w:pStyle w:val="cuatexto"/>
              <w:rPr>
                <w:b/>
                <w:bCs/>
                <w:i/>
                <w:iCs/>
              </w:rPr>
            </w:pPr>
            <w:r w:rsidRPr="003A115E">
              <w:rPr>
                <w:b/>
                <w:bCs/>
                <w:i/>
                <w:iCs/>
              </w:rPr>
              <w:t>Operaciones de capital</w:t>
            </w:r>
          </w:p>
        </w:tc>
        <w:tc>
          <w:tcPr>
            <w:tcW w:w="574" w:type="pct"/>
            <w:tcBorders>
              <w:top w:val="single" w:sz="2" w:space="0" w:color="000000" w:themeColor="text1"/>
              <w:bottom w:val="single" w:sz="2" w:space="0" w:color="000000" w:themeColor="text1"/>
              <w:right w:val="single" w:sz="2" w:space="0" w:color="000000" w:themeColor="text1"/>
            </w:tcBorders>
            <w:shd w:val="clear" w:color="auto" w:fill="auto"/>
            <w:vAlign w:val="center"/>
            <w:hideMark/>
          </w:tcPr>
          <w:p w14:paraId="47B1B5E8" w14:textId="77777777" w:rsidR="00327C65" w:rsidRPr="003A115E" w:rsidRDefault="00327C65" w:rsidP="00540533">
            <w:pPr>
              <w:pStyle w:val="cuatexto"/>
              <w:jc w:val="right"/>
              <w:rPr>
                <w:b/>
                <w:bCs/>
                <w:i/>
                <w:iCs/>
              </w:rPr>
            </w:pPr>
            <w:r w:rsidRPr="003A115E">
              <w:rPr>
                <w:b/>
                <w:bCs/>
                <w:i/>
                <w:iCs/>
              </w:rPr>
              <w:t>345,31</w:t>
            </w:r>
          </w:p>
        </w:tc>
        <w:tc>
          <w:tcPr>
            <w:tcW w:w="55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79C5C47" w14:textId="77777777" w:rsidR="00327C65" w:rsidRPr="003A115E" w:rsidRDefault="00327C65" w:rsidP="00540533">
            <w:pPr>
              <w:pStyle w:val="cuatexto"/>
              <w:jc w:val="right"/>
              <w:rPr>
                <w:b/>
                <w:i/>
              </w:rPr>
            </w:pPr>
            <w:r w:rsidRPr="003A115E">
              <w:rPr>
                <w:b/>
                <w:i/>
              </w:rPr>
              <w:t>167,55</w:t>
            </w:r>
          </w:p>
        </w:tc>
        <w:tc>
          <w:tcPr>
            <w:tcW w:w="56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148CBEDA" w14:textId="77777777" w:rsidR="00327C65" w:rsidRPr="003A115E" w:rsidRDefault="00327C65" w:rsidP="00540533">
            <w:pPr>
              <w:pStyle w:val="cuatexto"/>
              <w:jc w:val="right"/>
              <w:rPr>
                <w:b/>
                <w:bCs/>
                <w:i/>
                <w:iCs/>
              </w:rPr>
            </w:pPr>
            <w:r w:rsidRPr="003A115E">
              <w:rPr>
                <w:b/>
                <w:bCs/>
                <w:i/>
                <w:iCs/>
              </w:rPr>
              <w:t>17,4</w:t>
            </w:r>
          </w:p>
        </w:tc>
        <w:tc>
          <w:tcPr>
            <w:tcW w:w="4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682675E" w14:textId="77777777" w:rsidR="00327C65" w:rsidRPr="003A115E" w:rsidRDefault="00327C65" w:rsidP="00540533">
            <w:pPr>
              <w:pStyle w:val="cuatexto"/>
              <w:jc w:val="right"/>
              <w:rPr>
                <w:b/>
                <w:bCs/>
                <w:i/>
                <w:iCs/>
              </w:rPr>
            </w:pPr>
            <w:r w:rsidRPr="003A115E">
              <w:rPr>
                <w:b/>
                <w:bCs/>
                <w:i/>
                <w:iCs/>
              </w:rPr>
              <w:t>49</w:t>
            </w:r>
          </w:p>
        </w:tc>
        <w:tc>
          <w:tcPr>
            <w:tcW w:w="56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3C46781" w14:textId="77777777" w:rsidR="00327C65" w:rsidRPr="003A115E" w:rsidRDefault="00327C65" w:rsidP="00540533">
            <w:pPr>
              <w:pStyle w:val="cuatexto"/>
              <w:jc w:val="right"/>
              <w:rPr>
                <w:b/>
                <w:bCs/>
                <w:i/>
                <w:iCs/>
              </w:rPr>
            </w:pPr>
            <w:r w:rsidRPr="003A115E">
              <w:rPr>
                <w:b/>
                <w:bCs/>
                <w:i/>
                <w:iCs/>
              </w:rPr>
              <w:t>-6,36</w:t>
            </w:r>
          </w:p>
        </w:tc>
        <w:tc>
          <w:tcPr>
            <w:tcW w:w="59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0C37823" w14:textId="77777777" w:rsidR="00327C65" w:rsidRPr="003A115E" w:rsidRDefault="00327C65" w:rsidP="00540533">
            <w:pPr>
              <w:pStyle w:val="cuatexto"/>
              <w:jc w:val="right"/>
              <w:rPr>
                <w:b/>
                <w:bCs/>
                <w:i/>
                <w:iCs/>
              </w:rPr>
            </w:pPr>
            <w:r w:rsidRPr="003A115E">
              <w:rPr>
                <w:b/>
                <w:bCs/>
                <w:i/>
                <w:iCs/>
              </w:rPr>
              <w:t>-4</w:t>
            </w:r>
          </w:p>
        </w:tc>
        <w:tc>
          <w:tcPr>
            <w:tcW w:w="480" w:type="pct"/>
            <w:tcBorders>
              <w:top w:val="single" w:sz="2" w:space="0" w:color="000000" w:themeColor="text1"/>
              <w:left w:val="single" w:sz="2" w:space="0" w:color="000000" w:themeColor="text1"/>
              <w:bottom w:val="single" w:sz="2" w:space="0" w:color="000000" w:themeColor="text1"/>
            </w:tcBorders>
            <w:shd w:val="clear" w:color="auto" w:fill="auto"/>
            <w:vAlign w:val="center"/>
            <w:hideMark/>
          </w:tcPr>
          <w:p w14:paraId="23E38147" w14:textId="77777777" w:rsidR="00327C65" w:rsidRPr="003A115E" w:rsidRDefault="00327C65" w:rsidP="00540533">
            <w:pPr>
              <w:pStyle w:val="cuatexto"/>
              <w:jc w:val="right"/>
              <w:rPr>
                <w:b/>
                <w:i/>
              </w:rPr>
            </w:pPr>
            <w:r w:rsidRPr="003A115E">
              <w:rPr>
                <w:b/>
                <w:i/>
              </w:rPr>
              <w:t>191,96</w:t>
            </w:r>
          </w:p>
        </w:tc>
      </w:tr>
      <w:tr w:rsidR="000A742F" w:rsidRPr="003A115E" w14:paraId="0CB86F80" w14:textId="77777777" w:rsidTr="00AC6594">
        <w:trPr>
          <w:trHeight w:val="198"/>
        </w:trPr>
        <w:tc>
          <w:tcPr>
            <w:tcW w:w="1268" w:type="pct"/>
            <w:tcBorders>
              <w:top w:val="single" w:sz="2" w:space="0" w:color="000000" w:themeColor="text1"/>
              <w:bottom w:val="single" w:sz="2" w:space="0" w:color="000000" w:themeColor="text1"/>
            </w:tcBorders>
            <w:shd w:val="clear" w:color="auto" w:fill="auto"/>
            <w:vAlign w:val="center"/>
            <w:hideMark/>
          </w:tcPr>
          <w:p w14:paraId="50B45A8F" w14:textId="77777777" w:rsidR="00327C65" w:rsidRPr="003A115E" w:rsidRDefault="00327C65" w:rsidP="00540533">
            <w:pPr>
              <w:pStyle w:val="cuatexto"/>
            </w:pPr>
            <w:r w:rsidRPr="003A115E">
              <w:rPr>
                <w:lang w:val="es-ES"/>
              </w:rPr>
              <w:t>8   Activos financieros</w:t>
            </w:r>
          </w:p>
        </w:tc>
        <w:tc>
          <w:tcPr>
            <w:tcW w:w="574" w:type="pct"/>
            <w:tcBorders>
              <w:top w:val="single" w:sz="2" w:space="0" w:color="000000" w:themeColor="text1"/>
              <w:bottom w:val="single" w:sz="2" w:space="0" w:color="000000" w:themeColor="text1"/>
              <w:right w:val="single" w:sz="2" w:space="0" w:color="000000" w:themeColor="text1"/>
            </w:tcBorders>
            <w:shd w:val="clear" w:color="auto" w:fill="auto"/>
            <w:vAlign w:val="center"/>
            <w:hideMark/>
          </w:tcPr>
          <w:p w14:paraId="320305A1" w14:textId="77777777" w:rsidR="00327C65" w:rsidRPr="003A115E" w:rsidRDefault="00327C65" w:rsidP="00540533">
            <w:pPr>
              <w:pStyle w:val="cuatexto"/>
              <w:jc w:val="right"/>
            </w:pPr>
            <w:r w:rsidRPr="003A115E">
              <w:t>0,60</w:t>
            </w:r>
          </w:p>
        </w:tc>
        <w:tc>
          <w:tcPr>
            <w:tcW w:w="55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8FBB79F" w14:textId="77777777" w:rsidR="00327C65" w:rsidRPr="003A115E" w:rsidRDefault="00327C65" w:rsidP="00540533">
            <w:pPr>
              <w:pStyle w:val="cuatexto"/>
              <w:jc w:val="right"/>
            </w:pPr>
            <w:r w:rsidRPr="003A115E">
              <w:t>1,29</w:t>
            </w:r>
          </w:p>
        </w:tc>
        <w:tc>
          <w:tcPr>
            <w:tcW w:w="56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BC02934" w14:textId="77777777" w:rsidR="00327C65" w:rsidRPr="003A115E" w:rsidRDefault="00327C65" w:rsidP="00540533">
            <w:pPr>
              <w:pStyle w:val="cuatexto"/>
              <w:jc w:val="right"/>
            </w:pPr>
            <w:r w:rsidRPr="003A115E">
              <w:t>0,1</w:t>
            </w:r>
          </w:p>
        </w:tc>
        <w:tc>
          <w:tcPr>
            <w:tcW w:w="4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5F96C96" w14:textId="77777777" w:rsidR="00327C65" w:rsidRPr="003A115E" w:rsidRDefault="00327C65" w:rsidP="00540533">
            <w:pPr>
              <w:pStyle w:val="cuatexto"/>
              <w:jc w:val="right"/>
            </w:pPr>
            <w:r w:rsidRPr="003A115E">
              <w:t>214</w:t>
            </w:r>
          </w:p>
        </w:tc>
        <w:tc>
          <w:tcPr>
            <w:tcW w:w="56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4CC76EEA" w14:textId="77777777" w:rsidR="00327C65" w:rsidRPr="003A115E" w:rsidRDefault="00327C65" w:rsidP="00540533">
            <w:pPr>
              <w:pStyle w:val="cuatexto"/>
              <w:jc w:val="right"/>
            </w:pPr>
            <w:r w:rsidRPr="003A115E">
              <w:t>0,48</w:t>
            </w:r>
          </w:p>
        </w:tc>
        <w:tc>
          <w:tcPr>
            <w:tcW w:w="59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19F6D83C" w14:textId="77777777" w:rsidR="00327C65" w:rsidRPr="003A115E" w:rsidRDefault="00327C65" w:rsidP="00540533">
            <w:pPr>
              <w:pStyle w:val="cuatexto"/>
              <w:jc w:val="right"/>
            </w:pPr>
            <w:r w:rsidRPr="003A115E">
              <w:t>60</w:t>
            </w:r>
          </w:p>
        </w:tc>
        <w:tc>
          <w:tcPr>
            <w:tcW w:w="480" w:type="pct"/>
            <w:tcBorders>
              <w:top w:val="single" w:sz="2" w:space="0" w:color="000000" w:themeColor="text1"/>
              <w:left w:val="single" w:sz="2" w:space="0" w:color="000000" w:themeColor="text1"/>
              <w:bottom w:val="single" w:sz="2" w:space="0" w:color="000000" w:themeColor="text1"/>
            </w:tcBorders>
            <w:shd w:val="clear" w:color="auto" w:fill="auto"/>
            <w:vAlign w:val="center"/>
            <w:hideMark/>
          </w:tcPr>
          <w:p w14:paraId="3B3C2085" w14:textId="77777777" w:rsidR="00327C65" w:rsidRPr="003A115E" w:rsidRDefault="00327C65" w:rsidP="00540533">
            <w:pPr>
              <w:pStyle w:val="cuatexto"/>
              <w:jc w:val="right"/>
            </w:pPr>
            <w:r w:rsidRPr="003A115E">
              <w:t>1,29</w:t>
            </w:r>
          </w:p>
        </w:tc>
      </w:tr>
      <w:tr w:rsidR="00647395" w:rsidRPr="003A115E" w14:paraId="67FBFA39" w14:textId="77777777" w:rsidTr="00AC6594">
        <w:trPr>
          <w:trHeight w:val="198"/>
        </w:trPr>
        <w:tc>
          <w:tcPr>
            <w:tcW w:w="1268" w:type="pct"/>
            <w:tcBorders>
              <w:top w:val="single" w:sz="2" w:space="0" w:color="000000" w:themeColor="text1"/>
              <w:bottom w:val="single" w:sz="2" w:space="0" w:color="000000" w:themeColor="text1"/>
            </w:tcBorders>
            <w:shd w:val="clear" w:color="auto" w:fill="auto"/>
            <w:vAlign w:val="center"/>
            <w:hideMark/>
          </w:tcPr>
          <w:p w14:paraId="1A9A4B88" w14:textId="77777777" w:rsidR="00327C65" w:rsidRPr="003A115E" w:rsidRDefault="00327C65" w:rsidP="00540533">
            <w:pPr>
              <w:pStyle w:val="cuatexto"/>
            </w:pPr>
            <w:r w:rsidRPr="003A115E">
              <w:rPr>
                <w:lang w:val="es-ES"/>
              </w:rPr>
              <w:t>9   Pasivos financieros</w:t>
            </w:r>
          </w:p>
        </w:tc>
        <w:tc>
          <w:tcPr>
            <w:tcW w:w="574" w:type="pct"/>
            <w:tcBorders>
              <w:top w:val="single" w:sz="2" w:space="0" w:color="000000" w:themeColor="text1"/>
              <w:bottom w:val="single" w:sz="2" w:space="0" w:color="000000" w:themeColor="text1"/>
              <w:right w:val="single" w:sz="2" w:space="0" w:color="000000" w:themeColor="text1"/>
            </w:tcBorders>
            <w:shd w:val="clear" w:color="auto" w:fill="auto"/>
            <w:vAlign w:val="center"/>
            <w:hideMark/>
          </w:tcPr>
          <w:p w14:paraId="2C506591" w14:textId="77777777" w:rsidR="00327C65" w:rsidRPr="003A115E" w:rsidRDefault="00327C65" w:rsidP="00540533">
            <w:pPr>
              <w:pStyle w:val="cuatexto"/>
              <w:jc w:val="right"/>
            </w:pPr>
            <w:r w:rsidRPr="003A115E">
              <w:t>20,13</w:t>
            </w:r>
          </w:p>
        </w:tc>
        <w:tc>
          <w:tcPr>
            <w:tcW w:w="55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3553841" w14:textId="77777777" w:rsidR="00327C65" w:rsidRPr="003A115E" w:rsidRDefault="00327C65" w:rsidP="00540533">
            <w:pPr>
              <w:pStyle w:val="cuatexto"/>
              <w:jc w:val="right"/>
            </w:pPr>
            <w:r w:rsidRPr="003A115E">
              <w:t>20,13</w:t>
            </w:r>
          </w:p>
        </w:tc>
        <w:tc>
          <w:tcPr>
            <w:tcW w:w="56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175BE185" w14:textId="77777777" w:rsidR="00327C65" w:rsidRPr="003A115E" w:rsidRDefault="00327C65" w:rsidP="00540533">
            <w:pPr>
              <w:pStyle w:val="cuatexto"/>
              <w:jc w:val="right"/>
            </w:pPr>
            <w:r w:rsidRPr="003A115E">
              <w:t>2,1</w:t>
            </w:r>
          </w:p>
        </w:tc>
        <w:tc>
          <w:tcPr>
            <w:tcW w:w="4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AE75EDE" w14:textId="77777777" w:rsidR="00327C65" w:rsidRPr="003A115E" w:rsidRDefault="00327C65" w:rsidP="00540533">
            <w:pPr>
              <w:pStyle w:val="cuatexto"/>
              <w:jc w:val="right"/>
            </w:pPr>
            <w:r w:rsidRPr="003A115E">
              <w:t>100</w:t>
            </w:r>
          </w:p>
        </w:tc>
        <w:tc>
          <w:tcPr>
            <w:tcW w:w="56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592F434A" w14:textId="77777777" w:rsidR="00327C65" w:rsidRPr="003A115E" w:rsidRDefault="00327C65" w:rsidP="00540533">
            <w:pPr>
              <w:pStyle w:val="cuatexto"/>
              <w:jc w:val="right"/>
            </w:pPr>
            <w:r w:rsidRPr="003A115E">
              <w:t>-5,03</w:t>
            </w:r>
          </w:p>
        </w:tc>
        <w:tc>
          <w:tcPr>
            <w:tcW w:w="59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5354328" w14:textId="77777777" w:rsidR="00327C65" w:rsidRPr="003A115E" w:rsidRDefault="00327C65" w:rsidP="00540533">
            <w:pPr>
              <w:pStyle w:val="cuatexto"/>
              <w:jc w:val="right"/>
            </w:pPr>
            <w:r w:rsidRPr="003A115E">
              <w:t>-20</w:t>
            </w:r>
          </w:p>
        </w:tc>
        <w:tc>
          <w:tcPr>
            <w:tcW w:w="480" w:type="pct"/>
            <w:tcBorders>
              <w:top w:val="single" w:sz="2" w:space="0" w:color="000000" w:themeColor="text1"/>
              <w:left w:val="single" w:sz="2" w:space="0" w:color="000000" w:themeColor="text1"/>
              <w:bottom w:val="single" w:sz="2" w:space="0" w:color="000000" w:themeColor="text1"/>
            </w:tcBorders>
            <w:shd w:val="clear" w:color="auto" w:fill="auto"/>
            <w:vAlign w:val="center"/>
            <w:hideMark/>
          </w:tcPr>
          <w:p w14:paraId="108C0DD9" w14:textId="77777777" w:rsidR="00327C65" w:rsidRPr="003A115E" w:rsidRDefault="00327C65" w:rsidP="00540533">
            <w:pPr>
              <w:pStyle w:val="cuatexto"/>
              <w:jc w:val="right"/>
            </w:pPr>
            <w:r w:rsidRPr="003A115E">
              <w:t>20,13</w:t>
            </w:r>
          </w:p>
        </w:tc>
      </w:tr>
      <w:tr w:rsidR="00647395" w:rsidRPr="003A115E" w14:paraId="68A52D85" w14:textId="77777777" w:rsidTr="00AC6594">
        <w:trPr>
          <w:trHeight w:val="198"/>
        </w:trPr>
        <w:tc>
          <w:tcPr>
            <w:tcW w:w="1268" w:type="pct"/>
            <w:tcBorders>
              <w:top w:val="single" w:sz="2" w:space="0" w:color="000000" w:themeColor="text1"/>
              <w:left w:val="nil"/>
              <w:bottom w:val="single" w:sz="4" w:space="0" w:color="000000" w:themeColor="text1"/>
              <w:right w:val="nil"/>
            </w:tcBorders>
            <w:shd w:val="clear" w:color="auto" w:fill="auto"/>
            <w:vAlign w:val="center"/>
            <w:hideMark/>
          </w:tcPr>
          <w:p w14:paraId="48BB45FB" w14:textId="23AE0CCE" w:rsidR="00327C65" w:rsidRPr="003A115E" w:rsidRDefault="00327C65" w:rsidP="00540533">
            <w:pPr>
              <w:pStyle w:val="cuatexto"/>
              <w:rPr>
                <w:b/>
                <w:bCs/>
                <w:i/>
                <w:iCs/>
              </w:rPr>
            </w:pPr>
            <w:r w:rsidRPr="003A115E">
              <w:rPr>
                <w:b/>
                <w:bCs/>
                <w:i/>
                <w:iCs/>
              </w:rPr>
              <w:t>Operaciones financieras</w:t>
            </w:r>
          </w:p>
        </w:tc>
        <w:tc>
          <w:tcPr>
            <w:tcW w:w="574" w:type="pct"/>
            <w:tcBorders>
              <w:top w:val="single" w:sz="2" w:space="0" w:color="000000" w:themeColor="text1"/>
              <w:left w:val="nil"/>
              <w:bottom w:val="single" w:sz="4" w:space="0" w:color="000000" w:themeColor="text1"/>
              <w:right w:val="single" w:sz="2" w:space="0" w:color="000000" w:themeColor="text1"/>
            </w:tcBorders>
            <w:shd w:val="clear" w:color="auto" w:fill="auto"/>
            <w:vAlign w:val="center"/>
            <w:hideMark/>
          </w:tcPr>
          <w:p w14:paraId="53788FE4" w14:textId="77777777" w:rsidR="00327C65" w:rsidRPr="003A115E" w:rsidRDefault="00327C65" w:rsidP="00540533">
            <w:pPr>
              <w:pStyle w:val="cuatexto"/>
              <w:jc w:val="right"/>
              <w:rPr>
                <w:b/>
                <w:i/>
              </w:rPr>
            </w:pPr>
            <w:r w:rsidRPr="003A115E">
              <w:rPr>
                <w:b/>
                <w:i/>
              </w:rPr>
              <w:t>20,73</w:t>
            </w:r>
          </w:p>
        </w:tc>
        <w:tc>
          <w:tcPr>
            <w:tcW w:w="556" w:type="pct"/>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auto"/>
            <w:vAlign w:val="center"/>
            <w:hideMark/>
          </w:tcPr>
          <w:p w14:paraId="5334F245" w14:textId="77777777" w:rsidR="00327C65" w:rsidRPr="003A115E" w:rsidRDefault="00327C65" w:rsidP="00540533">
            <w:pPr>
              <w:pStyle w:val="cuatexto"/>
              <w:jc w:val="right"/>
              <w:rPr>
                <w:b/>
                <w:i/>
              </w:rPr>
            </w:pPr>
            <w:r w:rsidRPr="003A115E">
              <w:rPr>
                <w:b/>
                <w:i/>
              </w:rPr>
              <w:t>21,43</w:t>
            </w:r>
          </w:p>
        </w:tc>
        <w:tc>
          <w:tcPr>
            <w:tcW w:w="565" w:type="pct"/>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auto"/>
            <w:vAlign w:val="center"/>
            <w:hideMark/>
          </w:tcPr>
          <w:p w14:paraId="313F361B" w14:textId="77777777" w:rsidR="00327C65" w:rsidRPr="003A115E" w:rsidRDefault="00327C65" w:rsidP="00540533">
            <w:pPr>
              <w:pStyle w:val="cuatexto"/>
              <w:jc w:val="right"/>
              <w:rPr>
                <w:b/>
                <w:bCs/>
                <w:i/>
                <w:iCs/>
              </w:rPr>
            </w:pPr>
            <w:r w:rsidRPr="003A115E">
              <w:rPr>
                <w:b/>
                <w:bCs/>
                <w:i/>
                <w:iCs/>
              </w:rPr>
              <w:t>2,2</w:t>
            </w:r>
          </w:p>
        </w:tc>
        <w:tc>
          <w:tcPr>
            <w:tcW w:w="400" w:type="pct"/>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auto"/>
            <w:vAlign w:val="center"/>
            <w:hideMark/>
          </w:tcPr>
          <w:p w14:paraId="610B7902" w14:textId="77777777" w:rsidR="00327C65" w:rsidRPr="003A115E" w:rsidRDefault="00327C65" w:rsidP="00540533">
            <w:pPr>
              <w:pStyle w:val="cuatexto"/>
              <w:jc w:val="right"/>
              <w:rPr>
                <w:b/>
                <w:bCs/>
                <w:i/>
                <w:iCs/>
              </w:rPr>
            </w:pPr>
            <w:r w:rsidRPr="003A115E">
              <w:rPr>
                <w:b/>
                <w:bCs/>
                <w:i/>
                <w:iCs/>
              </w:rPr>
              <w:t>103</w:t>
            </w:r>
          </w:p>
        </w:tc>
        <w:tc>
          <w:tcPr>
            <w:tcW w:w="560" w:type="pct"/>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auto"/>
            <w:vAlign w:val="center"/>
            <w:hideMark/>
          </w:tcPr>
          <w:p w14:paraId="102E1B58" w14:textId="77777777" w:rsidR="00327C65" w:rsidRPr="003A115E" w:rsidRDefault="00327C65" w:rsidP="00540533">
            <w:pPr>
              <w:pStyle w:val="cuatexto"/>
              <w:jc w:val="right"/>
              <w:rPr>
                <w:b/>
                <w:bCs/>
                <w:i/>
                <w:iCs/>
              </w:rPr>
            </w:pPr>
            <w:r w:rsidRPr="003A115E">
              <w:rPr>
                <w:b/>
                <w:bCs/>
                <w:i/>
                <w:iCs/>
              </w:rPr>
              <w:t>-4,55</w:t>
            </w:r>
          </w:p>
        </w:tc>
        <w:tc>
          <w:tcPr>
            <w:tcW w:w="598" w:type="pct"/>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auto"/>
            <w:vAlign w:val="center"/>
            <w:hideMark/>
          </w:tcPr>
          <w:p w14:paraId="53DBBBBC" w14:textId="77777777" w:rsidR="00327C65" w:rsidRPr="003A115E" w:rsidRDefault="00327C65" w:rsidP="00540533">
            <w:pPr>
              <w:pStyle w:val="cuatexto"/>
              <w:jc w:val="right"/>
              <w:rPr>
                <w:b/>
                <w:bCs/>
                <w:i/>
                <w:iCs/>
              </w:rPr>
            </w:pPr>
            <w:r w:rsidRPr="003A115E">
              <w:rPr>
                <w:b/>
                <w:bCs/>
                <w:i/>
                <w:iCs/>
              </w:rPr>
              <w:t>-18</w:t>
            </w:r>
          </w:p>
        </w:tc>
        <w:tc>
          <w:tcPr>
            <w:tcW w:w="480" w:type="pct"/>
            <w:tcBorders>
              <w:top w:val="single" w:sz="2" w:space="0" w:color="000000" w:themeColor="text1"/>
              <w:left w:val="single" w:sz="2" w:space="0" w:color="000000" w:themeColor="text1"/>
              <w:bottom w:val="single" w:sz="4" w:space="0" w:color="auto"/>
            </w:tcBorders>
            <w:shd w:val="clear" w:color="auto" w:fill="auto"/>
            <w:vAlign w:val="center"/>
            <w:hideMark/>
          </w:tcPr>
          <w:p w14:paraId="21CDA0F9" w14:textId="77777777" w:rsidR="00327C65" w:rsidRPr="003A115E" w:rsidRDefault="00327C65" w:rsidP="00540533">
            <w:pPr>
              <w:pStyle w:val="cuatexto"/>
              <w:jc w:val="right"/>
              <w:rPr>
                <w:b/>
                <w:i/>
              </w:rPr>
            </w:pPr>
            <w:r w:rsidRPr="003A115E">
              <w:rPr>
                <w:b/>
                <w:i/>
              </w:rPr>
              <w:t>21,43</w:t>
            </w:r>
          </w:p>
        </w:tc>
      </w:tr>
      <w:tr w:rsidR="00647395" w:rsidRPr="00180CF4" w14:paraId="33BB7A94" w14:textId="77777777" w:rsidTr="00AC6594">
        <w:trPr>
          <w:trHeight w:val="255"/>
        </w:trPr>
        <w:tc>
          <w:tcPr>
            <w:tcW w:w="1268"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23D048F2" w14:textId="672DFB46" w:rsidR="00327C65" w:rsidRPr="00180CF4" w:rsidRDefault="00327C65" w:rsidP="00540533">
            <w:pPr>
              <w:pStyle w:val="cuadroCabe"/>
              <w:rPr>
                <w:sz w:val="17"/>
                <w:szCs w:val="17"/>
              </w:rPr>
            </w:pPr>
            <w:r w:rsidRPr="00180CF4">
              <w:rPr>
                <w:sz w:val="17"/>
                <w:szCs w:val="17"/>
              </w:rPr>
              <w:t>Total</w:t>
            </w:r>
          </w:p>
        </w:tc>
        <w:tc>
          <w:tcPr>
            <w:tcW w:w="574" w:type="pct"/>
            <w:tcBorders>
              <w:top w:val="single" w:sz="4" w:space="0" w:color="000000" w:themeColor="text1"/>
              <w:left w:val="nil"/>
              <w:bottom w:val="single" w:sz="4" w:space="0" w:color="000000" w:themeColor="text1"/>
              <w:right w:val="single" w:sz="2" w:space="0" w:color="000000" w:themeColor="text1"/>
            </w:tcBorders>
            <w:shd w:val="clear" w:color="auto" w:fill="FABF8F" w:themeFill="accent6" w:themeFillTint="99"/>
            <w:vAlign w:val="center"/>
            <w:hideMark/>
          </w:tcPr>
          <w:p w14:paraId="088B2889" w14:textId="77777777" w:rsidR="00327C65" w:rsidRPr="00180CF4" w:rsidRDefault="00327C65" w:rsidP="00540533">
            <w:pPr>
              <w:pStyle w:val="cuadroCabe"/>
              <w:jc w:val="right"/>
              <w:rPr>
                <w:sz w:val="17"/>
                <w:szCs w:val="17"/>
              </w:rPr>
            </w:pPr>
            <w:r w:rsidRPr="00180CF4">
              <w:rPr>
                <w:sz w:val="17"/>
                <w:szCs w:val="17"/>
              </w:rPr>
              <w:t>1.177,05</w:t>
            </w:r>
          </w:p>
        </w:tc>
        <w:tc>
          <w:tcPr>
            <w:tcW w:w="556" w:type="pct"/>
            <w:tcBorders>
              <w:top w:val="single" w:sz="4" w:space="0" w:color="000000" w:themeColor="text1"/>
              <w:left w:val="single" w:sz="2" w:space="0" w:color="000000" w:themeColor="text1"/>
              <w:bottom w:val="single" w:sz="4" w:space="0" w:color="000000" w:themeColor="text1"/>
              <w:right w:val="single" w:sz="2" w:space="0" w:color="000000" w:themeColor="text1"/>
            </w:tcBorders>
            <w:shd w:val="clear" w:color="auto" w:fill="FABF8F" w:themeFill="accent6" w:themeFillTint="99"/>
            <w:vAlign w:val="center"/>
            <w:hideMark/>
          </w:tcPr>
          <w:p w14:paraId="5D9EC139" w14:textId="77777777" w:rsidR="00327C65" w:rsidRPr="00180CF4" w:rsidRDefault="00327C65" w:rsidP="00540533">
            <w:pPr>
              <w:pStyle w:val="cuadroCabe"/>
              <w:jc w:val="right"/>
              <w:rPr>
                <w:sz w:val="17"/>
                <w:szCs w:val="17"/>
              </w:rPr>
            </w:pPr>
            <w:r w:rsidRPr="00180CF4">
              <w:rPr>
                <w:sz w:val="17"/>
                <w:szCs w:val="17"/>
              </w:rPr>
              <w:t>964,66</w:t>
            </w:r>
          </w:p>
        </w:tc>
        <w:tc>
          <w:tcPr>
            <w:tcW w:w="565" w:type="pct"/>
            <w:tcBorders>
              <w:top w:val="single" w:sz="4" w:space="0" w:color="000000" w:themeColor="text1"/>
              <w:left w:val="single" w:sz="2" w:space="0" w:color="000000" w:themeColor="text1"/>
              <w:bottom w:val="single" w:sz="4" w:space="0" w:color="000000" w:themeColor="text1"/>
              <w:right w:val="single" w:sz="2" w:space="0" w:color="000000" w:themeColor="text1"/>
            </w:tcBorders>
            <w:shd w:val="clear" w:color="auto" w:fill="FABF8F" w:themeFill="accent6" w:themeFillTint="99"/>
            <w:vAlign w:val="center"/>
            <w:hideMark/>
          </w:tcPr>
          <w:p w14:paraId="2E677D0D" w14:textId="77777777" w:rsidR="00327C65" w:rsidRPr="00180CF4" w:rsidRDefault="00327C65" w:rsidP="00540533">
            <w:pPr>
              <w:pStyle w:val="cuadroCabe"/>
              <w:jc w:val="right"/>
              <w:rPr>
                <w:sz w:val="17"/>
                <w:szCs w:val="17"/>
              </w:rPr>
            </w:pPr>
            <w:r w:rsidRPr="00180CF4">
              <w:rPr>
                <w:sz w:val="17"/>
                <w:szCs w:val="17"/>
              </w:rPr>
              <w:t>100</w:t>
            </w:r>
          </w:p>
        </w:tc>
        <w:tc>
          <w:tcPr>
            <w:tcW w:w="400" w:type="pct"/>
            <w:tcBorders>
              <w:top w:val="single" w:sz="4" w:space="0" w:color="000000" w:themeColor="text1"/>
              <w:left w:val="single" w:sz="2" w:space="0" w:color="000000" w:themeColor="text1"/>
              <w:bottom w:val="single" w:sz="4" w:space="0" w:color="000000" w:themeColor="text1"/>
              <w:right w:val="single" w:sz="2" w:space="0" w:color="000000" w:themeColor="text1"/>
            </w:tcBorders>
            <w:shd w:val="clear" w:color="auto" w:fill="FABF8F" w:themeFill="accent6" w:themeFillTint="99"/>
            <w:vAlign w:val="center"/>
            <w:hideMark/>
          </w:tcPr>
          <w:p w14:paraId="5335314A" w14:textId="77777777" w:rsidR="00327C65" w:rsidRPr="00180CF4" w:rsidRDefault="00327C65" w:rsidP="00540533">
            <w:pPr>
              <w:pStyle w:val="cuadroCabe"/>
              <w:jc w:val="right"/>
              <w:rPr>
                <w:sz w:val="17"/>
                <w:szCs w:val="17"/>
              </w:rPr>
            </w:pPr>
            <w:r w:rsidRPr="00180CF4">
              <w:rPr>
                <w:sz w:val="17"/>
                <w:szCs w:val="17"/>
              </w:rPr>
              <w:t>82</w:t>
            </w:r>
          </w:p>
        </w:tc>
        <w:tc>
          <w:tcPr>
            <w:tcW w:w="560" w:type="pct"/>
            <w:tcBorders>
              <w:top w:val="single" w:sz="4" w:space="0" w:color="000000" w:themeColor="text1"/>
              <w:left w:val="single" w:sz="2" w:space="0" w:color="000000" w:themeColor="text1"/>
              <w:bottom w:val="single" w:sz="4" w:space="0" w:color="000000" w:themeColor="text1"/>
              <w:right w:val="single" w:sz="2" w:space="0" w:color="000000" w:themeColor="text1"/>
            </w:tcBorders>
            <w:shd w:val="clear" w:color="auto" w:fill="FABF8F" w:themeFill="accent6" w:themeFillTint="99"/>
            <w:vAlign w:val="center"/>
            <w:hideMark/>
          </w:tcPr>
          <w:p w14:paraId="3AB0CE5B" w14:textId="77777777" w:rsidR="00327C65" w:rsidRPr="00180CF4" w:rsidRDefault="00327C65" w:rsidP="00540533">
            <w:pPr>
              <w:pStyle w:val="cuadroCabe"/>
              <w:jc w:val="right"/>
              <w:rPr>
                <w:sz w:val="17"/>
                <w:szCs w:val="17"/>
              </w:rPr>
            </w:pPr>
            <w:r w:rsidRPr="00180CF4">
              <w:rPr>
                <w:sz w:val="17"/>
                <w:szCs w:val="17"/>
              </w:rPr>
              <w:t>73,26</w:t>
            </w:r>
          </w:p>
        </w:tc>
        <w:tc>
          <w:tcPr>
            <w:tcW w:w="598" w:type="pct"/>
            <w:tcBorders>
              <w:top w:val="single" w:sz="4" w:space="0" w:color="000000" w:themeColor="text1"/>
              <w:left w:val="single" w:sz="2" w:space="0" w:color="000000" w:themeColor="text1"/>
              <w:bottom w:val="single" w:sz="4" w:space="0" w:color="000000" w:themeColor="text1"/>
              <w:right w:val="single" w:sz="2" w:space="0" w:color="000000" w:themeColor="text1"/>
            </w:tcBorders>
            <w:shd w:val="clear" w:color="auto" w:fill="FABF8F" w:themeFill="accent6" w:themeFillTint="99"/>
            <w:vAlign w:val="center"/>
            <w:hideMark/>
          </w:tcPr>
          <w:p w14:paraId="2BE9572C" w14:textId="77777777" w:rsidR="00327C65" w:rsidRPr="00180CF4" w:rsidRDefault="00327C65" w:rsidP="00540533">
            <w:pPr>
              <w:pStyle w:val="cuadroCabe"/>
              <w:jc w:val="right"/>
              <w:rPr>
                <w:sz w:val="17"/>
                <w:szCs w:val="17"/>
              </w:rPr>
            </w:pPr>
            <w:r w:rsidRPr="00180CF4">
              <w:rPr>
                <w:sz w:val="17"/>
                <w:szCs w:val="17"/>
              </w:rPr>
              <w:t>8</w:t>
            </w:r>
          </w:p>
        </w:tc>
        <w:tc>
          <w:tcPr>
            <w:tcW w:w="480" w:type="pct"/>
            <w:tcBorders>
              <w:top w:val="single" w:sz="4" w:space="0" w:color="auto"/>
              <w:left w:val="single" w:sz="2" w:space="0" w:color="000000" w:themeColor="text1"/>
              <w:bottom w:val="single" w:sz="4" w:space="0" w:color="auto"/>
            </w:tcBorders>
            <w:shd w:val="clear" w:color="auto" w:fill="FABF8F" w:themeFill="accent6" w:themeFillTint="99"/>
            <w:vAlign w:val="center"/>
            <w:hideMark/>
          </w:tcPr>
          <w:p w14:paraId="520F65A6" w14:textId="77777777" w:rsidR="00327C65" w:rsidRPr="00180CF4" w:rsidRDefault="00327C65" w:rsidP="00540533">
            <w:pPr>
              <w:pStyle w:val="cuadroCabe"/>
              <w:jc w:val="right"/>
              <w:rPr>
                <w:sz w:val="17"/>
                <w:szCs w:val="17"/>
              </w:rPr>
            </w:pPr>
            <w:r w:rsidRPr="00180CF4">
              <w:rPr>
                <w:sz w:val="17"/>
                <w:szCs w:val="17"/>
              </w:rPr>
              <w:t>1.062,76</w:t>
            </w:r>
          </w:p>
        </w:tc>
      </w:tr>
    </w:tbl>
    <w:p w14:paraId="5733EC24" w14:textId="6486149F" w:rsidR="004D3E9C" w:rsidRPr="003A115E" w:rsidRDefault="004D3E9C" w:rsidP="004D3E9C">
      <w:pPr>
        <w:pStyle w:val="texto"/>
        <w:spacing w:before="60" w:after="40"/>
        <w:ind w:right="-567" w:firstLine="0"/>
        <w:rPr>
          <w:rFonts w:ascii="Arial Narrow" w:hAnsi="Arial Narrow" w:cs="Arial"/>
          <w:i/>
          <w:sz w:val="16"/>
          <w:szCs w:val="16"/>
        </w:rPr>
      </w:pPr>
      <w:r w:rsidRPr="003A115E">
        <w:rPr>
          <w:rFonts w:ascii="Arial Narrow" w:hAnsi="Arial Narrow" w:cs="Arial"/>
          <w:sz w:val="16"/>
          <w:szCs w:val="16"/>
        </w:rPr>
        <w:t>(*)</w:t>
      </w:r>
      <w:r w:rsidR="00A774CF" w:rsidRPr="003A115E">
        <w:rPr>
          <w:rFonts w:ascii="Arial Narrow" w:hAnsi="Arial Narrow" w:cs="Arial"/>
          <w:sz w:val="16"/>
          <w:szCs w:val="16"/>
        </w:rPr>
        <w:t xml:space="preserve"> </w:t>
      </w:r>
      <w:r w:rsidR="00427735" w:rsidRPr="003A115E">
        <w:rPr>
          <w:rFonts w:ascii="Arial Narrow" w:hAnsi="Arial Narrow" w:cs="Arial"/>
          <w:sz w:val="16"/>
          <w:szCs w:val="16"/>
        </w:rPr>
        <w:t>Obligaciones reconocidas</w:t>
      </w:r>
      <w:r w:rsidR="00327C65" w:rsidRPr="003A115E">
        <w:rPr>
          <w:rFonts w:ascii="Arial Narrow" w:hAnsi="Arial Narrow" w:cs="Arial"/>
          <w:sz w:val="16"/>
          <w:szCs w:val="16"/>
        </w:rPr>
        <w:t xml:space="preserve"> consolidados con SCPSA.</w:t>
      </w:r>
    </w:p>
    <w:p w14:paraId="0ECB0B2F" w14:textId="15838D84" w:rsidR="0039394F" w:rsidRPr="003A115E" w:rsidRDefault="004D3E9C" w:rsidP="00CC28BD">
      <w:pPr>
        <w:pStyle w:val="texto"/>
        <w:spacing w:before="240"/>
        <w:rPr>
          <w:lang w:val="es-ES"/>
        </w:rPr>
      </w:pPr>
      <w:r w:rsidRPr="003A115E">
        <w:rPr>
          <w:lang w:val="es-ES"/>
        </w:rPr>
        <w:t xml:space="preserve">Los créditos definitivos ascendieron </w:t>
      </w:r>
      <w:r w:rsidR="0039394F" w:rsidRPr="003A115E">
        <w:rPr>
          <w:lang w:val="es-ES"/>
        </w:rPr>
        <w:t>a 1.</w:t>
      </w:r>
      <w:r w:rsidR="00657F21" w:rsidRPr="003A115E">
        <w:rPr>
          <w:lang w:val="es-ES"/>
        </w:rPr>
        <w:t>177,05</w:t>
      </w:r>
      <w:r w:rsidR="0039394F" w:rsidRPr="003A115E">
        <w:rPr>
          <w:lang w:val="es-ES"/>
        </w:rPr>
        <w:t xml:space="preserve"> m</w:t>
      </w:r>
      <w:r w:rsidR="00F36798" w:rsidRPr="003A115E">
        <w:rPr>
          <w:lang w:val="es-ES"/>
        </w:rPr>
        <w:t>illones y se ejecutaron en un 82</w:t>
      </w:r>
      <w:r w:rsidR="0039394F" w:rsidRPr="003A115E">
        <w:rPr>
          <w:lang w:val="es-ES"/>
        </w:rPr>
        <w:t xml:space="preserve"> por ciento. El grado de ejecución de los </w:t>
      </w:r>
      <w:r w:rsidR="00F36798" w:rsidRPr="003A115E">
        <w:rPr>
          <w:lang w:val="es-ES"/>
        </w:rPr>
        <w:t>gastos corrientes ascendió al 96</w:t>
      </w:r>
      <w:r w:rsidR="0039394F" w:rsidRPr="003A115E">
        <w:rPr>
          <w:lang w:val="es-ES"/>
        </w:rPr>
        <w:t xml:space="preserve"> por ciento, mientras que el de las o</w:t>
      </w:r>
      <w:r w:rsidR="00F36798" w:rsidRPr="003A115E">
        <w:rPr>
          <w:lang w:val="es-ES"/>
        </w:rPr>
        <w:t>peraciones de capital fue del 49</w:t>
      </w:r>
      <w:r w:rsidR="0039394F" w:rsidRPr="003A115E">
        <w:rPr>
          <w:lang w:val="es-ES"/>
        </w:rPr>
        <w:t xml:space="preserve"> por cient</w:t>
      </w:r>
      <w:r w:rsidR="001464A6" w:rsidRPr="003A115E">
        <w:rPr>
          <w:lang w:val="es-ES"/>
        </w:rPr>
        <w:t>o.</w:t>
      </w:r>
    </w:p>
    <w:p w14:paraId="2A4B9DB4" w14:textId="5ACDC196" w:rsidR="0039394F" w:rsidRPr="003A115E" w:rsidRDefault="00E72E7F" w:rsidP="0039394F">
      <w:pPr>
        <w:pStyle w:val="texto"/>
        <w:spacing w:after="120"/>
      </w:pPr>
      <w:r w:rsidRPr="003A115E">
        <w:t>El gasto total</w:t>
      </w:r>
      <w:r w:rsidR="00144A5D" w:rsidRPr="003A115E">
        <w:t xml:space="preserve"> en 2022</w:t>
      </w:r>
      <w:r w:rsidR="0039394F" w:rsidRPr="003A115E">
        <w:t xml:space="preserve"> fue de </w:t>
      </w:r>
      <w:r w:rsidR="00F626B6" w:rsidRPr="003A115E">
        <w:t>964,66</w:t>
      </w:r>
      <w:r w:rsidR="0039394F" w:rsidRPr="003A115E">
        <w:t xml:space="preserve"> millones de los que el </w:t>
      </w:r>
      <w:r w:rsidR="00B92D05" w:rsidRPr="003A115E">
        <w:t>35</w:t>
      </w:r>
      <w:r w:rsidR="0039394F" w:rsidRPr="003A115E">
        <w:t xml:space="preserve"> y el </w:t>
      </w:r>
      <w:r w:rsidR="00B92D05" w:rsidRPr="003A115E">
        <w:t>36</w:t>
      </w:r>
      <w:r w:rsidR="0039394F" w:rsidRPr="003A115E">
        <w:t xml:space="preserve"> por ciento corresponden, respectivamente, a gastos de personal y gasto en bienes corrientes y servicios. Por su parte, el capítulo de inversiones reales representa un </w:t>
      </w:r>
      <w:r w:rsidR="00B92D05" w:rsidRPr="003A115E">
        <w:t>16</w:t>
      </w:r>
      <w:r w:rsidR="0039394F" w:rsidRPr="003A115E">
        <w:t xml:space="preserve"> por ciento del total. </w:t>
      </w:r>
    </w:p>
    <w:p w14:paraId="454E04A8" w14:textId="5F1AB38D" w:rsidR="007C6CA5" w:rsidRPr="003A115E" w:rsidRDefault="0039394F" w:rsidP="7A999140">
      <w:pPr>
        <w:pStyle w:val="texto"/>
        <w:spacing w:after="120"/>
        <w:rPr>
          <w:lang w:val="es-ES"/>
        </w:rPr>
      </w:pPr>
      <w:r w:rsidRPr="003A115E">
        <w:rPr>
          <w:lang w:val="es-ES"/>
        </w:rPr>
        <w:t xml:space="preserve">Este gasto total ha aumentado un </w:t>
      </w:r>
      <w:r w:rsidR="00B92D05" w:rsidRPr="003A115E">
        <w:rPr>
          <w:lang w:val="es-ES"/>
        </w:rPr>
        <w:t>8</w:t>
      </w:r>
      <w:r w:rsidRPr="003A115E">
        <w:rPr>
          <w:lang w:val="es-ES"/>
        </w:rPr>
        <w:t xml:space="preserve"> por ciento con respecto al ejercicio anterior, </w:t>
      </w:r>
      <w:r w:rsidR="00637653" w:rsidRPr="003A115E">
        <w:rPr>
          <w:lang w:val="es-ES"/>
        </w:rPr>
        <w:t>es decir,</w:t>
      </w:r>
      <w:r w:rsidRPr="003A115E">
        <w:rPr>
          <w:lang w:val="es-ES"/>
        </w:rPr>
        <w:t xml:space="preserve"> </w:t>
      </w:r>
      <w:r w:rsidR="00456635" w:rsidRPr="003A115E">
        <w:rPr>
          <w:lang w:val="es-ES"/>
        </w:rPr>
        <w:t>73</w:t>
      </w:r>
      <w:r w:rsidRPr="003A115E">
        <w:rPr>
          <w:lang w:val="es-ES"/>
        </w:rPr>
        <w:t xml:space="preserve"> millones</w:t>
      </w:r>
      <w:r w:rsidR="00637653" w:rsidRPr="003A115E">
        <w:rPr>
          <w:lang w:val="es-ES"/>
        </w:rPr>
        <w:t xml:space="preserve">. Este incremento se debe </w:t>
      </w:r>
      <w:r w:rsidRPr="003A115E">
        <w:rPr>
          <w:lang w:val="es-ES"/>
        </w:rPr>
        <w:t>principalmente a los aumentos de gasto en bienes corrientes y servicios</w:t>
      </w:r>
      <w:r w:rsidR="00DE495C" w:rsidRPr="003A115E">
        <w:rPr>
          <w:lang w:val="es-ES"/>
        </w:rPr>
        <w:t xml:space="preserve"> y en personal</w:t>
      </w:r>
      <w:r w:rsidRPr="003A115E">
        <w:rPr>
          <w:lang w:val="es-ES"/>
        </w:rPr>
        <w:t xml:space="preserve">, que se incrementan en </w:t>
      </w:r>
      <w:r w:rsidR="00DE495C" w:rsidRPr="003A115E">
        <w:rPr>
          <w:lang w:val="es-ES"/>
        </w:rPr>
        <w:t>58,96</w:t>
      </w:r>
      <w:r w:rsidRPr="003A115E">
        <w:rPr>
          <w:lang w:val="es-ES"/>
        </w:rPr>
        <w:t xml:space="preserve"> y </w:t>
      </w:r>
      <w:r w:rsidR="00DE495C" w:rsidRPr="003A115E">
        <w:rPr>
          <w:lang w:val="es-ES"/>
        </w:rPr>
        <w:t>16,09</w:t>
      </w:r>
      <w:r w:rsidRPr="003A115E">
        <w:rPr>
          <w:lang w:val="es-ES"/>
        </w:rPr>
        <w:t xml:space="preserve"> millones, respectivamente. </w:t>
      </w:r>
    </w:p>
    <w:p w14:paraId="0D5CAAD2" w14:textId="4ED5D1CA" w:rsidR="0039394F" w:rsidRPr="003A115E" w:rsidRDefault="0030429A" w:rsidP="0039394F">
      <w:pPr>
        <w:pStyle w:val="texto"/>
        <w:spacing w:after="120"/>
      </w:pPr>
      <w:r w:rsidRPr="003A115E">
        <w:t>El gasto en</w:t>
      </w:r>
      <w:r w:rsidR="0039394F" w:rsidRPr="003A115E">
        <w:t xml:space="preserve"> </w:t>
      </w:r>
      <w:r w:rsidR="00710FCC" w:rsidRPr="003A115E">
        <w:t>bienes corrientes y servicios</w:t>
      </w:r>
      <w:r w:rsidR="0039394F" w:rsidRPr="003A115E">
        <w:t xml:space="preserve"> </w:t>
      </w:r>
      <w:r w:rsidRPr="003A115E">
        <w:t>se ha incrementado un</w:t>
      </w:r>
      <w:r w:rsidR="0039394F" w:rsidRPr="003A115E">
        <w:t xml:space="preserve"> </w:t>
      </w:r>
      <w:r w:rsidR="00710FCC" w:rsidRPr="003A115E">
        <w:t>20 por ciento con respecto a 2021</w:t>
      </w:r>
      <w:r w:rsidRPr="003A115E">
        <w:t xml:space="preserve"> debido principalmente a</w:t>
      </w:r>
      <w:r w:rsidR="0076645A" w:rsidRPr="003A115E">
        <w:t>:</w:t>
      </w:r>
    </w:p>
    <w:p w14:paraId="48ABF30B" w14:textId="0A8F584B" w:rsidR="0076645A" w:rsidRPr="003A115E" w:rsidRDefault="0076645A" w:rsidP="7A999140">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lang w:val="es-ES"/>
        </w:rPr>
      </w:pPr>
      <w:r w:rsidRPr="003A115E">
        <w:rPr>
          <w:lang w:val="es-ES"/>
        </w:rPr>
        <w:t xml:space="preserve">Incremento del gasto en cultura </w:t>
      </w:r>
      <w:r w:rsidR="00AC634E" w:rsidRPr="003A115E">
        <w:rPr>
          <w:lang w:val="es-ES"/>
        </w:rPr>
        <w:t>de</w:t>
      </w:r>
      <w:r w:rsidRPr="003A115E">
        <w:rPr>
          <w:lang w:val="es-ES"/>
        </w:rPr>
        <w:t xml:space="preserve"> 22,5 millones </w:t>
      </w:r>
      <w:r w:rsidR="002D2265" w:rsidRPr="003A115E">
        <w:rPr>
          <w:lang w:val="es-ES"/>
        </w:rPr>
        <w:t xml:space="preserve">motivado </w:t>
      </w:r>
      <w:r w:rsidR="004B61BA" w:rsidRPr="003A115E">
        <w:rPr>
          <w:lang w:val="es-ES"/>
        </w:rPr>
        <w:t>por</w:t>
      </w:r>
      <w:r w:rsidR="002D2265" w:rsidRPr="003A115E">
        <w:rPr>
          <w:lang w:val="es-ES"/>
        </w:rPr>
        <w:t xml:space="preserve"> la celebración de fiestas populares</w:t>
      </w:r>
      <w:r w:rsidR="00FF533C" w:rsidRPr="003A115E">
        <w:rPr>
          <w:lang w:val="es-ES"/>
        </w:rPr>
        <w:t xml:space="preserve"> recuperadas</w:t>
      </w:r>
      <w:r w:rsidR="004B61BA" w:rsidRPr="003A115E">
        <w:rPr>
          <w:lang w:val="es-ES"/>
        </w:rPr>
        <w:t xml:space="preserve"> tras la pandemia</w:t>
      </w:r>
      <w:r w:rsidR="002D2265" w:rsidRPr="003A115E">
        <w:rPr>
          <w:lang w:val="es-ES"/>
        </w:rPr>
        <w:t>.</w:t>
      </w:r>
    </w:p>
    <w:p w14:paraId="309584B7" w14:textId="4E299164" w:rsidR="00884240" w:rsidRPr="003A115E" w:rsidRDefault="00884240" w:rsidP="00224357">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pPr>
      <w:r w:rsidRPr="003A115E">
        <w:t>Aumento de los costes energéticos</w:t>
      </w:r>
      <w:r w:rsidR="00AC634E" w:rsidRPr="003A115E">
        <w:t xml:space="preserve"> en 21 millones.</w:t>
      </w:r>
    </w:p>
    <w:p w14:paraId="3C92BE06" w14:textId="6ABADB19" w:rsidR="002A4BE9" w:rsidRPr="003A115E" w:rsidRDefault="34CD8A04" w:rsidP="31020D79">
      <w:pPr>
        <w:pStyle w:val="texto"/>
        <w:rPr>
          <w:lang w:val="es-ES"/>
        </w:rPr>
      </w:pPr>
      <w:r w:rsidRPr="003A115E">
        <w:rPr>
          <w:lang w:val="es-ES"/>
        </w:rPr>
        <w:lastRenderedPageBreak/>
        <w:t xml:space="preserve">Del total de gastos, el </w:t>
      </w:r>
      <w:r w:rsidR="00F43EA4" w:rsidRPr="003A115E">
        <w:rPr>
          <w:lang w:val="es-ES"/>
        </w:rPr>
        <w:t>84</w:t>
      </w:r>
      <w:r w:rsidR="1D10AC8D" w:rsidRPr="003A115E">
        <w:rPr>
          <w:lang w:val="es-ES"/>
        </w:rPr>
        <w:t xml:space="preserve"> </w:t>
      </w:r>
      <w:r w:rsidRPr="003A115E">
        <w:rPr>
          <w:lang w:val="es-ES"/>
        </w:rPr>
        <w:t xml:space="preserve">por ciento corresponde a municipios, el </w:t>
      </w:r>
      <w:r w:rsidR="00F43EA4" w:rsidRPr="003A115E">
        <w:rPr>
          <w:lang w:val="es-ES"/>
        </w:rPr>
        <w:t>15</w:t>
      </w:r>
      <w:r w:rsidRPr="003A115E">
        <w:rPr>
          <w:lang w:val="es-ES"/>
        </w:rPr>
        <w:t xml:space="preserve"> por ciento a mancomunidades y agrupaciones y el dos por ciento restante, a los concejos, distribución similar a la del ejercicio anterior. </w:t>
      </w:r>
    </w:p>
    <w:p w14:paraId="581D46E4" w14:textId="5360F317" w:rsidR="002A4BE9" w:rsidRPr="003A115E" w:rsidRDefault="002A4BE9" w:rsidP="00E72E7F">
      <w:pPr>
        <w:pStyle w:val="texto"/>
        <w:spacing w:after="0"/>
      </w:pPr>
      <w:r w:rsidRPr="003A115E">
        <w:t>En la tabla siguiente se muestra la cl</w:t>
      </w:r>
      <w:r w:rsidR="00E72E7F" w:rsidRPr="003A115E">
        <w:t>asificación funcional del gasto</w:t>
      </w:r>
      <w:r w:rsidR="006200D2" w:rsidRPr="003A115E">
        <w:t xml:space="preserve"> consolidado</w:t>
      </w:r>
      <w:r w:rsidR="006200D2" w:rsidRPr="003A115E">
        <w:rPr>
          <w:rStyle w:val="Refdenotaalpie"/>
        </w:rPr>
        <w:footnoteReference w:id="7"/>
      </w:r>
      <w:r w:rsidR="00E72E7F" w:rsidRPr="003A115E">
        <w:t xml:space="preserve"> y su evolución con</w:t>
      </w:r>
      <w:r w:rsidR="006B3A73">
        <w:t xml:space="preserve"> respecto al ejercicio anterior.</w:t>
      </w:r>
      <w:r w:rsidRPr="003A115E">
        <w:t xml:space="preserve"> </w:t>
      </w:r>
    </w:p>
    <w:p w14:paraId="186F49F4" w14:textId="269885DB" w:rsidR="00473AEF" w:rsidRPr="003A115E" w:rsidRDefault="001D196E" w:rsidP="007C3208">
      <w:pPr>
        <w:pStyle w:val="texto"/>
        <w:spacing w:after="40"/>
        <w:jc w:val="right"/>
        <w:rPr>
          <w:rFonts w:ascii="Arial Narrow" w:hAnsi="Arial Narrow"/>
          <w:sz w:val="18"/>
          <w:szCs w:val="18"/>
        </w:rPr>
      </w:pPr>
      <w:r w:rsidRPr="003A115E">
        <w:rPr>
          <w:rFonts w:ascii="Arial Narrow" w:hAnsi="Arial Narrow"/>
          <w:sz w:val="18"/>
          <w:szCs w:val="18"/>
        </w:rPr>
        <w:t>(</w:t>
      </w:r>
      <w:r w:rsidR="006C1161">
        <w:rPr>
          <w:rFonts w:ascii="Arial Narrow" w:hAnsi="Arial Narrow"/>
          <w:sz w:val="18"/>
          <w:szCs w:val="18"/>
        </w:rPr>
        <w:t>m</w:t>
      </w:r>
      <w:r w:rsidR="002A4BE9" w:rsidRPr="003A115E">
        <w:rPr>
          <w:rFonts w:ascii="Arial Narrow" w:hAnsi="Arial Narrow"/>
          <w:sz w:val="18"/>
          <w:szCs w:val="18"/>
        </w:rPr>
        <w:t>illones</w:t>
      </w:r>
      <w:r w:rsidRPr="003A115E">
        <w:rPr>
          <w:rFonts w:ascii="Arial Narrow" w:hAnsi="Arial Narrow"/>
          <w:sz w:val="18"/>
          <w:szCs w:val="18"/>
        </w:rPr>
        <w:t>)</w:t>
      </w:r>
    </w:p>
    <w:tbl>
      <w:tblPr>
        <w:tblW w:w="5000" w:type="pct"/>
        <w:tblCellMar>
          <w:left w:w="70" w:type="dxa"/>
          <w:right w:w="70" w:type="dxa"/>
        </w:tblCellMar>
        <w:tblLook w:val="04A0" w:firstRow="1" w:lastRow="0" w:firstColumn="1" w:lastColumn="0" w:noHBand="0" w:noVBand="1"/>
      </w:tblPr>
      <w:tblGrid>
        <w:gridCol w:w="2941"/>
        <w:gridCol w:w="1244"/>
        <w:gridCol w:w="856"/>
        <w:gridCol w:w="949"/>
        <w:gridCol w:w="949"/>
        <w:gridCol w:w="949"/>
        <w:gridCol w:w="900"/>
      </w:tblGrid>
      <w:tr w:rsidR="000A742F" w:rsidRPr="003A115E" w14:paraId="56FC8B20" w14:textId="77777777" w:rsidTr="005F3A0D">
        <w:trPr>
          <w:trHeight w:val="255"/>
        </w:trPr>
        <w:tc>
          <w:tcPr>
            <w:tcW w:w="1673" w:type="pct"/>
            <w:vMerge w:val="restart"/>
            <w:tcBorders>
              <w:top w:val="single" w:sz="4" w:space="0" w:color="auto"/>
              <w:left w:val="nil"/>
              <w:bottom w:val="single" w:sz="4" w:space="0" w:color="auto"/>
              <w:right w:val="nil"/>
            </w:tcBorders>
            <w:shd w:val="clear" w:color="auto" w:fill="FABF8F" w:themeFill="accent6" w:themeFillTint="99"/>
            <w:vAlign w:val="center"/>
            <w:hideMark/>
          </w:tcPr>
          <w:p w14:paraId="4C1FEAAA" w14:textId="77777777" w:rsidR="00473AEF" w:rsidRPr="003A115E" w:rsidRDefault="00473AEF" w:rsidP="00016EF5">
            <w:pPr>
              <w:pStyle w:val="cuadroCabe"/>
            </w:pPr>
            <w:r w:rsidRPr="003A115E">
              <w:t>Política de gasto</w:t>
            </w:r>
          </w:p>
        </w:tc>
        <w:tc>
          <w:tcPr>
            <w:tcW w:w="708" w:type="pct"/>
            <w:vMerge w:val="restart"/>
            <w:tcBorders>
              <w:top w:val="single" w:sz="4" w:space="0" w:color="auto"/>
              <w:left w:val="nil"/>
              <w:bottom w:val="single" w:sz="4" w:space="0" w:color="auto"/>
              <w:right w:val="nil"/>
            </w:tcBorders>
            <w:shd w:val="clear" w:color="auto" w:fill="FABF8F" w:themeFill="accent6" w:themeFillTint="99"/>
            <w:vAlign w:val="center"/>
            <w:hideMark/>
          </w:tcPr>
          <w:p w14:paraId="37291109" w14:textId="77777777" w:rsidR="00367BA4" w:rsidRDefault="00473AEF" w:rsidP="00016EF5">
            <w:pPr>
              <w:pStyle w:val="cuadroCabe"/>
              <w:jc w:val="right"/>
            </w:pPr>
            <w:r w:rsidRPr="003A115E">
              <w:t>Sin</w:t>
            </w:r>
          </w:p>
          <w:p w14:paraId="7F7A53F2" w14:textId="6927CE7A" w:rsidR="00473AEF" w:rsidRPr="003A115E" w:rsidRDefault="00473AEF" w:rsidP="00016EF5">
            <w:pPr>
              <w:pStyle w:val="cuadroCabe"/>
              <w:jc w:val="right"/>
            </w:pPr>
            <w:r w:rsidRPr="003A115E">
              <w:t xml:space="preserve"> consolidar sociedades</w:t>
            </w:r>
          </w:p>
        </w:tc>
        <w:tc>
          <w:tcPr>
            <w:tcW w:w="487" w:type="pct"/>
            <w:vMerge w:val="restart"/>
            <w:tcBorders>
              <w:top w:val="single" w:sz="4" w:space="0" w:color="auto"/>
              <w:left w:val="nil"/>
              <w:bottom w:val="single" w:sz="4" w:space="0" w:color="auto"/>
              <w:right w:val="nil"/>
            </w:tcBorders>
            <w:shd w:val="clear" w:color="auto" w:fill="FABF8F" w:themeFill="accent6" w:themeFillTint="99"/>
            <w:vAlign w:val="center"/>
            <w:hideMark/>
          </w:tcPr>
          <w:p w14:paraId="12F3631A" w14:textId="77777777" w:rsidR="00473AEF" w:rsidRPr="003A115E" w:rsidRDefault="00473AEF" w:rsidP="00016EF5">
            <w:pPr>
              <w:pStyle w:val="cuadroCabe"/>
              <w:jc w:val="right"/>
            </w:pPr>
            <w:r w:rsidRPr="003A115E">
              <w:t>Efecto consolidación</w:t>
            </w:r>
          </w:p>
        </w:tc>
        <w:tc>
          <w:tcPr>
            <w:tcW w:w="2132" w:type="pct"/>
            <w:gridSpan w:val="4"/>
            <w:tcBorders>
              <w:top w:val="single" w:sz="4" w:space="0" w:color="auto"/>
              <w:left w:val="nil"/>
              <w:bottom w:val="single" w:sz="4" w:space="0" w:color="auto"/>
              <w:right w:val="nil"/>
            </w:tcBorders>
            <w:shd w:val="clear" w:color="auto" w:fill="FABF8F" w:themeFill="accent6" w:themeFillTint="99"/>
            <w:vAlign w:val="center"/>
            <w:hideMark/>
          </w:tcPr>
          <w:p w14:paraId="1E2D9D69" w14:textId="77777777" w:rsidR="00473AEF" w:rsidRPr="003A115E" w:rsidRDefault="00473AEF" w:rsidP="00016EF5">
            <w:pPr>
              <w:pStyle w:val="cuadroCabe"/>
              <w:jc w:val="right"/>
            </w:pPr>
            <w:r w:rsidRPr="003A115E">
              <w:t>Consolidado con sociedades</w:t>
            </w:r>
          </w:p>
        </w:tc>
      </w:tr>
      <w:tr w:rsidR="000A742F" w:rsidRPr="003A115E" w14:paraId="5A81808F" w14:textId="77777777" w:rsidTr="005F3A0D">
        <w:trPr>
          <w:trHeight w:val="255"/>
        </w:trPr>
        <w:tc>
          <w:tcPr>
            <w:tcW w:w="1673" w:type="pct"/>
            <w:vMerge/>
            <w:tcBorders>
              <w:bottom w:val="single" w:sz="4" w:space="0" w:color="auto"/>
            </w:tcBorders>
            <w:shd w:val="clear" w:color="auto" w:fill="FABF8F" w:themeFill="accent6" w:themeFillTint="99"/>
            <w:vAlign w:val="center"/>
            <w:hideMark/>
          </w:tcPr>
          <w:p w14:paraId="31723D7E" w14:textId="77777777" w:rsidR="00473AEF" w:rsidRPr="003A115E" w:rsidRDefault="00473AEF" w:rsidP="00EF4584">
            <w:pPr>
              <w:rPr>
                <w:rFonts w:ascii="Arial Narrow" w:hAnsi="Arial Narrow" w:cs="Calibri"/>
                <w:sz w:val="16"/>
                <w:szCs w:val="16"/>
              </w:rPr>
            </w:pPr>
          </w:p>
        </w:tc>
        <w:tc>
          <w:tcPr>
            <w:tcW w:w="708" w:type="pct"/>
            <w:vMerge/>
            <w:tcBorders>
              <w:bottom w:val="single" w:sz="4" w:space="0" w:color="auto"/>
            </w:tcBorders>
            <w:shd w:val="clear" w:color="auto" w:fill="FABF8F" w:themeFill="accent6" w:themeFillTint="99"/>
            <w:vAlign w:val="center"/>
            <w:hideMark/>
          </w:tcPr>
          <w:p w14:paraId="06ADCFB6" w14:textId="77777777" w:rsidR="00473AEF" w:rsidRPr="003A115E" w:rsidRDefault="00473AEF" w:rsidP="00016EF5">
            <w:pPr>
              <w:jc w:val="right"/>
              <w:rPr>
                <w:rFonts w:ascii="Arial Narrow" w:hAnsi="Arial Narrow" w:cs="Calibri"/>
                <w:sz w:val="16"/>
                <w:szCs w:val="16"/>
              </w:rPr>
            </w:pPr>
          </w:p>
        </w:tc>
        <w:tc>
          <w:tcPr>
            <w:tcW w:w="487" w:type="pct"/>
            <w:vMerge/>
            <w:tcBorders>
              <w:bottom w:val="single" w:sz="4" w:space="0" w:color="auto"/>
            </w:tcBorders>
            <w:shd w:val="clear" w:color="auto" w:fill="FABF8F" w:themeFill="accent6" w:themeFillTint="99"/>
            <w:vAlign w:val="center"/>
            <w:hideMark/>
          </w:tcPr>
          <w:p w14:paraId="550630CA" w14:textId="77777777" w:rsidR="00473AEF" w:rsidRPr="003A115E" w:rsidRDefault="00473AEF" w:rsidP="00016EF5">
            <w:pPr>
              <w:jc w:val="right"/>
              <w:rPr>
                <w:rFonts w:ascii="Arial Narrow" w:hAnsi="Arial Narrow" w:cs="Calibri"/>
                <w:sz w:val="16"/>
                <w:szCs w:val="16"/>
              </w:rPr>
            </w:pPr>
          </w:p>
        </w:tc>
        <w:tc>
          <w:tcPr>
            <w:tcW w:w="540" w:type="pct"/>
            <w:tcBorders>
              <w:top w:val="single" w:sz="4" w:space="0" w:color="auto"/>
              <w:left w:val="nil"/>
              <w:bottom w:val="single" w:sz="4" w:space="0" w:color="auto"/>
              <w:right w:val="nil"/>
            </w:tcBorders>
            <w:shd w:val="clear" w:color="auto" w:fill="FABF8F" w:themeFill="accent6" w:themeFillTint="99"/>
            <w:vAlign w:val="center"/>
            <w:hideMark/>
          </w:tcPr>
          <w:p w14:paraId="698A8DA5" w14:textId="77777777" w:rsidR="00473AEF" w:rsidRPr="003A115E" w:rsidRDefault="00473AEF" w:rsidP="00016EF5">
            <w:pPr>
              <w:jc w:val="right"/>
              <w:rPr>
                <w:rFonts w:ascii="Arial Narrow" w:hAnsi="Arial Narrow" w:cs="Calibri"/>
                <w:sz w:val="16"/>
                <w:szCs w:val="16"/>
              </w:rPr>
            </w:pPr>
            <w:r w:rsidRPr="003A115E">
              <w:rPr>
                <w:rFonts w:ascii="Arial Narrow" w:hAnsi="Arial Narrow" w:cs="Calibri"/>
                <w:sz w:val="16"/>
                <w:szCs w:val="16"/>
              </w:rPr>
              <w:t>Gastos 2022</w:t>
            </w:r>
          </w:p>
        </w:tc>
        <w:tc>
          <w:tcPr>
            <w:tcW w:w="540" w:type="pct"/>
            <w:tcBorders>
              <w:top w:val="single" w:sz="4" w:space="0" w:color="auto"/>
              <w:left w:val="nil"/>
              <w:bottom w:val="single" w:sz="4" w:space="0" w:color="auto"/>
              <w:right w:val="nil"/>
            </w:tcBorders>
            <w:shd w:val="clear" w:color="auto" w:fill="FABF8F" w:themeFill="accent6" w:themeFillTint="99"/>
            <w:vAlign w:val="center"/>
            <w:hideMark/>
          </w:tcPr>
          <w:p w14:paraId="4D463D92" w14:textId="77777777" w:rsidR="005A63AE" w:rsidRPr="003A115E" w:rsidRDefault="00473AEF" w:rsidP="00016EF5">
            <w:pPr>
              <w:jc w:val="right"/>
              <w:rPr>
                <w:rFonts w:ascii="Arial Narrow" w:hAnsi="Arial Narrow" w:cs="Calibri"/>
                <w:sz w:val="16"/>
                <w:szCs w:val="16"/>
              </w:rPr>
            </w:pPr>
            <w:r w:rsidRPr="003A115E">
              <w:rPr>
                <w:rFonts w:ascii="Arial Narrow" w:hAnsi="Arial Narrow" w:cs="Calibri"/>
                <w:sz w:val="16"/>
                <w:szCs w:val="16"/>
              </w:rPr>
              <w:t xml:space="preserve">% s/total </w:t>
            </w:r>
          </w:p>
          <w:p w14:paraId="0368F219" w14:textId="644885EA" w:rsidR="00473AEF" w:rsidRPr="003A115E" w:rsidRDefault="00473AEF" w:rsidP="00016EF5">
            <w:pPr>
              <w:jc w:val="right"/>
              <w:rPr>
                <w:rFonts w:ascii="Arial Narrow" w:hAnsi="Arial Narrow" w:cs="Calibri"/>
                <w:sz w:val="16"/>
                <w:szCs w:val="16"/>
              </w:rPr>
            </w:pPr>
            <w:r w:rsidRPr="003A115E">
              <w:rPr>
                <w:rFonts w:ascii="Arial Narrow" w:hAnsi="Arial Narrow" w:cs="Calibri"/>
                <w:sz w:val="16"/>
                <w:szCs w:val="16"/>
              </w:rPr>
              <w:t>gastos</w:t>
            </w:r>
          </w:p>
        </w:tc>
        <w:tc>
          <w:tcPr>
            <w:tcW w:w="540" w:type="pct"/>
            <w:tcBorders>
              <w:top w:val="single" w:sz="4" w:space="0" w:color="auto"/>
              <w:left w:val="nil"/>
              <w:bottom w:val="single" w:sz="4" w:space="0" w:color="auto"/>
              <w:right w:val="nil"/>
            </w:tcBorders>
            <w:shd w:val="clear" w:color="auto" w:fill="FABF8F" w:themeFill="accent6" w:themeFillTint="99"/>
            <w:vAlign w:val="center"/>
            <w:hideMark/>
          </w:tcPr>
          <w:p w14:paraId="6C1C65EC" w14:textId="77777777" w:rsidR="00473AEF" w:rsidRPr="003A115E" w:rsidRDefault="00473AEF" w:rsidP="00016EF5">
            <w:pPr>
              <w:jc w:val="right"/>
              <w:rPr>
                <w:rFonts w:ascii="Arial Narrow" w:hAnsi="Arial Narrow" w:cs="Calibri"/>
                <w:sz w:val="16"/>
                <w:szCs w:val="16"/>
              </w:rPr>
            </w:pPr>
            <w:r w:rsidRPr="003A115E">
              <w:rPr>
                <w:rFonts w:ascii="Arial Narrow" w:hAnsi="Arial Narrow" w:cs="Calibri"/>
                <w:sz w:val="16"/>
                <w:szCs w:val="16"/>
              </w:rPr>
              <w:t xml:space="preserve">Variación </w:t>
            </w:r>
            <w:proofErr w:type="spellStart"/>
            <w:r w:rsidRPr="003A115E">
              <w:rPr>
                <w:rFonts w:ascii="Arial Narrow" w:hAnsi="Arial Narrow" w:cs="Calibri"/>
                <w:sz w:val="16"/>
                <w:szCs w:val="16"/>
              </w:rPr>
              <w:t>abs</w:t>
            </w:r>
            <w:proofErr w:type="spellEnd"/>
            <w:r w:rsidRPr="003A115E">
              <w:rPr>
                <w:rFonts w:ascii="Arial Narrow" w:hAnsi="Arial Narrow" w:cs="Calibri"/>
                <w:sz w:val="16"/>
                <w:szCs w:val="16"/>
              </w:rPr>
              <w:t xml:space="preserve"> vs. 2021</w:t>
            </w:r>
          </w:p>
        </w:tc>
        <w:tc>
          <w:tcPr>
            <w:tcW w:w="512" w:type="pct"/>
            <w:tcBorders>
              <w:top w:val="single" w:sz="4" w:space="0" w:color="auto"/>
              <w:left w:val="nil"/>
              <w:bottom w:val="single" w:sz="4" w:space="0" w:color="auto"/>
              <w:right w:val="nil"/>
            </w:tcBorders>
            <w:shd w:val="clear" w:color="auto" w:fill="FABF8F" w:themeFill="accent6" w:themeFillTint="99"/>
            <w:vAlign w:val="center"/>
            <w:hideMark/>
          </w:tcPr>
          <w:p w14:paraId="187EFB75" w14:textId="77777777" w:rsidR="00473AEF" w:rsidRPr="003A115E" w:rsidRDefault="00473AEF" w:rsidP="00016EF5">
            <w:pPr>
              <w:jc w:val="right"/>
              <w:rPr>
                <w:rFonts w:ascii="Arial Narrow" w:hAnsi="Arial Narrow" w:cs="Calibri"/>
                <w:sz w:val="16"/>
                <w:szCs w:val="16"/>
              </w:rPr>
            </w:pPr>
            <w:r w:rsidRPr="003A115E">
              <w:rPr>
                <w:rFonts w:ascii="Arial Narrow" w:hAnsi="Arial Narrow" w:cs="Calibri"/>
                <w:sz w:val="16"/>
                <w:szCs w:val="16"/>
              </w:rPr>
              <w:t>% var 2022 vs 2021</w:t>
            </w:r>
          </w:p>
        </w:tc>
      </w:tr>
      <w:tr w:rsidR="000A742F" w:rsidRPr="003A115E" w14:paraId="67052DD5" w14:textId="77777777" w:rsidTr="00326F20">
        <w:trPr>
          <w:trHeight w:val="198"/>
        </w:trPr>
        <w:tc>
          <w:tcPr>
            <w:tcW w:w="1673" w:type="pct"/>
            <w:tcBorders>
              <w:top w:val="single" w:sz="4" w:space="0" w:color="auto"/>
              <w:left w:val="nil"/>
              <w:bottom w:val="single" w:sz="2" w:space="0" w:color="auto"/>
              <w:right w:val="nil"/>
            </w:tcBorders>
            <w:shd w:val="clear" w:color="auto" w:fill="auto"/>
            <w:vAlign w:val="center"/>
            <w:hideMark/>
          </w:tcPr>
          <w:p w14:paraId="352DCB9C" w14:textId="77777777" w:rsidR="00473AEF" w:rsidRPr="003A115E" w:rsidRDefault="00473AEF" w:rsidP="00016EF5">
            <w:pPr>
              <w:pStyle w:val="cuatexto"/>
            </w:pPr>
            <w:r w:rsidRPr="003A115E">
              <w:t>Bienestar comunitario</w:t>
            </w:r>
          </w:p>
        </w:tc>
        <w:tc>
          <w:tcPr>
            <w:tcW w:w="708" w:type="pct"/>
            <w:tcBorders>
              <w:top w:val="single" w:sz="4" w:space="0" w:color="auto"/>
              <w:left w:val="nil"/>
              <w:bottom w:val="single" w:sz="2" w:space="0" w:color="auto"/>
              <w:right w:val="nil"/>
            </w:tcBorders>
            <w:shd w:val="clear" w:color="auto" w:fill="auto"/>
            <w:vAlign w:val="center"/>
            <w:hideMark/>
          </w:tcPr>
          <w:p w14:paraId="38E8FB76" w14:textId="77777777" w:rsidR="00473AEF" w:rsidRPr="003A115E" w:rsidRDefault="00473AEF" w:rsidP="00016EF5">
            <w:pPr>
              <w:pStyle w:val="cuatexto"/>
              <w:jc w:val="right"/>
            </w:pPr>
            <w:r w:rsidRPr="003A115E">
              <w:t>130,49</w:t>
            </w:r>
          </w:p>
        </w:tc>
        <w:tc>
          <w:tcPr>
            <w:tcW w:w="487" w:type="pct"/>
            <w:tcBorders>
              <w:top w:val="single" w:sz="4" w:space="0" w:color="auto"/>
              <w:left w:val="nil"/>
              <w:bottom w:val="single" w:sz="2" w:space="0" w:color="auto"/>
              <w:right w:val="nil"/>
            </w:tcBorders>
            <w:shd w:val="clear" w:color="auto" w:fill="auto"/>
            <w:vAlign w:val="center"/>
            <w:hideMark/>
          </w:tcPr>
          <w:p w14:paraId="5D03A4E6" w14:textId="77777777" w:rsidR="00473AEF" w:rsidRPr="003A115E" w:rsidRDefault="00473AEF" w:rsidP="00016EF5">
            <w:pPr>
              <w:pStyle w:val="cuatexto"/>
              <w:jc w:val="right"/>
            </w:pPr>
            <w:r w:rsidRPr="003A115E">
              <w:t>80,64</w:t>
            </w:r>
          </w:p>
        </w:tc>
        <w:tc>
          <w:tcPr>
            <w:tcW w:w="540" w:type="pct"/>
            <w:tcBorders>
              <w:top w:val="nil"/>
              <w:left w:val="nil"/>
              <w:bottom w:val="single" w:sz="2" w:space="0" w:color="auto"/>
              <w:right w:val="nil"/>
            </w:tcBorders>
            <w:shd w:val="clear" w:color="auto" w:fill="auto"/>
            <w:vAlign w:val="center"/>
            <w:hideMark/>
          </w:tcPr>
          <w:p w14:paraId="6FD9ECE2" w14:textId="77777777" w:rsidR="00473AEF" w:rsidRPr="003A115E" w:rsidRDefault="00473AEF" w:rsidP="00016EF5">
            <w:pPr>
              <w:pStyle w:val="cuatexto"/>
              <w:jc w:val="right"/>
            </w:pPr>
            <w:r w:rsidRPr="003A115E">
              <w:t>211,13</w:t>
            </w:r>
          </w:p>
        </w:tc>
        <w:tc>
          <w:tcPr>
            <w:tcW w:w="540" w:type="pct"/>
            <w:tcBorders>
              <w:top w:val="nil"/>
              <w:left w:val="nil"/>
              <w:bottom w:val="single" w:sz="2" w:space="0" w:color="auto"/>
              <w:right w:val="nil"/>
            </w:tcBorders>
            <w:shd w:val="clear" w:color="auto" w:fill="auto"/>
            <w:vAlign w:val="center"/>
            <w:hideMark/>
          </w:tcPr>
          <w:p w14:paraId="1661986F" w14:textId="77777777" w:rsidR="00473AEF" w:rsidRPr="003A115E" w:rsidRDefault="00473AEF" w:rsidP="00016EF5">
            <w:pPr>
              <w:pStyle w:val="cuatexto"/>
              <w:jc w:val="right"/>
            </w:pPr>
            <w:r w:rsidRPr="003A115E">
              <w:t>20</w:t>
            </w:r>
          </w:p>
        </w:tc>
        <w:tc>
          <w:tcPr>
            <w:tcW w:w="540" w:type="pct"/>
            <w:tcBorders>
              <w:top w:val="nil"/>
              <w:left w:val="nil"/>
              <w:bottom w:val="single" w:sz="2" w:space="0" w:color="auto"/>
              <w:right w:val="nil"/>
            </w:tcBorders>
            <w:shd w:val="clear" w:color="auto" w:fill="auto"/>
            <w:vAlign w:val="center"/>
            <w:hideMark/>
          </w:tcPr>
          <w:p w14:paraId="39219764" w14:textId="77777777" w:rsidR="00473AEF" w:rsidRPr="003A115E" w:rsidRDefault="00473AEF" w:rsidP="00016EF5">
            <w:pPr>
              <w:pStyle w:val="cuatexto"/>
              <w:jc w:val="right"/>
            </w:pPr>
            <w:r w:rsidRPr="003A115E">
              <w:t>21,94</w:t>
            </w:r>
          </w:p>
        </w:tc>
        <w:tc>
          <w:tcPr>
            <w:tcW w:w="512" w:type="pct"/>
            <w:tcBorders>
              <w:top w:val="nil"/>
              <w:left w:val="nil"/>
              <w:bottom w:val="single" w:sz="2" w:space="0" w:color="auto"/>
              <w:right w:val="nil"/>
            </w:tcBorders>
            <w:shd w:val="clear" w:color="auto" w:fill="auto"/>
            <w:vAlign w:val="center"/>
            <w:hideMark/>
          </w:tcPr>
          <w:p w14:paraId="58B9B297" w14:textId="77777777" w:rsidR="00473AEF" w:rsidRPr="003A115E" w:rsidRDefault="00473AEF" w:rsidP="00016EF5">
            <w:pPr>
              <w:pStyle w:val="cuatexto"/>
              <w:jc w:val="right"/>
            </w:pPr>
            <w:r w:rsidRPr="003A115E">
              <w:t>12</w:t>
            </w:r>
          </w:p>
        </w:tc>
      </w:tr>
      <w:tr w:rsidR="000A742F" w:rsidRPr="003A115E" w14:paraId="08A63A72" w14:textId="77777777" w:rsidTr="00326F20">
        <w:trPr>
          <w:trHeight w:val="198"/>
        </w:trPr>
        <w:tc>
          <w:tcPr>
            <w:tcW w:w="1673" w:type="pct"/>
            <w:tcBorders>
              <w:top w:val="single" w:sz="2" w:space="0" w:color="auto"/>
              <w:left w:val="nil"/>
              <w:bottom w:val="single" w:sz="2" w:space="0" w:color="auto"/>
              <w:right w:val="nil"/>
            </w:tcBorders>
            <w:shd w:val="clear" w:color="auto" w:fill="auto"/>
            <w:vAlign w:val="center"/>
            <w:hideMark/>
          </w:tcPr>
          <w:p w14:paraId="4CBC428F" w14:textId="77777777" w:rsidR="00473AEF" w:rsidRPr="003A115E" w:rsidRDefault="00473AEF" w:rsidP="00016EF5">
            <w:pPr>
              <w:pStyle w:val="cuatexto"/>
            </w:pPr>
            <w:r w:rsidRPr="003A115E">
              <w:t>Servicios de carácter general</w:t>
            </w:r>
          </w:p>
        </w:tc>
        <w:tc>
          <w:tcPr>
            <w:tcW w:w="708" w:type="pct"/>
            <w:tcBorders>
              <w:top w:val="single" w:sz="2" w:space="0" w:color="auto"/>
              <w:left w:val="nil"/>
              <w:bottom w:val="single" w:sz="2" w:space="0" w:color="auto"/>
              <w:right w:val="nil"/>
            </w:tcBorders>
            <w:shd w:val="clear" w:color="auto" w:fill="auto"/>
            <w:vAlign w:val="center"/>
            <w:hideMark/>
          </w:tcPr>
          <w:p w14:paraId="6D523D4A" w14:textId="77777777" w:rsidR="00473AEF" w:rsidRPr="003A115E" w:rsidRDefault="00473AEF" w:rsidP="00016EF5">
            <w:pPr>
              <w:pStyle w:val="cuatexto"/>
              <w:jc w:val="right"/>
            </w:pPr>
            <w:r w:rsidRPr="003A115E">
              <w:t>103,64</w:t>
            </w:r>
          </w:p>
        </w:tc>
        <w:tc>
          <w:tcPr>
            <w:tcW w:w="487" w:type="pct"/>
            <w:tcBorders>
              <w:top w:val="single" w:sz="2" w:space="0" w:color="auto"/>
              <w:left w:val="nil"/>
              <w:bottom w:val="single" w:sz="2" w:space="0" w:color="auto"/>
              <w:right w:val="nil"/>
            </w:tcBorders>
            <w:shd w:val="clear" w:color="auto" w:fill="auto"/>
            <w:vAlign w:val="center"/>
            <w:hideMark/>
          </w:tcPr>
          <w:p w14:paraId="07063BD1" w14:textId="77777777" w:rsidR="00473AEF" w:rsidRPr="003A115E" w:rsidRDefault="00473AEF" w:rsidP="00016EF5">
            <w:pPr>
              <w:pStyle w:val="cuatexto"/>
              <w:jc w:val="right"/>
            </w:pPr>
            <w:r w:rsidRPr="003A115E">
              <w:t>11,84</w:t>
            </w:r>
          </w:p>
        </w:tc>
        <w:tc>
          <w:tcPr>
            <w:tcW w:w="540" w:type="pct"/>
            <w:tcBorders>
              <w:top w:val="single" w:sz="2" w:space="0" w:color="auto"/>
              <w:left w:val="nil"/>
              <w:bottom w:val="single" w:sz="2" w:space="0" w:color="auto"/>
              <w:right w:val="nil"/>
            </w:tcBorders>
            <w:shd w:val="clear" w:color="auto" w:fill="auto"/>
            <w:vAlign w:val="center"/>
            <w:hideMark/>
          </w:tcPr>
          <w:p w14:paraId="15318530" w14:textId="77777777" w:rsidR="00473AEF" w:rsidRPr="003A115E" w:rsidRDefault="00473AEF" w:rsidP="00016EF5">
            <w:pPr>
              <w:pStyle w:val="cuatexto"/>
              <w:jc w:val="right"/>
            </w:pPr>
            <w:r w:rsidRPr="003A115E">
              <w:t>115,48</w:t>
            </w:r>
          </w:p>
        </w:tc>
        <w:tc>
          <w:tcPr>
            <w:tcW w:w="540" w:type="pct"/>
            <w:tcBorders>
              <w:top w:val="single" w:sz="2" w:space="0" w:color="auto"/>
              <w:left w:val="nil"/>
              <w:bottom w:val="single" w:sz="2" w:space="0" w:color="auto"/>
              <w:right w:val="nil"/>
            </w:tcBorders>
            <w:shd w:val="clear" w:color="auto" w:fill="auto"/>
            <w:vAlign w:val="center"/>
            <w:hideMark/>
          </w:tcPr>
          <w:p w14:paraId="27CF481F" w14:textId="77777777" w:rsidR="00473AEF" w:rsidRPr="003A115E" w:rsidRDefault="00473AEF" w:rsidP="00016EF5">
            <w:pPr>
              <w:pStyle w:val="cuatexto"/>
              <w:jc w:val="right"/>
            </w:pPr>
            <w:r w:rsidRPr="003A115E">
              <w:t>11</w:t>
            </w:r>
          </w:p>
        </w:tc>
        <w:tc>
          <w:tcPr>
            <w:tcW w:w="540" w:type="pct"/>
            <w:tcBorders>
              <w:top w:val="single" w:sz="2" w:space="0" w:color="auto"/>
              <w:left w:val="nil"/>
              <w:bottom w:val="single" w:sz="2" w:space="0" w:color="auto"/>
              <w:right w:val="nil"/>
            </w:tcBorders>
            <w:shd w:val="clear" w:color="auto" w:fill="auto"/>
            <w:vAlign w:val="center"/>
            <w:hideMark/>
          </w:tcPr>
          <w:p w14:paraId="560EA441" w14:textId="77777777" w:rsidR="00473AEF" w:rsidRPr="003A115E" w:rsidRDefault="00473AEF" w:rsidP="00016EF5">
            <w:pPr>
              <w:pStyle w:val="cuatexto"/>
              <w:jc w:val="right"/>
            </w:pPr>
            <w:r w:rsidRPr="003A115E">
              <w:t>3,37</w:t>
            </w:r>
          </w:p>
        </w:tc>
        <w:tc>
          <w:tcPr>
            <w:tcW w:w="512" w:type="pct"/>
            <w:tcBorders>
              <w:top w:val="single" w:sz="2" w:space="0" w:color="auto"/>
              <w:left w:val="nil"/>
              <w:bottom w:val="single" w:sz="2" w:space="0" w:color="auto"/>
              <w:right w:val="nil"/>
            </w:tcBorders>
            <w:shd w:val="clear" w:color="auto" w:fill="auto"/>
            <w:vAlign w:val="center"/>
            <w:hideMark/>
          </w:tcPr>
          <w:p w14:paraId="0AC02709" w14:textId="77777777" w:rsidR="00473AEF" w:rsidRPr="003A115E" w:rsidRDefault="00473AEF" w:rsidP="00016EF5">
            <w:pPr>
              <w:pStyle w:val="cuatexto"/>
              <w:jc w:val="right"/>
            </w:pPr>
            <w:r w:rsidRPr="003A115E">
              <w:t>3</w:t>
            </w:r>
          </w:p>
        </w:tc>
      </w:tr>
      <w:tr w:rsidR="000A742F" w:rsidRPr="003A115E" w14:paraId="55804EEA" w14:textId="77777777" w:rsidTr="00326F20">
        <w:trPr>
          <w:trHeight w:val="198"/>
        </w:trPr>
        <w:tc>
          <w:tcPr>
            <w:tcW w:w="1673" w:type="pct"/>
            <w:tcBorders>
              <w:top w:val="single" w:sz="2" w:space="0" w:color="auto"/>
              <w:left w:val="nil"/>
              <w:bottom w:val="single" w:sz="2" w:space="0" w:color="auto"/>
              <w:right w:val="nil"/>
            </w:tcBorders>
            <w:shd w:val="clear" w:color="auto" w:fill="auto"/>
            <w:vAlign w:val="center"/>
            <w:hideMark/>
          </w:tcPr>
          <w:p w14:paraId="6C1CE767" w14:textId="77777777" w:rsidR="00473AEF" w:rsidRPr="003A115E" w:rsidRDefault="00473AEF" w:rsidP="00016EF5">
            <w:pPr>
              <w:pStyle w:val="cuatexto"/>
            </w:pPr>
            <w:r w:rsidRPr="003A115E">
              <w:t>Educación</w:t>
            </w:r>
          </w:p>
        </w:tc>
        <w:tc>
          <w:tcPr>
            <w:tcW w:w="708" w:type="pct"/>
            <w:tcBorders>
              <w:top w:val="single" w:sz="2" w:space="0" w:color="auto"/>
              <w:left w:val="nil"/>
              <w:bottom w:val="single" w:sz="2" w:space="0" w:color="auto"/>
              <w:right w:val="nil"/>
            </w:tcBorders>
            <w:shd w:val="clear" w:color="auto" w:fill="auto"/>
            <w:vAlign w:val="center"/>
            <w:hideMark/>
          </w:tcPr>
          <w:p w14:paraId="2BE638E7" w14:textId="77777777" w:rsidR="00473AEF" w:rsidRPr="003A115E" w:rsidRDefault="00473AEF" w:rsidP="00016EF5">
            <w:pPr>
              <w:pStyle w:val="cuatexto"/>
              <w:jc w:val="right"/>
            </w:pPr>
            <w:r w:rsidRPr="003A115E">
              <w:t>91,03</w:t>
            </w:r>
          </w:p>
        </w:tc>
        <w:tc>
          <w:tcPr>
            <w:tcW w:w="487" w:type="pct"/>
            <w:tcBorders>
              <w:top w:val="single" w:sz="2" w:space="0" w:color="auto"/>
              <w:left w:val="nil"/>
              <w:bottom w:val="single" w:sz="2" w:space="0" w:color="auto"/>
              <w:right w:val="nil"/>
            </w:tcBorders>
            <w:shd w:val="clear" w:color="auto" w:fill="auto"/>
            <w:vAlign w:val="center"/>
            <w:hideMark/>
          </w:tcPr>
          <w:p w14:paraId="3A21D1B5" w14:textId="77777777" w:rsidR="00473AEF" w:rsidRPr="003A115E" w:rsidRDefault="00473AEF" w:rsidP="00016EF5">
            <w:pPr>
              <w:pStyle w:val="cuatexto"/>
              <w:jc w:val="right"/>
            </w:pPr>
            <w:r w:rsidRPr="003A115E">
              <w:t>-</w:t>
            </w:r>
          </w:p>
        </w:tc>
        <w:tc>
          <w:tcPr>
            <w:tcW w:w="540" w:type="pct"/>
            <w:tcBorders>
              <w:top w:val="single" w:sz="2" w:space="0" w:color="auto"/>
              <w:left w:val="nil"/>
              <w:bottom w:val="single" w:sz="2" w:space="0" w:color="auto"/>
              <w:right w:val="nil"/>
            </w:tcBorders>
            <w:shd w:val="clear" w:color="auto" w:fill="auto"/>
            <w:vAlign w:val="center"/>
            <w:hideMark/>
          </w:tcPr>
          <w:p w14:paraId="3E76D3C9" w14:textId="77777777" w:rsidR="00473AEF" w:rsidRPr="003A115E" w:rsidRDefault="00473AEF" w:rsidP="00016EF5">
            <w:pPr>
              <w:pStyle w:val="cuatexto"/>
              <w:jc w:val="right"/>
            </w:pPr>
            <w:r w:rsidRPr="003A115E">
              <w:t>91,03</w:t>
            </w:r>
          </w:p>
        </w:tc>
        <w:tc>
          <w:tcPr>
            <w:tcW w:w="540" w:type="pct"/>
            <w:tcBorders>
              <w:top w:val="single" w:sz="2" w:space="0" w:color="auto"/>
              <w:left w:val="nil"/>
              <w:bottom w:val="single" w:sz="2" w:space="0" w:color="auto"/>
              <w:right w:val="nil"/>
            </w:tcBorders>
            <w:shd w:val="clear" w:color="auto" w:fill="auto"/>
            <w:vAlign w:val="center"/>
            <w:hideMark/>
          </w:tcPr>
          <w:p w14:paraId="6FA7A759" w14:textId="77777777" w:rsidR="00473AEF" w:rsidRPr="003A115E" w:rsidRDefault="00473AEF" w:rsidP="00016EF5">
            <w:pPr>
              <w:pStyle w:val="cuatexto"/>
              <w:jc w:val="right"/>
            </w:pPr>
            <w:r w:rsidRPr="003A115E">
              <w:t>9</w:t>
            </w:r>
          </w:p>
        </w:tc>
        <w:tc>
          <w:tcPr>
            <w:tcW w:w="540" w:type="pct"/>
            <w:tcBorders>
              <w:top w:val="single" w:sz="2" w:space="0" w:color="auto"/>
              <w:left w:val="nil"/>
              <w:bottom w:val="single" w:sz="2" w:space="0" w:color="auto"/>
              <w:right w:val="nil"/>
            </w:tcBorders>
            <w:shd w:val="clear" w:color="auto" w:fill="auto"/>
            <w:vAlign w:val="center"/>
            <w:hideMark/>
          </w:tcPr>
          <w:p w14:paraId="0DCBFFAA" w14:textId="77777777" w:rsidR="00473AEF" w:rsidRPr="003A115E" w:rsidRDefault="00473AEF" w:rsidP="00016EF5">
            <w:pPr>
              <w:pStyle w:val="cuatexto"/>
              <w:jc w:val="right"/>
            </w:pPr>
            <w:r w:rsidRPr="003A115E">
              <w:t>7,33</w:t>
            </w:r>
          </w:p>
        </w:tc>
        <w:tc>
          <w:tcPr>
            <w:tcW w:w="512" w:type="pct"/>
            <w:tcBorders>
              <w:top w:val="single" w:sz="2" w:space="0" w:color="auto"/>
              <w:left w:val="nil"/>
              <w:bottom w:val="single" w:sz="2" w:space="0" w:color="auto"/>
              <w:right w:val="nil"/>
            </w:tcBorders>
            <w:shd w:val="clear" w:color="auto" w:fill="auto"/>
            <w:vAlign w:val="center"/>
            <w:hideMark/>
          </w:tcPr>
          <w:p w14:paraId="661BD9D3" w14:textId="77777777" w:rsidR="00473AEF" w:rsidRPr="003A115E" w:rsidRDefault="00473AEF" w:rsidP="00016EF5">
            <w:pPr>
              <w:pStyle w:val="cuatexto"/>
              <w:jc w:val="right"/>
            </w:pPr>
            <w:r w:rsidRPr="003A115E">
              <w:t>9</w:t>
            </w:r>
          </w:p>
        </w:tc>
      </w:tr>
      <w:tr w:rsidR="000A742F" w:rsidRPr="003A115E" w14:paraId="76D0DED2" w14:textId="77777777" w:rsidTr="00326F20">
        <w:trPr>
          <w:trHeight w:val="198"/>
        </w:trPr>
        <w:tc>
          <w:tcPr>
            <w:tcW w:w="1673" w:type="pct"/>
            <w:tcBorders>
              <w:top w:val="single" w:sz="2" w:space="0" w:color="auto"/>
              <w:left w:val="nil"/>
              <w:bottom w:val="single" w:sz="2" w:space="0" w:color="auto"/>
              <w:right w:val="nil"/>
            </w:tcBorders>
            <w:shd w:val="clear" w:color="auto" w:fill="auto"/>
            <w:vAlign w:val="center"/>
            <w:hideMark/>
          </w:tcPr>
          <w:p w14:paraId="366049FD" w14:textId="77777777" w:rsidR="00473AEF" w:rsidRPr="003A115E" w:rsidRDefault="00473AEF" w:rsidP="00016EF5">
            <w:pPr>
              <w:pStyle w:val="cuatexto"/>
            </w:pPr>
            <w:r w:rsidRPr="003A115E">
              <w:t>Vivienda y urbanismo</w:t>
            </w:r>
          </w:p>
        </w:tc>
        <w:tc>
          <w:tcPr>
            <w:tcW w:w="708" w:type="pct"/>
            <w:tcBorders>
              <w:top w:val="single" w:sz="2" w:space="0" w:color="auto"/>
              <w:left w:val="nil"/>
              <w:bottom w:val="single" w:sz="2" w:space="0" w:color="auto"/>
              <w:right w:val="nil"/>
            </w:tcBorders>
            <w:shd w:val="clear" w:color="auto" w:fill="auto"/>
            <w:vAlign w:val="center"/>
            <w:hideMark/>
          </w:tcPr>
          <w:p w14:paraId="270346BA" w14:textId="77777777" w:rsidR="00473AEF" w:rsidRPr="003A115E" w:rsidRDefault="00473AEF" w:rsidP="00016EF5">
            <w:pPr>
              <w:pStyle w:val="cuatexto"/>
              <w:jc w:val="right"/>
            </w:pPr>
            <w:r w:rsidRPr="003A115E">
              <w:t>83,90</w:t>
            </w:r>
          </w:p>
        </w:tc>
        <w:tc>
          <w:tcPr>
            <w:tcW w:w="487" w:type="pct"/>
            <w:tcBorders>
              <w:top w:val="single" w:sz="2" w:space="0" w:color="auto"/>
              <w:left w:val="nil"/>
              <w:bottom w:val="single" w:sz="2" w:space="0" w:color="auto"/>
              <w:right w:val="nil"/>
            </w:tcBorders>
            <w:shd w:val="clear" w:color="auto" w:fill="auto"/>
            <w:vAlign w:val="center"/>
            <w:hideMark/>
          </w:tcPr>
          <w:p w14:paraId="43BD22EA" w14:textId="77777777" w:rsidR="00473AEF" w:rsidRPr="003A115E" w:rsidRDefault="00473AEF" w:rsidP="00016EF5">
            <w:pPr>
              <w:pStyle w:val="cuatexto"/>
              <w:jc w:val="right"/>
            </w:pPr>
            <w:r w:rsidRPr="003A115E">
              <w:t>-</w:t>
            </w:r>
          </w:p>
        </w:tc>
        <w:tc>
          <w:tcPr>
            <w:tcW w:w="540" w:type="pct"/>
            <w:tcBorders>
              <w:top w:val="single" w:sz="2" w:space="0" w:color="auto"/>
              <w:left w:val="nil"/>
              <w:bottom w:val="single" w:sz="2" w:space="0" w:color="auto"/>
              <w:right w:val="nil"/>
            </w:tcBorders>
            <w:shd w:val="clear" w:color="auto" w:fill="auto"/>
            <w:vAlign w:val="center"/>
            <w:hideMark/>
          </w:tcPr>
          <w:p w14:paraId="49F14093" w14:textId="77777777" w:rsidR="00473AEF" w:rsidRPr="003A115E" w:rsidRDefault="00473AEF" w:rsidP="00016EF5">
            <w:pPr>
              <w:pStyle w:val="cuatexto"/>
              <w:jc w:val="right"/>
            </w:pPr>
            <w:r w:rsidRPr="003A115E">
              <w:t>83,90</w:t>
            </w:r>
          </w:p>
        </w:tc>
        <w:tc>
          <w:tcPr>
            <w:tcW w:w="540" w:type="pct"/>
            <w:tcBorders>
              <w:top w:val="single" w:sz="2" w:space="0" w:color="auto"/>
              <w:left w:val="nil"/>
              <w:bottom w:val="single" w:sz="2" w:space="0" w:color="auto"/>
              <w:right w:val="nil"/>
            </w:tcBorders>
            <w:shd w:val="clear" w:color="auto" w:fill="auto"/>
            <w:vAlign w:val="center"/>
            <w:hideMark/>
          </w:tcPr>
          <w:p w14:paraId="474731E0" w14:textId="77777777" w:rsidR="00473AEF" w:rsidRPr="003A115E" w:rsidRDefault="00473AEF" w:rsidP="00016EF5">
            <w:pPr>
              <w:pStyle w:val="cuatexto"/>
              <w:jc w:val="right"/>
            </w:pPr>
            <w:r w:rsidRPr="003A115E">
              <w:t>8</w:t>
            </w:r>
          </w:p>
        </w:tc>
        <w:tc>
          <w:tcPr>
            <w:tcW w:w="540" w:type="pct"/>
            <w:tcBorders>
              <w:top w:val="single" w:sz="2" w:space="0" w:color="auto"/>
              <w:left w:val="nil"/>
              <w:bottom w:val="single" w:sz="2" w:space="0" w:color="auto"/>
              <w:right w:val="nil"/>
            </w:tcBorders>
            <w:shd w:val="clear" w:color="auto" w:fill="auto"/>
            <w:vAlign w:val="center"/>
            <w:hideMark/>
          </w:tcPr>
          <w:p w14:paraId="11513C7D" w14:textId="77777777" w:rsidR="00473AEF" w:rsidRPr="003A115E" w:rsidRDefault="00473AEF" w:rsidP="00016EF5">
            <w:pPr>
              <w:pStyle w:val="cuatexto"/>
              <w:jc w:val="right"/>
            </w:pPr>
            <w:r w:rsidRPr="003A115E">
              <w:t>2,62</w:t>
            </w:r>
          </w:p>
        </w:tc>
        <w:tc>
          <w:tcPr>
            <w:tcW w:w="512" w:type="pct"/>
            <w:tcBorders>
              <w:top w:val="single" w:sz="2" w:space="0" w:color="auto"/>
              <w:left w:val="nil"/>
              <w:bottom w:val="single" w:sz="2" w:space="0" w:color="auto"/>
              <w:right w:val="nil"/>
            </w:tcBorders>
            <w:shd w:val="clear" w:color="auto" w:fill="auto"/>
            <w:vAlign w:val="center"/>
            <w:hideMark/>
          </w:tcPr>
          <w:p w14:paraId="748A4047" w14:textId="77777777" w:rsidR="00473AEF" w:rsidRPr="003A115E" w:rsidRDefault="00473AEF" w:rsidP="00016EF5">
            <w:pPr>
              <w:pStyle w:val="cuatexto"/>
              <w:jc w:val="right"/>
            </w:pPr>
            <w:r w:rsidRPr="003A115E">
              <w:t>3</w:t>
            </w:r>
          </w:p>
        </w:tc>
      </w:tr>
      <w:tr w:rsidR="000A742F" w:rsidRPr="003A115E" w14:paraId="0C9A79C0" w14:textId="77777777" w:rsidTr="00326F20">
        <w:trPr>
          <w:trHeight w:val="198"/>
        </w:trPr>
        <w:tc>
          <w:tcPr>
            <w:tcW w:w="1673" w:type="pct"/>
            <w:tcBorders>
              <w:top w:val="single" w:sz="2" w:space="0" w:color="auto"/>
              <w:left w:val="nil"/>
              <w:bottom w:val="single" w:sz="2" w:space="0" w:color="auto"/>
              <w:right w:val="nil"/>
            </w:tcBorders>
            <w:shd w:val="clear" w:color="auto" w:fill="auto"/>
            <w:vAlign w:val="center"/>
            <w:hideMark/>
          </w:tcPr>
          <w:p w14:paraId="46012862" w14:textId="1A22348C" w:rsidR="00473AEF" w:rsidRPr="003A115E" w:rsidRDefault="00E3265B" w:rsidP="00E3265B">
            <w:pPr>
              <w:pStyle w:val="cuatexto"/>
            </w:pPr>
            <w:r>
              <w:rPr>
                <w:lang w:val="es-ES"/>
              </w:rPr>
              <w:t>Serv.</w:t>
            </w:r>
            <w:r w:rsidR="00473AEF" w:rsidRPr="003A115E">
              <w:rPr>
                <w:lang w:val="es-ES"/>
              </w:rPr>
              <w:t xml:space="preserve"> sociales y promoción social</w:t>
            </w:r>
          </w:p>
        </w:tc>
        <w:tc>
          <w:tcPr>
            <w:tcW w:w="708" w:type="pct"/>
            <w:tcBorders>
              <w:top w:val="single" w:sz="2" w:space="0" w:color="auto"/>
              <w:left w:val="nil"/>
              <w:bottom w:val="single" w:sz="2" w:space="0" w:color="auto"/>
              <w:right w:val="nil"/>
            </w:tcBorders>
            <w:shd w:val="clear" w:color="auto" w:fill="auto"/>
            <w:vAlign w:val="center"/>
            <w:hideMark/>
          </w:tcPr>
          <w:p w14:paraId="35770873" w14:textId="77777777" w:rsidR="00473AEF" w:rsidRPr="003A115E" w:rsidRDefault="00473AEF" w:rsidP="00016EF5">
            <w:pPr>
              <w:pStyle w:val="cuatexto"/>
              <w:jc w:val="right"/>
            </w:pPr>
            <w:r w:rsidRPr="003A115E">
              <w:t>82,83</w:t>
            </w:r>
          </w:p>
        </w:tc>
        <w:tc>
          <w:tcPr>
            <w:tcW w:w="487" w:type="pct"/>
            <w:tcBorders>
              <w:top w:val="single" w:sz="2" w:space="0" w:color="auto"/>
              <w:left w:val="nil"/>
              <w:bottom w:val="single" w:sz="2" w:space="0" w:color="auto"/>
              <w:right w:val="nil"/>
            </w:tcBorders>
            <w:shd w:val="clear" w:color="auto" w:fill="auto"/>
            <w:vAlign w:val="center"/>
            <w:hideMark/>
          </w:tcPr>
          <w:p w14:paraId="328BFD3E" w14:textId="77777777" w:rsidR="00473AEF" w:rsidRPr="003A115E" w:rsidRDefault="00473AEF" w:rsidP="00016EF5">
            <w:pPr>
              <w:pStyle w:val="cuatexto"/>
              <w:jc w:val="right"/>
            </w:pPr>
            <w:r w:rsidRPr="003A115E">
              <w:t>-</w:t>
            </w:r>
          </w:p>
        </w:tc>
        <w:tc>
          <w:tcPr>
            <w:tcW w:w="540" w:type="pct"/>
            <w:tcBorders>
              <w:top w:val="single" w:sz="2" w:space="0" w:color="auto"/>
              <w:left w:val="nil"/>
              <w:bottom w:val="single" w:sz="2" w:space="0" w:color="auto"/>
              <w:right w:val="nil"/>
            </w:tcBorders>
            <w:shd w:val="clear" w:color="auto" w:fill="auto"/>
            <w:vAlign w:val="center"/>
            <w:hideMark/>
          </w:tcPr>
          <w:p w14:paraId="3F7F08B8" w14:textId="77777777" w:rsidR="00473AEF" w:rsidRPr="003A115E" w:rsidRDefault="00473AEF" w:rsidP="00016EF5">
            <w:pPr>
              <w:pStyle w:val="cuatexto"/>
              <w:jc w:val="right"/>
            </w:pPr>
            <w:r w:rsidRPr="003A115E">
              <w:t>82,83</w:t>
            </w:r>
          </w:p>
        </w:tc>
        <w:tc>
          <w:tcPr>
            <w:tcW w:w="540" w:type="pct"/>
            <w:tcBorders>
              <w:top w:val="single" w:sz="2" w:space="0" w:color="auto"/>
              <w:left w:val="nil"/>
              <w:bottom w:val="single" w:sz="2" w:space="0" w:color="auto"/>
              <w:right w:val="nil"/>
            </w:tcBorders>
            <w:shd w:val="clear" w:color="auto" w:fill="auto"/>
            <w:vAlign w:val="center"/>
            <w:hideMark/>
          </w:tcPr>
          <w:p w14:paraId="077E427B" w14:textId="77777777" w:rsidR="00473AEF" w:rsidRPr="003A115E" w:rsidRDefault="00473AEF" w:rsidP="00016EF5">
            <w:pPr>
              <w:pStyle w:val="cuatexto"/>
              <w:jc w:val="right"/>
            </w:pPr>
            <w:r w:rsidRPr="003A115E">
              <w:t>8</w:t>
            </w:r>
          </w:p>
        </w:tc>
        <w:tc>
          <w:tcPr>
            <w:tcW w:w="540" w:type="pct"/>
            <w:tcBorders>
              <w:top w:val="single" w:sz="2" w:space="0" w:color="auto"/>
              <w:left w:val="nil"/>
              <w:bottom w:val="single" w:sz="2" w:space="0" w:color="auto"/>
              <w:right w:val="nil"/>
            </w:tcBorders>
            <w:shd w:val="clear" w:color="auto" w:fill="auto"/>
            <w:vAlign w:val="center"/>
            <w:hideMark/>
          </w:tcPr>
          <w:p w14:paraId="11C90EAD" w14:textId="77777777" w:rsidR="00473AEF" w:rsidRPr="003A115E" w:rsidRDefault="00473AEF" w:rsidP="00016EF5">
            <w:pPr>
              <w:pStyle w:val="cuatexto"/>
              <w:jc w:val="right"/>
            </w:pPr>
            <w:r w:rsidRPr="003A115E">
              <w:t>2,84</w:t>
            </w:r>
          </w:p>
        </w:tc>
        <w:tc>
          <w:tcPr>
            <w:tcW w:w="512" w:type="pct"/>
            <w:tcBorders>
              <w:top w:val="single" w:sz="2" w:space="0" w:color="auto"/>
              <w:left w:val="nil"/>
              <w:bottom w:val="single" w:sz="2" w:space="0" w:color="auto"/>
              <w:right w:val="nil"/>
            </w:tcBorders>
            <w:shd w:val="clear" w:color="auto" w:fill="auto"/>
            <w:vAlign w:val="center"/>
            <w:hideMark/>
          </w:tcPr>
          <w:p w14:paraId="6944B9D8" w14:textId="77777777" w:rsidR="00473AEF" w:rsidRPr="003A115E" w:rsidRDefault="00473AEF" w:rsidP="00016EF5">
            <w:pPr>
              <w:pStyle w:val="cuatexto"/>
              <w:jc w:val="right"/>
            </w:pPr>
            <w:r w:rsidRPr="003A115E">
              <w:t>4</w:t>
            </w:r>
          </w:p>
        </w:tc>
      </w:tr>
      <w:tr w:rsidR="000A742F" w:rsidRPr="003A115E" w14:paraId="05182DB4" w14:textId="77777777" w:rsidTr="00326F20">
        <w:trPr>
          <w:trHeight w:val="198"/>
        </w:trPr>
        <w:tc>
          <w:tcPr>
            <w:tcW w:w="1673" w:type="pct"/>
            <w:tcBorders>
              <w:top w:val="single" w:sz="2" w:space="0" w:color="auto"/>
              <w:left w:val="nil"/>
              <w:bottom w:val="single" w:sz="2" w:space="0" w:color="auto"/>
              <w:right w:val="nil"/>
            </w:tcBorders>
            <w:shd w:val="clear" w:color="auto" w:fill="auto"/>
            <w:vAlign w:val="center"/>
            <w:hideMark/>
          </w:tcPr>
          <w:p w14:paraId="1D3D6BE8" w14:textId="77777777" w:rsidR="00473AEF" w:rsidRPr="003A115E" w:rsidRDefault="00473AEF" w:rsidP="00016EF5">
            <w:pPr>
              <w:pStyle w:val="cuatexto"/>
            </w:pPr>
            <w:r w:rsidRPr="003A115E">
              <w:t>Cultura</w:t>
            </w:r>
          </w:p>
        </w:tc>
        <w:tc>
          <w:tcPr>
            <w:tcW w:w="708" w:type="pct"/>
            <w:tcBorders>
              <w:top w:val="single" w:sz="2" w:space="0" w:color="auto"/>
              <w:left w:val="nil"/>
              <w:bottom w:val="single" w:sz="2" w:space="0" w:color="auto"/>
              <w:right w:val="nil"/>
            </w:tcBorders>
            <w:shd w:val="clear" w:color="auto" w:fill="auto"/>
            <w:vAlign w:val="center"/>
            <w:hideMark/>
          </w:tcPr>
          <w:p w14:paraId="58615CC0" w14:textId="77777777" w:rsidR="00473AEF" w:rsidRPr="003A115E" w:rsidRDefault="00473AEF" w:rsidP="00016EF5">
            <w:pPr>
              <w:pStyle w:val="cuatexto"/>
              <w:jc w:val="right"/>
            </w:pPr>
            <w:r w:rsidRPr="003A115E">
              <w:t>78,67</w:t>
            </w:r>
          </w:p>
        </w:tc>
        <w:tc>
          <w:tcPr>
            <w:tcW w:w="487" w:type="pct"/>
            <w:tcBorders>
              <w:top w:val="single" w:sz="2" w:space="0" w:color="auto"/>
              <w:left w:val="nil"/>
              <w:bottom w:val="single" w:sz="2" w:space="0" w:color="auto"/>
              <w:right w:val="nil"/>
            </w:tcBorders>
            <w:shd w:val="clear" w:color="auto" w:fill="auto"/>
            <w:vAlign w:val="center"/>
            <w:hideMark/>
          </w:tcPr>
          <w:p w14:paraId="2A3017CE" w14:textId="77777777" w:rsidR="00473AEF" w:rsidRPr="003A115E" w:rsidRDefault="00473AEF" w:rsidP="00016EF5">
            <w:pPr>
              <w:pStyle w:val="cuatexto"/>
              <w:jc w:val="right"/>
            </w:pPr>
            <w:r w:rsidRPr="003A115E">
              <w:t>-</w:t>
            </w:r>
          </w:p>
        </w:tc>
        <w:tc>
          <w:tcPr>
            <w:tcW w:w="540" w:type="pct"/>
            <w:tcBorders>
              <w:top w:val="single" w:sz="2" w:space="0" w:color="auto"/>
              <w:left w:val="nil"/>
              <w:bottom w:val="single" w:sz="2" w:space="0" w:color="auto"/>
              <w:right w:val="nil"/>
            </w:tcBorders>
            <w:shd w:val="clear" w:color="auto" w:fill="auto"/>
            <w:vAlign w:val="center"/>
            <w:hideMark/>
          </w:tcPr>
          <w:p w14:paraId="120DFC73" w14:textId="77777777" w:rsidR="00473AEF" w:rsidRPr="003A115E" w:rsidRDefault="00473AEF" w:rsidP="00016EF5">
            <w:pPr>
              <w:pStyle w:val="cuatexto"/>
              <w:jc w:val="right"/>
            </w:pPr>
            <w:r w:rsidRPr="003A115E">
              <w:t>78,67</w:t>
            </w:r>
          </w:p>
        </w:tc>
        <w:tc>
          <w:tcPr>
            <w:tcW w:w="540" w:type="pct"/>
            <w:tcBorders>
              <w:top w:val="single" w:sz="2" w:space="0" w:color="auto"/>
              <w:left w:val="nil"/>
              <w:bottom w:val="single" w:sz="2" w:space="0" w:color="auto"/>
              <w:right w:val="nil"/>
            </w:tcBorders>
            <w:shd w:val="clear" w:color="auto" w:fill="auto"/>
            <w:vAlign w:val="center"/>
            <w:hideMark/>
          </w:tcPr>
          <w:p w14:paraId="3D9A8D9C" w14:textId="77777777" w:rsidR="00473AEF" w:rsidRPr="003A115E" w:rsidRDefault="00473AEF" w:rsidP="00016EF5">
            <w:pPr>
              <w:pStyle w:val="cuatexto"/>
              <w:jc w:val="right"/>
            </w:pPr>
            <w:r w:rsidRPr="003A115E">
              <w:t>7</w:t>
            </w:r>
          </w:p>
        </w:tc>
        <w:tc>
          <w:tcPr>
            <w:tcW w:w="540" w:type="pct"/>
            <w:tcBorders>
              <w:top w:val="single" w:sz="2" w:space="0" w:color="auto"/>
              <w:left w:val="nil"/>
              <w:bottom w:val="single" w:sz="2" w:space="0" w:color="auto"/>
              <w:right w:val="nil"/>
            </w:tcBorders>
            <w:shd w:val="clear" w:color="auto" w:fill="auto"/>
            <w:vAlign w:val="center"/>
            <w:hideMark/>
          </w:tcPr>
          <w:p w14:paraId="6D377E99" w14:textId="77777777" w:rsidR="00473AEF" w:rsidRPr="003A115E" w:rsidRDefault="00473AEF" w:rsidP="00016EF5">
            <w:pPr>
              <w:pStyle w:val="cuatexto"/>
              <w:jc w:val="right"/>
            </w:pPr>
            <w:r w:rsidRPr="003A115E">
              <w:t>25,17</w:t>
            </w:r>
          </w:p>
        </w:tc>
        <w:tc>
          <w:tcPr>
            <w:tcW w:w="512" w:type="pct"/>
            <w:tcBorders>
              <w:top w:val="single" w:sz="2" w:space="0" w:color="auto"/>
              <w:left w:val="nil"/>
              <w:bottom w:val="single" w:sz="2" w:space="0" w:color="auto"/>
              <w:right w:val="nil"/>
            </w:tcBorders>
            <w:shd w:val="clear" w:color="auto" w:fill="auto"/>
            <w:vAlign w:val="center"/>
            <w:hideMark/>
          </w:tcPr>
          <w:p w14:paraId="0500A720" w14:textId="77777777" w:rsidR="00473AEF" w:rsidRPr="003A115E" w:rsidRDefault="00473AEF" w:rsidP="00016EF5">
            <w:pPr>
              <w:pStyle w:val="cuatexto"/>
              <w:jc w:val="right"/>
            </w:pPr>
            <w:r w:rsidRPr="003A115E">
              <w:t>47</w:t>
            </w:r>
          </w:p>
        </w:tc>
      </w:tr>
      <w:tr w:rsidR="000A742F" w:rsidRPr="003A115E" w14:paraId="62602C3D" w14:textId="77777777" w:rsidTr="00326F20">
        <w:trPr>
          <w:trHeight w:val="198"/>
        </w:trPr>
        <w:tc>
          <w:tcPr>
            <w:tcW w:w="1673" w:type="pct"/>
            <w:tcBorders>
              <w:top w:val="single" w:sz="2" w:space="0" w:color="auto"/>
              <w:left w:val="nil"/>
              <w:bottom w:val="single" w:sz="2" w:space="0" w:color="auto"/>
              <w:right w:val="nil"/>
            </w:tcBorders>
            <w:shd w:val="clear" w:color="auto" w:fill="auto"/>
            <w:vAlign w:val="center"/>
            <w:hideMark/>
          </w:tcPr>
          <w:p w14:paraId="0B9DF2EA" w14:textId="77777777" w:rsidR="00473AEF" w:rsidRPr="003A115E" w:rsidRDefault="00473AEF" w:rsidP="00016EF5">
            <w:pPr>
              <w:pStyle w:val="cuatexto"/>
            </w:pPr>
            <w:r w:rsidRPr="003A115E">
              <w:t>Seguridad y movilidad ciudadana</w:t>
            </w:r>
          </w:p>
        </w:tc>
        <w:tc>
          <w:tcPr>
            <w:tcW w:w="708" w:type="pct"/>
            <w:tcBorders>
              <w:top w:val="single" w:sz="2" w:space="0" w:color="auto"/>
              <w:left w:val="nil"/>
              <w:bottom w:val="single" w:sz="2" w:space="0" w:color="auto"/>
              <w:right w:val="nil"/>
            </w:tcBorders>
            <w:shd w:val="clear" w:color="auto" w:fill="auto"/>
            <w:vAlign w:val="center"/>
            <w:hideMark/>
          </w:tcPr>
          <w:p w14:paraId="457CA80A" w14:textId="77777777" w:rsidR="00473AEF" w:rsidRPr="003A115E" w:rsidRDefault="00473AEF" w:rsidP="00016EF5">
            <w:pPr>
              <w:pStyle w:val="cuatexto"/>
              <w:jc w:val="right"/>
            </w:pPr>
            <w:r w:rsidRPr="003A115E">
              <w:t>71,36</w:t>
            </w:r>
          </w:p>
        </w:tc>
        <w:tc>
          <w:tcPr>
            <w:tcW w:w="487" w:type="pct"/>
            <w:tcBorders>
              <w:top w:val="single" w:sz="2" w:space="0" w:color="auto"/>
              <w:left w:val="nil"/>
              <w:bottom w:val="single" w:sz="2" w:space="0" w:color="auto"/>
              <w:right w:val="nil"/>
            </w:tcBorders>
            <w:shd w:val="clear" w:color="auto" w:fill="auto"/>
            <w:vAlign w:val="center"/>
            <w:hideMark/>
          </w:tcPr>
          <w:p w14:paraId="5A4767D7" w14:textId="77777777" w:rsidR="00473AEF" w:rsidRPr="003A115E" w:rsidRDefault="00473AEF" w:rsidP="00016EF5">
            <w:pPr>
              <w:pStyle w:val="cuatexto"/>
              <w:jc w:val="right"/>
            </w:pPr>
            <w:r w:rsidRPr="003A115E">
              <w:t>-</w:t>
            </w:r>
          </w:p>
        </w:tc>
        <w:tc>
          <w:tcPr>
            <w:tcW w:w="540" w:type="pct"/>
            <w:tcBorders>
              <w:top w:val="single" w:sz="2" w:space="0" w:color="auto"/>
              <w:left w:val="nil"/>
              <w:bottom w:val="single" w:sz="2" w:space="0" w:color="auto"/>
              <w:right w:val="nil"/>
            </w:tcBorders>
            <w:shd w:val="clear" w:color="auto" w:fill="auto"/>
            <w:vAlign w:val="center"/>
            <w:hideMark/>
          </w:tcPr>
          <w:p w14:paraId="006785A4" w14:textId="77777777" w:rsidR="00473AEF" w:rsidRPr="003A115E" w:rsidRDefault="00473AEF" w:rsidP="00016EF5">
            <w:pPr>
              <w:pStyle w:val="cuatexto"/>
              <w:jc w:val="right"/>
            </w:pPr>
            <w:r w:rsidRPr="003A115E">
              <w:t>71,36</w:t>
            </w:r>
          </w:p>
        </w:tc>
        <w:tc>
          <w:tcPr>
            <w:tcW w:w="540" w:type="pct"/>
            <w:tcBorders>
              <w:top w:val="single" w:sz="2" w:space="0" w:color="auto"/>
              <w:left w:val="nil"/>
              <w:bottom w:val="single" w:sz="2" w:space="0" w:color="auto"/>
              <w:right w:val="nil"/>
            </w:tcBorders>
            <w:shd w:val="clear" w:color="auto" w:fill="auto"/>
            <w:vAlign w:val="center"/>
            <w:hideMark/>
          </w:tcPr>
          <w:p w14:paraId="1E7E9296" w14:textId="77777777" w:rsidR="00473AEF" w:rsidRPr="003A115E" w:rsidRDefault="00473AEF" w:rsidP="00016EF5">
            <w:pPr>
              <w:pStyle w:val="cuatexto"/>
              <w:jc w:val="right"/>
            </w:pPr>
            <w:r w:rsidRPr="003A115E">
              <w:t>7</w:t>
            </w:r>
          </w:p>
        </w:tc>
        <w:tc>
          <w:tcPr>
            <w:tcW w:w="540" w:type="pct"/>
            <w:tcBorders>
              <w:top w:val="single" w:sz="2" w:space="0" w:color="auto"/>
              <w:left w:val="nil"/>
              <w:bottom w:val="single" w:sz="2" w:space="0" w:color="auto"/>
              <w:right w:val="nil"/>
            </w:tcBorders>
            <w:shd w:val="clear" w:color="auto" w:fill="auto"/>
            <w:vAlign w:val="center"/>
            <w:hideMark/>
          </w:tcPr>
          <w:p w14:paraId="78CA4C32" w14:textId="77777777" w:rsidR="00473AEF" w:rsidRPr="003A115E" w:rsidRDefault="00473AEF" w:rsidP="00016EF5">
            <w:pPr>
              <w:pStyle w:val="cuatexto"/>
              <w:jc w:val="right"/>
            </w:pPr>
            <w:r w:rsidRPr="003A115E">
              <w:t>7,31</w:t>
            </w:r>
          </w:p>
        </w:tc>
        <w:tc>
          <w:tcPr>
            <w:tcW w:w="512" w:type="pct"/>
            <w:tcBorders>
              <w:top w:val="single" w:sz="2" w:space="0" w:color="auto"/>
              <w:left w:val="nil"/>
              <w:bottom w:val="single" w:sz="2" w:space="0" w:color="auto"/>
              <w:right w:val="nil"/>
            </w:tcBorders>
            <w:shd w:val="clear" w:color="auto" w:fill="auto"/>
            <w:vAlign w:val="center"/>
            <w:hideMark/>
          </w:tcPr>
          <w:p w14:paraId="03DA223D" w14:textId="77777777" w:rsidR="00473AEF" w:rsidRPr="003A115E" w:rsidRDefault="00473AEF" w:rsidP="00016EF5">
            <w:pPr>
              <w:pStyle w:val="cuatexto"/>
              <w:jc w:val="right"/>
            </w:pPr>
            <w:r w:rsidRPr="003A115E">
              <w:t>11</w:t>
            </w:r>
          </w:p>
        </w:tc>
      </w:tr>
      <w:tr w:rsidR="000A742F" w:rsidRPr="003A115E" w14:paraId="1AF5E27F" w14:textId="77777777" w:rsidTr="00326F20">
        <w:trPr>
          <w:trHeight w:val="198"/>
        </w:trPr>
        <w:tc>
          <w:tcPr>
            <w:tcW w:w="1673" w:type="pct"/>
            <w:tcBorders>
              <w:top w:val="single" w:sz="2" w:space="0" w:color="auto"/>
              <w:left w:val="nil"/>
              <w:bottom w:val="single" w:sz="2" w:space="0" w:color="auto"/>
              <w:right w:val="nil"/>
            </w:tcBorders>
            <w:shd w:val="clear" w:color="auto" w:fill="auto"/>
            <w:vAlign w:val="center"/>
            <w:hideMark/>
          </w:tcPr>
          <w:p w14:paraId="1E8E1533" w14:textId="77777777" w:rsidR="00473AEF" w:rsidRPr="003A115E" w:rsidRDefault="00473AEF" w:rsidP="00016EF5">
            <w:pPr>
              <w:pStyle w:val="cuatexto"/>
            </w:pPr>
            <w:r w:rsidRPr="003A115E">
              <w:t>Deporte</w:t>
            </w:r>
          </w:p>
        </w:tc>
        <w:tc>
          <w:tcPr>
            <w:tcW w:w="708" w:type="pct"/>
            <w:tcBorders>
              <w:top w:val="single" w:sz="2" w:space="0" w:color="auto"/>
              <w:left w:val="nil"/>
              <w:bottom w:val="single" w:sz="2" w:space="0" w:color="auto"/>
              <w:right w:val="nil"/>
            </w:tcBorders>
            <w:shd w:val="clear" w:color="auto" w:fill="auto"/>
            <w:vAlign w:val="center"/>
            <w:hideMark/>
          </w:tcPr>
          <w:p w14:paraId="4BD014BA" w14:textId="77777777" w:rsidR="00473AEF" w:rsidRPr="003A115E" w:rsidRDefault="00473AEF" w:rsidP="00016EF5">
            <w:pPr>
              <w:pStyle w:val="cuatexto"/>
              <w:jc w:val="right"/>
            </w:pPr>
            <w:r w:rsidRPr="003A115E">
              <w:t>68,39</w:t>
            </w:r>
          </w:p>
        </w:tc>
        <w:tc>
          <w:tcPr>
            <w:tcW w:w="487" w:type="pct"/>
            <w:tcBorders>
              <w:top w:val="single" w:sz="2" w:space="0" w:color="auto"/>
              <w:left w:val="nil"/>
              <w:bottom w:val="single" w:sz="2" w:space="0" w:color="auto"/>
              <w:right w:val="nil"/>
            </w:tcBorders>
            <w:shd w:val="clear" w:color="auto" w:fill="auto"/>
            <w:vAlign w:val="center"/>
            <w:hideMark/>
          </w:tcPr>
          <w:p w14:paraId="08B7FD30" w14:textId="77777777" w:rsidR="00473AEF" w:rsidRPr="003A115E" w:rsidRDefault="00473AEF" w:rsidP="00016EF5">
            <w:pPr>
              <w:pStyle w:val="cuatexto"/>
              <w:jc w:val="right"/>
            </w:pPr>
            <w:r w:rsidRPr="003A115E">
              <w:t>-</w:t>
            </w:r>
          </w:p>
        </w:tc>
        <w:tc>
          <w:tcPr>
            <w:tcW w:w="540" w:type="pct"/>
            <w:tcBorders>
              <w:top w:val="single" w:sz="2" w:space="0" w:color="auto"/>
              <w:left w:val="nil"/>
              <w:bottom w:val="single" w:sz="2" w:space="0" w:color="auto"/>
              <w:right w:val="nil"/>
            </w:tcBorders>
            <w:shd w:val="clear" w:color="auto" w:fill="auto"/>
            <w:vAlign w:val="center"/>
            <w:hideMark/>
          </w:tcPr>
          <w:p w14:paraId="1578D735" w14:textId="77777777" w:rsidR="00473AEF" w:rsidRPr="003A115E" w:rsidRDefault="00473AEF" w:rsidP="00016EF5">
            <w:pPr>
              <w:pStyle w:val="cuatexto"/>
              <w:jc w:val="right"/>
            </w:pPr>
            <w:r w:rsidRPr="003A115E">
              <w:t>68,39</w:t>
            </w:r>
          </w:p>
        </w:tc>
        <w:tc>
          <w:tcPr>
            <w:tcW w:w="540" w:type="pct"/>
            <w:tcBorders>
              <w:top w:val="single" w:sz="2" w:space="0" w:color="auto"/>
              <w:left w:val="nil"/>
              <w:bottom w:val="single" w:sz="2" w:space="0" w:color="auto"/>
              <w:right w:val="nil"/>
            </w:tcBorders>
            <w:shd w:val="clear" w:color="auto" w:fill="auto"/>
            <w:vAlign w:val="center"/>
            <w:hideMark/>
          </w:tcPr>
          <w:p w14:paraId="57E4CBA4" w14:textId="77777777" w:rsidR="00473AEF" w:rsidRPr="003A115E" w:rsidRDefault="00473AEF" w:rsidP="00016EF5">
            <w:pPr>
              <w:pStyle w:val="cuatexto"/>
              <w:jc w:val="right"/>
            </w:pPr>
            <w:r w:rsidRPr="003A115E">
              <w:t>6</w:t>
            </w:r>
          </w:p>
        </w:tc>
        <w:tc>
          <w:tcPr>
            <w:tcW w:w="540" w:type="pct"/>
            <w:tcBorders>
              <w:top w:val="single" w:sz="2" w:space="0" w:color="auto"/>
              <w:left w:val="nil"/>
              <w:bottom w:val="single" w:sz="2" w:space="0" w:color="auto"/>
              <w:right w:val="nil"/>
            </w:tcBorders>
            <w:shd w:val="clear" w:color="auto" w:fill="auto"/>
            <w:vAlign w:val="center"/>
            <w:hideMark/>
          </w:tcPr>
          <w:p w14:paraId="7F65460A" w14:textId="77777777" w:rsidR="00473AEF" w:rsidRPr="003A115E" w:rsidRDefault="00473AEF" w:rsidP="00016EF5">
            <w:pPr>
              <w:pStyle w:val="cuatexto"/>
              <w:jc w:val="right"/>
            </w:pPr>
            <w:r w:rsidRPr="003A115E">
              <w:t>5,10</w:t>
            </w:r>
          </w:p>
        </w:tc>
        <w:tc>
          <w:tcPr>
            <w:tcW w:w="512" w:type="pct"/>
            <w:tcBorders>
              <w:top w:val="single" w:sz="2" w:space="0" w:color="auto"/>
              <w:left w:val="nil"/>
              <w:bottom w:val="single" w:sz="2" w:space="0" w:color="auto"/>
              <w:right w:val="nil"/>
            </w:tcBorders>
            <w:shd w:val="clear" w:color="auto" w:fill="auto"/>
            <w:vAlign w:val="center"/>
            <w:hideMark/>
          </w:tcPr>
          <w:p w14:paraId="6B3CEA50" w14:textId="77777777" w:rsidR="00473AEF" w:rsidRPr="003A115E" w:rsidRDefault="00473AEF" w:rsidP="00016EF5">
            <w:pPr>
              <w:pStyle w:val="cuatexto"/>
              <w:jc w:val="right"/>
            </w:pPr>
            <w:r w:rsidRPr="003A115E">
              <w:t>8</w:t>
            </w:r>
          </w:p>
        </w:tc>
      </w:tr>
      <w:tr w:rsidR="000A742F" w:rsidRPr="003A115E" w14:paraId="331D801E" w14:textId="77777777" w:rsidTr="00326F20">
        <w:trPr>
          <w:trHeight w:val="198"/>
        </w:trPr>
        <w:tc>
          <w:tcPr>
            <w:tcW w:w="1673" w:type="pct"/>
            <w:tcBorders>
              <w:top w:val="single" w:sz="2" w:space="0" w:color="auto"/>
              <w:left w:val="nil"/>
              <w:bottom w:val="single" w:sz="2" w:space="0" w:color="auto"/>
              <w:right w:val="nil"/>
            </w:tcBorders>
            <w:shd w:val="clear" w:color="auto" w:fill="auto"/>
            <w:vAlign w:val="center"/>
            <w:hideMark/>
          </w:tcPr>
          <w:p w14:paraId="65FED71C" w14:textId="77777777" w:rsidR="00473AEF" w:rsidRPr="003A115E" w:rsidRDefault="00473AEF" w:rsidP="00016EF5">
            <w:pPr>
              <w:pStyle w:val="cuatexto"/>
            </w:pPr>
            <w:r w:rsidRPr="003A115E">
              <w:t>Pensiones</w:t>
            </w:r>
          </w:p>
        </w:tc>
        <w:tc>
          <w:tcPr>
            <w:tcW w:w="708" w:type="pct"/>
            <w:tcBorders>
              <w:top w:val="single" w:sz="2" w:space="0" w:color="auto"/>
              <w:left w:val="nil"/>
              <w:bottom w:val="single" w:sz="2" w:space="0" w:color="auto"/>
              <w:right w:val="nil"/>
            </w:tcBorders>
            <w:shd w:val="clear" w:color="auto" w:fill="auto"/>
            <w:vAlign w:val="center"/>
            <w:hideMark/>
          </w:tcPr>
          <w:p w14:paraId="7C8F371E" w14:textId="77777777" w:rsidR="00473AEF" w:rsidRPr="003A115E" w:rsidRDefault="00473AEF" w:rsidP="00016EF5">
            <w:pPr>
              <w:pStyle w:val="cuatexto"/>
              <w:jc w:val="right"/>
            </w:pPr>
            <w:r w:rsidRPr="003A115E">
              <w:t>54,78</w:t>
            </w:r>
          </w:p>
        </w:tc>
        <w:tc>
          <w:tcPr>
            <w:tcW w:w="487" w:type="pct"/>
            <w:tcBorders>
              <w:top w:val="single" w:sz="2" w:space="0" w:color="auto"/>
              <w:left w:val="nil"/>
              <w:bottom w:val="single" w:sz="2" w:space="0" w:color="auto"/>
              <w:right w:val="nil"/>
            </w:tcBorders>
            <w:shd w:val="clear" w:color="auto" w:fill="auto"/>
            <w:vAlign w:val="center"/>
            <w:hideMark/>
          </w:tcPr>
          <w:p w14:paraId="1D4273F6" w14:textId="77777777" w:rsidR="00473AEF" w:rsidRPr="003A115E" w:rsidRDefault="00473AEF" w:rsidP="00016EF5">
            <w:pPr>
              <w:pStyle w:val="cuatexto"/>
              <w:jc w:val="right"/>
            </w:pPr>
            <w:r w:rsidRPr="003A115E">
              <w:t>-</w:t>
            </w:r>
          </w:p>
        </w:tc>
        <w:tc>
          <w:tcPr>
            <w:tcW w:w="540" w:type="pct"/>
            <w:tcBorders>
              <w:top w:val="single" w:sz="2" w:space="0" w:color="auto"/>
              <w:left w:val="nil"/>
              <w:bottom w:val="single" w:sz="2" w:space="0" w:color="auto"/>
              <w:right w:val="nil"/>
            </w:tcBorders>
            <w:shd w:val="clear" w:color="auto" w:fill="auto"/>
            <w:vAlign w:val="center"/>
            <w:hideMark/>
          </w:tcPr>
          <w:p w14:paraId="196753CD" w14:textId="77777777" w:rsidR="00473AEF" w:rsidRPr="003A115E" w:rsidRDefault="00473AEF" w:rsidP="00016EF5">
            <w:pPr>
              <w:pStyle w:val="cuatexto"/>
              <w:jc w:val="right"/>
            </w:pPr>
            <w:r w:rsidRPr="003A115E">
              <w:t>54,78</w:t>
            </w:r>
          </w:p>
        </w:tc>
        <w:tc>
          <w:tcPr>
            <w:tcW w:w="540" w:type="pct"/>
            <w:tcBorders>
              <w:top w:val="single" w:sz="2" w:space="0" w:color="auto"/>
              <w:left w:val="nil"/>
              <w:bottom w:val="single" w:sz="2" w:space="0" w:color="auto"/>
              <w:right w:val="nil"/>
            </w:tcBorders>
            <w:shd w:val="clear" w:color="auto" w:fill="auto"/>
            <w:vAlign w:val="center"/>
            <w:hideMark/>
          </w:tcPr>
          <w:p w14:paraId="2C069220" w14:textId="77777777" w:rsidR="00473AEF" w:rsidRPr="003A115E" w:rsidRDefault="00473AEF" w:rsidP="00016EF5">
            <w:pPr>
              <w:pStyle w:val="cuatexto"/>
              <w:jc w:val="right"/>
            </w:pPr>
            <w:r w:rsidRPr="003A115E">
              <w:t>5</w:t>
            </w:r>
          </w:p>
        </w:tc>
        <w:tc>
          <w:tcPr>
            <w:tcW w:w="540" w:type="pct"/>
            <w:tcBorders>
              <w:top w:val="single" w:sz="2" w:space="0" w:color="auto"/>
              <w:left w:val="nil"/>
              <w:bottom w:val="single" w:sz="2" w:space="0" w:color="auto"/>
              <w:right w:val="nil"/>
            </w:tcBorders>
            <w:shd w:val="clear" w:color="auto" w:fill="auto"/>
            <w:vAlign w:val="center"/>
            <w:hideMark/>
          </w:tcPr>
          <w:p w14:paraId="1320A760" w14:textId="77777777" w:rsidR="00473AEF" w:rsidRPr="003A115E" w:rsidRDefault="00473AEF" w:rsidP="00016EF5">
            <w:pPr>
              <w:pStyle w:val="cuatexto"/>
              <w:jc w:val="right"/>
            </w:pPr>
            <w:r w:rsidRPr="003A115E">
              <w:t>1,35</w:t>
            </w:r>
          </w:p>
        </w:tc>
        <w:tc>
          <w:tcPr>
            <w:tcW w:w="512" w:type="pct"/>
            <w:tcBorders>
              <w:top w:val="single" w:sz="2" w:space="0" w:color="auto"/>
              <w:left w:val="nil"/>
              <w:bottom w:val="single" w:sz="2" w:space="0" w:color="auto"/>
              <w:right w:val="nil"/>
            </w:tcBorders>
            <w:shd w:val="clear" w:color="auto" w:fill="auto"/>
            <w:vAlign w:val="center"/>
            <w:hideMark/>
          </w:tcPr>
          <w:p w14:paraId="66C1C7DE" w14:textId="77777777" w:rsidR="00473AEF" w:rsidRPr="003A115E" w:rsidRDefault="00473AEF" w:rsidP="00016EF5">
            <w:pPr>
              <w:pStyle w:val="cuatexto"/>
              <w:jc w:val="right"/>
            </w:pPr>
            <w:r w:rsidRPr="003A115E">
              <w:t>3</w:t>
            </w:r>
          </w:p>
        </w:tc>
      </w:tr>
      <w:tr w:rsidR="000A742F" w:rsidRPr="003A115E" w14:paraId="3D4A5627" w14:textId="77777777" w:rsidTr="00326F20">
        <w:trPr>
          <w:trHeight w:val="198"/>
        </w:trPr>
        <w:tc>
          <w:tcPr>
            <w:tcW w:w="1673" w:type="pct"/>
            <w:tcBorders>
              <w:top w:val="single" w:sz="2" w:space="0" w:color="auto"/>
              <w:left w:val="nil"/>
              <w:bottom w:val="single" w:sz="2" w:space="0" w:color="auto"/>
              <w:right w:val="nil"/>
            </w:tcBorders>
            <w:shd w:val="clear" w:color="auto" w:fill="auto"/>
            <w:vAlign w:val="center"/>
            <w:hideMark/>
          </w:tcPr>
          <w:p w14:paraId="0DC8CB07" w14:textId="77777777" w:rsidR="00473AEF" w:rsidRPr="003A115E" w:rsidRDefault="00473AEF" w:rsidP="00016EF5">
            <w:pPr>
              <w:pStyle w:val="cuatexto"/>
            </w:pPr>
            <w:r w:rsidRPr="003A115E">
              <w:t>Transporte público</w:t>
            </w:r>
          </w:p>
        </w:tc>
        <w:tc>
          <w:tcPr>
            <w:tcW w:w="708" w:type="pct"/>
            <w:tcBorders>
              <w:top w:val="single" w:sz="2" w:space="0" w:color="auto"/>
              <w:left w:val="nil"/>
              <w:bottom w:val="single" w:sz="2" w:space="0" w:color="auto"/>
              <w:right w:val="nil"/>
            </w:tcBorders>
            <w:shd w:val="clear" w:color="auto" w:fill="auto"/>
            <w:vAlign w:val="center"/>
            <w:hideMark/>
          </w:tcPr>
          <w:p w14:paraId="6B2193FF" w14:textId="77777777" w:rsidR="00473AEF" w:rsidRPr="003A115E" w:rsidRDefault="00473AEF" w:rsidP="00016EF5">
            <w:pPr>
              <w:pStyle w:val="cuatexto"/>
              <w:jc w:val="right"/>
            </w:pPr>
            <w:r w:rsidRPr="003A115E">
              <w:t>33,02</w:t>
            </w:r>
          </w:p>
        </w:tc>
        <w:tc>
          <w:tcPr>
            <w:tcW w:w="487" w:type="pct"/>
            <w:tcBorders>
              <w:top w:val="single" w:sz="2" w:space="0" w:color="auto"/>
              <w:left w:val="nil"/>
              <w:bottom w:val="single" w:sz="2" w:space="0" w:color="auto"/>
              <w:right w:val="nil"/>
            </w:tcBorders>
            <w:shd w:val="clear" w:color="auto" w:fill="auto"/>
            <w:vAlign w:val="center"/>
            <w:hideMark/>
          </w:tcPr>
          <w:p w14:paraId="02379048" w14:textId="77777777" w:rsidR="00473AEF" w:rsidRPr="003A115E" w:rsidRDefault="00473AEF" w:rsidP="00016EF5">
            <w:pPr>
              <w:pStyle w:val="cuatexto"/>
              <w:jc w:val="right"/>
            </w:pPr>
            <w:r w:rsidRPr="003A115E">
              <w:t>-0,57</w:t>
            </w:r>
          </w:p>
        </w:tc>
        <w:tc>
          <w:tcPr>
            <w:tcW w:w="540" w:type="pct"/>
            <w:tcBorders>
              <w:top w:val="single" w:sz="2" w:space="0" w:color="auto"/>
              <w:left w:val="nil"/>
              <w:bottom w:val="single" w:sz="2" w:space="0" w:color="auto"/>
              <w:right w:val="nil"/>
            </w:tcBorders>
            <w:shd w:val="clear" w:color="auto" w:fill="auto"/>
            <w:vAlign w:val="center"/>
            <w:hideMark/>
          </w:tcPr>
          <w:p w14:paraId="28A6CA56" w14:textId="77777777" w:rsidR="00473AEF" w:rsidRPr="003A115E" w:rsidRDefault="00473AEF" w:rsidP="00016EF5">
            <w:pPr>
              <w:pStyle w:val="cuatexto"/>
              <w:jc w:val="right"/>
            </w:pPr>
            <w:r w:rsidRPr="003A115E">
              <w:t>32,45</w:t>
            </w:r>
          </w:p>
        </w:tc>
        <w:tc>
          <w:tcPr>
            <w:tcW w:w="540" w:type="pct"/>
            <w:tcBorders>
              <w:top w:val="single" w:sz="2" w:space="0" w:color="auto"/>
              <w:left w:val="nil"/>
              <w:bottom w:val="single" w:sz="2" w:space="0" w:color="auto"/>
              <w:right w:val="nil"/>
            </w:tcBorders>
            <w:shd w:val="clear" w:color="auto" w:fill="auto"/>
            <w:vAlign w:val="center"/>
            <w:hideMark/>
          </w:tcPr>
          <w:p w14:paraId="21AD1738" w14:textId="77777777" w:rsidR="00473AEF" w:rsidRPr="003A115E" w:rsidRDefault="00473AEF" w:rsidP="00016EF5">
            <w:pPr>
              <w:pStyle w:val="cuatexto"/>
              <w:jc w:val="right"/>
            </w:pPr>
            <w:r w:rsidRPr="003A115E">
              <w:t>3</w:t>
            </w:r>
          </w:p>
        </w:tc>
        <w:tc>
          <w:tcPr>
            <w:tcW w:w="540" w:type="pct"/>
            <w:tcBorders>
              <w:top w:val="single" w:sz="2" w:space="0" w:color="auto"/>
              <w:left w:val="nil"/>
              <w:bottom w:val="single" w:sz="2" w:space="0" w:color="auto"/>
              <w:right w:val="nil"/>
            </w:tcBorders>
            <w:shd w:val="clear" w:color="auto" w:fill="auto"/>
            <w:vAlign w:val="center"/>
            <w:hideMark/>
          </w:tcPr>
          <w:p w14:paraId="08607EE3" w14:textId="77777777" w:rsidR="00473AEF" w:rsidRPr="003A115E" w:rsidRDefault="00473AEF" w:rsidP="00016EF5">
            <w:pPr>
              <w:pStyle w:val="cuatexto"/>
              <w:jc w:val="right"/>
            </w:pPr>
            <w:r w:rsidRPr="003A115E">
              <w:t>3,57</w:t>
            </w:r>
          </w:p>
        </w:tc>
        <w:tc>
          <w:tcPr>
            <w:tcW w:w="512" w:type="pct"/>
            <w:tcBorders>
              <w:top w:val="single" w:sz="2" w:space="0" w:color="auto"/>
              <w:left w:val="nil"/>
              <w:bottom w:val="single" w:sz="2" w:space="0" w:color="auto"/>
              <w:right w:val="nil"/>
            </w:tcBorders>
            <w:shd w:val="clear" w:color="auto" w:fill="auto"/>
            <w:vAlign w:val="center"/>
            <w:hideMark/>
          </w:tcPr>
          <w:p w14:paraId="78F07F23" w14:textId="77777777" w:rsidR="00473AEF" w:rsidRPr="003A115E" w:rsidRDefault="00473AEF" w:rsidP="00016EF5">
            <w:pPr>
              <w:pStyle w:val="cuatexto"/>
              <w:jc w:val="right"/>
            </w:pPr>
            <w:r w:rsidRPr="003A115E">
              <w:t>12</w:t>
            </w:r>
          </w:p>
        </w:tc>
      </w:tr>
      <w:tr w:rsidR="000A742F" w:rsidRPr="003A115E" w14:paraId="614A0CCD" w14:textId="77777777" w:rsidTr="00326F20">
        <w:trPr>
          <w:trHeight w:val="198"/>
        </w:trPr>
        <w:tc>
          <w:tcPr>
            <w:tcW w:w="1673" w:type="pct"/>
            <w:tcBorders>
              <w:top w:val="single" w:sz="2" w:space="0" w:color="auto"/>
              <w:left w:val="nil"/>
              <w:bottom w:val="single" w:sz="2" w:space="0" w:color="auto"/>
              <w:right w:val="nil"/>
            </w:tcBorders>
            <w:shd w:val="clear" w:color="auto" w:fill="auto"/>
            <w:vAlign w:val="center"/>
            <w:hideMark/>
          </w:tcPr>
          <w:p w14:paraId="67D7FA7F" w14:textId="77777777" w:rsidR="00473AEF" w:rsidRPr="003A115E" w:rsidRDefault="00473AEF" w:rsidP="00016EF5">
            <w:pPr>
              <w:pStyle w:val="cuatexto"/>
            </w:pPr>
            <w:r w:rsidRPr="003A115E">
              <w:t>Medio ambiente</w:t>
            </w:r>
          </w:p>
        </w:tc>
        <w:tc>
          <w:tcPr>
            <w:tcW w:w="708" w:type="pct"/>
            <w:tcBorders>
              <w:top w:val="single" w:sz="2" w:space="0" w:color="auto"/>
              <w:left w:val="nil"/>
              <w:bottom w:val="single" w:sz="2" w:space="0" w:color="auto"/>
              <w:right w:val="nil"/>
            </w:tcBorders>
            <w:shd w:val="clear" w:color="auto" w:fill="auto"/>
            <w:vAlign w:val="center"/>
            <w:hideMark/>
          </w:tcPr>
          <w:p w14:paraId="63B1BC4A" w14:textId="77777777" w:rsidR="00473AEF" w:rsidRPr="003A115E" w:rsidRDefault="00473AEF" w:rsidP="00016EF5">
            <w:pPr>
              <w:pStyle w:val="cuatexto"/>
              <w:jc w:val="right"/>
            </w:pPr>
            <w:r w:rsidRPr="003A115E">
              <w:t>26,42</w:t>
            </w:r>
          </w:p>
        </w:tc>
        <w:tc>
          <w:tcPr>
            <w:tcW w:w="487" w:type="pct"/>
            <w:tcBorders>
              <w:top w:val="single" w:sz="2" w:space="0" w:color="auto"/>
              <w:left w:val="nil"/>
              <w:bottom w:val="single" w:sz="2" w:space="0" w:color="auto"/>
              <w:right w:val="nil"/>
            </w:tcBorders>
            <w:shd w:val="clear" w:color="auto" w:fill="auto"/>
            <w:vAlign w:val="center"/>
            <w:hideMark/>
          </w:tcPr>
          <w:p w14:paraId="34916123" w14:textId="77777777" w:rsidR="00473AEF" w:rsidRPr="003A115E" w:rsidRDefault="00473AEF" w:rsidP="00016EF5">
            <w:pPr>
              <w:pStyle w:val="cuatexto"/>
              <w:jc w:val="right"/>
            </w:pPr>
            <w:r w:rsidRPr="003A115E">
              <w:t>0,83</w:t>
            </w:r>
          </w:p>
        </w:tc>
        <w:tc>
          <w:tcPr>
            <w:tcW w:w="540" w:type="pct"/>
            <w:tcBorders>
              <w:top w:val="single" w:sz="2" w:space="0" w:color="auto"/>
              <w:left w:val="nil"/>
              <w:bottom w:val="single" w:sz="2" w:space="0" w:color="auto"/>
              <w:right w:val="nil"/>
            </w:tcBorders>
            <w:shd w:val="clear" w:color="auto" w:fill="auto"/>
            <w:vAlign w:val="center"/>
            <w:hideMark/>
          </w:tcPr>
          <w:p w14:paraId="48485807" w14:textId="77777777" w:rsidR="00473AEF" w:rsidRPr="003A115E" w:rsidRDefault="00473AEF" w:rsidP="00016EF5">
            <w:pPr>
              <w:pStyle w:val="cuatexto"/>
              <w:jc w:val="right"/>
            </w:pPr>
            <w:r w:rsidRPr="003A115E">
              <w:t>27,26</w:t>
            </w:r>
          </w:p>
        </w:tc>
        <w:tc>
          <w:tcPr>
            <w:tcW w:w="540" w:type="pct"/>
            <w:tcBorders>
              <w:top w:val="single" w:sz="2" w:space="0" w:color="auto"/>
              <w:left w:val="nil"/>
              <w:bottom w:val="single" w:sz="2" w:space="0" w:color="auto"/>
              <w:right w:val="nil"/>
            </w:tcBorders>
            <w:shd w:val="clear" w:color="auto" w:fill="auto"/>
            <w:vAlign w:val="center"/>
            <w:hideMark/>
          </w:tcPr>
          <w:p w14:paraId="1A65D5FE" w14:textId="77777777" w:rsidR="00473AEF" w:rsidRPr="003A115E" w:rsidRDefault="00473AEF" w:rsidP="00016EF5">
            <w:pPr>
              <w:pStyle w:val="cuatexto"/>
              <w:jc w:val="right"/>
            </w:pPr>
            <w:r w:rsidRPr="003A115E">
              <w:t>3</w:t>
            </w:r>
          </w:p>
        </w:tc>
        <w:tc>
          <w:tcPr>
            <w:tcW w:w="540" w:type="pct"/>
            <w:tcBorders>
              <w:top w:val="single" w:sz="2" w:space="0" w:color="auto"/>
              <w:left w:val="nil"/>
              <w:bottom w:val="single" w:sz="2" w:space="0" w:color="auto"/>
              <w:right w:val="nil"/>
            </w:tcBorders>
            <w:shd w:val="clear" w:color="auto" w:fill="auto"/>
            <w:vAlign w:val="center"/>
            <w:hideMark/>
          </w:tcPr>
          <w:p w14:paraId="4FCF35C2" w14:textId="77777777" w:rsidR="00473AEF" w:rsidRPr="003A115E" w:rsidRDefault="00473AEF" w:rsidP="00016EF5">
            <w:pPr>
              <w:pStyle w:val="cuatexto"/>
              <w:jc w:val="right"/>
            </w:pPr>
            <w:r w:rsidRPr="003A115E">
              <w:t>2,60</w:t>
            </w:r>
          </w:p>
        </w:tc>
        <w:tc>
          <w:tcPr>
            <w:tcW w:w="512" w:type="pct"/>
            <w:tcBorders>
              <w:top w:val="single" w:sz="2" w:space="0" w:color="auto"/>
              <w:left w:val="nil"/>
              <w:bottom w:val="single" w:sz="2" w:space="0" w:color="auto"/>
              <w:right w:val="nil"/>
            </w:tcBorders>
            <w:shd w:val="clear" w:color="auto" w:fill="auto"/>
            <w:vAlign w:val="center"/>
            <w:hideMark/>
          </w:tcPr>
          <w:p w14:paraId="5B4E2E10" w14:textId="77777777" w:rsidR="00473AEF" w:rsidRPr="003A115E" w:rsidRDefault="00473AEF" w:rsidP="00016EF5">
            <w:pPr>
              <w:pStyle w:val="cuatexto"/>
              <w:jc w:val="right"/>
            </w:pPr>
            <w:r w:rsidRPr="003A115E">
              <w:t>11</w:t>
            </w:r>
          </w:p>
        </w:tc>
      </w:tr>
      <w:tr w:rsidR="000A742F" w:rsidRPr="003A115E" w14:paraId="267C0FC7" w14:textId="77777777" w:rsidTr="00326F20">
        <w:trPr>
          <w:trHeight w:val="198"/>
        </w:trPr>
        <w:tc>
          <w:tcPr>
            <w:tcW w:w="1673" w:type="pct"/>
            <w:tcBorders>
              <w:top w:val="single" w:sz="2" w:space="0" w:color="auto"/>
              <w:left w:val="nil"/>
              <w:bottom w:val="single" w:sz="2" w:space="0" w:color="auto"/>
              <w:right w:val="nil"/>
            </w:tcBorders>
            <w:shd w:val="clear" w:color="auto" w:fill="auto"/>
            <w:vAlign w:val="center"/>
            <w:hideMark/>
          </w:tcPr>
          <w:p w14:paraId="70DA1160" w14:textId="77777777" w:rsidR="00473AEF" w:rsidRPr="003A115E" w:rsidRDefault="00473AEF" w:rsidP="00016EF5">
            <w:pPr>
              <w:pStyle w:val="cuatexto"/>
            </w:pPr>
            <w:r w:rsidRPr="003A115E">
              <w:t>Deuda Pública</w:t>
            </w:r>
          </w:p>
        </w:tc>
        <w:tc>
          <w:tcPr>
            <w:tcW w:w="708" w:type="pct"/>
            <w:tcBorders>
              <w:top w:val="single" w:sz="2" w:space="0" w:color="auto"/>
              <w:left w:val="nil"/>
              <w:bottom w:val="single" w:sz="2" w:space="0" w:color="auto"/>
              <w:right w:val="nil"/>
            </w:tcBorders>
            <w:shd w:val="clear" w:color="auto" w:fill="auto"/>
            <w:vAlign w:val="center"/>
            <w:hideMark/>
          </w:tcPr>
          <w:p w14:paraId="78D98835" w14:textId="77777777" w:rsidR="00473AEF" w:rsidRPr="003A115E" w:rsidRDefault="00473AEF" w:rsidP="00016EF5">
            <w:pPr>
              <w:pStyle w:val="cuatexto"/>
              <w:jc w:val="right"/>
            </w:pPr>
            <w:r w:rsidRPr="003A115E">
              <w:t>21,15</w:t>
            </w:r>
          </w:p>
        </w:tc>
        <w:tc>
          <w:tcPr>
            <w:tcW w:w="487" w:type="pct"/>
            <w:tcBorders>
              <w:top w:val="single" w:sz="2" w:space="0" w:color="auto"/>
              <w:left w:val="nil"/>
              <w:bottom w:val="single" w:sz="2" w:space="0" w:color="auto"/>
              <w:right w:val="nil"/>
            </w:tcBorders>
            <w:shd w:val="clear" w:color="auto" w:fill="auto"/>
            <w:vAlign w:val="center"/>
            <w:hideMark/>
          </w:tcPr>
          <w:p w14:paraId="4C4B4EAB" w14:textId="77777777" w:rsidR="00473AEF" w:rsidRPr="003A115E" w:rsidRDefault="00473AEF" w:rsidP="00016EF5">
            <w:pPr>
              <w:pStyle w:val="cuatexto"/>
              <w:jc w:val="right"/>
            </w:pPr>
            <w:r w:rsidRPr="003A115E">
              <w:t>-</w:t>
            </w:r>
          </w:p>
        </w:tc>
        <w:tc>
          <w:tcPr>
            <w:tcW w:w="540" w:type="pct"/>
            <w:tcBorders>
              <w:top w:val="single" w:sz="2" w:space="0" w:color="auto"/>
              <w:left w:val="nil"/>
              <w:bottom w:val="single" w:sz="2" w:space="0" w:color="auto"/>
              <w:right w:val="nil"/>
            </w:tcBorders>
            <w:shd w:val="clear" w:color="auto" w:fill="auto"/>
            <w:vAlign w:val="center"/>
            <w:hideMark/>
          </w:tcPr>
          <w:p w14:paraId="0015C1E1" w14:textId="77777777" w:rsidR="00473AEF" w:rsidRPr="003A115E" w:rsidRDefault="00473AEF" w:rsidP="00016EF5">
            <w:pPr>
              <w:pStyle w:val="cuatexto"/>
              <w:jc w:val="right"/>
            </w:pPr>
            <w:r w:rsidRPr="003A115E">
              <w:t>21,15</w:t>
            </w:r>
          </w:p>
        </w:tc>
        <w:tc>
          <w:tcPr>
            <w:tcW w:w="540" w:type="pct"/>
            <w:tcBorders>
              <w:top w:val="single" w:sz="2" w:space="0" w:color="auto"/>
              <w:left w:val="nil"/>
              <w:bottom w:val="single" w:sz="2" w:space="0" w:color="auto"/>
              <w:right w:val="nil"/>
            </w:tcBorders>
            <w:shd w:val="clear" w:color="auto" w:fill="auto"/>
            <w:vAlign w:val="center"/>
            <w:hideMark/>
          </w:tcPr>
          <w:p w14:paraId="5DBB7A5A" w14:textId="77777777" w:rsidR="00473AEF" w:rsidRPr="003A115E" w:rsidRDefault="00473AEF" w:rsidP="00016EF5">
            <w:pPr>
              <w:pStyle w:val="cuatexto"/>
              <w:jc w:val="right"/>
            </w:pPr>
            <w:r w:rsidRPr="003A115E">
              <w:t>2</w:t>
            </w:r>
          </w:p>
        </w:tc>
        <w:tc>
          <w:tcPr>
            <w:tcW w:w="540" w:type="pct"/>
            <w:tcBorders>
              <w:top w:val="single" w:sz="2" w:space="0" w:color="auto"/>
              <w:left w:val="nil"/>
              <w:bottom w:val="single" w:sz="2" w:space="0" w:color="auto"/>
              <w:right w:val="nil"/>
            </w:tcBorders>
            <w:shd w:val="clear" w:color="auto" w:fill="auto"/>
            <w:vAlign w:val="center"/>
            <w:hideMark/>
          </w:tcPr>
          <w:p w14:paraId="7C51AF93" w14:textId="77777777" w:rsidR="00473AEF" w:rsidRPr="003A115E" w:rsidRDefault="00473AEF" w:rsidP="00016EF5">
            <w:pPr>
              <w:pStyle w:val="cuatexto"/>
              <w:jc w:val="right"/>
            </w:pPr>
            <w:r w:rsidRPr="003A115E">
              <w:t>-17,99</w:t>
            </w:r>
          </w:p>
        </w:tc>
        <w:tc>
          <w:tcPr>
            <w:tcW w:w="512" w:type="pct"/>
            <w:tcBorders>
              <w:top w:val="single" w:sz="2" w:space="0" w:color="auto"/>
              <w:left w:val="nil"/>
              <w:bottom w:val="single" w:sz="2" w:space="0" w:color="auto"/>
              <w:right w:val="nil"/>
            </w:tcBorders>
            <w:shd w:val="clear" w:color="auto" w:fill="auto"/>
            <w:vAlign w:val="center"/>
            <w:hideMark/>
          </w:tcPr>
          <w:p w14:paraId="64C9A2EB" w14:textId="77777777" w:rsidR="00473AEF" w:rsidRPr="003A115E" w:rsidRDefault="00473AEF" w:rsidP="00016EF5">
            <w:pPr>
              <w:pStyle w:val="cuatexto"/>
              <w:jc w:val="right"/>
            </w:pPr>
            <w:r w:rsidRPr="003A115E">
              <w:t>-46</w:t>
            </w:r>
          </w:p>
        </w:tc>
      </w:tr>
      <w:tr w:rsidR="000A742F" w:rsidRPr="003A115E" w14:paraId="676C062E" w14:textId="77777777" w:rsidTr="00326F20">
        <w:trPr>
          <w:trHeight w:val="198"/>
        </w:trPr>
        <w:tc>
          <w:tcPr>
            <w:tcW w:w="1673" w:type="pct"/>
            <w:tcBorders>
              <w:top w:val="single" w:sz="2" w:space="0" w:color="auto"/>
              <w:left w:val="nil"/>
              <w:bottom w:val="single" w:sz="4" w:space="0" w:color="auto"/>
              <w:right w:val="nil"/>
            </w:tcBorders>
            <w:shd w:val="clear" w:color="auto" w:fill="auto"/>
            <w:vAlign w:val="center"/>
            <w:hideMark/>
          </w:tcPr>
          <w:p w14:paraId="0076092F" w14:textId="77777777" w:rsidR="00473AEF" w:rsidRPr="003A115E" w:rsidRDefault="00473AEF" w:rsidP="00016EF5">
            <w:pPr>
              <w:pStyle w:val="cuatexto"/>
            </w:pPr>
            <w:r w:rsidRPr="003A115E">
              <w:t>Otras</w:t>
            </w:r>
          </w:p>
        </w:tc>
        <w:tc>
          <w:tcPr>
            <w:tcW w:w="708" w:type="pct"/>
            <w:tcBorders>
              <w:top w:val="single" w:sz="2" w:space="0" w:color="auto"/>
              <w:left w:val="nil"/>
              <w:bottom w:val="single" w:sz="4" w:space="0" w:color="auto"/>
              <w:right w:val="nil"/>
            </w:tcBorders>
            <w:shd w:val="clear" w:color="auto" w:fill="auto"/>
            <w:vAlign w:val="center"/>
            <w:hideMark/>
          </w:tcPr>
          <w:p w14:paraId="4B4AF2EA" w14:textId="77777777" w:rsidR="00473AEF" w:rsidRPr="003A115E" w:rsidRDefault="00473AEF" w:rsidP="00016EF5">
            <w:pPr>
              <w:pStyle w:val="cuatexto"/>
              <w:jc w:val="right"/>
            </w:pPr>
            <w:r w:rsidRPr="003A115E">
              <w:t>118,97</w:t>
            </w:r>
          </w:p>
        </w:tc>
        <w:tc>
          <w:tcPr>
            <w:tcW w:w="487" w:type="pct"/>
            <w:tcBorders>
              <w:top w:val="single" w:sz="2" w:space="0" w:color="auto"/>
              <w:left w:val="nil"/>
              <w:bottom w:val="single" w:sz="4" w:space="0" w:color="auto"/>
              <w:right w:val="nil"/>
            </w:tcBorders>
            <w:shd w:val="clear" w:color="auto" w:fill="auto"/>
            <w:vAlign w:val="center"/>
            <w:hideMark/>
          </w:tcPr>
          <w:p w14:paraId="1555E69C" w14:textId="77777777" w:rsidR="00473AEF" w:rsidRPr="003A115E" w:rsidRDefault="00473AEF" w:rsidP="00016EF5">
            <w:pPr>
              <w:pStyle w:val="cuatexto"/>
              <w:jc w:val="right"/>
            </w:pPr>
            <w:r w:rsidRPr="003A115E">
              <w:t>5,36</w:t>
            </w:r>
          </w:p>
        </w:tc>
        <w:tc>
          <w:tcPr>
            <w:tcW w:w="540" w:type="pct"/>
            <w:tcBorders>
              <w:top w:val="single" w:sz="2" w:space="0" w:color="auto"/>
              <w:left w:val="nil"/>
              <w:bottom w:val="single" w:sz="4" w:space="0" w:color="auto"/>
              <w:right w:val="nil"/>
            </w:tcBorders>
            <w:shd w:val="clear" w:color="auto" w:fill="auto"/>
            <w:vAlign w:val="center"/>
            <w:hideMark/>
          </w:tcPr>
          <w:p w14:paraId="1B7CA752" w14:textId="77777777" w:rsidR="00473AEF" w:rsidRPr="003A115E" w:rsidRDefault="00473AEF" w:rsidP="00016EF5">
            <w:pPr>
              <w:pStyle w:val="cuatexto"/>
              <w:jc w:val="right"/>
            </w:pPr>
            <w:r w:rsidRPr="003A115E">
              <w:t>124,33</w:t>
            </w:r>
          </w:p>
        </w:tc>
        <w:tc>
          <w:tcPr>
            <w:tcW w:w="540" w:type="pct"/>
            <w:tcBorders>
              <w:top w:val="single" w:sz="2" w:space="0" w:color="auto"/>
              <w:left w:val="nil"/>
              <w:bottom w:val="single" w:sz="4" w:space="0" w:color="auto"/>
              <w:right w:val="nil"/>
            </w:tcBorders>
            <w:shd w:val="clear" w:color="auto" w:fill="auto"/>
            <w:vAlign w:val="center"/>
            <w:hideMark/>
          </w:tcPr>
          <w:p w14:paraId="182BB48E" w14:textId="77777777" w:rsidR="00473AEF" w:rsidRPr="003A115E" w:rsidRDefault="00473AEF" w:rsidP="00016EF5">
            <w:pPr>
              <w:pStyle w:val="cuatexto"/>
              <w:jc w:val="right"/>
            </w:pPr>
            <w:r w:rsidRPr="003A115E">
              <w:t>12</w:t>
            </w:r>
          </w:p>
        </w:tc>
        <w:tc>
          <w:tcPr>
            <w:tcW w:w="540" w:type="pct"/>
            <w:tcBorders>
              <w:top w:val="single" w:sz="2" w:space="0" w:color="auto"/>
              <w:left w:val="nil"/>
              <w:bottom w:val="single" w:sz="4" w:space="0" w:color="auto"/>
              <w:right w:val="nil"/>
            </w:tcBorders>
            <w:shd w:val="clear" w:color="auto" w:fill="auto"/>
            <w:vAlign w:val="center"/>
            <w:hideMark/>
          </w:tcPr>
          <w:p w14:paraId="5FBA752A" w14:textId="0CA7B06E" w:rsidR="00473AEF" w:rsidRPr="003A115E" w:rsidRDefault="00BF1275" w:rsidP="00BF1275">
            <w:pPr>
              <w:pStyle w:val="cuatexto"/>
              <w:jc w:val="right"/>
            </w:pPr>
            <w:r w:rsidRPr="003A115E">
              <w:t>8,69</w:t>
            </w:r>
          </w:p>
        </w:tc>
        <w:tc>
          <w:tcPr>
            <w:tcW w:w="512" w:type="pct"/>
            <w:tcBorders>
              <w:top w:val="single" w:sz="2" w:space="0" w:color="auto"/>
              <w:left w:val="nil"/>
              <w:bottom w:val="single" w:sz="4" w:space="0" w:color="auto"/>
              <w:right w:val="nil"/>
            </w:tcBorders>
            <w:shd w:val="clear" w:color="auto" w:fill="auto"/>
            <w:vAlign w:val="center"/>
            <w:hideMark/>
          </w:tcPr>
          <w:p w14:paraId="0F2DB456" w14:textId="4924BC04" w:rsidR="00473AEF" w:rsidRPr="003A115E" w:rsidRDefault="00BF1275" w:rsidP="00016EF5">
            <w:pPr>
              <w:pStyle w:val="cuatexto"/>
              <w:jc w:val="right"/>
            </w:pPr>
            <w:r w:rsidRPr="003A115E">
              <w:t>8</w:t>
            </w:r>
          </w:p>
        </w:tc>
      </w:tr>
      <w:tr w:rsidR="000A742F" w:rsidRPr="003A115E" w14:paraId="15FC094A" w14:textId="77777777" w:rsidTr="005F3A0D">
        <w:trPr>
          <w:trHeight w:val="255"/>
        </w:trPr>
        <w:tc>
          <w:tcPr>
            <w:tcW w:w="1673" w:type="pct"/>
            <w:tcBorders>
              <w:top w:val="single" w:sz="4" w:space="0" w:color="auto"/>
              <w:left w:val="nil"/>
              <w:bottom w:val="single" w:sz="4" w:space="0" w:color="auto"/>
              <w:right w:val="nil"/>
            </w:tcBorders>
            <w:shd w:val="clear" w:color="auto" w:fill="FABF8F" w:themeFill="accent6" w:themeFillTint="99"/>
            <w:vAlign w:val="center"/>
            <w:hideMark/>
          </w:tcPr>
          <w:p w14:paraId="363602BB" w14:textId="77777777" w:rsidR="00473AEF" w:rsidRPr="003A115E" w:rsidRDefault="00473AEF" w:rsidP="00016EF5">
            <w:pPr>
              <w:pStyle w:val="cuadroCabe"/>
            </w:pPr>
            <w:r w:rsidRPr="003A115E">
              <w:t>Total</w:t>
            </w:r>
          </w:p>
        </w:tc>
        <w:tc>
          <w:tcPr>
            <w:tcW w:w="708" w:type="pct"/>
            <w:tcBorders>
              <w:top w:val="single" w:sz="4" w:space="0" w:color="auto"/>
              <w:left w:val="nil"/>
              <w:bottom w:val="single" w:sz="4" w:space="0" w:color="auto"/>
              <w:right w:val="nil"/>
            </w:tcBorders>
            <w:shd w:val="clear" w:color="auto" w:fill="FABF8F" w:themeFill="accent6" w:themeFillTint="99"/>
            <w:vAlign w:val="center"/>
            <w:hideMark/>
          </w:tcPr>
          <w:p w14:paraId="5113889D" w14:textId="77777777" w:rsidR="00473AEF" w:rsidRPr="003A115E" w:rsidRDefault="00473AEF" w:rsidP="00016EF5">
            <w:pPr>
              <w:pStyle w:val="cuadroCabe"/>
              <w:jc w:val="right"/>
            </w:pPr>
            <w:r w:rsidRPr="003A115E">
              <w:t>964,66</w:t>
            </w:r>
          </w:p>
        </w:tc>
        <w:tc>
          <w:tcPr>
            <w:tcW w:w="487" w:type="pct"/>
            <w:tcBorders>
              <w:top w:val="single" w:sz="4" w:space="0" w:color="auto"/>
              <w:left w:val="nil"/>
              <w:bottom w:val="single" w:sz="4" w:space="0" w:color="auto"/>
              <w:right w:val="nil"/>
            </w:tcBorders>
            <w:shd w:val="clear" w:color="auto" w:fill="FABF8F" w:themeFill="accent6" w:themeFillTint="99"/>
            <w:vAlign w:val="center"/>
            <w:hideMark/>
          </w:tcPr>
          <w:p w14:paraId="756CD037" w14:textId="77777777" w:rsidR="00473AEF" w:rsidRPr="003A115E" w:rsidRDefault="00473AEF" w:rsidP="00016EF5">
            <w:pPr>
              <w:pStyle w:val="cuadroCabe"/>
              <w:jc w:val="right"/>
            </w:pPr>
            <w:r w:rsidRPr="003A115E">
              <w:t>98,11</w:t>
            </w:r>
          </w:p>
        </w:tc>
        <w:tc>
          <w:tcPr>
            <w:tcW w:w="540" w:type="pct"/>
            <w:tcBorders>
              <w:top w:val="single" w:sz="4" w:space="0" w:color="auto"/>
              <w:left w:val="nil"/>
              <w:bottom w:val="single" w:sz="4" w:space="0" w:color="auto"/>
              <w:right w:val="nil"/>
            </w:tcBorders>
            <w:shd w:val="clear" w:color="auto" w:fill="FABF8F" w:themeFill="accent6" w:themeFillTint="99"/>
            <w:vAlign w:val="center"/>
            <w:hideMark/>
          </w:tcPr>
          <w:p w14:paraId="6A7CBE5F" w14:textId="77777777" w:rsidR="00473AEF" w:rsidRPr="003A115E" w:rsidRDefault="00473AEF" w:rsidP="00016EF5">
            <w:pPr>
              <w:pStyle w:val="cuadroCabe"/>
              <w:jc w:val="right"/>
            </w:pPr>
            <w:r w:rsidRPr="003A115E">
              <w:t>1.062,76</w:t>
            </w:r>
          </w:p>
        </w:tc>
        <w:tc>
          <w:tcPr>
            <w:tcW w:w="540" w:type="pct"/>
            <w:tcBorders>
              <w:top w:val="single" w:sz="4" w:space="0" w:color="auto"/>
              <w:left w:val="nil"/>
              <w:bottom w:val="single" w:sz="4" w:space="0" w:color="auto"/>
              <w:right w:val="nil"/>
            </w:tcBorders>
            <w:shd w:val="clear" w:color="auto" w:fill="FABF8F" w:themeFill="accent6" w:themeFillTint="99"/>
            <w:vAlign w:val="center"/>
            <w:hideMark/>
          </w:tcPr>
          <w:p w14:paraId="4EA02E09" w14:textId="77777777" w:rsidR="00473AEF" w:rsidRPr="003A115E" w:rsidRDefault="00473AEF" w:rsidP="00016EF5">
            <w:pPr>
              <w:pStyle w:val="cuadroCabe"/>
              <w:jc w:val="right"/>
            </w:pPr>
            <w:r w:rsidRPr="003A115E">
              <w:t>100</w:t>
            </w:r>
          </w:p>
        </w:tc>
        <w:tc>
          <w:tcPr>
            <w:tcW w:w="540" w:type="pct"/>
            <w:tcBorders>
              <w:top w:val="single" w:sz="4" w:space="0" w:color="auto"/>
              <w:left w:val="nil"/>
              <w:bottom w:val="single" w:sz="4" w:space="0" w:color="auto"/>
              <w:right w:val="nil"/>
            </w:tcBorders>
            <w:shd w:val="clear" w:color="auto" w:fill="FABF8F" w:themeFill="accent6" w:themeFillTint="99"/>
            <w:vAlign w:val="center"/>
            <w:hideMark/>
          </w:tcPr>
          <w:p w14:paraId="7212DBD8" w14:textId="3DC2E224" w:rsidR="00473AEF" w:rsidRPr="003A115E" w:rsidRDefault="00BF1275" w:rsidP="00016EF5">
            <w:pPr>
              <w:pStyle w:val="cuadroCabe"/>
              <w:jc w:val="right"/>
              <w:rPr>
                <w:b/>
              </w:rPr>
            </w:pPr>
            <w:r w:rsidRPr="003A115E">
              <w:rPr>
                <w:rStyle w:val="normaltextrun"/>
                <w:rFonts w:ascii="Arial Narrow" w:hAnsi="Arial Narrow"/>
                <w:b/>
                <w:szCs w:val="18"/>
                <w:bdr w:val="none" w:sz="0" w:space="0" w:color="auto" w:frame="1"/>
              </w:rPr>
              <w:t>73,90</w:t>
            </w:r>
          </w:p>
        </w:tc>
        <w:tc>
          <w:tcPr>
            <w:tcW w:w="512" w:type="pct"/>
            <w:tcBorders>
              <w:top w:val="single" w:sz="4" w:space="0" w:color="auto"/>
              <w:left w:val="nil"/>
              <w:bottom w:val="single" w:sz="4" w:space="0" w:color="auto"/>
              <w:right w:val="nil"/>
            </w:tcBorders>
            <w:shd w:val="clear" w:color="auto" w:fill="FABF8F" w:themeFill="accent6" w:themeFillTint="99"/>
            <w:vAlign w:val="center"/>
            <w:hideMark/>
          </w:tcPr>
          <w:p w14:paraId="5888DFBC" w14:textId="492AF638" w:rsidR="00473AEF" w:rsidRPr="003A115E" w:rsidRDefault="00935469" w:rsidP="00016EF5">
            <w:pPr>
              <w:pStyle w:val="cuadroCabe"/>
              <w:jc w:val="right"/>
              <w:rPr>
                <w:b/>
              </w:rPr>
            </w:pPr>
            <w:r w:rsidRPr="003A115E">
              <w:rPr>
                <w:b/>
              </w:rPr>
              <w:t>7</w:t>
            </w:r>
          </w:p>
        </w:tc>
      </w:tr>
    </w:tbl>
    <w:p w14:paraId="062209F7" w14:textId="0DD188E5" w:rsidR="007C3208" w:rsidRPr="003A115E" w:rsidRDefault="00C86773" w:rsidP="000922AD">
      <w:pPr>
        <w:pStyle w:val="texto"/>
        <w:spacing w:before="240"/>
        <w:rPr>
          <w:lang w:val="es-ES"/>
        </w:rPr>
      </w:pPr>
      <w:r w:rsidRPr="003A115E">
        <w:rPr>
          <w:lang w:val="es-ES"/>
        </w:rPr>
        <w:t>L</w:t>
      </w:r>
      <w:r w:rsidR="007C3208" w:rsidRPr="003A115E">
        <w:rPr>
          <w:lang w:val="es-ES"/>
        </w:rPr>
        <w:t xml:space="preserve">as políticas de ‘Bienestar comunitario’ y ‘Servicios de carácter general’ concentran los mayores volúmenes de gasto, representando el </w:t>
      </w:r>
      <w:r w:rsidR="00D81DCE" w:rsidRPr="003A115E">
        <w:rPr>
          <w:lang w:val="es-ES"/>
        </w:rPr>
        <w:t>20</w:t>
      </w:r>
      <w:r w:rsidR="007C3208" w:rsidRPr="003A115E">
        <w:rPr>
          <w:lang w:val="es-ES"/>
        </w:rPr>
        <w:t xml:space="preserve"> y el </w:t>
      </w:r>
      <w:r w:rsidR="00D81DCE" w:rsidRPr="003A115E">
        <w:rPr>
          <w:lang w:val="es-ES"/>
        </w:rPr>
        <w:t>11</w:t>
      </w:r>
      <w:r w:rsidR="007C3208" w:rsidRPr="003A115E">
        <w:rPr>
          <w:lang w:val="es-ES"/>
        </w:rPr>
        <w:t xml:space="preserve"> por ciento del total, respectivamente. Les siguen las políticas de ‘Educación’, ‘Vivienda y urbanismo’ y ‘Servicios sociales y promoción social’, cada una de las cuales representa el </w:t>
      </w:r>
      <w:r w:rsidR="00124B56" w:rsidRPr="003A115E">
        <w:rPr>
          <w:lang w:val="es-ES"/>
        </w:rPr>
        <w:t xml:space="preserve">nueve, el </w:t>
      </w:r>
      <w:r w:rsidR="007C3208" w:rsidRPr="003A115E">
        <w:rPr>
          <w:lang w:val="es-ES"/>
        </w:rPr>
        <w:t xml:space="preserve">ocho </w:t>
      </w:r>
      <w:r w:rsidR="00124B56" w:rsidRPr="003A115E">
        <w:rPr>
          <w:lang w:val="es-ES"/>
        </w:rPr>
        <w:t xml:space="preserve">y el ocho </w:t>
      </w:r>
      <w:r w:rsidR="007C3208" w:rsidRPr="003A115E">
        <w:rPr>
          <w:lang w:val="es-ES"/>
        </w:rPr>
        <w:t>por ciento del gasto total</w:t>
      </w:r>
      <w:r w:rsidR="00124B56" w:rsidRPr="003A115E">
        <w:rPr>
          <w:lang w:val="es-ES"/>
        </w:rPr>
        <w:t xml:space="preserve"> respectivamente</w:t>
      </w:r>
      <w:r w:rsidR="007C3208" w:rsidRPr="003A115E">
        <w:rPr>
          <w:lang w:val="es-ES"/>
        </w:rPr>
        <w:t>.</w:t>
      </w:r>
    </w:p>
    <w:p w14:paraId="75788B5C" w14:textId="5ABFD807" w:rsidR="00EC4C05" w:rsidRPr="003A115E" w:rsidRDefault="00EC4C05" w:rsidP="007C3208">
      <w:pPr>
        <w:pStyle w:val="texto"/>
        <w:spacing w:after="120"/>
      </w:pPr>
      <w:r w:rsidRPr="003A115E">
        <w:t>Del gasto consolidado en la política de ‘Bienestar comunit</w:t>
      </w:r>
      <w:r w:rsidR="009F670A" w:rsidRPr="003A115E">
        <w:t xml:space="preserve">ario’, un </w:t>
      </w:r>
      <w:r w:rsidR="00094508" w:rsidRPr="003A115E">
        <w:t>37</w:t>
      </w:r>
      <w:r w:rsidRPr="003A115E">
        <w:t xml:space="preserve"> por ciento corresponde a recogida, gestión y tratamiento de residuos y un </w:t>
      </w:r>
      <w:r w:rsidR="00094508" w:rsidRPr="003A115E">
        <w:t>28</w:t>
      </w:r>
      <w:r w:rsidRPr="003A115E">
        <w:t xml:space="preserve"> por ciento, a abastecimiento domiciliario de agua potable. También se incluyen en esta política los gastos en alumbrado público, limpieza viaria y alcantarillado, entre otros.</w:t>
      </w:r>
    </w:p>
    <w:p w14:paraId="49631DE6" w14:textId="6B72523E" w:rsidR="007947DB" w:rsidRPr="003A115E" w:rsidRDefault="006740AC" w:rsidP="7A999140">
      <w:pPr>
        <w:pStyle w:val="texto"/>
        <w:spacing w:after="120"/>
        <w:rPr>
          <w:lang w:val="es-ES"/>
        </w:rPr>
      </w:pPr>
      <w:r w:rsidRPr="003A115E">
        <w:rPr>
          <w:lang w:val="es-ES"/>
        </w:rPr>
        <w:t xml:space="preserve">En la comparativa interanual, es significativo </w:t>
      </w:r>
      <w:r w:rsidR="00AC7DBB" w:rsidRPr="003A115E">
        <w:rPr>
          <w:lang w:val="es-ES"/>
        </w:rPr>
        <w:t>el incremento en ‘Cultura</w:t>
      </w:r>
      <w:r w:rsidR="00C6643F" w:rsidRPr="003A115E">
        <w:rPr>
          <w:lang w:val="es-ES"/>
        </w:rPr>
        <w:t>’,</w:t>
      </w:r>
      <w:r w:rsidR="003A329F" w:rsidRPr="003A115E">
        <w:rPr>
          <w:lang w:val="es-ES"/>
        </w:rPr>
        <w:t xml:space="preserve"> </w:t>
      </w:r>
      <w:r w:rsidR="000E2BB0" w:rsidRPr="003A115E">
        <w:rPr>
          <w:lang w:val="es-ES"/>
        </w:rPr>
        <w:t>antes citado,</w:t>
      </w:r>
      <w:r w:rsidR="0029663E" w:rsidRPr="003A115E">
        <w:rPr>
          <w:lang w:val="es-ES"/>
        </w:rPr>
        <w:t xml:space="preserve"> y en</w:t>
      </w:r>
      <w:r w:rsidR="007C3208" w:rsidRPr="003A115E">
        <w:rPr>
          <w:lang w:val="es-ES"/>
        </w:rPr>
        <w:t xml:space="preserve"> ‘Bienestar comunitario’</w:t>
      </w:r>
      <w:r w:rsidR="00287FF0" w:rsidRPr="003A115E">
        <w:rPr>
          <w:lang w:val="es-ES"/>
        </w:rPr>
        <w:t xml:space="preserve">, que corresponde </w:t>
      </w:r>
      <w:r w:rsidR="00442B9E" w:rsidRPr="003A115E">
        <w:rPr>
          <w:lang w:val="es-ES"/>
        </w:rPr>
        <w:t>con el a</w:t>
      </w:r>
      <w:r w:rsidR="005B3576" w:rsidRPr="003A115E">
        <w:rPr>
          <w:lang w:val="es-ES"/>
        </w:rPr>
        <w:t xml:space="preserve">lza </w:t>
      </w:r>
      <w:r w:rsidR="0039626F" w:rsidRPr="003A115E">
        <w:rPr>
          <w:lang w:val="es-ES"/>
        </w:rPr>
        <w:t>observado</w:t>
      </w:r>
      <w:r w:rsidR="00442B9E" w:rsidRPr="003A115E">
        <w:rPr>
          <w:lang w:val="es-ES"/>
        </w:rPr>
        <w:t xml:space="preserve"> en el abastecimiento domiciliario de agua potable</w:t>
      </w:r>
      <w:r w:rsidR="005B3576" w:rsidRPr="003A115E">
        <w:rPr>
          <w:lang w:val="es-ES"/>
        </w:rPr>
        <w:t xml:space="preserve"> y alumbrado</w:t>
      </w:r>
      <w:r w:rsidR="00D91D18" w:rsidRPr="003A115E">
        <w:rPr>
          <w:lang w:val="es-ES"/>
        </w:rPr>
        <w:t>.</w:t>
      </w:r>
    </w:p>
    <w:p w14:paraId="2C24C4AB" w14:textId="3F1428B9" w:rsidR="004B0577" w:rsidRPr="003A115E" w:rsidRDefault="00A42147" w:rsidP="00D740FF">
      <w:pPr>
        <w:pStyle w:val="atitulo2"/>
        <w:spacing w:before="240"/>
        <w:rPr>
          <w:color w:val="auto"/>
        </w:rPr>
      </w:pPr>
      <w:bookmarkStart w:id="72" w:name="_Toc183679749"/>
      <w:r w:rsidRPr="003A115E">
        <w:rPr>
          <w:color w:val="auto"/>
        </w:rPr>
        <w:lastRenderedPageBreak/>
        <w:t>VI.3</w:t>
      </w:r>
      <w:r w:rsidR="004B0577" w:rsidRPr="003A115E">
        <w:rPr>
          <w:color w:val="auto"/>
        </w:rPr>
        <w:t xml:space="preserve"> </w:t>
      </w:r>
      <w:r w:rsidR="006E3E18" w:rsidRPr="003A115E">
        <w:rPr>
          <w:color w:val="auto"/>
        </w:rPr>
        <w:t>Fondos del Mecanismo de Recuperación y Resiliencia</w:t>
      </w:r>
      <w:bookmarkEnd w:id="72"/>
      <w:r w:rsidR="00D75ACC" w:rsidRPr="003A115E">
        <w:rPr>
          <w:color w:val="auto"/>
        </w:rPr>
        <w:t xml:space="preserve"> </w:t>
      </w:r>
    </w:p>
    <w:p w14:paraId="0D081446" w14:textId="32C478EB" w:rsidR="00A70E3A" w:rsidRPr="003A115E" w:rsidRDefault="006F3A12" w:rsidP="00E7168B">
      <w:pPr>
        <w:pStyle w:val="texto"/>
        <w:spacing w:after="240"/>
        <w:rPr>
          <w:bCs/>
          <w:iCs/>
          <w:lang w:val="es-ES"/>
        </w:rPr>
      </w:pPr>
      <w:r w:rsidRPr="003A115E">
        <w:rPr>
          <w:bCs/>
          <w:iCs/>
          <w:lang w:val="es-ES"/>
        </w:rPr>
        <w:t xml:space="preserve">A </w:t>
      </w:r>
      <w:r w:rsidR="001E1521" w:rsidRPr="003A115E">
        <w:rPr>
          <w:bCs/>
          <w:iCs/>
          <w:lang w:val="es-ES"/>
        </w:rPr>
        <w:t>continuación,</w:t>
      </w:r>
      <w:r w:rsidR="009C6080" w:rsidRPr="003A115E">
        <w:rPr>
          <w:bCs/>
          <w:iCs/>
          <w:lang w:val="es-ES"/>
        </w:rPr>
        <w:t xml:space="preserve"> </w:t>
      </w:r>
      <w:r w:rsidRPr="003A115E">
        <w:rPr>
          <w:bCs/>
          <w:iCs/>
          <w:lang w:val="es-ES"/>
        </w:rPr>
        <w:t>presentamos,</w:t>
      </w:r>
      <w:r w:rsidR="00A70E3A" w:rsidRPr="003A115E">
        <w:rPr>
          <w:bCs/>
          <w:iCs/>
          <w:lang w:val="es-ES"/>
        </w:rPr>
        <w:t xml:space="preserve"> </w:t>
      </w:r>
      <w:r w:rsidR="00996DC1" w:rsidRPr="003A115E">
        <w:rPr>
          <w:bCs/>
          <w:iCs/>
          <w:lang w:val="es-ES"/>
        </w:rPr>
        <w:t xml:space="preserve">debido a su importancia cuantitativa, detalle de los fondos recibidos </w:t>
      </w:r>
      <w:r w:rsidR="00DD2F0B" w:rsidRPr="003A115E">
        <w:rPr>
          <w:bCs/>
          <w:iCs/>
          <w:lang w:val="es-ES"/>
        </w:rPr>
        <w:t xml:space="preserve">en 2022 </w:t>
      </w:r>
      <w:r w:rsidR="002F43D0" w:rsidRPr="003A115E">
        <w:rPr>
          <w:bCs/>
          <w:iCs/>
          <w:lang w:val="es-ES"/>
        </w:rPr>
        <w:t xml:space="preserve">por </w:t>
      </w:r>
      <w:r w:rsidR="002966BC" w:rsidRPr="003A115E">
        <w:rPr>
          <w:bCs/>
          <w:iCs/>
          <w:lang w:val="es-ES"/>
        </w:rPr>
        <w:t>las entidades locales, correspondientes</w:t>
      </w:r>
      <w:r w:rsidR="002F43D0" w:rsidRPr="003A115E">
        <w:rPr>
          <w:bCs/>
          <w:iCs/>
          <w:lang w:val="es-ES"/>
        </w:rPr>
        <w:t xml:space="preserve"> a proyectos integrados en el Plan de recuperación, transformación y resiliencia del Re</w:t>
      </w:r>
      <w:r w:rsidR="002E26EF" w:rsidRPr="003A115E">
        <w:rPr>
          <w:bCs/>
          <w:iCs/>
          <w:lang w:val="es-ES"/>
        </w:rPr>
        <w:t xml:space="preserve">ino de España (PRTR) </w:t>
      </w:r>
      <w:r w:rsidR="002F43D0" w:rsidRPr="003A115E">
        <w:rPr>
          <w:bCs/>
          <w:iCs/>
          <w:lang w:val="es-ES"/>
        </w:rPr>
        <w:t xml:space="preserve">y financiado con </w:t>
      </w:r>
      <w:r w:rsidR="009C6080" w:rsidRPr="003A115E">
        <w:rPr>
          <w:bCs/>
          <w:iCs/>
          <w:lang w:val="es-ES"/>
        </w:rPr>
        <w:t>cargo a los fondos Next Ge</w:t>
      </w:r>
      <w:r w:rsidR="002F43D0" w:rsidRPr="003A115E">
        <w:rPr>
          <w:bCs/>
          <w:iCs/>
          <w:lang w:val="es-ES"/>
        </w:rPr>
        <w:t>neration (NGEU)</w:t>
      </w:r>
      <w:r w:rsidR="00A70E3A" w:rsidRPr="003A115E">
        <w:rPr>
          <w:bCs/>
          <w:iCs/>
          <w:lang w:val="es-ES"/>
        </w:rPr>
        <w:t>:</w:t>
      </w:r>
    </w:p>
    <w:p w14:paraId="307603B8" w14:textId="6F241D6B" w:rsidR="00455A3A" w:rsidRPr="003A115E" w:rsidRDefault="00FB4FE9" w:rsidP="00A70E3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bCs/>
          <w:iCs/>
          <w:lang w:val="es-ES"/>
        </w:rPr>
      </w:pPr>
      <w:r w:rsidRPr="003A115E">
        <w:rPr>
          <w:lang w:val="es-ES"/>
        </w:rPr>
        <w:t xml:space="preserve">Información </w:t>
      </w:r>
      <w:r w:rsidR="008A6F13" w:rsidRPr="003A115E">
        <w:rPr>
          <w:lang w:val="es-ES"/>
        </w:rPr>
        <w:t xml:space="preserve">de las </w:t>
      </w:r>
      <w:r w:rsidRPr="003A115E">
        <w:rPr>
          <w:lang w:val="es-ES"/>
        </w:rPr>
        <w:t xml:space="preserve">entidades </w:t>
      </w:r>
      <w:r w:rsidR="00455A3A" w:rsidRPr="003A115E">
        <w:rPr>
          <w:lang w:val="es-ES"/>
        </w:rPr>
        <w:t xml:space="preserve">locales </w:t>
      </w:r>
      <w:r w:rsidRPr="003A115E">
        <w:rPr>
          <w:lang w:val="es-ES"/>
        </w:rPr>
        <w:t>auditadas por la Cámara de Comptos: Se han reconocido derechos</w:t>
      </w:r>
      <w:r w:rsidR="00B813BA" w:rsidRPr="003A115E">
        <w:rPr>
          <w:rStyle w:val="Refdenotaalpie"/>
          <w:lang w:val="es-ES"/>
        </w:rPr>
        <w:footnoteReference w:id="8"/>
      </w:r>
      <w:r w:rsidRPr="003A115E">
        <w:rPr>
          <w:lang w:val="es-ES"/>
        </w:rPr>
        <w:t xml:space="preserve"> y gastos por importe de 16’46 y 11’36 millones respectivamente</w:t>
      </w:r>
      <w:r w:rsidR="00455A3A" w:rsidRPr="003A115E">
        <w:rPr>
          <w:lang w:val="es-ES"/>
        </w:rPr>
        <w:t>.</w:t>
      </w:r>
      <w:r w:rsidR="0018169C" w:rsidRPr="003A115E">
        <w:rPr>
          <w:lang w:val="es-ES"/>
        </w:rPr>
        <w:t xml:space="preserve"> </w:t>
      </w:r>
    </w:p>
    <w:p w14:paraId="7500368A" w14:textId="0EFE6079" w:rsidR="002A4BE9" w:rsidRPr="003A115E" w:rsidRDefault="00A42147" w:rsidP="002B51BC">
      <w:pPr>
        <w:pStyle w:val="atitulo2"/>
        <w:rPr>
          <w:color w:val="auto"/>
        </w:rPr>
      </w:pPr>
      <w:bookmarkStart w:id="73" w:name="_Toc465686690"/>
      <w:bookmarkStart w:id="74" w:name="_Toc529773884"/>
      <w:bookmarkStart w:id="75" w:name="_Toc24100145"/>
      <w:bookmarkStart w:id="76" w:name="_Toc52348293"/>
      <w:bookmarkStart w:id="77" w:name="_Toc123547409"/>
      <w:bookmarkStart w:id="78" w:name="_Toc183679750"/>
      <w:r w:rsidRPr="003A115E">
        <w:rPr>
          <w:color w:val="auto"/>
        </w:rPr>
        <w:t>VI.4</w:t>
      </w:r>
      <w:r w:rsidR="002A4BE9" w:rsidRPr="003A115E">
        <w:rPr>
          <w:color w:val="auto"/>
        </w:rPr>
        <w:t xml:space="preserve"> </w:t>
      </w:r>
      <w:bookmarkEnd w:id="73"/>
      <w:r w:rsidR="002A4BE9" w:rsidRPr="003A115E">
        <w:rPr>
          <w:color w:val="auto"/>
        </w:rPr>
        <w:t>Indicadores</w:t>
      </w:r>
      <w:bookmarkEnd w:id="74"/>
      <w:bookmarkEnd w:id="75"/>
      <w:bookmarkEnd w:id="76"/>
      <w:bookmarkEnd w:id="77"/>
      <w:bookmarkEnd w:id="78"/>
    </w:p>
    <w:p w14:paraId="7F597901" w14:textId="3A464114" w:rsidR="002A4BE9" w:rsidRPr="003A115E" w:rsidRDefault="002A4BE9" w:rsidP="7A999140">
      <w:pPr>
        <w:pStyle w:val="texto"/>
        <w:spacing w:after="240"/>
        <w:rPr>
          <w:lang w:val="es-ES"/>
        </w:rPr>
      </w:pPr>
      <w:r w:rsidRPr="003A115E">
        <w:rPr>
          <w:lang w:val="es-ES"/>
        </w:rPr>
        <w:t>En el siguiente cuadro mostramos la distribución de cada 100 euros gastados en el sector público local y</w:t>
      </w:r>
      <w:r w:rsidR="0001151F" w:rsidRPr="003A115E">
        <w:rPr>
          <w:lang w:val="es-ES"/>
        </w:rPr>
        <w:t xml:space="preserve"> su financiación, sin incluir las sociedades</w:t>
      </w:r>
      <w:r w:rsidR="00D46759" w:rsidRPr="003A115E">
        <w:rPr>
          <w:lang w:val="es-ES"/>
        </w:rPr>
        <w:t xml:space="preserve">: </w:t>
      </w:r>
    </w:p>
    <w:tbl>
      <w:tblPr>
        <w:tblW w:w="5000" w:type="pct"/>
        <w:tblCellMar>
          <w:left w:w="70" w:type="dxa"/>
          <w:right w:w="70" w:type="dxa"/>
        </w:tblCellMar>
        <w:tblLook w:val="04A0" w:firstRow="1" w:lastRow="0" w:firstColumn="1" w:lastColumn="0" w:noHBand="0" w:noVBand="1"/>
      </w:tblPr>
      <w:tblGrid>
        <w:gridCol w:w="2409"/>
        <w:gridCol w:w="990"/>
        <w:gridCol w:w="993"/>
        <w:gridCol w:w="2410"/>
        <w:gridCol w:w="144"/>
        <w:gridCol w:w="851"/>
        <w:gridCol w:w="991"/>
      </w:tblGrid>
      <w:tr w:rsidR="000A742F" w:rsidRPr="003A115E" w14:paraId="105F7F73" w14:textId="77777777" w:rsidTr="005F3A0D">
        <w:trPr>
          <w:trHeight w:val="255"/>
        </w:trPr>
        <w:tc>
          <w:tcPr>
            <w:tcW w:w="1371" w:type="pct"/>
            <w:tcBorders>
              <w:top w:val="single" w:sz="4" w:space="0" w:color="auto"/>
              <w:left w:val="nil"/>
              <w:bottom w:val="single" w:sz="4" w:space="0" w:color="auto"/>
              <w:right w:val="nil"/>
            </w:tcBorders>
            <w:shd w:val="clear" w:color="auto" w:fill="FABF8F" w:themeFill="accent6" w:themeFillTint="99"/>
            <w:vAlign w:val="center"/>
            <w:hideMark/>
          </w:tcPr>
          <w:p w14:paraId="6C785775" w14:textId="77777777" w:rsidR="00C15852" w:rsidRPr="003A115E" w:rsidRDefault="00C15852" w:rsidP="004F2257">
            <w:pPr>
              <w:pStyle w:val="cuadroCabe"/>
            </w:pPr>
            <w:r w:rsidRPr="003A115E">
              <w:t>Naturaleza del gasto</w:t>
            </w:r>
          </w:p>
        </w:tc>
        <w:tc>
          <w:tcPr>
            <w:tcW w:w="563" w:type="pct"/>
            <w:tcBorders>
              <w:top w:val="single" w:sz="4" w:space="0" w:color="auto"/>
              <w:left w:val="nil"/>
              <w:bottom w:val="single" w:sz="4" w:space="0" w:color="auto"/>
              <w:right w:val="nil"/>
            </w:tcBorders>
            <w:shd w:val="clear" w:color="auto" w:fill="FABF8F" w:themeFill="accent6" w:themeFillTint="99"/>
            <w:vAlign w:val="center"/>
            <w:hideMark/>
          </w:tcPr>
          <w:p w14:paraId="5FC0038F" w14:textId="77777777" w:rsidR="00C15852" w:rsidRPr="003A115E" w:rsidRDefault="00C15852" w:rsidP="00980115">
            <w:pPr>
              <w:pStyle w:val="cuadroCabe"/>
              <w:jc w:val="right"/>
            </w:pPr>
            <w:r w:rsidRPr="003A115E">
              <w:t>2021</w:t>
            </w:r>
          </w:p>
        </w:tc>
        <w:tc>
          <w:tcPr>
            <w:tcW w:w="565" w:type="pct"/>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6455800E" w14:textId="77777777" w:rsidR="00C15852" w:rsidRPr="003A115E" w:rsidRDefault="00C15852" w:rsidP="00980115">
            <w:pPr>
              <w:pStyle w:val="cuadroCabe"/>
              <w:jc w:val="right"/>
            </w:pPr>
            <w:r w:rsidRPr="003A115E">
              <w:t>2022</w:t>
            </w:r>
          </w:p>
        </w:tc>
        <w:tc>
          <w:tcPr>
            <w:tcW w:w="1371" w:type="pct"/>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3F1E83A2" w14:textId="77777777" w:rsidR="00C15852" w:rsidRPr="003A115E" w:rsidRDefault="00C15852" w:rsidP="00980115">
            <w:pPr>
              <w:pStyle w:val="cuadroCabe"/>
              <w:jc w:val="right"/>
            </w:pPr>
            <w:r w:rsidRPr="003A115E">
              <w:t>Fuente de financiación</w:t>
            </w:r>
          </w:p>
        </w:tc>
        <w:tc>
          <w:tcPr>
            <w:tcW w:w="566"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10ACC2EF" w14:textId="77777777" w:rsidR="00C15852" w:rsidRPr="003A115E" w:rsidRDefault="00C15852" w:rsidP="00980115">
            <w:pPr>
              <w:pStyle w:val="cuadroCabe"/>
              <w:jc w:val="right"/>
            </w:pPr>
            <w:r w:rsidRPr="003A115E">
              <w:t>2021</w:t>
            </w:r>
          </w:p>
        </w:tc>
        <w:tc>
          <w:tcPr>
            <w:tcW w:w="564" w:type="pct"/>
            <w:tcBorders>
              <w:top w:val="single" w:sz="4" w:space="0" w:color="auto"/>
              <w:left w:val="nil"/>
              <w:bottom w:val="single" w:sz="4" w:space="0" w:color="auto"/>
              <w:right w:val="nil"/>
            </w:tcBorders>
            <w:shd w:val="clear" w:color="auto" w:fill="FABF8F" w:themeFill="accent6" w:themeFillTint="99"/>
            <w:vAlign w:val="center"/>
            <w:hideMark/>
          </w:tcPr>
          <w:p w14:paraId="4EBEFF93" w14:textId="77777777" w:rsidR="00C15852" w:rsidRPr="003A115E" w:rsidRDefault="00C15852" w:rsidP="00980115">
            <w:pPr>
              <w:pStyle w:val="cuadroCabe"/>
              <w:jc w:val="right"/>
            </w:pPr>
            <w:r w:rsidRPr="003A115E">
              <w:t>2022</w:t>
            </w:r>
          </w:p>
        </w:tc>
      </w:tr>
      <w:tr w:rsidR="000A742F" w:rsidRPr="003A115E" w14:paraId="74A9ED69" w14:textId="77777777" w:rsidTr="000A33AE">
        <w:trPr>
          <w:trHeight w:val="198"/>
        </w:trPr>
        <w:tc>
          <w:tcPr>
            <w:tcW w:w="1371" w:type="pct"/>
            <w:tcBorders>
              <w:top w:val="nil"/>
              <w:left w:val="nil"/>
              <w:bottom w:val="single" w:sz="2" w:space="0" w:color="auto"/>
              <w:right w:val="nil"/>
            </w:tcBorders>
            <w:shd w:val="clear" w:color="auto" w:fill="auto"/>
            <w:vAlign w:val="center"/>
            <w:hideMark/>
          </w:tcPr>
          <w:p w14:paraId="3AA91879" w14:textId="4FFF982F" w:rsidR="00C15852" w:rsidRPr="003A115E" w:rsidRDefault="00C15852" w:rsidP="00980115">
            <w:pPr>
              <w:pStyle w:val="cuatexto"/>
            </w:pPr>
            <w:r w:rsidRPr="003A115E">
              <w:t>Personal</w:t>
            </w:r>
          </w:p>
        </w:tc>
        <w:tc>
          <w:tcPr>
            <w:tcW w:w="563" w:type="pct"/>
            <w:tcBorders>
              <w:top w:val="nil"/>
              <w:left w:val="nil"/>
              <w:bottom w:val="single" w:sz="2" w:space="0" w:color="auto"/>
              <w:right w:val="nil"/>
            </w:tcBorders>
            <w:shd w:val="clear" w:color="auto" w:fill="auto"/>
            <w:vAlign w:val="center"/>
            <w:hideMark/>
          </w:tcPr>
          <w:p w14:paraId="041CAE8E" w14:textId="77777777" w:rsidR="00C15852" w:rsidRPr="003A115E" w:rsidRDefault="00C15852" w:rsidP="00980115">
            <w:pPr>
              <w:pStyle w:val="cuatexto"/>
              <w:jc w:val="right"/>
            </w:pPr>
            <w:r w:rsidRPr="003A115E">
              <w:t>36</w:t>
            </w:r>
          </w:p>
        </w:tc>
        <w:tc>
          <w:tcPr>
            <w:tcW w:w="565" w:type="pct"/>
            <w:tcBorders>
              <w:top w:val="nil"/>
              <w:left w:val="nil"/>
              <w:bottom w:val="single" w:sz="2" w:space="0" w:color="auto"/>
              <w:right w:val="single" w:sz="2" w:space="0" w:color="auto"/>
            </w:tcBorders>
            <w:shd w:val="clear" w:color="auto" w:fill="auto"/>
            <w:vAlign w:val="center"/>
            <w:hideMark/>
          </w:tcPr>
          <w:p w14:paraId="5B6133D5" w14:textId="77777777" w:rsidR="00C15852" w:rsidRPr="003A115E" w:rsidRDefault="00C15852" w:rsidP="00980115">
            <w:pPr>
              <w:pStyle w:val="cuatexto"/>
              <w:jc w:val="right"/>
            </w:pPr>
            <w:r w:rsidRPr="003A115E">
              <w:t>35</w:t>
            </w:r>
          </w:p>
        </w:tc>
        <w:tc>
          <w:tcPr>
            <w:tcW w:w="1453" w:type="pct"/>
            <w:gridSpan w:val="2"/>
            <w:tcBorders>
              <w:top w:val="nil"/>
              <w:left w:val="single" w:sz="2" w:space="0" w:color="auto"/>
              <w:bottom w:val="single" w:sz="2" w:space="0" w:color="auto"/>
              <w:right w:val="nil"/>
            </w:tcBorders>
            <w:shd w:val="clear" w:color="auto" w:fill="auto"/>
            <w:vAlign w:val="center"/>
            <w:hideMark/>
          </w:tcPr>
          <w:p w14:paraId="3B0E5FB3" w14:textId="77777777" w:rsidR="00C15852" w:rsidRPr="003A115E" w:rsidRDefault="00C15852" w:rsidP="005D2DFB">
            <w:pPr>
              <w:pStyle w:val="cuatexto"/>
              <w:jc w:val="left"/>
            </w:pPr>
            <w:r w:rsidRPr="003A115E">
              <w:t>Ingresos tributarios</w:t>
            </w:r>
          </w:p>
        </w:tc>
        <w:tc>
          <w:tcPr>
            <w:tcW w:w="484" w:type="pct"/>
            <w:tcBorders>
              <w:top w:val="nil"/>
              <w:left w:val="nil"/>
              <w:bottom w:val="single" w:sz="2" w:space="0" w:color="auto"/>
              <w:right w:val="nil"/>
            </w:tcBorders>
            <w:shd w:val="clear" w:color="auto" w:fill="auto"/>
            <w:vAlign w:val="center"/>
            <w:hideMark/>
          </w:tcPr>
          <w:p w14:paraId="317A3064" w14:textId="77777777" w:rsidR="00C15852" w:rsidRPr="003A115E" w:rsidRDefault="00C15852" w:rsidP="00980115">
            <w:pPr>
              <w:pStyle w:val="cuatexto"/>
              <w:jc w:val="right"/>
            </w:pPr>
            <w:r w:rsidRPr="003A115E">
              <w:t>45</w:t>
            </w:r>
          </w:p>
        </w:tc>
        <w:tc>
          <w:tcPr>
            <w:tcW w:w="564" w:type="pct"/>
            <w:tcBorders>
              <w:top w:val="nil"/>
              <w:left w:val="nil"/>
              <w:bottom w:val="single" w:sz="2" w:space="0" w:color="auto"/>
              <w:right w:val="nil"/>
            </w:tcBorders>
            <w:shd w:val="clear" w:color="auto" w:fill="auto"/>
            <w:vAlign w:val="center"/>
            <w:hideMark/>
          </w:tcPr>
          <w:p w14:paraId="379F486A" w14:textId="77777777" w:rsidR="00C15852" w:rsidRPr="003A115E" w:rsidRDefault="00C15852" w:rsidP="00980115">
            <w:pPr>
              <w:pStyle w:val="cuatexto"/>
              <w:jc w:val="right"/>
            </w:pPr>
            <w:r w:rsidRPr="003A115E">
              <w:t>42</w:t>
            </w:r>
          </w:p>
        </w:tc>
      </w:tr>
      <w:tr w:rsidR="000A742F" w:rsidRPr="003A115E" w14:paraId="09A65E50" w14:textId="77777777" w:rsidTr="000A33AE">
        <w:trPr>
          <w:trHeight w:val="198"/>
        </w:trPr>
        <w:tc>
          <w:tcPr>
            <w:tcW w:w="1371" w:type="pct"/>
            <w:tcBorders>
              <w:top w:val="single" w:sz="2" w:space="0" w:color="auto"/>
              <w:left w:val="nil"/>
              <w:bottom w:val="single" w:sz="2" w:space="0" w:color="auto"/>
              <w:right w:val="nil"/>
            </w:tcBorders>
            <w:shd w:val="clear" w:color="auto" w:fill="auto"/>
            <w:vAlign w:val="center"/>
            <w:hideMark/>
          </w:tcPr>
          <w:p w14:paraId="3605CC5B" w14:textId="77777777" w:rsidR="00C15852" w:rsidRPr="003A115E" w:rsidRDefault="00C15852" w:rsidP="00980115">
            <w:pPr>
              <w:pStyle w:val="cuatexto"/>
            </w:pPr>
            <w:r w:rsidRPr="003A115E">
              <w:t>Bienes corrientes y servicios</w:t>
            </w:r>
          </w:p>
        </w:tc>
        <w:tc>
          <w:tcPr>
            <w:tcW w:w="563" w:type="pct"/>
            <w:tcBorders>
              <w:top w:val="single" w:sz="2" w:space="0" w:color="auto"/>
              <w:left w:val="nil"/>
              <w:bottom w:val="single" w:sz="2" w:space="0" w:color="auto"/>
              <w:right w:val="nil"/>
            </w:tcBorders>
            <w:shd w:val="clear" w:color="auto" w:fill="auto"/>
            <w:vAlign w:val="center"/>
            <w:hideMark/>
          </w:tcPr>
          <w:p w14:paraId="177D989A" w14:textId="77777777" w:rsidR="00C15852" w:rsidRPr="003A115E" w:rsidRDefault="00C15852" w:rsidP="00980115">
            <w:pPr>
              <w:pStyle w:val="cuatexto"/>
              <w:jc w:val="right"/>
            </w:pPr>
            <w:r w:rsidRPr="003A115E">
              <w:t>33</w:t>
            </w:r>
          </w:p>
        </w:tc>
        <w:tc>
          <w:tcPr>
            <w:tcW w:w="565" w:type="pct"/>
            <w:tcBorders>
              <w:top w:val="single" w:sz="2" w:space="0" w:color="auto"/>
              <w:left w:val="nil"/>
              <w:bottom w:val="single" w:sz="2" w:space="0" w:color="auto"/>
              <w:right w:val="single" w:sz="2" w:space="0" w:color="auto"/>
            </w:tcBorders>
            <w:shd w:val="clear" w:color="auto" w:fill="auto"/>
            <w:vAlign w:val="center"/>
            <w:hideMark/>
          </w:tcPr>
          <w:p w14:paraId="485401BE" w14:textId="77777777" w:rsidR="00C15852" w:rsidRPr="003A115E" w:rsidRDefault="00C15852" w:rsidP="00980115">
            <w:pPr>
              <w:pStyle w:val="cuatexto"/>
              <w:jc w:val="right"/>
            </w:pPr>
            <w:r w:rsidRPr="003A115E">
              <w:t>36</w:t>
            </w:r>
          </w:p>
        </w:tc>
        <w:tc>
          <w:tcPr>
            <w:tcW w:w="1453" w:type="pct"/>
            <w:gridSpan w:val="2"/>
            <w:tcBorders>
              <w:top w:val="single" w:sz="2" w:space="0" w:color="auto"/>
              <w:left w:val="single" w:sz="2" w:space="0" w:color="auto"/>
              <w:bottom w:val="single" w:sz="2" w:space="0" w:color="auto"/>
              <w:right w:val="nil"/>
            </w:tcBorders>
            <w:shd w:val="clear" w:color="auto" w:fill="auto"/>
            <w:vAlign w:val="center"/>
            <w:hideMark/>
          </w:tcPr>
          <w:p w14:paraId="59D3BFE5" w14:textId="77777777" w:rsidR="00C15852" w:rsidRPr="003A115E" w:rsidRDefault="00C15852" w:rsidP="005D2DFB">
            <w:pPr>
              <w:pStyle w:val="cuatexto"/>
              <w:jc w:val="left"/>
            </w:pPr>
            <w:r w:rsidRPr="003A115E">
              <w:t>Ingresos por transferencias</w:t>
            </w:r>
          </w:p>
        </w:tc>
        <w:tc>
          <w:tcPr>
            <w:tcW w:w="484" w:type="pct"/>
            <w:tcBorders>
              <w:top w:val="single" w:sz="2" w:space="0" w:color="auto"/>
              <w:left w:val="nil"/>
              <w:bottom w:val="single" w:sz="2" w:space="0" w:color="auto"/>
              <w:right w:val="nil"/>
            </w:tcBorders>
            <w:shd w:val="clear" w:color="auto" w:fill="auto"/>
            <w:vAlign w:val="center"/>
            <w:hideMark/>
          </w:tcPr>
          <w:p w14:paraId="2B75A748" w14:textId="77777777" w:rsidR="00C15852" w:rsidRPr="003A115E" w:rsidRDefault="00C15852" w:rsidP="00980115">
            <w:pPr>
              <w:pStyle w:val="cuatexto"/>
              <w:jc w:val="right"/>
            </w:pPr>
            <w:r w:rsidRPr="003A115E">
              <w:t>47</w:t>
            </w:r>
          </w:p>
        </w:tc>
        <w:tc>
          <w:tcPr>
            <w:tcW w:w="564" w:type="pct"/>
            <w:tcBorders>
              <w:top w:val="single" w:sz="2" w:space="0" w:color="auto"/>
              <w:left w:val="nil"/>
              <w:bottom w:val="single" w:sz="2" w:space="0" w:color="auto"/>
              <w:right w:val="nil"/>
            </w:tcBorders>
            <w:shd w:val="clear" w:color="auto" w:fill="auto"/>
            <w:vAlign w:val="center"/>
            <w:hideMark/>
          </w:tcPr>
          <w:p w14:paraId="5B9F4EFE" w14:textId="77777777" w:rsidR="00C15852" w:rsidRPr="003A115E" w:rsidRDefault="00C15852" w:rsidP="00980115">
            <w:pPr>
              <w:pStyle w:val="cuatexto"/>
              <w:jc w:val="right"/>
            </w:pPr>
            <w:r w:rsidRPr="003A115E">
              <w:t>48</w:t>
            </w:r>
          </w:p>
        </w:tc>
      </w:tr>
      <w:tr w:rsidR="000A742F" w:rsidRPr="003A115E" w14:paraId="4F899ACB" w14:textId="77777777" w:rsidTr="000A33AE">
        <w:trPr>
          <w:trHeight w:val="198"/>
        </w:trPr>
        <w:tc>
          <w:tcPr>
            <w:tcW w:w="1371" w:type="pct"/>
            <w:tcBorders>
              <w:top w:val="single" w:sz="2" w:space="0" w:color="auto"/>
              <w:left w:val="nil"/>
              <w:bottom w:val="single" w:sz="2" w:space="0" w:color="auto"/>
              <w:right w:val="nil"/>
            </w:tcBorders>
            <w:shd w:val="clear" w:color="auto" w:fill="auto"/>
            <w:vAlign w:val="center"/>
            <w:hideMark/>
          </w:tcPr>
          <w:p w14:paraId="4E7CD617" w14:textId="77777777" w:rsidR="00C15852" w:rsidRPr="003A115E" w:rsidRDefault="00C15852" w:rsidP="00980115">
            <w:pPr>
              <w:pStyle w:val="cuatexto"/>
            </w:pPr>
            <w:r w:rsidRPr="003A115E">
              <w:t>Gastos transferencias</w:t>
            </w:r>
          </w:p>
        </w:tc>
        <w:tc>
          <w:tcPr>
            <w:tcW w:w="563" w:type="pct"/>
            <w:tcBorders>
              <w:top w:val="single" w:sz="2" w:space="0" w:color="auto"/>
              <w:left w:val="nil"/>
              <w:bottom w:val="single" w:sz="2" w:space="0" w:color="auto"/>
              <w:right w:val="nil"/>
            </w:tcBorders>
            <w:shd w:val="clear" w:color="auto" w:fill="auto"/>
            <w:vAlign w:val="center"/>
            <w:hideMark/>
          </w:tcPr>
          <w:p w14:paraId="262DFE95" w14:textId="77777777" w:rsidR="00C15852" w:rsidRPr="003A115E" w:rsidRDefault="00C15852" w:rsidP="00980115">
            <w:pPr>
              <w:pStyle w:val="cuatexto"/>
              <w:jc w:val="right"/>
            </w:pPr>
            <w:r w:rsidRPr="003A115E">
              <w:t>11</w:t>
            </w:r>
          </w:p>
        </w:tc>
        <w:tc>
          <w:tcPr>
            <w:tcW w:w="565" w:type="pct"/>
            <w:tcBorders>
              <w:top w:val="single" w:sz="2" w:space="0" w:color="auto"/>
              <w:left w:val="nil"/>
              <w:bottom w:val="single" w:sz="2" w:space="0" w:color="auto"/>
              <w:right w:val="single" w:sz="2" w:space="0" w:color="auto"/>
            </w:tcBorders>
            <w:shd w:val="clear" w:color="auto" w:fill="auto"/>
            <w:vAlign w:val="center"/>
            <w:hideMark/>
          </w:tcPr>
          <w:p w14:paraId="4D8C65E2" w14:textId="77777777" w:rsidR="00C15852" w:rsidRPr="003A115E" w:rsidRDefault="00C15852" w:rsidP="00980115">
            <w:pPr>
              <w:pStyle w:val="cuatexto"/>
              <w:jc w:val="right"/>
            </w:pPr>
            <w:r w:rsidRPr="003A115E">
              <w:t>11</w:t>
            </w:r>
          </w:p>
        </w:tc>
        <w:tc>
          <w:tcPr>
            <w:tcW w:w="1453" w:type="pct"/>
            <w:gridSpan w:val="2"/>
            <w:tcBorders>
              <w:top w:val="single" w:sz="2" w:space="0" w:color="auto"/>
              <w:left w:val="single" w:sz="2" w:space="0" w:color="auto"/>
              <w:bottom w:val="single" w:sz="2" w:space="0" w:color="auto"/>
              <w:right w:val="nil"/>
            </w:tcBorders>
            <w:shd w:val="clear" w:color="auto" w:fill="auto"/>
            <w:vAlign w:val="center"/>
            <w:hideMark/>
          </w:tcPr>
          <w:p w14:paraId="1E2D5B15" w14:textId="77777777" w:rsidR="00C15852" w:rsidRPr="003A115E" w:rsidRDefault="00C15852" w:rsidP="005D2DFB">
            <w:pPr>
              <w:pStyle w:val="cuatexto"/>
              <w:jc w:val="left"/>
            </w:pPr>
            <w:r w:rsidRPr="003A115E">
              <w:t>Ingresos patrimoniales y otros</w:t>
            </w:r>
          </w:p>
        </w:tc>
        <w:tc>
          <w:tcPr>
            <w:tcW w:w="484" w:type="pct"/>
            <w:tcBorders>
              <w:top w:val="single" w:sz="2" w:space="0" w:color="auto"/>
              <w:left w:val="nil"/>
              <w:bottom w:val="single" w:sz="2" w:space="0" w:color="auto"/>
              <w:right w:val="nil"/>
            </w:tcBorders>
            <w:shd w:val="clear" w:color="auto" w:fill="auto"/>
            <w:vAlign w:val="center"/>
            <w:hideMark/>
          </w:tcPr>
          <w:p w14:paraId="4D0BEF26" w14:textId="77777777" w:rsidR="00C15852" w:rsidRPr="003A115E" w:rsidRDefault="00C15852" w:rsidP="00980115">
            <w:pPr>
              <w:pStyle w:val="cuatexto"/>
              <w:jc w:val="right"/>
            </w:pPr>
            <w:r w:rsidRPr="003A115E">
              <w:t>6</w:t>
            </w:r>
          </w:p>
        </w:tc>
        <w:tc>
          <w:tcPr>
            <w:tcW w:w="564" w:type="pct"/>
            <w:tcBorders>
              <w:top w:val="single" w:sz="2" w:space="0" w:color="auto"/>
              <w:left w:val="nil"/>
              <w:bottom w:val="single" w:sz="2" w:space="0" w:color="auto"/>
              <w:right w:val="nil"/>
            </w:tcBorders>
            <w:shd w:val="clear" w:color="auto" w:fill="auto"/>
            <w:vAlign w:val="center"/>
            <w:hideMark/>
          </w:tcPr>
          <w:p w14:paraId="5DE25953" w14:textId="77777777" w:rsidR="00C15852" w:rsidRPr="003A115E" w:rsidRDefault="00C15852" w:rsidP="00980115">
            <w:pPr>
              <w:pStyle w:val="cuatexto"/>
              <w:jc w:val="right"/>
            </w:pPr>
            <w:r w:rsidRPr="003A115E">
              <w:t>6</w:t>
            </w:r>
          </w:p>
        </w:tc>
      </w:tr>
      <w:tr w:rsidR="000A742F" w:rsidRPr="003A115E" w14:paraId="207D9DEB" w14:textId="77777777" w:rsidTr="000A33AE">
        <w:trPr>
          <w:trHeight w:val="198"/>
        </w:trPr>
        <w:tc>
          <w:tcPr>
            <w:tcW w:w="1371" w:type="pct"/>
            <w:tcBorders>
              <w:top w:val="single" w:sz="2" w:space="0" w:color="auto"/>
              <w:left w:val="nil"/>
              <w:bottom w:val="single" w:sz="2" w:space="0" w:color="auto"/>
              <w:right w:val="nil"/>
            </w:tcBorders>
            <w:shd w:val="clear" w:color="auto" w:fill="auto"/>
            <w:vAlign w:val="center"/>
            <w:hideMark/>
          </w:tcPr>
          <w:p w14:paraId="6D044F2F" w14:textId="77777777" w:rsidR="00C15852" w:rsidRPr="003A115E" w:rsidRDefault="00C15852" w:rsidP="00980115">
            <w:pPr>
              <w:pStyle w:val="cuatexto"/>
            </w:pPr>
            <w:r w:rsidRPr="003A115E">
              <w:t>Inversiones reales</w:t>
            </w:r>
          </w:p>
        </w:tc>
        <w:tc>
          <w:tcPr>
            <w:tcW w:w="563" w:type="pct"/>
            <w:tcBorders>
              <w:top w:val="single" w:sz="2" w:space="0" w:color="auto"/>
              <w:left w:val="nil"/>
              <w:bottom w:val="single" w:sz="2" w:space="0" w:color="auto"/>
              <w:right w:val="nil"/>
            </w:tcBorders>
            <w:shd w:val="clear" w:color="auto" w:fill="auto"/>
            <w:vAlign w:val="center"/>
            <w:hideMark/>
          </w:tcPr>
          <w:p w14:paraId="595EBE6D" w14:textId="77777777" w:rsidR="00C15852" w:rsidRPr="003A115E" w:rsidRDefault="00C15852" w:rsidP="00980115">
            <w:pPr>
              <w:pStyle w:val="cuatexto"/>
              <w:jc w:val="right"/>
            </w:pPr>
            <w:r w:rsidRPr="003A115E">
              <w:t>18</w:t>
            </w:r>
          </w:p>
        </w:tc>
        <w:tc>
          <w:tcPr>
            <w:tcW w:w="565" w:type="pct"/>
            <w:tcBorders>
              <w:top w:val="single" w:sz="2" w:space="0" w:color="auto"/>
              <w:left w:val="nil"/>
              <w:bottom w:val="single" w:sz="2" w:space="0" w:color="auto"/>
              <w:right w:val="single" w:sz="2" w:space="0" w:color="auto"/>
            </w:tcBorders>
            <w:shd w:val="clear" w:color="auto" w:fill="auto"/>
            <w:vAlign w:val="center"/>
            <w:hideMark/>
          </w:tcPr>
          <w:p w14:paraId="22BC3B48" w14:textId="77777777" w:rsidR="00C15852" w:rsidRPr="003A115E" w:rsidRDefault="00C15852" w:rsidP="00980115">
            <w:pPr>
              <w:pStyle w:val="cuatexto"/>
              <w:jc w:val="right"/>
            </w:pPr>
            <w:r w:rsidRPr="003A115E">
              <w:t>16</w:t>
            </w:r>
          </w:p>
        </w:tc>
        <w:tc>
          <w:tcPr>
            <w:tcW w:w="1453" w:type="pct"/>
            <w:gridSpan w:val="2"/>
            <w:tcBorders>
              <w:top w:val="single" w:sz="2" w:space="0" w:color="auto"/>
              <w:left w:val="single" w:sz="2" w:space="0" w:color="auto"/>
              <w:bottom w:val="single" w:sz="2" w:space="0" w:color="auto"/>
              <w:right w:val="nil"/>
            </w:tcBorders>
            <w:shd w:val="clear" w:color="auto" w:fill="auto"/>
            <w:vAlign w:val="center"/>
            <w:hideMark/>
          </w:tcPr>
          <w:p w14:paraId="2A3B1146" w14:textId="77777777" w:rsidR="00C15852" w:rsidRPr="003A115E" w:rsidRDefault="00C15852" w:rsidP="005D2DFB">
            <w:pPr>
              <w:pStyle w:val="cuatexto"/>
              <w:jc w:val="left"/>
            </w:pPr>
            <w:r w:rsidRPr="003A115E">
              <w:t>Enajenación inversiones</w:t>
            </w:r>
          </w:p>
        </w:tc>
        <w:tc>
          <w:tcPr>
            <w:tcW w:w="484" w:type="pct"/>
            <w:tcBorders>
              <w:top w:val="single" w:sz="2" w:space="0" w:color="auto"/>
              <w:left w:val="nil"/>
              <w:bottom w:val="single" w:sz="2" w:space="0" w:color="auto"/>
              <w:right w:val="nil"/>
            </w:tcBorders>
            <w:shd w:val="clear" w:color="auto" w:fill="auto"/>
            <w:vAlign w:val="center"/>
            <w:hideMark/>
          </w:tcPr>
          <w:p w14:paraId="37127549" w14:textId="77777777" w:rsidR="00C15852" w:rsidRPr="003A115E" w:rsidRDefault="00C15852" w:rsidP="00980115">
            <w:pPr>
              <w:pStyle w:val="cuatexto"/>
              <w:jc w:val="right"/>
            </w:pPr>
            <w:r w:rsidRPr="003A115E">
              <w:t>1</w:t>
            </w:r>
          </w:p>
        </w:tc>
        <w:tc>
          <w:tcPr>
            <w:tcW w:w="564" w:type="pct"/>
            <w:tcBorders>
              <w:top w:val="single" w:sz="2" w:space="0" w:color="auto"/>
              <w:left w:val="nil"/>
              <w:bottom w:val="single" w:sz="2" w:space="0" w:color="auto"/>
              <w:right w:val="nil"/>
            </w:tcBorders>
            <w:shd w:val="clear" w:color="auto" w:fill="auto"/>
            <w:vAlign w:val="center"/>
            <w:hideMark/>
          </w:tcPr>
          <w:p w14:paraId="5A2A369A" w14:textId="77777777" w:rsidR="00C15852" w:rsidRPr="003A115E" w:rsidRDefault="00C15852" w:rsidP="00980115">
            <w:pPr>
              <w:pStyle w:val="cuatexto"/>
              <w:jc w:val="right"/>
            </w:pPr>
            <w:r w:rsidRPr="003A115E">
              <w:t>2</w:t>
            </w:r>
          </w:p>
        </w:tc>
      </w:tr>
      <w:tr w:rsidR="000A742F" w:rsidRPr="003A115E" w14:paraId="5349C3B1" w14:textId="77777777" w:rsidTr="000A33AE">
        <w:trPr>
          <w:trHeight w:val="198"/>
        </w:trPr>
        <w:tc>
          <w:tcPr>
            <w:tcW w:w="1371" w:type="pct"/>
            <w:tcBorders>
              <w:top w:val="single" w:sz="2" w:space="0" w:color="auto"/>
              <w:left w:val="nil"/>
              <w:bottom w:val="single" w:sz="4" w:space="0" w:color="auto"/>
              <w:right w:val="nil"/>
            </w:tcBorders>
            <w:shd w:val="clear" w:color="auto" w:fill="auto"/>
            <w:vAlign w:val="center"/>
            <w:hideMark/>
          </w:tcPr>
          <w:p w14:paraId="0E201066" w14:textId="77777777" w:rsidR="00C15852" w:rsidRPr="003A115E" w:rsidRDefault="00C15852" w:rsidP="00980115">
            <w:pPr>
              <w:pStyle w:val="cuatexto"/>
            </w:pPr>
            <w:r w:rsidRPr="003A115E">
              <w:t>Carga financiera</w:t>
            </w:r>
          </w:p>
        </w:tc>
        <w:tc>
          <w:tcPr>
            <w:tcW w:w="563" w:type="pct"/>
            <w:tcBorders>
              <w:top w:val="single" w:sz="2" w:space="0" w:color="auto"/>
              <w:left w:val="nil"/>
              <w:bottom w:val="single" w:sz="4" w:space="0" w:color="auto"/>
              <w:right w:val="nil"/>
            </w:tcBorders>
            <w:shd w:val="clear" w:color="auto" w:fill="auto"/>
            <w:vAlign w:val="center"/>
            <w:hideMark/>
          </w:tcPr>
          <w:p w14:paraId="7F21CC3A" w14:textId="77777777" w:rsidR="00C15852" w:rsidRPr="003A115E" w:rsidRDefault="00C15852" w:rsidP="00980115">
            <w:pPr>
              <w:pStyle w:val="cuatexto"/>
              <w:jc w:val="right"/>
            </w:pPr>
            <w:r w:rsidRPr="003A115E">
              <w:t>3</w:t>
            </w:r>
          </w:p>
        </w:tc>
        <w:tc>
          <w:tcPr>
            <w:tcW w:w="565" w:type="pct"/>
            <w:tcBorders>
              <w:top w:val="single" w:sz="2" w:space="0" w:color="auto"/>
              <w:left w:val="nil"/>
              <w:bottom w:val="single" w:sz="4" w:space="0" w:color="auto"/>
              <w:right w:val="single" w:sz="2" w:space="0" w:color="auto"/>
            </w:tcBorders>
            <w:shd w:val="clear" w:color="auto" w:fill="auto"/>
            <w:vAlign w:val="center"/>
            <w:hideMark/>
          </w:tcPr>
          <w:p w14:paraId="4EA4CF98" w14:textId="77777777" w:rsidR="00C15852" w:rsidRPr="003A115E" w:rsidRDefault="00C15852" w:rsidP="00980115">
            <w:pPr>
              <w:pStyle w:val="cuatexto"/>
              <w:jc w:val="right"/>
            </w:pPr>
            <w:r w:rsidRPr="003A115E">
              <w:t>2</w:t>
            </w:r>
          </w:p>
        </w:tc>
        <w:tc>
          <w:tcPr>
            <w:tcW w:w="1453" w:type="pct"/>
            <w:gridSpan w:val="2"/>
            <w:tcBorders>
              <w:top w:val="single" w:sz="2" w:space="0" w:color="auto"/>
              <w:left w:val="single" w:sz="2" w:space="0" w:color="auto"/>
              <w:bottom w:val="single" w:sz="4" w:space="0" w:color="auto"/>
              <w:right w:val="nil"/>
            </w:tcBorders>
            <w:shd w:val="clear" w:color="auto" w:fill="auto"/>
            <w:vAlign w:val="center"/>
            <w:hideMark/>
          </w:tcPr>
          <w:p w14:paraId="23BCE43F" w14:textId="77777777" w:rsidR="00C15852" w:rsidRPr="003A115E" w:rsidRDefault="00C15852" w:rsidP="005D2DFB">
            <w:pPr>
              <w:pStyle w:val="cuatexto"/>
              <w:jc w:val="left"/>
            </w:pPr>
            <w:r w:rsidRPr="003A115E">
              <w:t>Endeudamiento</w:t>
            </w:r>
          </w:p>
        </w:tc>
        <w:tc>
          <w:tcPr>
            <w:tcW w:w="484" w:type="pct"/>
            <w:tcBorders>
              <w:top w:val="single" w:sz="2" w:space="0" w:color="auto"/>
              <w:left w:val="nil"/>
              <w:bottom w:val="single" w:sz="4" w:space="0" w:color="auto"/>
              <w:right w:val="nil"/>
            </w:tcBorders>
            <w:shd w:val="clear" w:color="auto" w:fill="auto"/>
            <w:vAlign w:val="center"/>
            <w:hideMark/>
          </w:tcPr>
          <w:p w14:paraId="208CF930" w14:textId="77777777" w:rsidR="00C15852" w:rsidRPr="003A115E" w:rsidRDefault="00C15852" w:rsidP="00980115">
            <w:pPr>
              <w:pStyle w:val="cuatexto"/>
              <w:jc w:val="right"/>
            </w:pPr>
            <w:r w:rsidRPr="003A115E">
              <w:t>0</w:t>
            </w:r>
          </w:p>
        </w:tc>
        <w:tc>
          <w:tcPr>
            <w:tcW w:w="564" w:type="pct"/>
            <w:tcBorders>
              <w:top w:val="single" w:sz="2" w:space="0" w:color="auto"/>
              <w:left w:val="nil"/>
              <w:bottom w:val="single" w:sz="4" w:space="0" w:color="auto"/>
              <w:right w:val="nil"/>
            </w:tcBorders>
            <w:shd w:val="clear" w:color="auto" w:fill="auto"/>
            <w:vAlign w:val="center"/>
            <w:hideMark/>
          </w:tcPr>
          <w:p w14:paraId="5B407808" w14:textId="77777777" w:rsidR="00C15852" w:rsidRPr="003A115E" w:rsidRDefault="00C15852" w:rsidP="00980115">
            <w:pPr>
              <w:pStyle w:val="cuatexto"/>
              <w:jc w:val="right"/>
            </w:pPr>
            <w:r w:rsidRPr="003A115E">
              <w:t>2</w:t>
            </w:r>
          </w:p>
        </w:tc>
      </w:tr>
      <w:tr w:rsidR="000A742F" w:rsidRPr="003A115E" w14:paraId="779B9B50" w14:textId="77777777" w:rsidTr="005F3A0D">
        <w:trPr>
          <w:trHeight w:val="255"/>
        </w:trPr>
        <w:tc>
          <w:tcPr>
            <w:tcW w:w="1371" w:type="pct"/>
            <w:tcBorders>
              <w:top w:val="single" w:sz="4" w:space="0" w:color="auto"/>
              <w:left w:val="nil"/>
              <w:bottom w:val="single" w:sz="4" w:space="0" w:color="auto"/>
              <w:right w:val="nil"/>
            </w:tcBorders>
            <w:shd w:val="clear" w:color="auto" w:fill="FABF8F" w:themeFill="accent6" w:themeFillTint="99"/>
            <w:vAlign w:val="center"/>
            <w:hideMark/>
          </w:tcPr>
          <w:p w14:paraId="4FE52FA5" w14:textId="77777777" w:rsidR="00C15852" w:rsidRPr="003A115E" w:rsidRDefault="00C15852" w:rsidP="004F2257">
            <w:pPr>
              <w:pStyle w:val="cuadroCabe"/>
            </w:pPr>
            <w:r w:rsidRPr="003A115E">
              <w:t> </w:t>
            </w:r>
          </w:p>
        </w:tc>
        <w:tc>
          <w:tcPr>
            <w:tcW w:w="563" w:type="pct"/>
            <w:tcBorders>
              <w:top w:val="single" w:sz="4" w:space="0" w:color="auto"/>
              <w:left w:val="nil"/>
              <w:bottom w:val="single" w:sz="4" w:space="0" w:color="auto"/>
              <w:right w:val="nil"/>
            </w:tcBorders>
            <w:shd w:val="clear" w:color="auto" w:fill="FABF8F" w:themeFill="accent6" w:themeFillTint="99"/>
            <w:vAlign w:val="center"/>
            <w:hideMark/>
          </w:tcPr>
          <w:p w14:paraId="2661BEAF" w14:textId="77777777" w:rsidR="00C15852" w:rsidRPr="003A115E" w:rsidRDefault="00C15852" w:rsidP="00980115">
            <w:pPr>
              <w:pStyle w:val="cuadroCabe"/>
              <w:jc w:val="right"/>
            </w:pPr>
            <w:r w:rsidRPr="003A115E">
              <w:t>100</w:t>
            </w:r>
          </w:p>
        </w:tc>
        <w:tc>
          <w:tcPr>
            <w:tcW w:w="565" w:type="pct"/>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0EDD0F14" w14:textId="77777777" w:rsidR="00C15852" w:rsidRPr="003A115E" w:rsidRDefault="00C15852" w:rsidP="00980115">
            <w:pPr>
              <w:pStyle w:val="cuadroCabe"/>
              <w:jc w:val="right"/>
            </w:pPr>
            <w:r w:rsidRPr="003A115E">
              <w:t>100</w:t>
            </w:r>
          </w:p>
        </w:tc>
        <w:tc>
          <w:tcPr>
            <w:tcW w:w="1371" w:type="pct"/>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51981B07" w14:textId="77777777" w:rsidR="00C15852" w:rsidRPr="003A115E" w:rsidRDefault="00C15852" w:rsidP="00980115">
            <w:pPr>
              <w:pStyle w:val="cuadroCabe"/>
              <w:jc w:val="right"/>
            </w:pPr>
            <w:r w:rsidRPr="003A115E">
              <w:t> </w:t>
            </w:r>
          </w:p>
        </w:tc>
        <w:tc>
          <w:tcPr>
            <w:tcW w:w="566"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5351AE30" w14:textId="77777777" w:rsidR="00C15852" w:rsidRPr="003A115E" w:rsidRDefault="00C15852" w:rsidP="00980115">
            <w:pPr>
              <w:pStyle w:val="cuadroCabe"/>
              <w:jc w:val="right"/>
            </w:pPr>
            <w:r w:rsidRPr="003A115E">
              <w:t>100</w:t>
            </w:r>
          </w:p>
        </w:tc>
        <w:tc>
          <w:tcPr>
            <w:tcW w:w="564" w:type="pct"/>
            <w:tcBorders>
              <w:top w:val="single" w:sz="4" w:space="0" w:color="auto"/>
              <w:left w:val="nil"/>
              <w:bottom w:val="single" w:sz="4" w:space="0" w:color="auto"/>
              <w:right w:val="nil"/>
            </w:tcBorders>
            <w:shd w:val="clear" w:color="auto" w:fill="FABF8F" w:themeFill="accent6" w:themeFillTint="99"/>
            <w:vAlign w:val="center"/>
            <w:hideMark/>
          </w:tcPr>
          <w:p w14:paraId="7F944EAF" w14:textId="77777777" w:rsidR="00C15852" w:rsidRPr="003A115E" w:rsidRDefault="00C15852" w:rsidP="00980115">
            <w:pPr>
              <w:pStyle w:val="cuadroCabe"/>
              <w:jc w:val="right"/>
            </w:pPr>
            <w:r w:rsidRPr="003A115E">
              <w:t>100</w:t>
            </w:r>
          </w:p>
        </w:tc>
      </w:tr>
    </w:tbl>
    <w:p w14:paraId="440F2D01" w14:textId="5B57F6A9" w:rsidR="00E72E7F" w:rsidRPr="003A115E" w:rsidRDefault="00795BEE" w:rsidP="31020D79">
      <w:pPr>
        <w:pStyle w:val="texto"/>
        <w:spacing w:before="240"/>
        <w:rPr>
          <w:lang w:val="es-ES"/>
        </w:rPr>
      </w:pPr>
      <w:r w:rsidRPr="003A115E">
        <w:rPr>
          <w:lang w:val="es-ES"/>
        </w:rPr>
        <w:t>En 2022, l</w:t>
      </w:r>
      <w:r w:rsidR="007F034F" w:rsidRPr="003A115E">
        <w:rPr>
          <w:lang w:val="es-ES"/>
        </w:rPr>
        <w:t>as dos principales fuentes de ingresos de las entidades locales son las transferencias y los ingresos tributar</w:t>
      </w:r>
      <w:r w:rsidR="005C2B64" w:rsidRPr="003A115E">
        <w:rPr>
          <w:lang w:val="es-ES"/>
        </w:rPr>
        <w:t>ios, que aportan el 48 y el 42</w:t>
      </w:r>
      <w:r w:rsidR="007F034F" w:rsidRPr="003A115E">
        <w:rPr>
          <w:lang w:val="es-ES"/>
        </w:rPr>
        <w:t xml:space="preserve"> por ciento de sus recursos, respectivamente. En la comparativa interanual, se reduce levemente la contribución de los ingresos </w:t>
      </w:r>
      <w:r w:rsidR="00EA73CD" w:rsidRPr="003A115E">
        <w:rPr>
          <w:lang w:val="es-ES"/>
        </w:rPr>
        <w:t>tributarios y se incrementa</w:t>
      </w:r>
      <w:r w:rsidR="00B31F85" w:rsidRPr="003A115E">
        <w:rPr>
          <w:lang w:val="es-ES"/>
        </w:rPr>
        <w:t xml:space="preserve"> </w:t>
      </w:r>
      <w:r w:rsidR="00987CAD" w:rsidRPr="003A115E">
        <w:rPr>
          <w:lang w:val="es-ES"/>
        </w:rPr>
        <w:t>el peso relativo del endeudamiento</w:t>
      </w:r>
      <w:r w:rsidR="007F034F" w:rsidRPr="003A115E">
        <w:rPr>
          <w:lang w:val="es-ES"/>
        </w:rPr>
        <w:t>.</w:t>
      </w:r>
    </w:p>
    <w:p w14:paraId="09578AA1" w14:textId="0D338983" w:rsidR="00750B52" w:rsidRPr="003A115E" w:rsidRDefault="007F034F" w:rsidP="00E72E7F">
      <w:pPr>
        <w:pStyle w:val="texto"/>
        <w:spacing w:after="120"/>
      </w:pPr>
      <w:r w:rsidRPr="003A115E">
        <w:t xml:space="preserve">En cuanto a los gastos, los principales son los de personal y bienes corrientes y servicios, que representan un </w:t>
      </w:r>
      <w:r w:rsidR="00C22C1E" w:rsidRPr="003A115E">
        <w:t>35</w:t>
      </w:r>
      <w:r w:rsidRPr="003A115E">
        <w:t xml:space="preserve"> y un </w:t>
      </w:r>
      <w:r w:rsidR="00C22C1E" w:rsidRPr="003A115E">
        <w:t>36</w:t>
      </w:r>
      <w:r w:rsidRPr="003A115E">
        <w:t xml:space="preserve"> por ciento, respectivamente, seguidos por el gasto </w:t>
      </w:r>
      <w:r w:rsidR="00C22C1E" w:rsidRPr="003A115E">
        <w:t>en inversiones reales, con un 16</w:t>
      </w:r>
      <w:r w:rsidRPr="003A115E">
        <w:t xml:space="preserve"> por ciento. En la comparativa interanual, destaca el aumento del peso </w:t>
      </w:r>
      <w:r w:rsidR="00E04E69" w:rsidRPr="003A115E">
        <w:t>del gasto en</w:t>
      </w:r>
      <w:r w:rsidR="00AE1F0D" w:rsidRPr="003A115E">
        <w:t xml:space="preserve"> bienes corrientes y servicios y el descenso </w:t>
      </w:r>
      <w:r w:rsidR="00A933A7" w:rsidRPr="003A115E">
        <w:t>de las inversiones reales</w:t>
      </w:r>
      <w:r w:rsidRPr="003A115E">
        <w:t xml:space="preserve">.  </w:t>
      </w:r>
    </w:p>
    <w:p w14:paraId="0D2F13C6" w14:textId="77777777" w:rsidR="00750B52" w:rsidRPr="003A115E" w:rsidRDefault="00750B52">
      <w:pPr>
        <w:rPr>
          <w:spacing w:val="6"/>
          <w:sz w:val="26"/>
          <w:lang w:val="es-ES_tradnl" w:eastAsia="en-US"/>
        </w:rPr>
      </w:pPr>
      <w:r w:rsidRPr="003A115E">
        <w:br w:type="page"/>
      </w:r>
    </w:p>
    <w:p w14:paraId="6D91FBF0" w14:textId="299CD2EB" w:rsidR="00EF4584" w:rsidRPr="003A115E" w:rsidRDefault="002A4BE9" w:rsidP="31020D79">
      <w:pPr>
        <w:pStyle w:val="texto"/>
        <w:rPr>
          <w:lang w:val="es-ES"/>
        </w:rPr>
      </w:pPr>
      <w:r w:rsidRPr="003A115E">
        <w:rPr>
          <w:lang w:val="es-ES"/>
        </w:rPr>
        <w:lastRenderedPageBreak/>
        <w:t>A continuación, se muestra la evolución de algunos indicadores de la situación fina</w:t>
      </w:r>
      <w:r w:rsidR="00E72E7F" w:rsidRPr="003A115E">
        <w:rPr>
          <w:lang w:val="es-ES"/>
        </w:rPr>
        <w:t xml:space="preserve">nciera del sector público local </w:t>
      </w:r>
      <w:r w:rsidRPr="003A115E">
        <w:rPr>
          <w:lang w:val="es-ES"/>
        </w:rPr>
        <w:t xml:space="preserve">en </w:t>
      </w:r>
      <w:r w:rsidR="00E72E7F" w:rsidRPr="003A115E">
        <w:rPr>
          <w:lang w:val="es-ES"/>
        </w:rPr>
        <w:t>el periodo</w:t>
      </w:r>
      <w:r w:rsidRPr="003A115E">
        <w:rPr>
          <w:lang w:val="es-ES"/>
        </w:rPr>
        <w:t xml:space="preserve"> 201</w:t>
      </w:r>
      <w:r w:rsidR="0094327E" w:rsidRPr="003A115E">
        <w:rPr>
          <w:lang w:val="es-ES"/>
        </w:rPr>
        <w:t>8</w:t>
      </w:r>
      <w:r w:rsidRPr="003A115E">
        <w:rPr>
          <w:lang w:val="es-ES"/>
        </w:rPr>
        <w:t>-20</w:t>
      </w:r>
      <w:r w:rsidR="0094327E" w:rsidRPr="003A115E">
        <w:rPr>
          <w:lang w:val="es-ES"/>
        </w:rPr>
        <w:t>22</w:t>
      </w:r>
      <w:r w:rsidR="006B3A73">
        <w:rPr>
          <w:lang w:val="es-ES"/>
        </w:rPr>
        <w:t>.</w:t>
      </w:r>
    </w:p>
    <w:p w14:paraId="1A240794" w14:textId="29FF2A4A" w:rsidR="002A4BE9" w:rsidRPr="003A115E" w:rsidRDefault="001D196E" w:rsidP="00EC4C05">
      <w:pPr>
        <w:pStyle w:val="texto"/>
        <w:spacing w:after="0"/>
        <w:jc w:val="right"/>
        <w:rPr>
          <w:rFonts w:ascii="Arial Narrow" w:hAnsi="Arial Narrow"/>
          <w:sz w:val="18"/>
          <w:szCs w:val="18"/>
        </w:rPr>
      </w:pPr>
      <w:r w:rsidRPr="003A115E">
        <w:rPr>
          <w:rFonts w:ascii="Arial Narrow" w:hAnsi="Arial Narrow"/>
          <w:sz w:val="18"/>
          <w:szCs w:val="18"/>
        </w:rPr>
        <w:t>(</w:t>
      </w:r>
      <w:r w:rsidR="0095182E" w:rsidRPr="003A115E">
        <w:rPr>
          <w:rFonts w:ascii="Arial Narrow" w:hAnsi="Arial Narrow"/>
          <w:sz w:val="18"/>
          <w:szCs w:val="18"/>
        </w:rPr>
        <w:t>m</w:t>
      </w:r>
      <w:r w:rsidR="002A4BE9" w:rsidRPr="003A115E">
        <w:rPr>
          <w:rFonts w:ascii="Arial Narrow" w:hAnsi="Arial Narrow"/>
          <w:sz w:val="18"/>
          <w:szCs w:val="18"/>
        </w:rPr>
        <w:t>illones</w:t>
      </w:r>
      <w:r w:rsidRPr="003A115E">
        <w:rPr>
          <w:rFonts w:ascii="Arial Narrow" w:hAnsi="Arial Narrow"/>
          <w:sz w:val="18"/>
          <w:szCs w:val="18"/>
        </w:rPr>
        <w:t>)</w:t>
      </w:r>
    </w:p>
    <w:tbl>
      <w:tblPr>
        <w:tblW w:w="5000" w:type="pct"/>
        <w:tblCellMar>
          <w:left w:w="70" w:type="dxa"/>
          <w:right w:w="70" w:type="dxa"/>
        </w:tblCellMar>
        <w:tblLook w:val="04A0" w:firstRow="1" w:lastRow="0" w:firstColumn="1" w:lastColumn="0" w:noHBand="0" w:noVBand="1"/>
      </w:tblPr>
      <w:tblGrid>
        <w:gridCol w:w="1762"/>
        <w:gridCol w:w="678"/>
        <w:gridCol w:w="732"/>
        <w:gridCol w:w="678"/>
        <w:gridCol w:w="678"/>
        <w:gridCol w:w="827"/>
        <w:gridCol w:w="1024"/>
        <w:gridCol w:w="791"/>
        <w:gridCol w:w="791"/>
        <w:gridCol w:w="827"/>
      </w:tblGrid>
      <w:tr w:rsidR="000A742F" w:rsidRPr="003A115E" w14:paraId="060C0807" w14:textId="77777777" w:rsidTr="00425BFF">
        <w:trPr>
          <w:trHeight w:val="255"/>
        </w:trPr>
        <w:tc>
          <w:tcPr>
            <w:tcW w:w="1089" w:type="pct"/>
            <w:vMerge w:val="restart"/>
            <w:tcBorders>
              <w:top w:val="single" w:sz="4" w:space="0" w:color="auto"/>
              <w:left w:val="nil"/>
              <w:bottom w:val="single" w:sz="2" w:space="0" w:color="auto"/>
              <w:right w:val="nil"/>
            </w:tcBorders>
            <w:shd w:val="clear" w:color="auto" w:fill="FABF8F" w:themeFill="accent6" w:themeFillTint="99"/>
            <w:vAlign w:val="center"/>
            <w:hideMark/>
          </w:tcPr>
          <w:p w14:paraId="5E7AD919" w14:textId="77777777" w:rsidR="009D74E3" w:rsidRPr="003A115E" w:rsidRDefault="009D74E3" w:rsidP="00543AF5">
            <w:pPr>
              <w:pStyle w:val="cuadroCabe"/>
              <w:rPr>
                <w:rFonts w:cs="Arial"/>
                <w:szCs w:val="18"/>
              </w:rPr>
            </w:pPr>
            <w:r w:rsidRPr="003A115E">
              <w:rPr>
                <w:rFonts w:cs="Arial"/>
                <w:szCs w:val="18"/>
              </w:rPr>
              <w:t>Indicadores</w:t>
            </w:r>
          </w:p>
        </w:tc>
        <w:tc>
          <w:tcPr>
            <w:tcW w:w="2160" w:type="pct"/>
            <w:gridSpan w:val="5"/>
            <w:tcBorders>
              <w:top w:val="single" w:sz="4" w:space="0" w:color="auto"/>
              <w:left w:val="nil"/>
              <w:bottom w:val="single" w:sz="2" w:space="0" w:color="auto"/>
              <w:right w:val="single" w:sz="2" w:space="0" w:color="auto"/>
            </w:tcBorders>
            <w:shd w:val="clear" w:color="auto" w:fill="FABF8F" w:themeFill="accent6" w:themeFillTint="99"/>
            <w:vAlign w:val="center"/>
            <w:hideMark/>
          </w:tcPr>
          <w:p w14:paraId="74645BC6" w14:textId="77777777" w:rsidR="001C7883" w:rsidRDefault="009D74E3" w:rsidP="00CC28BD">
            <w:pPr>
              <w:pStyle w:val="cuadroCabe"/>
              <w:jc w:val="center"/>
              <w:rPr>
                <w:rFonts w:cs="Arial"/>
                <w:szCs w:val="18"/>
              </w:rPr>
            </w:pPr>
            <w:r w:rsidRPr="003A115E">
              <w:rPr>
                <w:rFonts w:cs="Arial"/>
                <w:szCs w:val="18"/>
              </w:rPr>
              <w:t>Entidades locales sin consolidar</w:t>
            </w:r>
          </w:p>
          <w:p w14:paraId="29E77B1C" w14:textId="2EF47CCC" w:rsidR="009D74E3" w:rsidRPr="003A115E" w:rsidRDefault="009D74E3" w:rsidP="00CC28BD">
            <w:pPr>
              <w:pStyle w:val="cuadroCabe"/>
              <w:jc w:val="center"/>
              <w:rPr>
                <w:rFonts w:cs="Arial"/>
                <w:szCs w:val="18"/>
              </w:rPr>
            </w:pPr>
            <w:r w:rsidRPr="003A115E">
              <w:rPr>
                <w:rFonts w:cs="Arial"/>
                <w:szCs w:val="18"/>
              </w:rPr>
              <w:t xml:space="preserve"> ninguna sociedad</w:t>
            </w:r>
          </w:p>
        </w:tc>
        <w:tc>
          <w:tcPr>
            <w:tcW w:w="714" w:type="pct"/>
            <w:tcBorders>
              <w:top w:val="single" w:sz="4" w:space="0" w:color="auto"/>
              <w:left w:val="single" w:sz="2" w:space="0" w:color="auto"/>
              <w:bottom w:val="single" w:sz="2" w:space="0" w:color="auto"/>
            </w:tcBorders>
            <w:shd w:val="clear" w:color="auto" w:fill="FABF8F" w:themeFill="accent6" w:themeFillTint="99"/>
            <w:vAlign w:val="center"/>
            <w:hideMark/>
          </w:tcPr>
          <w:p w14:paraId="306AB1A5" w14:textId="77777777" w:rsidR="009D74E3" w:rsidRPr="003A115E" w:rsidRDefault="009D74E3" w:rsidP="00543AF5">
            <w:pPr>
              <w:pStyle w:val="cuadroCabe"/>
              <w:jc w:val="right"/>
              <w:rPr>
                <w:rFonts w:cs="Arial"/>
                <w:szCs w:val="18"/>
              </w:rPr>
            </w:pPr>
            <w:r w:rsidRPr="003A115E">
              <w:rPr>
                <w:rFonts w:cs="Arial"/>
                <w:szCs w:val="18"/>
              </w:rPr>
              <w:t> </w:t>
            </w:r>
          </w:p>
        </w:tc>
        <w:tc>
          <w:tcPr>
            <w:tcW w:w="346" w:type="pct"/>
            <w:tcBorders>
              <w:top w:val="single" w:sz="4" w:space="0" w:color="auto"/>
              <w:bottom w:val="single" w:sz="2" w:space="0" w:color="auto"/>
            </w:tcBorders>
            <w:shd w:val="clear" w:color="auto" w:fill="FABF8F" w:themeFill="accent6" w:themeFillTint="99"/>
            <w:vAlign w:val="center"/>
            <w:hideMark/>
          </w:tcPr>
          <w:p w14:paraId="082DE3EE" w14:textId="77777777" w:rsidR="009D74E3" w:rsidRPr="003A115E" w:rsidRDefault="009D74E3" w:rsidP="00543AF5">
            <w:pPr>
              <w:pStyle w:val="cuadroCabe"/>
              <w:jc w:val="right"/>
              <w:rPr>
                <w:rFonts w:cs="Arial"/>
                <w:szCs w:val="18"/>
              </w:rPr>
            </w:pPr>
            <w:r w:rsidRPr="003A115E">
              <w:rPr>
                <w:rFonts w:cs="Arial"/>
                <w:szCs w:val="18"/>
              </w:rPr>
              <w:t> </w:t>
            </w:r>
          </w:p>
        </w:tc>
        <w:tc>
          <w:tcPr>
            <w:tcW w:w="346" w:type="pct"/>
            <w:tcBorders>
              <w:top w:val="single" w:sz="4" w:space="0" w:color="auto"/>
              <w:left w:val="nil"/>
              <w:bottom w:val="single" w:sz="2" w:space="0" w:color="auto"/>
              <w:right w:val="single" w:sz="2" w:space="0" w:color="auto"/>
            </w:tcBorders>
            <w:shd w:val="clear" w:color="auto" w:fill="FABF8F" w:themeFill="accent6" w:themeFillTint="99"/>
            <w:vAlign w:val="center"/>
            <w:hideMark/>
          </w:tcPr>
          <w:p w14:paraId="638DE4E5" w14:textId="77777777" w:rsidR="009D74E3" w:rsidRPr="003A115E" w:rsidRDefault="009D74E3" w:rsidP="00543AF5">
            <w:pPr>
              <w:pStyle w:val="cuadroCabe"/>
              <w:jc w:val="right"/>
              <w:rPr>
                <w:rFonts w:cs="Arial"/>
                <w:szCs w:val="18"/>
              </w:rPr>
            </w:pPr>
            <w:r w:rsidRPr="003A115E">
              <w:rPr>
                <w:rFonts w:cs="Arial"/>
                <w:szCs w:val="18"/>
              </w:rPr>
              <w:t> </w:t>
            </w:r>
          </w:p>
        </w:tc>
        <w:tc>
          <w:tcPr>
            <w:tcW w:w="346" w:type="pct"/>
            <w:vMerge w:val="restart"/>
            <w:tcBorders>
              <w:top w:val="single" w:sz="4" w:space="0" w:color="auto"/>
              <w:left w:val="single" w:sz="2" w:space="0" w:color="auto"/>
              <w:bottom w:val="single" w:sz="2" w:space="0" w:color="auto"/>
              <w:right w:val="nil"/>
            </w:tcBorders>
            <w:shd w:val="clear" w:color="auto" w:fill="FABF8F" w:themeFill="accent6" w:themeFillTint="99"/>
            <w:vAlign w:val="center"/>
            <w:hideMark/>
          </w:tcPr>
          <w:p w14:paraId="55931150" w14:textId="77777777" w:rsidR="009D74E3" w:rsidRPr="003A115E" w:rsidRDefault="009D74E3" w:rsidP="00543AF5">
            <w:pPr>
              <w:pStyle w:val="cuadroCabe"/>
              <w:jc w:val="right"/>
              <w:rPr>
                <w:rFonts w:cs="Arial"/>
                <w:szCs w:val="18"/>
              </w:rPr>
            </w:pPr>
            <w:r w:rsidRPr="003A115E">
              <w:rPr>
                <w:rFonts w:cs="Arial"/>
                <w:szCs w:val="18"/>
              </w:rPr>
              <w:t>2022(1)</w:t>
            </w:r>
          </w:p>
        </w:tc>
      </w:tr>
      <w:tr w:rsidR="000A742F" w:rsidRPr="003A115E" w14:paraId="377E3122" w14:textId="77777777" w:rsidTr="005F3A0D">
        <w:trPr>
          <w:trHeight w:val="255"/>
        </w:trPr>
        <w:tc>
          <w:tcPr>
            <w:tcW w:w="1089" w:type="pct"/>
            <w:vMerge/>
            <w:tcBorders>
              <w:top w:val="single" w:sz="2" w:space="0" w:color="auto"/>
            </w:tcBorders>
            <w:shd w:val="clear" w:color="auto" w:fill="FABF8F" w:themeFill="accent6" w:themeFillTint="99"/>
            <w:vAlign w:val="center"/>
            <w:hideMark/>
          </w:tcPr>
          <w:p w14:paraId="169C9F7B" w14:textId="77777777" w:rsidR="009D74E3" w:rsidRPr="003A115E" w:rsidRDefault="009D74E3" w:rsidP="009D74E3">
            <w:pPr>
              <w:rPr>
                <w:rFonts w:ascii="Arial" w:hAnsi="Arial" w:cs="Arial"/>
                <w:sz w:val="18"/>
                <w:szCs w:val="18"/>
              </w:rPr>
            </w:pPr>
          </w:p>
        </w:tc>
        <w:tc>
          <w:tcPr>
            <w:tcW w:w="461" w:type="pct"/>
            <w:tcBorders>
              <w:top w:val="single" w:sz="2" w:space="0" w:color="auto"/>
              <w:left w:val="nil"/>
              <w:bottom w:val="single" w:sz="4" w:space="0" w:color="auto"/>
              <w:right w:val="nil"/>
            </w:tcBorders>
            <w:shd w:val="clear" w:color="auto" w:fill="FABF8F" w:themeFill="accent6" w:themeFillTint="99"/>
            <w:vAlign w:val="center"/>
            <w:hideMark/>
          </w:tcPr>
          <w:p w14:paraId="119EE83C" w14:textId="77777777" w:rsidR="009D74E3" w:rsidRPr="003A115E" w:rsidRDefault="009D74E3" w:rsidP="00543AF5">
            <w:pPr>
              <w:jc w:val="right"/>
              <w:rPr>
                <w:rFonts w:ascii="Arial" w:hAnsi="Arial" w:cs="Arial"/>
                <w:sz w:val="18"/>
                <w:szCs w:val="18"/>
              </w:rPr>
            </w:pPr>
            <w:r w:rsidRPr="003A115E">
              <w:rPr>
                <w:rFonts w:ascii="Arial" w:hAnsi="Arial" w:cs="Arial"/>
                <w:sz w:val="18"/>
                <w:szCs w:val="18"/>
              </w:rPr>
              <w:t>2018</w:t>
            </w:r>
          </w:p>
        </w:tc>
        <w:tc>
          <w:tcPr>
            <w:tcW w:w="513" w:type="pct"/>
            <w:tcBorders>
              <w:top w:val="single" w:sz="2" w:space="0" w:color="auto"/>
              <w:left w:val="nil"/>
              <w:bottom w:val="single" w:sz="4" w:space="0" w:color="auto"/>
              <w:right w:val="nil"/>
            </w:tcBorders>
            <w:shd w:val="clear" w:color="auto" w:fill="FABF8F" w:themeFill="accent6" w:themeFillTint="99"/>
            <w:vAlign w:val="center"/>
            <w:hideMark/>
          </w:tcPr>
          <w:p w14:paraId="18400244" w14:textId="77777777" w:rsidR="009D74E3" w:rsidRPr="003A115E" w:rsidRDefault="009D74E3" w:rsidP="00543AF5">
            <w:pPr>
              <w:jc w:val="right"/>
              <w:rPr>
                <w:rFonts w:ascii="Arial" w:hAnsi="Arial" w:cs="Arial"/>
                <w:sz w:val="18"/>
                <w:szCs w:val="18"/>
              </w:rPr>
            </w:pPr>
            <w:r w:rsidRPr="003A115E">
              <w:rPr>
                <w:rFonts w:ascii="Arial" w:hAnsi="Arial" w:cs="Arial"/>
                <w:sz w:val="18"/>
                <w:szCs w:val="18"/>
              </w:rPr>
              <w:t>2019</w:t>
            </w:r>
          </w:p>
        </w:tc>
        <w:tc>
          <w:tcPr>
            <w:tcW w:w="426" w:type="pct"/>
            <w:tcBorders>
              <w:top w:val="single" w:sz="2" w:space="0" w:color="auto"/>
              <w:left w:val="nil"/>
              <w:bottom w:val="single" w:sz="4" w:space="0" w:color="auto"/>
              <w:right w:val="nil"/>
            </w:tcBorders>
            <w:shd w:val="clear" w:color="auto" w:fill="FABF8F" w:themeFill="accent6" w:themeFillTint="99"/>
            <w:vAlign w:val="center"/>
            <w:hideMark/>
          </w:tcPr>
          <w:p w14:paraId="6AA3B495" w14:textId="77777777" w:rsidR="009D74E3" w:rsidRPr="003A115E" w:rsidRDefault="009D74E3" w:rsidP="00543AF5">
            <w:pPr>
              <w:jc w:val="right"/>
              <w:rPr>
                <w:rFonts w:ascii="Arial" w:hAnsi="Arial" w:cs="Arial"/>
                <w:sz w:val="18"/>
                <w:szCs w:val="18"/>
              </w:rPr>
            </w:pPr>
            <w:r w:rsidRPr="003A115E">
              <w:rPr>
                <w:rFonts w:ascii="Arial" w:hAnsi="Arial" w:cs="Arial"/>
                <w:sz w:val="18"/>
                <w:szCs w:val="18"/>
              </w:rPr>
              <w:t>2020</w:t>
            </w:r>
          </w:p>
        </w:tc>
        <w:tc>
          <w:tcPr>
            <w:tcW w:w="351" w:type="pct"/>
            <w:tcBorders>
              <w:top w:val="single" w:sz="2" w:space="0" w:color="auto"/>
              <w:left w:val="nil"/>
              <w:bottom w:val="single" w:sz="4" w:space="0" w:color="auto"/>
              <w:right w:val="nil"/>
            </w:tcBorders>
            <w:shd w:val="clear" w:color="auto" w:fill="FABF8F" w:themeFill="accent6" w:themeFillTint="99"/>
            <w:vAlign w:val="center"/>
            <w:hideMark/>
          </w:tcPr>
          <w:p w14:paraId="255395B7" w14:textId="77777777" w:rsidR="009D74E3" w:rsidRPr="003A115E" w:rsidRDefault="009D74E3" w:rsidP="00543AF5">
            <w:pPr>
              <w:jc w:val="right"/>
              <w:rPr>
                <w:rFonts w:ascii="Arial" w:hAnsi="Arial" w:cs="Arial"/>
                <w:sz w:val="18"/>
                <w:szCs w:val="18"/>
              </w:rPr>
            </w:pPr>
            <w:r w:rsidRPr="003A115E">
              <w:rPr>
                <w:rFonts w:ascii="Arial" w:hAnsi="Arial" w:cs="Arial"/>
                <w:sz w:val="18"/>
                <w:szCs w:val="18"/>
              </w:rPr>
              <w:t>2021</w:t>
            </w:r>
          </w:p>
        </w:tc>
        <w:tc>
          <w:tcPr>
            <w:tcW w:w="409" w:type="pct"/>
            <w:tcBorders>
              <w:top w:val="single" w:sz="2" w:space="0" w:color="auto"/>
              <w:left w:val="nil"/>
              <w:bottom w:val="single" w:sz="4" w:space="0" w:color="auto"/>
              <w:right w:val="single" w:sz="2" w:space="0" w:color="auto"/>
            </w:tcBorders>
            <w:shd w:val="clear" w:color="auto" w:fill="FABF8F" w:themeFill="accent6" w:themeFillTint="99"/>
            <w:vAlign w:val="center"/>
            <w:hideMark/>
          </w:tcPr>
          <w:p w14:paraId="12A3624D" w14:textId="77777777" w:rsidR="009D74E3" w:rsidRPr="003A115E" w:rsidRDefault="009D74E3" w:rsidP="00543AF5">
            <w:pPr>
              <w:jc w:val="right"/>
              <w:rPr>
                <w:rFonts w:ascii="Arial" w:hAnsi="Arial" w:cs="Arial"/>
                <w:sz w:val="18"/>
                <w:szCs w:val="18"/>
              </w:rPr>
            </w:pPr>
            <w:r w:rsidRPr="003A115E">
              <w:rPr>
                <w:rFonts w:ascii="Arial" w:hAnsi="Arial" w:cs="Arial"/>
                <w:sz w:val="18"/>
                <w:szCs w:val="18"/>
              </w:rPr>
              <w:t>2022</w:t>
            </w:r>
          </w:p>
        </w:tc>
        <w:tc>
          <w:tcPr>
            <w:tcW w:w="714" w:type="pct"/>
            <w:tcBorders>
              <w:top w:val="single" w:sz="2" w:space="0" w:color="auto"/>
              <w:left w:val="single" w:sz="2" w:space="0" w:color="auto"/>
              <w:bottom w:val="single" w:sz="4" w:space="0" w:color="auto"/>
            </w:tcBorders>
            <w:shd w:val="clear" w:color="auto" w:fill="FABF8F" w:themeFill="accent6" w:themeFillTint="99"/>
            <w:vAlign w:val="center"/>
            <w:hideMark/>
          </w:tcPr>
          <w:p w14:paraId="20FEEF21" w14:textId="77777777" w:rsidR="009D74E3" w:rsidRPr="003A115E" w:rsidRDefault="009D74E3" w:rsidP="00543AF5">
            <w:pPr>
              <w:jc w:val="right"/>
              <w:rPr>
                <w:rFonts w:ascii="Arial" w:hAnsi="Arial" w:cs="Arial"/>
                <w:sz w:val="18"/>
                <w:szCs w:val="18"/>
              </w:rPr>
            </w:pPr>
            <w:r w:rsidRPr="003A115E">
              <w:rPr>
                <w:rFonts w:ascii="Arial" w:hAnsi="Arial" w:cs="Arial"/>
                <w:sz w:val="18"/>
                <w:szCs w:val="18"/>
              </w:rPr>
              <w:t>% var. 2022/18</w:t>
            </w:r>
          </w:p>
        </w:tc>
        <w:tc>
          <w:tcPr>
            <w:tcW w:w="346" w:type="pct"/>
            <w:tcBorders>
              <w:top w:val="single" w:sz="2" w:space="0" w:color="auto"/>
              <w:bottom w:val="single" w:sz="4" w:space="0" w:color="auto"/>
            </w:tcBorders>
            <w:shd w:val="clear" w:color="auto" w:fill="FABF8F" w:themeFill="accent6" w:themeFillTint="99"/>
            <w:vAlign w:val="center"/>
            <w:hideMark/>
          </w:tcPr>
          <w:p w14:paraId="6F287F94" w14:textId="77777777" w:rsidR="009D74E3" w:rsidRPr="003A115E" w:rsidRDefault="009D74E3" w:rsidP="00543AF5">
            <w:pPr>
              <w:jc w:val="right"/>
              <w:rPr>
                <w:rFonts w:ascii="Arial" w:hAnsi="Arial" w:cs="Arial"/>
                <w:sz w:val="18"/>
                <w:szCs w:val="18"/>
              </w:rPr>
            </w:pPr>
            <w:r w:rsidRPr="003A115E">
              <w:rPr>
                <w:rFonts w:ascii="Arial" w:hAnsi="Arial" w:cs="Arial"/>
                <w:sz w:val="18"/>
                <w:szCs w:val="18"/>
              </w:rPr>
              <w:t xml:space="preserve">Var </w:t>
            </w:r>
            <w:proofErr w:type="spellStart"/>
            <w:r w:rsidRPr="003A115E">
              <w:rPr>
                <w:rFonts w:ascii="Arial" w:hAnsi="Arial" w:cs="Arial"/>
                <w:sz w:val="18"/>
                <w:szCs w:val="18"/>
              </w:rPr>
              <w:t>Abs</w:t>
            </w:r>
            <w:proofErr w:type="spellEnd"/>
            <w:r w:rsidRPr="003A115E">
              <w:rPr>
                <w:rFonts w:ascii="Arial" w:hAnsi="Arial" w:cs="Arial"/>
                <w:sz w:val="18"/>
                <w:szCs w:val="18"/>
              </w:rPr>
              <w:t xml:space="preserve"> 2022/21</w:t>
            </w:r>
          </w:p>
        </w:tc>
        <w:tc>
          <w:tcPr>
            <w:tcW w:w="346" w:type="pct"/>
            <w:tcBorders>
              <w:top w:val="single" w:sz="2" w:space="0" w:color="auto"/>
              <w:left w:val="nil"/>
              <w:bottom w:val="single" w:sz="4" w:space="0" w:color="auto"/>
              <w:right w:val="single" w:sz="2" w:space="0" w:color="auto"/>
            </w:tcBorders>
            <w:shd w:val="clear" w:color="auto" w:fill="FABF8F" w:themeFill="accent6" w:themeFillTint="99"/>
            <w:vAlign w:val="center"/>
            <w:hideMark/>
          </w:tcPr>
          <w:p w14:paraId="7FB3529D" w14:textId="49A3DFBC" w:rsidR="009D74E3" w:rsidRPr="003A115E" w:rsidRDefault="00EF5047" w:rsidP="00543AF5">
            <w:pPr>
              <w:jc w:val="right"/>
              <w:rPr>
                <w:rFonts w:ascii="Arial" w:hAnsi="Arial" w:cs="Arial"/>
                <w:sz w:val="18"/>
                <w:szCs w:val="18"/>
              </w:rPr>
            </w:pPr>
            <w:r w:rsidRPr="003A115E">
              <w:rPr>
                <w:rFonts w:ascii="Arial" w:hAnsi="Arial" w:cs="Arial"/>
                <w:sz w:val="18"/>
                <w:szCs w:val="18"/>
              </w:rPr>
              <w:t>% var</w:t>
            </w:r>
            <w:r w:rsidR="009D74E3" w:rsidRPr="003A115E">
              <w:rPr>
                <w:rFonts w:ascii="Arial" w:hAnsi="Arial" w:cs="Arial"/>
                <w:sz w:val="18"/>
                <w:szCs w:val="18"/>
              </w:rPr>
              <w:t>. 2022/21</w:t>
            </w:r>
          </w:p>
        </w:tc>
        <w:tc>
          <w:tcPr>
            <w:tcW w:w="346" w:type="pct"/>
            <w:vMerge/>
            <w:tcBorders>
              <w:top w:val="single" w:sz="2" w:space="0" w:color="auto"/>
              <w:left w:val="single" w:sz="2" w:space="0" w:color="auto"/>
            </w:tcBorders>
            <w:shd w:val="clear" w:color="auto" w:fill="FABF8F" w:themeFill="accent6" w:themeFillTint="99"/>
            <w:vAlign w:val="center"/>
            <w:hideMark/>
          </w:tcPr>
          <w:p w14:paraId="1D7548FF" w14:textId="77777777" w:rsidR="009D74E3" w:rsidRPr="003A115E" w:rsidRDefault="009D74E3" w:rsidP="00543AF5">
            <w:pPr>
              <w:jc w:val="right"/>
              <w:rPr>
                <w:rFonts w:ascii="Arial" w:hAnsi="Arial" w:cs="Arial"/>
                <w:sz w:val="18"/>
                <w:szCs w:val="18"/>
              </w:rPr>
            </w:pPr>
          </w:p>
        </w:tc>
      </w:tr>
      <w:tr w:rsidR="000A742F" w:rsidRPr="003A115E" w14:paraId="4E8C47D4" w14:textId="77777777" w:rsidTr="001C7883">
        <w:trPr>
          <w:trHeight w:val="198"/>
        </w:trPr>
        <w:tc>
          <w:tcPr>
            <w:tcW w:w="1089" w:type="pct"/>
            <w:tcBorders>
              <w:top w:val="nil"/>
              <w:left w:val="nil"/>
              <w:bottom w:val="single" w:sz="2" w:space="0" w:color="auto"/>
              <w:right w:val="nil"/>
            </w:tcBorders>
            <w:shd w:val="clear" w:color="auto" w:fill="auto"/>
            <w:vAlign w:val="center"/>
            <w:hideMark/>
          </w:tcPr>
          <w:p w14:paraId="7F2FBEAA" w14:textId="77777777" w:rsidR="009D74E3" w:rsidRPr="003A115E" w:rsidRDefault="009D74E3" w:rsidP="00543AF5">
            <w:pPr>
              <w:pStyle w:val="cuatexto"/>
            </w:pPr>
            <w:r w:rsidRPr="003A115E">
              <w:rPr>
                <w:lang w:val="es-ES"/>
              </w:rPr>
              <w:t>Total Ingresos</w:t>
            </w:r>
          </w:p>
        </w:tc>
        <w:tc>
          <w:tcPr>
            <w:tcW w:w="461" w:type="pct"/>
            <w:tcBorders>
              <w:top w:val="nil"/>
              <w:left w:val="nil"/>
              <w:bottom w:val="single" w:sz="2" w:space="0" w:color="auto"/>
              <w:right w:val="nil"/>
            </w:tcBorders>
            <w:shd w:val="clear" w:color="auto" w:fill="auto"/>
            <w:vAlign w:val="center"/>
            <w:hideMark/>
          </w:tcPr>
          <w:p w14:paraId="65B26D60" w14:textId="77777777" w:rsidR="009D74E3" w:rsidRPr="003A115E" w:rsidRDefault="009D74E3" w:rsidP="00543AF5">
            <w:pPr>
              <w:pStyle w:val="cuatexto"/>
              <w:jc w:val="right"/>
            </w:pPr>
            <w:r w:rsidRPr="003A115E">
              <w:t xml:space="preserve">839,48 </w:t>
            </w:r>
          </w:p>
        </w:tc>
        <w:tc>
          <w:tcPr>
            <w:tcW w:w="513" w:type="pct"/>
            <w:tcBorders>
              <w:top w:val="nil"/>
              <w:left w:val="nil"/>
              <w:bottom w:val="single" w:sz="2" w:space="0" w:color="auto"/>
              <w:right w:val="nil"/>
            </w:tcBorders>
            <w:shd w:val="clear" w:color="auto" w:fill="auto"/>
            <w:vAlign w:val="center"/>
            <w:hideMark/>
          </w:tcPr>
          <w:p w14:paraId="091AF231" w14:textId="77777777" w:rsidR="009D74E3" w:rsidRPr="003A115E" w:rsidRDefault="009D74E3" w:rsidP="00543AF5">
            <w:pPr>
              <w:pStyle w:val="cuatexto"/>
              <w:jc w:val="right"/>
            </w:pPr>
            <w:r w:rsidRPr="003A115E">
              <w:t xml:space="preserve">891,40 </w:t>
            </w:r>
          </w:p>
        </w:tc>
        <w:tc>
          <w:tcPr>
            <w:tcW w:w="426" w:type="pct"/>
            <w:tcBorders>
              <w:top w:val="nil"/>
              <w:left w:val="nil"/>
              <w:bottom w:val="single" w:sz="2" w:space="0" w:color="auto"/>
              <w:right w:val="nil"/>
            </w:tcBorders>
            <w:shd w:val="clear" w:color="auto" w:fill="auto"/>
            <w:vAlign w:val="center"/>
            <w:hideMark/>
          </w:tcPr>
          <w:p w14:paraId="69C9EE02" w14:textId="77777777" w:rsidR="009D74E3" w:rsidRPr="003A115E" w:rsidRDefault="009D74E3" w:rsidP="00543AF5">
            <w:pPr>
              <w:pStyle w:val="cuatexto"/>
              <w:jc w:val="right"/>
            </w:pPr>
            <w:r w:rsidRPr="003A115E">
              <w:t xml:space="preserve">855,31 </w:t>
            </w:r>
          </w:p>
        </w:tc>
        <w:tc>
          <w:tcPr>
            <w:tcW w:w="351" w:type="pct"/>
            <w:tcBorders>
              <w:top w:val="nil"/>
              <w:left w:val="nil"/>
              <w:bottom w:val="single" w:sz="2" w:space="0" w:color="auto"/>
              <w:right w:val="nil"/>
            </w:tcBorders>
            <w:shd w:val="clear" w:color="auto" w:fill="auto"/>
            <w:vAlign w:val="center"/>
            <w:hideMark/>
          </w:tcPr>
          <w:p w14:paraId="02BCA303" w14:textId="77777777" w:rsidR="009D74E3" w:rsidRPr="003A115E" w:rsidRDefault="009D74E3" w:rsidP="00543AF5">
            <w:pPr>
              <w:pStyle w:val="cuatexto"/>
              <w:jc w:val="right"/>
            </w:pPr>
            <w:r w:rsidRPr="003A115E">
              <w:t xml:space="preserve">894,42 </w:t>
            </w:r>
          </w:p>
        </w:tc>
        <w:tc>
          <w:tcPr>
            <w:tcW w:w="409" w:type="pct"/>
            <w:tcBorders>
              <w:top w:val="nil"/>
              <w:left w:val="nil"/>
              <w:bottom w:val="single" w:sz="2" w:space="0" w:color="auto"/>
              <w:right w:val="single" w:sz="2" w:space="0" w:color="auto"/>
            </w:tcBorders>
            <w:shd w:val="clear" w:color="auto" w:fill="auto"/>
            <w:vAlign w:val="center"/>
            <w:hideMark/>
          </w:tcPr>
          <w:p w14:paraId="19C66D3A" w14:textId="77777777" w:rsidR="009D74E3" w:rsidRPr="003A115E" w:rsidRDefault="009D74E3" w:rsidP="00543AF5">
            <w:pPr>
              <w:pStyle w:val="cuatexto"/>
              <w:jc w:val="right"/>
            </w:pPr>
            <w:r w:rsidRPr="003A115E">
              <w:t xml:space="preserve">1.041,27 </w:t>
            </w:r>
          </w:p>
        </w:tc>
        <w:tc>
          <w:tcPr>
            <w:tcW w:w="714" w:type="pct"/>
            <w:tcBorders>
              <w:top w:val="nil"/>
              <w:left w:val="single" w:sz="2" w:space="0" w:color="auto"/>
              <w:bottom w:val="single" w:sz="2" w:space="0" w:color="auto"/>
            </w:tcBorders>
            <w:shd w:val="clear" w:color="auto" w:fill="auto"/>
            <w:vAlign w:val="center"/>
            <w:hideMark/>
          </w:tcPr>
          <w:p w14:paraId="6C591A52" w14:textId="77777777" w:rsidR="009D74E3" w:rsidRPr="003A115E" w:rsidRDefault="009D74E3" w:rsidP="00543AF5">
            <w:pPr>
              <w:pStyle w:val="cuatexto"/>
              <w:jc w:val="right"/>
            </w:pPr>
            <w:r w:rsidRPr="003A115E">
              <w:t>24</w:t>
            </w:r>
          </w:p>
        </w:tc>
        <w:tc>
          <w:tcPr>
            <w:tcW w:w="346" w:type="pct"/>
            <w:tcBorders>
              <w:top w:val="nil"/>
              <w:bottom w:val="single" w:sz="2" w:space="0" w:color="auto"/>
            </w:tcBorders>
            <w:shd w:val="clear" w:color="auto" w:fill="auto"/>
            <w:vAlign w:val="center"/>
            <w:hideMark/>
          </w:tcPr>
          <w:p w14:paraId="31539AE0" w14:textId="77777777" w:rsidR="009D74E3" w:rsidRPr="003A115E" w:rsidRDefault="009D74E3" w:rsidP="00543AF5">
            <w:pPr>
              <w:pStyle w:val="cuatexto"/>
              <w:jc w:val="right"/>
            </w:pPr>
            <w:r w:rsidRPr="003A115E">
              <w:t xml:space="preserve">146,85 </w:t>
            </w:r>
          </w:p>
        </w:tc>
        <w:tc>
          <w:tcPr>
            <w:tcW w:w="346" w:type="pct"/>
            <w:tcBorders>
              <w:top w:val="nil"/>
              <w:left w:val="nil"/>
              <w:bottom w:val="single" w:sz="2" w:space="0" w:color="auto"/>
              <w:right w:val="single" w:sz="2" w:space="0" w:color="auto"/>
            </w:tcBorders>
            <w:shd w:val="clear" w:color="auto" w:fill="auto"/>
            <w:vAlign w:val="center"/>
            <w:hideMark/>
          </w:tcPr>
          <w:p w14:paraId="6F694A2E" w14:textId="77777777" w:rsidR="009D74E3" w:rsidRPr="003A115E" w:rsidRDefault="009D74E3" w:rsidP="00543AF5">
            <w:pPr>
              <w:pStyle w:val="cuatexto"/>
              <w:jc w:val="right"/>
            </w:pPr>
            <w:r w:rsidRPr="003A115E">
              <w:t>16</w:t>
            </w:r>
          </w:p>
        </w:tc>
        <w:tc>
          <w:tcPr>
            <w:tcW w:w="346" w:type="pct"/>
            <w:tcBorders>
              <w:top w:val="nil"/>
              <w:left w:val="single" w:sz="2" w:space="0" w:color="auto"/>
              <w:bottom w:val="single" w:sz="2" w:space="0" w:color="auto"/>
              <w:right w:val="nil"/>
            </w:tcBorders>
            <w:shd w:val="clear" w:color="auto" w:fill="auto"/>
            <w:vAlign w:val="center"/>
            <w:hideMark/>
          </w:tcPr>
          <w:p w14:paraId="354FB981" w14:textId="77777777" w:rsidR="009D74E3" w:rsidRPr="003A115E" w:rsidRDefault="009D74E3" w:rsidP="00543AF5">
            <w:pPr>
              <w:pStyle w:val="cuatexto"/>
              <w:jc w:val="right"/>
            </w:pPr>
            <w:r w:rsidRPr="003A115E">
              <w:t xml:space="preserve">1.132,55 </w:t>
            </w:r>
          </w:p>
        </w:tc>
      </w:tr>
      <w:tr w:rsidR="000A742F" w:rsidRPr="003A115E" w14:paraId="307E1424"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76AC722B" w14:textId="77777777" w:rsidR="009D74E3" w:rsidRPr="003A115E" w:rsidRDefault="009D74E3" w:rsidP="00543AF5">
            <w:pPr>
              <w:pStyle w:val="cuatexto"/>
            </w:pPr>
            <w:r w:rsidRPr="003A115E">
              <w:rPr>
                <w:lang w:val="es-ES"/>
              </w:rPr>
              <w:t>Total Gastos</w:t>
            </w:r>
          </w:p>
        </w:tc>
        <w:tc>
          <w:tcPr>
            <w:tcW w:w="461" w:type="pct"/>
            <w:tcBorders>
              <w:top w:val="single" w:sz="2" w:space="0" w:color="auto"/>
              <w:left w:val="nil"/>
              <w:bottom w:val="single" w:sz="2" w:space="0" w:color="auto"/>
              <w:right w:val="nil"/>
            </w:tcBorders>
            <w:shd w:val="clear" w:color="auto" w:fill="auto"/>
            <w:vAlign w:val="center"/>
            <w:hideMark/>
          </w:tcPr>
          <w:p w14:paraId="50A4D9E0" w14:textId="77777777" w:rsidR="009D74E3" w:rsidRPr="003A115E" w:rsidRDefault="009D74E3" w:rsidP="00543AF5">
            <w:pPr>
              <w:pStyle w:val="cuatexto"/>
              <w:jc w:val="right"/>
            </w:pPr>
            <w:r w:rsidRPr="003A115E">
              <w:t xml:space="preserve">787,98 </w:t>
            </w:r>
          </w:p>
        </w:tc>
        <w:tc>
          <w:tcPr>
            <w:tcW w:w="513" w:type="pct"/>
            <w:tcBorders>
              <w:top w:val="single" w:sz="2" w:space="0" w:color="auto"/>
              <w:left w:val="nil"/>
              <w:bottom w:val="single" w:sz="2" w:space="0" w:color="auto"/>
              <w:right w:val="nil"/>
            </w:tcBorders>
            <w:shd w:val="clear" w:color="auto" w:fill="auto"/>
            <w:vAlign w:val="center"/>
            <w:hideMark/>
          </w:tcPr>
          <w:p w14:paraId="5F4742C3" w14:textId="77777777" w:rsidR="009D74E3" w:rsidRPr="003A115E" w:rsidRDefault="009D74E3" w:rsidP="00543AF5">
            <w:pPr>
              <w:pStyle w:val="cuatexto"/>
              <w:jc w:val="right"/>
            </w:pPr>
            <w:r w:rsidRPr="003A115E">
              <w:t xml:space="preserve">885,37 </w:t>
            </w:r>
          </w:p>
        </w:tc>
        <w:tc>
          <w:tcPr>
            <w:tcW w:w="426" w:type="pct"/>
            <w:tcBorders>
              <w:top w:val="single" w:sz="2" w:space="0" w:color="auto"/>
              <w:left w:val="nil"/>
              <w:bottom w:val="single" w:sz="2" w:space="0" w:color="auto"/>
              <w:right w:val="nil"/>
            </w:tcBorders>
            <w:shd w:val="clear" w:color="auto" w:fill="auto"/>
            <w:vAlign w:val="center"/>
            <w:hideMark/>
          </w:tcPr>
          <w:p w14:paraId="4BD90B41" w14:textId="77777777" w:rsidR="009D74E3" w:rsidRPr="003A115E" w:rsidRDefault="009D74E3" w:rsidP="00543AF5">
            <w:pPr>
              <w:pStyle w:val="cuatexto"/>
              <w:jc w:val="right"/>
            </w:pPr>
            <w:r w:rsidRPr="003A115E">
              <w:t xml:space="preserve">799,18 </w:t>
            </w:r>
          </w:p>
        </w:tc>
        <w:tc>
          <w:tcPr>
            <w:tcW w:w="351" w:type="pct"/>
            <w:tcBorders>
              <w:top w:val="single" w:sz="2" w:space="0" w:color="auto"/>
              <w:left w:val="nil"/>
              <w:bottom w:val="single" w:sz="2" w:space="0" w:color="auto"/>
              <w:right w:val="nil"/>
            </w:tcBorders>
            <w:shd w:val="clear" w:color="auto" w:fill="auto"/>
            <w:vAlign w:val="center"/>
            <w:hideMark/>
          </w:tcPr>
          <w:p w14:paraId="6091A357" w14:textId="77777777" w:rsidR="009D74E3" w:rsidRPr="003A115E" w:rsidRDefault="009D74E3" w:rsidP="00543AF5">
            <w:pPr>
              <w:pStyle w:val="cuatexto"/>
              <w:jc w:val="right"/>
            </w:pPr>
            <w:r w:rsidRPr="003A115E">
              <w:t xml:space="preserve">891,40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4E341B91" w14:textId="77777777" w:rsidR="009D74E3" w:rsidRPr="003A115E" w:rsidRDefault="009D74E3" w:rsidP="00543AF5">
            <w:pPr>
              <w:pStyle w:val="cuatexto"/>
              <w:jc w:val="right"/>
            </w:pPr>
            <w:r w:rsidRPr="003A115E">
              <w:t xml:space="preserve">964,66 </w:t>
            </w:r>
          </w:p>
        </w:tc>
        <w:tc>
          <w:tcPr>
            <w:tcW w:w="714" w:type="pct"/>
            <w:tcBorders>
              <w:top w:val="single" w:sz="2" w:space="0" w:color="auto"/>
              <w:left w:val="single" w:sz="2" w:space="0" w:color="auto"/>
              <w:bottom w:val="single" w:sz="2" w:space="0" w:color="auto"/>
            </w:tcBorders>
            <w:shd w:val="clear" w:color="auto" w:fill="auto"/>
            <w:vAlign w:val="center"/>
            <w:hideMark/>
          </w:tcPr>
          <w:p w14:paraId="40127725" w14:textId="77777777" w:rsidR="009D74E3" w:rsidRPr="003A115E" w:rsidRDefault="009D74E3" w:rsidP="00543AF5">
            <w:pPr>
              <w:pStyle w:val="cuatexto"/>
              <w:jc w:val="right"/>
            </w:pPr>
            <w:r w:rsidRPr="003A115E">
              <w:t>22</w:t>
            </w:r>
          </w:p>
        </w:tc>
        <w:tc>
          <w:tcPr>
            <w:tcW w:w="346" w:type="pct"/>
            <w:tcBorders>
              <w:top w:val="single" w:sz="2" w:space="0" w:color="auto"/>
              <w:bottom w:val="single" w:sz="2" w:space="0" w:color="auto"/>
            </w:tcBorders>
            <w:shd w:val="clear" w:color="auto" w:fill="auto"/>
            <w:vAlign w:val="center"/>
            <w:hideMark/>
          </w:tcPr>
          <w:p w14:paraId="1F71AEBE" w14:textId="77777777" w:rsidR="009D74E3" w:rsidRPr="003A115E" w:rsidRDefault="009D74E3" w:rsidP="00543AF5">
            <w:pPr>
              <w:pStyle w:val="cuatexto"/>
              <w:jc w:val="right"/>
            </w:pPr>
            <w:r w:rsidRPr="003A115E">
              <w:t xml:space="preserve">73,26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674982DE" w14:textId="77777777" w:rsidR="009D74E3" w:rsidRPr="003A115E" w:rsidRDefault="009D74E3" w:rsidP="00543AF5">
            <w:pPr>
              <w:pStyle w:val="cuatexto"/>
              <w:jc w:val="right"/>
            </w:pPr>
            <w:r w:rsidRPr="003A115E">
              <w:t>8</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0A2E624F" w14:textId="77777777" w:rsidR="009D74E3" w:rsidRPr="003A115E" w:rsidRDefault="009D74E3" w:rsidP="00543AF5">
            <w:pPr>
              <w:pStyle w:val="cuatexto"/>
              <w:jc w:val="right"/>
            </w:pPr>
            <w:r w:rsidRPr="003A115E">
              <w:t xml:space="preserve">1.062,76 </w:t>
            </w:r>
          </w:p>
        </w:tc>
      </w:tr>
      <w:tr w:rsidR="000A742F" w:rsidRPr="003A115E" w14:paraId="554445DF"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6FD77FB1" w14:textId="77777777" w:rsidR="009D74E3" w:rsidRPr="003A115E" w:rsidRDefault="009D74E3" w:rsidP="00543AF5">
            <w:pPr>
              <w:pStyle w:val="cuatexto"/>
            </w:pPr>
            <w:r w:rsidRPr="003A115E">
              <w:t>Ingresos tributarios</w:t>
            </w:r>
          </w:p>
        </w:tc>
        <w:tc>
          <w:tcPr>
            <w:tcW w:w="461" w:type="pct"/>
            <w:tcBorders>
              <w:top w:val="single" w:sz="2" w:space="0" w:color="auto"/>
              <w:left w:val="nil"/>
              <w:bottom w:val="single" w:sz="2" w:space="0" w:color="auto"/>
              <w:right w:val="nil"/>
            </w:tcBorders>
            <w:shd w:val="clear" w:color="auto" w:fill="auto"/>
            <w:vAlign w:val="center"/>
            <w:hideMark/>
          </w:tcPr>
          <w:p w14:paraId="394AA89B" w14:textId="77777777" w:rsidR="009D74E3" w:rsidRPr="003A115E" w:rsidRDefault="009D74E3" w:rsidP="00543AF5">
            <w:pPr>
              <w:pStyle w:val="cuatexto"/>
              <w:jc w:val="right"/>
            </w:pPr>
            <w:r w:rsidRPr="003A115E">
              <w:t xml:space="preserve">385,04 </w:t>
            </w:r>
          </w:p>
        </w:tc>
        <w:tc>
          <w:tcPr>
            <w:tcW w:w="513" w:type="pct"/>
            <w:tcBorders>
              <w:top w:val="single" w:sz="2" w:space="0" w:color="auto"/>
              <w:left w:val="nil"/>
              <w:bottom w:val="single" w:sz="2" w:space="0" w:color="auto"/>
              <w:right w:val="nil"/>
            </w:tcBorders>
            <w:shd w:val="clear" w:color="auto" w:fill="auto"/>
            <w:vAlign w:val="center"/>
            <w:hideMark/>
          </w:tcPr>
          <w:p w14:paraId="00330D2B" w14:textId="77777777" w:rsidR="009D74E3" w:rsidRPr="003A115E" w:rsidRDefault="009D74E3" w:rsidP="00543AF5">
            <w:pPr>
              <w:pStyle w:val="cuatexto"/>
              <w:jc w:val="right"/>
            </w:pPr>
            <w:r w:rsidRPr="003A115E">
              <w:t xml:space="preserve">402,08 </w:t>
            </w:r>
          </w:p>
        </w:tc>
        <w:tc>
          <w:tcPr>
            <w:tcW w:w="426" w:type="pct"/>
            <w:tcBorders>
              <w:top w:val="single" w:sz="2" w:space="0" w:color="auto"/>
              <w:left w:val="nil"/>
              <w:bottom w:val="single" w:sz="2" w:space="0" w:color="auto"/>
              <w:right w:val="nil"/>
            </w:tcBorders>
            <w:shd w:val="clear" w:color="auto" w:fill="auto"/>
            <w:vAlign w:val="center"/>
            <w:hideMark/>
          </w:tcPr>
          <w:p w14:paraId="418CC958" w14:textId="77777777" w:rsidR="009D74E3" w:rsidRPr="003A115E" w:rsidRDefault="009D74E3" w:rsidP="00543AF5">
            <w:pPr>
              <w:pStyle w:val="cuatexto"/>
              <w:jc w:val="right"/>
            </w:pPr>
            <w:r w:rsidRPr="003A115E">
              <w:t xml:space="preserve">374,47 </w:t>
            </w:r>
          </w:p>
        </w:tc>
        <w:tc>
          <w:tcPr>
            <w:tcW w:w="351" w:type="pct"/>
            <w:tcBorders>
              <w:top w:val="single" w:sz="2" w:space="0" w:color="auto"/>
              <w:left w:val="nil"/>
              <w:bottom w:val="single" w:sz="2" w:space="0" w:color="auto"/>
              <w:right w:val="nil"/>
            </w:tcBorders>
            <w:shd w:val="clear" w:color="auto" w:fill="auto"/>
            <w:vAlign w:val="center"/>
            <w:hideMark/>
          </w:tcPr>
          <w:p w14:paraId="5114FA94" w14:textId="77777777" w:rsidR="009D74E3" w:rsidRPr="003A115E" w:rsidRDefault="009D74E3" w:rsidP="00543AF5">
            <w:pPr>
              <w:pStyle w:val="cuatexto"/>
              <w:jc w:val="right"/>
            </w:pPr>
            <w:r w:rsidRPr="003A115E">
              <w:t xml:space="preserve">404,74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2CDDDE2D" w14:textId="77777777" w:rsidR="009D74E3" w:rsidRPr="003A115E" w:rsidRDefault="009D74E3" w:rsidP="00543AF5">
            <w:pPr>
              <w:pStyle w:val="cuatexto"/>
              <w:jc w:val="right"/>
            </w:pPr>
            <w:r w:rsidRPr="003A115E">
              <w:t xml:space="preserve">438,14 </w:t>
            </w:r>
          </w:p>
        </w:tc>
        <w:tc>
          <w:tcPr>
            <w:tcW w:w="714" w:type="pct"/>
            <w:tcBorders>
              <w:top w:val="single" w:sz="2" w:space="0" w:color="auto"/>
              <w:left w:val="single" w:sz="2" w:space="0" w:color="auto"/>
              <w:bottom w:val="single" w:sz="2" w:space="0" w:color="auto"/>
            </w:tcBorders>
            <w:shd w:val="clear" w:color="auto" w:fill="auto"/>
            <w:vAlign w:val="center"/>
            <w:hideMark/>
          </w:tcPr>
          <w:p w14:paraId="56A13917" w14:textId="77777777" w:rsidR="009D74E3" w:rsidRPr="003A115E" w:rsidRDefault="009D74E3" w:rsidP="00543AF5">
            <w:pPr>
              <w:pStyle w:val="cuatexto"/>
              <w:jc w:val="right"/>
            </w:pPr>
            <w:r w:rsidRPr="003A115E">
              <w:t>14</w:t>
            </w:r>
          </w:p>
        </w:tc>
        <w:tc>
          <w:tcPr>
            <w:tcW w:w="346" w:type="pct"/>
            <w:tcBorders>
              <w:top w:val="single" w:sz="2" w:space="0" w:color="auto"/>
              <w:bottom w:val="single" w:sz="2" w:space="0" w:color="auto"/>
            </w:tcBorders>
            <w:shd w:val="clear" w:color="auto" w:fill="auto"/>
            <w:vAlign w:val="center"/>
            <w:hideMark/>
          </w:tcPr>
          <w:p w14:paraId="021811E8" w14:textId="77777777" w:rsidR="009D74E3" w:rsidRPr="003A115E" w:rsidRDefault="009D74E3" w:rsidP="00543AF5">
            <w:pPr>
              <w:pStyle w:val="cuatexto"/>
              <w:jc w:val="right"/>
            </w:pPr>
            <w:r w:rsidRPr="003A115E">
              <w:t xml:space="preserve">33,41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7073AFFE" w14:textId="77777777" w:rsidR="009D74E3" w:rsidRPr="003A115E" w:rsidRDefault="009D74E3" w:rsidP="00543AF5">
            <w:pPr>
              <w:pStyle w:val="cuatexto"/>
              <w:jc w:val="right"/>
            </w:pPr>
            <w:r w:rsidRPr="003A115E">
              <w:t>8</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2133A4C1" w14:textId="77777777" w:rsidR="009D74E3" w:rsidRPr="003A115E" w:rsidRDefault="009D74E3" w:rsidP="00543AF5">
            <w:pPr>
              <w:pStyle w:val="cuatexto"/>
              <w:jc w:val="right"/>
            </w:pPr>
            <w:r w:rsidRPr="003A115E">
              <w:t xml:space="preserve">515,21 </w:t>
            </w:r>
          </w:p>
        </w:tc>
      </w:tr>
      <w:tr w:rsidR="000A742F" w:rsidRPr="003A115E" w14:paraId="2B1D8E97"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373959F9" w14:textId="77777777" w:rsidR="009D74E3" w:rsidRPr="003A115E" w:rsidRDefault="009D74E3" w:rsidP="00543AF5">
            <w:pPr>
              <w:pStyle w:val="cuatexto"/>
            </w:pPr>
            <w:r w:rsidRPr="003A115E">
              <w:t>Ingresos por transferencias</w:t>
            </w:r>
          </w:p>
        </w:tc>
        <w:tc>
          <w:tcPr>
            <w:tcW w:w="461" w:type="pct"/>
            <w:tcBorders>
              <w:top w:val="single" w:sz="2" w:space="0" w:color="auto"/>
              <w:left w:val="nil"/>
              <w:bottom w:val="single" w:sz="2" w:space="0" w:color="auto"/>
              <w:right w:val="nil"/>
            </w:tcBorders>
            <w:shd w:val="clear" w:color="auto" w:fill="auto"/>
            <w:vAlign w:val="center"/>
            <w:hideMark/>
          </w:tcPr>
          <w:p w14:paraId="2E3D76C1" w14:textId="77777777" w:rsidR="009D74E3" w:rsidRPr="003A115E" w:rsidRDefault="009D74E3" w:rsidP="00543AF5">
            <w:pPr>
              <w:pStyle w:val="cuatexto"/>
              <w:jc w:val="right"/>
            </w:pPr>
            <w:r w:rsidRPr="003A115E">
              <w:t xml:space="preserve">390,26 </w:t>
            </w:r>
          </w:p>
        </w:tc>
        <w:tc>
          <w:tcPr>
            <w:tcW w:w="513" w:type="pct"/>
            <w:tcBorders>
              <w:top w:val="single" w:sz="2" w:space="0" w:color="auto"/>
              <w:left w:val="nil"/>
              <w:bottom w:val="single" w:sz="2" w:space="0" w:color="auto"/>
              <w:right w:val="nil"/>
            </w:tcBorders>
            <w:shd w:val="clear" w:color="auto" w:fill="auto"/>
            <w:vAlign w:val="center"/>
            <w:hideMark/>
          </w:tcPr>
          <w:p w14:paraId="0701A707" w14:textId="77777777" w:rsidR="009D74E3" w:rsidRPr="003A115E" w:rsidRDefault="009D74E3" w:rsidP="00543AF5">
            <w:pPr>
              <w:pStyle w:val="cuatexto"/>
              <w:jc w:val="right"/>
            </w:pPr>
            <w:r w:rsidRPr="003A115E">
              <w:t xml:space="preserve">424,10 </w:t>
            </w:r>
          </w:p>
        </w:tc>
        <w:tc>
          <w:tcPr>
            <w:tcW w:w="426" w:type="pct"/>
            <w:tcBorders>
              <w:top w:val="single" w:sz="2" w:space="0" w:color="auto"/>
              <w:left w:val="nil"/>
              <w:bottom w:val="single" w:sz="2" w:space="0" w:color="auto"/>
              <w:right w:val="nil"/>
            </w:tcBorders>
            <w:shd w:val="clear" w:color="auto" w:fill="auto"/>
            <w:vAlign w:val="center"/>
            <w:hideMark/>
          </w:tcPr>
          <w:p w14:paraId="65717402" w14:textId="77777777" w:rsidR="009D74E3" w:rsidRPr="003A115E" w:rsidRDefault="009D74E3" w:rsidP="00543AF5">
            <w:pPr>
              <w:pStyle w:val="cuatexto"/>
              <w:jc w:val="right"/>
            </w:pPr>
            <w:r w:rsidRPr="003A115E">
              <w:t xml:space="preserve">429,54 </w:t>
            </w:r>
          </w:p>
        </w:tc>
        <w:tc>
          <w:tcPr>
            <w:tcW w:w="351" w:type="pct"/>
            <w:tcBorders>
              <w:top w:val="single" w:sz="2" w:space="0" w:color="auto"/>
              <w:left w:val="nil"/>
              <w:bottom w:val="single" w:sz="2" w:space="0" w:color="auto"/>
              <w:right w:val="nil"/>
            </w:tcBorders>
            <w:shd w:val="clear" w:color="auto" w:fill="auto"/>
            <w:vAlign w:val="center"/>
            <w:hideMark/>
          </w:tcPr>
          <w:p w14:paraId="4C7C60F8" w14:textId="77777777" w:rsidR="009D74E3" w:rsidRPr="003A115E" w:rsidRDefault="009D74E3" w:rsidP="00543AF5">
            <w:pPr>
              <w:pStyle w:val="cuatexto"/>
              <w:jc w:val="right"/>
            </w:pPr>
            <w:r w:rsidRPr="003A115E">
              <w:t xml:space="preserve">421,43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5AA0E7AE" w14:textId="77777777" w:rsidR="009D74E3" w:rsidRPr="003A115E" w:rsidRDefault="009D74E3" w:rsidP="00543AF5">
            <w:pPr>
              <w:pStyle w:val="cuatexto"/>
              <w:jc w:val="right"/>
            </w:pPr>
            <w:r w:rsidRPr="003A115E">
              <w:t xml:space="preserve">501,84 </w:t>
            </w:r>
          </w:p>
        </w:tc>
        <w:tc>
          <w:tcPr>
            <w:tcW w:w="714" w:type="pct"/>
            <w:tcBorders>
              <w:top w:val="single" w:sz="2" w:space="0" w:color="auto"/>
              <w:left w:val="single" w:sz="2" w:space="0" w:color="auto"/>
              <w:bottom w:val="single" w:sz="2" w:space="0" w:color="auto"/>
            </w:tcBorders>
            <w:shd w:val="clear" w:color="auto" w:fill="auto"/>
            <w:vAlign w:val="center"/>
            <w:hideMark/>
          </w:tcPr>
          <w:p w14:paraId="69E4D307" w14:textId="77777777" w:rsidR="009D74E3" w:rsidRPr="003A115E" w:rsidRDefault="009D74E3" w:rsidP="00543AF5">
            <w:pPr>
              <w:pStyle w:val="cuatexto"/>
              <w:jc w:val="right"/>
            </w:pPr>
            <w:r w:rsidRPr="003A115E">
              <w:t>29</w:t>
            </w:r>
          </w:p>
        </w:tc>
        <w:tc>
          <w:tcPr>
            <w:tcW w:w="346" w:type="pct"/>
            <w:tcBorders>
              <w:top w:val="single" w:sz="2" w:space="0" w:color="auto"/>
              <w:bottom w:val="single" w:sz="2" w:space="0" w:color="auto"/>
            </w:tcBorders>
            <w:shd w:val="clear" w:color="auto" w:fill="auto"/>
            <w:vAlign w:val="center"/>
            <w:hideMark/>
          </w:tcPr>
          <w:p w14:paraId="0A80A510" w14:textId="77777777" w:rsidR="009D74E3" w:rsidRPr="003A115E" w:rsidRDefault="009D74E3" w:rsidP="00543AF5">
            <w:pPr>
              <w:pStyle w:val="cuatexto"/>
              <w:jc w:val="right"/>
            </w:pPr>
            <w:r w:rsidRPr="003A115E">
              <w:t xml:space="preserve">80,41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04491169" w14:textId="77777777" w:rsidR="009D74E3" w:rsidRPr="003A115E" w:rsidRDefault="009D74E3" w:rsidP="00543AF5">
            <w:pPr>
              <w:pStyle w:val="cuatexto"/>
              <w:jc w:val="right"/>
            </w:pPr>
            <w:r w:rsidRPr="003A115E">
              <w:t>19</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022D9E46" w14:textId="77777777" w:rsidR="009D74E3" w:rsidRPr="003A115E" w:rsidRDefault="009D74E3" w:rsidP="00543AF5">
            <w:pPr>
              <w:pStyle w:val="cuatexto"/>
              <w:jc w:val="right"/>
            </w:pPr>
            <w:r w:rsidRPr="003A115E">
              <w:t xml:space="preserve">515,89 </w:t>
            </w:r>
          </w:p>
        </w:tc>
      </w:tr>
      <w:tr w:rsidR="000A742F" w:rsidRPr="003A115E" w14:paraId="2D5A8E9E"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27F40250" w14:textId="77777777" w:rsidR="009D74E3" w:rsidRPr="003A115E" w:rsidRDefault="009D74E3" w:rsidP="00543AF5">
            <w:pPr>
              <w:pStyle w:val="cuatexto"/>
            </w:pPr>
            <w:r w:rsidRPr="003A115E">
              <w:t>Gastos de funcionamiento</w:t>
            </w:r>
          </w:p>
        </w:tc>
        <w:tc>
          <w:tcPr>
            <w:tcW w:w="461" w:type="pct"/>
            <w:tcBorders>
              <w:top w:val="single" w:sz="2" w:space="0" w:color="auto"/>
              <w:left w:val="nil"/>
              <w:bottom w:val="single" w:sz="2" w:space="0" w:color="auto"/>
              <w:right w:val="nil"/>
            </w:tcBorders>
            <w:shd w:val="clear" w:color="auto" w:fill="auto"/>
            <w:vAlign w:val="center"/>
            <w:hideMark/>
          </w:tcPr>
          <w:p w14:paraId="57097E2B" w14:textId="77777777" w:rsidR="009D74E3" w:rsidRPr="003A115E" w:rsidRDefault="009D74E3" w:rsidP="00543AF5">
            <w:pPr>
              <w:pStyle w:val="cuatexto"/>
              <w:jc w:val="right"/>
            </w:pPr>
            <w:r w:rsidRPr="003A115E">
              <w:t xml:space="preserve">626,02 </w:t>
            </w:r>
          </w:p>
        </w:tc>
        <w:tc>
          <w:tcPr>
            <w:tcW w:w="513" w:type="pct"/>
            <w:tcBorders>
              <w:top w:val="single" w:sz="2" w:space="0" w:color="auto"/>
              <w:left w:val="nil"/>
              <w:bottom w:val="single" w:sz="2" w:space="0" w:color="auto"/>
              <w:right w:val="nil"/>
            </w:tcBorders>
            <w:shd w:val="clear" w:color="auto" w:fill="auto"/>
            <w:vAlign w:val="center"/>
            <w:hideMark/>
          </w:tcPr>
          <w:p w14:paraId="223A1FEC" w14:textId="77777777" w:rsidR="009D74E3" w:rsidRPr="003A115E" w:rsidRDefault="009D74E3" w:rsidP="00543AF5">
            <w:pPr>
              <w:pStyle w:val="cuatexto"/>
              <w:jc w:val="right"/>
            </w:pPr>
            <w:r w:rsidRPr="003A115E">
              <w:t xml:space="preserve">653,91 </w:t>
            </w:r>
          </w:p>
        </w:tc>
        <w:tc>
          <w:tcPr>
            <w:tcW w:w="426" w:type="pct"/>
            <w:tcBorders>
              <w:top w:val="single" w:sz="2" w:space="0" w:color="auto"/>
              <w:left w:val="nil"/>
              <w:bottom w:val="single" w:sz="2" w:space="0" w:color="auto"/>
              <w:right w:val="nil"/>
            </w:tcBorders>
            <w:shd w:val="clear" w:color="auto" w:fill="auto"/>
            <w:vAlign w:val="center"/>
            <w:hideMark/>
          </w:tcPr>
          <w:p w14:paraId="2AE77495" w14:textId="77777777" w:rsidR="009D74E3" w:rsidRPr="003A115E" w:rsidRDefault="009D74E3" w:rsidP="00543AF5">
            <w:pPr>
              <w:pStyle w:val="cuatexto"/>
              <w:jc w:val="right"/>
            </w:pPr>
            <w:r w:rsidRPr="003A115E">
              <w:t xml:space="preserve">643,17 </w:t>
            </w:r>
          </w:p>
        </w:tc>
        <w:tc>
          <w:tcPr>
            <w:tcW w:w="351" w:type="pct"/>
            <w:tcBorders>
              <w:top w:val="single" w:sz="2" w:space="0" w:color="auto"/>
              <w:left w:val="nil"/>
              <w:bottom w:val="single" w:sz="2" w:space="0" w:color="auto"/>
              <w:right w:val="nil"/>
            </w:tcBorders>
            <w:shd w:val="clear" w:color="auto" w:fill="auto"/>
            <w:vAlign w:val="center"/>
            <w:hideMark/>
          </w:tcPr>
          <w:p w14:paraId="0C70356C" w14:textId="77777777" w:rsidR="009D74E3" w:rsidRPr="003A115E" w:rsidRDefault="009D74E3" w:rsidP="00543AF5">
            <w:pPr>
              <w:pStyle w:val="cuatexto"/>
              <w:jc w:val="right"/>
            </w:pPr>
            <w:r w:rsidRPr="003A115E">
              <w:t xml:space="preserve">690,47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47BE3A0A" w14:textId="77777777" w:rsidR="009D74E3" w:rsidRPr="003A115E" w:rsidRDefault="009D74E3" w:rsidP="00543AF5">
            <w:pPr>
              <w:pStyle w:val="cuatexto"/>
              <w:jc w:val="right"/>
            </w:pPr>
            <w:r w:rsidRPr="003A115E">
              <w:t xml:space="preserve">774,63 </w:t>
            </w:r>
          </w:p>
        </w:tc>
        <w:tc>
          <w:tcPr>
            <w:tcW w:w="714" w:type="pct"/>
            <w:tcBorders>
              <w:top w:val="single" w:sz="2" w:space="0" w:color="auto"/>
              <w:left w:val="single" w:sz="2" w:space="0" w:color="auto"/>
              <w:bottom w:val="single" w:sz="2" w:space="0" w:color="auto"/>
            </w:tcBorders>
            <w:shd w:val="clear" w:color="auto" w:fill="auto"/>
            <w:vAlign w:val="center"/>
            <w:hideMark/>
          </w:tcPr>
          <w:p w14:paraId="67C5683F" w14:textId="77777777" w:rsidR="009D74E3" w:rsidRPr="003A115E" w:rsidRDefault="009D74E3" w:rsidP="00543AF5">
            <w:pPr>
              <w:pStyle w:val="cuatexto"/>
              <w:jc w:val="right"/>
            </w:pPr>
            <w:r w:rsidRPr="003A115E">
              <w:t>24</w:t>
            </w:r>
          </w:p>
        </w:tc>
        <w:tc>
          <w:tcPr>
            <w:tcW w:w="346" w:type="pct"/>
            <w:tcBorders>
              <w:top w:val="single" w:sz="2" w:space="0" w:color="auto"/>
              <w:bottom w:val="single" w:sz="2" w:space="0" w:color="auto"/>
            </w:tcBorders>
            <w:shd w:val="clear" w:color="auto" w:fill="auto"/>
            <w:vAlign w:val="center"/>
            <w:hideMark/>
          </w:tcPr>
          <w:p w14:paraId="1B3D3831" w14:textId="77777777" w:rsidR="009D74E3" w:rsidRPr="003A115E" w:rsidRDefault="009D74E3" w:rsidP="00543AF5">
            <w:pPr>
              <w:pStyle w:val="cuatexto"/>
              <w:jc w:val="right"/>
            </w:pPr>
            <w:r w:rsidRPr="003A115E">
              <w:t xml:space="preserve">84,16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16A17A95" w14:textId="77777777" w:rsidR="009D74E3" w:rsidRPr="003A115E" w:rsidRDefault="009D74E3" w:rsidP="00543AF5">
            <w:pPr>
              <w:pStyle w:val="cuatexto"/>
              <w:jc w:val="right"/>
            </w:pPr>
            <w:r w:rsidRPr="003A115E">
              <w:t>12</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4BE8643E" w14:textId="77777777" w:rsidR="009D74E3" w:rsidRPr="003A115E" w:rsidRDefault="009D74E3" w:rsidP="00543AF5">
            <w:pPr>
              <w:pStyle w:val="cuatexto"/>
              <w:jc w:val="right"/>
            </w:pPr>
            <w:r w:rsidRPr="003A115E">
              <w:t xml:space="preserve">848,33 </w:t>
            </w:r>
          </w:p>
        </w:tc>
      </w:tr>
      <w:tr w:rsidR="000A742F" w:rsidRPr="003A115E" w14:paraId="18AEE706"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061E130D" w14:textId="77777777" w:rsidR="009D74E3" w:rsidRPr="003A115E" w:rsidRDefault="009D74E3" w:rsidP="00543AF5">
            <w:pPr>
              <w:pStyle w:val="cuatexto"/>
            </w:pPr>
            <w:r w:rsidRPr="003A115E">
              <w:t>Gasto de capital</w:t>
            </w:r>
          </w:p>
        </w:tc>
        <w:tc>
          <w:tcPr>
            <w:tcW w:w="461" w:type="pct"/>
            <w:tcBorders>
              <w:top w:val="single" w:sz="2" w:space="0" w:color="auto"/>
              <w:left w:val="nil"/>
              <w:bottom w:val="single" w:sz="2" w:space="0" w:color="auto"/>
              <w:right w:val="nil"/>
            </w:tcBorders>
            <w:shd w:val="clear" w:color="auto" w:fill="auto"/>
            <w:vAlign w:val="center"/>
            <w:hideMark/>
          </w:tcPr>
          <w:p w14:paraId="4ACD906C" w14:textId="77777777" w:rsidR="009D74E3" w:rsidRPr="003A115E" w:rsidRDefault="009D74E3" w:rsidP="00543AF5">
            <w:pPr>
              <w:pStyle w:val="cuatexto"/>
              <w:jc w:val="right"/>
            </w:pPr>
            <w:r w:rsidRPr="003A115E">
              <w:t xml:space="preserve">125,09 </w:t>
            </w:r>
          </w:p>
        </w:tc>
        <w:tc>
          <w:tcPr>
            <w:tcW w:w="513" w:type="pct"/>
            <w:tcBorders>
              <w:top w:val="single" w:sz="2" w:space="0" w:color="auto"/>
              <w:left w:val="nil"/>
              <w:bottom w:val="single" w:sz="2" w:space="0" w:color="auto"/>
              <w:right w:val="nil"/>
            </w:tcBorders>
            <w:shd w:val="clear" w:color="auto" w:fill="auto"/>
            <w:vAlign w:val="center"/>
            <w:hideMark/>
          </w:tcPr>
          <w:p w14:paraId="4B2A49A3" w14:textId="77777777" w:rsidR="009D74E3" w:rsidRPr="003A115E" w:rsidRDefault="009D74E3" w:rsidP="00543AF5">
            <w:pPr>
              <w:pStyle w:val="cuatexto"/>
              <w:jc w:val="right"/>
            </w:pPr>
            <w:r w:rsidRPr="003A115E">
              <w:t xml:space="preserve">199,42 </w:t>
            </w:r>
          </w:p>
        </w:tc>
        <w:tc>
          <w:tcPr>
            <w:tcW w:w="426" w:type="pct"/>
            <w:tcBorders>
              <w:top w:val="single" w:sz="2" w:space="0" w:color="auto"/>
              <w:left w:val="nil"/>
              <w:bottom w:val="single" w:sz="2" w:space="0" w:color="auto"/>
              <w:right w:val="nil"/>
            </w:tcBorders>
            <w:shd w:val="clear" w:color="auto" w:fill="auto"/>
            <w:vAlign w:val="center"/>
            <w:hideMark/>
          </w:tcPr>
          <w:p w14:paraId="3057DA37" w14:textId="77777777" w:rsidR="009D74E3" w:rsidRPr="003A115E" w:rsidRDefault="009D74E3" w:rsidP="00543AF5">
            <w:pPr>
              <w:pStyle w:val="cuatexto"/>
              <w:jc w:val="right"/>
            </w:pPr>
            <w:r w:rsidRPr="003A115E">
              <w:t xml:space="preserve">123,59 </w:t>
            </w:r>
          </w:p>
        </w:tc>
        <w:tc>
          <w:tcPr>
            <w:tcW w:w="351" w:type="pct"/>
            <w:tcBorders>
              <w:top w:val="single" w:sz="2" w:space="0" w:color="auto"/>
              <w:left w:val="nil"/>
              <w:bottom w:val="single" w:sz="2" w:space="0" w:color="auto"/>
              <w:right w:val="nil"/>
            </w:tcBorders>
            <w:shd w:val="clear" w:color="auto" w:fill="auto"/>
            <w:vAlign w:val="center"/>
            <w:hideMark/>
          </w:tcPr>
          <w:p w14:paraId="355B4E51" w14:textId="77777777" w:rsidR="009D74E3" w:rsidRPr="003A115E" w:rsidRDefault="009D74E3" w:rsidP="00543AF5">
            <w:pPr>
              <w:pStyle w:val="cuatexto"/>
              <w:jc w:val="right"/>
            </w:pPr>
            <w:r w:rsidRPr="003A115E">
              <w:t xml:space="preserve">173,91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0AD84734" w14:textId="77777777" w:rsidR="009D74E3" w:rsidRPr="003A115E" w:rsidRDefault="009D74E3" w:rsidP="00543AF5">
            <w:pPr>
              <w:pStyle w:val="cuatexto"/>
              <w:jc w:val="right"/>
            </w:pPr>
            <w:r w:rsidRPr="003A115E">
              <w:t xml:space="preserve">167,55 </w:t>
            </w:r>
          </w:p>
        </w:tc>
        <w:tc>
          <w:tcPr>
            <w:tcW w:w="714" w:type="pct"/>
            <w:tcBorders>
              <w:top w:val="single" w:sz="2" w:space="0" w:color="auto"/>
              <w:left w:val="single" w:sz="2" w:space="0" w:color="auto"/>
              <w:bottom w:val="single" w:sz="2" w:space="0" w:color="auto"/>
            </w:tcBorders>
            <w:shd w:val="clear" w:color="auto" w:fill="auto"/>
            <w:vAlign w:val="center"/>
            <w:hideMark/>
          </w:tcPr>
          <w:p w14:paraId="26305E33" w14:textId="77777777" w:rsidR="009D74E3" w:rsidRPr="003A115E" w:rsidRDefault="009D74E3" w:rsidP="00543AF5">
            <w:pPr>
              <w:pStyle w:val="cuatexto"/>
              <w:jc w:val="right"/>
            </w:pPr>
            <w:r w:rsidRPr="003A115E">
              <w:t>34</w:t>
            </w:r>
          </w:p>
        </w:tc>
        <w:tc>
          <w:tcPr>
            <w:tcW w:w="346" w:type="pct"/>
            <w:tcBorders>
              <w:top w:val="single" w:sz="2" w:space="0" w:color="auto"/>
              <w:bottom w:val="single" w:sz="2" w:space="0" w:color="auto"/>
            </w:tcBorders>
            <w:shd w:val="clear" w:color="auto" w:fill="auto"/>
            <w:vAlign w:val="center"/>
            <w:hideMark/>
          </w:tcPr>
          <w:p w14:paraId="289A88DF" w14:textId="77777777" w:rsidR="009D74E3" w:rsidRPr="003A115E" w:rsidRDefault="009D74E3" w:rsidP="00543AF5">
            <w:pPr>
              <w:pStyle w:val="cuatexto"/>
              <w:jc w:val="right"/>
            </w:pPr>
            <w:r w:rsidRPr="003A115E">
              <w:t xml:space="preserve">-6,36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4B818B48" w14:textId="77777777" w:rsidR="009D74E3" w:rsidRPr="003A115E" w:rsidRDefault="009D74E3" w:rsidP="00543AF5">
            <w:pPr>
              <w:pStyle w:val="cuatexto"/>
              <w:jc w:val="right"/>
            </w:pPr>
            <w:r w:rsidRPr="003A115E">
              <w:t>-4</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43C932CE" w14:textId="77777777" w:rsidR="009D74E3" w:rsidRPr="003A115E" w:rsidRDefault="009D74E3" w:rsidP="00543AF5">
            <w:pPr>
              <w:pStyle w:val="cuatexto"/>
              <w:jc w:val="right"/>
            </w:pPr>
            <w:r w:rsidRPr="003A115E">
              <w:t xml:space="preserve">191,96 </w:t>
            </w:r>
          </w:p>
        </w:tc>
      </w:tr>
      <w:tr w:rsidR="000A742F" w:rsidRPr="003A115E" w14:paraId="31E689D5"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08E19106" w14:textId="77777777" w:rsidR="009D74E3" w:rsidRPr="003A115E" w:rsidRDefault="009D74E3" w:rsidP="00543AF5">
            <w:pPr>
              <w:pStyle w:val="cuatexto"/>
            </w:pPr>
            <w:r w:rsidRPr="003A115E">
              <w:t>Resultado presupuestario no financiero</w:t>
            </w:r>
          </w:p>
        </w:tc>
        <w:tc>
          <w:tcPr>
            <w:tcW w:w="461" w:type="pct"/>
            <w:tcBorders>
              <w:top w:val="single" w:sz="2" w:space="0" w:color="auto"/>
              <w:left w:val="nil"/>
              <w:bottom w:val="single" w:sz="2" w:space="0" w:color="auto"/>
              <w:right w:val="nil"/>
            </w:tcBorders>
            <w:shd w:val="clear" w:color="auto" w:fill="auto"/>
            <w:vAlign w:val="center"/>
            <w:hideMark/>
          </w:tcPr>
          <w:p w14:paraId="50853D5D" w14:textId="77777777" w:rsidR="009D74E3" w:rsidRPr="003A115E" w:rsidRDefault="009D74E3" w:rsidP="00543AF5">
            <w:pPr>
              <w:pStyle w:val="cuatexto"/>
              <w:jc w:val="right"/>
            </w:pPr>
            <w:r w:rsidRPr="003A115E">
              <w:t xml:space="preserve">81,22 </w:t>
            </w:r>
          </w:p>
        </w:tc>
        <w:tc>
          <w:tcPr>
            <w:tcW w:w="513" w:type="pct"/>
            <w:tcBorders>
              <w:top w:val="single" w:sz="2" w:space="0" w:color="auto"/>
              <w:left w:val="nil"/>
              <w:bottom w:val="single" w:sz="2" w:space="0" w:color="auto"/>
              <w:right w:val="nil"/>
            </w:tcBorders>
            <w:shd w:val="clear" w:color="auto" w:fill="auto"/>
            <w:vAlign w:val="center"/>
            <w:hideMark/>
          </w:tcPr>
          <w:p w14:paraId="228FFCBE" w14:textId="77777777" w:rsidR="009D74E3" w:rsidRPr="003A115E" w:rsidRDefault="009D74E3" w:rsidP="00543AF5">
            <w:pPr>
              <w:pStyle w:val="cuatexto"/>
              <w:jc w:val="right"/>
            </w:pPr>
            <w:r w:rsidRPr="003A115E">
              <w:t xml:space="preserve">31,16 </w:t>
            </w:r>
          </w:p>
        </w:tc>
        <w:tc>
          <w:tcPr>
            <w:tcW w:w="426" w:type="pct"/>
            <w:tcBorders>
              <w:top w:val="single" w:sz="2" w:space="0" w:color="auto"/>
              <w:left w:val="nil"/>
              <w:bottom w:val="single" w:sz="2" w:space="0" w:color="auto"/>
              <w:right w:val="nil"/>
            </w:tcBorders>
            <w:shd w:val="clear" w:color="auto" w:fill="auto"/>
            <w:vAlign w:val="center"/>
            <w:hideMark/>
          </w:tcPr>
          <w:p w14:paraId="08DFC457" w14:textId="77777777" w:rsidR="009D74E3" w:rsidRPr="003A115E" w:rsidRDefault="009D74E3" w:rsidP="00543AF5">
            <w:pPr>
              <w:pStyle w:val="cuatexto"/>
              <w:jc w:val="right"/>
            </w:pPr>
            <w:r w:rsidRPr="003A115E">
              <w:t xml:space="preserve">78,00 </w:t>
            </w:r>
          </w:p>
        </w:tc>
        <w:tc>
          <w:tcPr>
            <w:tcW w:w="351" w:type="pct"/>
            <w:tcBorders>
              <w:top w:val="single" w:sz="2" w:space="0" w:color="auto"/>
              <w:left w:val="nil"/>
              <w:bottom w:val="single" w:sz="2" w:space="0" w:color="auto"/>
              <w:right w:val="nil"/>
            </w:tcBorders>
            <w:shd w:val="clear" w:color="auto" w:fill="auto"/>
            <w:vAlign w:val="center"/>
            <w:hideMark/>
          </w:tcPr>
          <w:p w14:paraId="0B7C03BE" w14:textId="77777777" w:rsidR="009D74E3" w:rsidRPr="003A115E" w:rsidRDefault="009D74E3" w:rsidP="00543AF5">
            <w:pPr>
              <w:pStyle w:val="cuatexto"/>
              <w:jc w:val="right"/>
            </w:pPr>
            <w:r w:rsidRPr="003A115E">
              <w:t xml:space="preserve">24,43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2FA8441A" w14:textId="77777777" w:rsidR="009D74E3" w:rsidRPr="003A115E" w:rsidRDefault="009D74E3" w:rsidP="00543AF5">
            <w:pPr>
              <w:pStyle w:val="cuatexto"/>
              <w:jc w:val="right"/>
            </w:pPr>
            <w:r w:rsidRPr="003A115E">
              <w:t xml:space="preserve">77,36 </w:t>
            </w:r>
          </w:p>
        </w:tc>
        <w:tc>
          <w:tcPr>
            <w:tcW w:w="714" w:type="pct"/>
            <w:tcBorders>
              <w:top w:val="single" w:sz="2" w:space="0" w:color="auto"/>
              <w:left w:val="single" w:sz="2" w:space="0" w:color="auto"/>
              <w:bottom w:val="single" w:sz="2" w:space="0" w:color="auto"/>
            </w:tcBorders>
            <w:shd w:val="clear" w:color="auto" w:fill="auto"/>
            <w:vAlign w:val="center"/>
            <w:hideMark/>
          </w:tcPr>
          <w:p w14:paraId="65495623" w14:textId="77777777" w:rsidR="009D74E3" w:rsidRPr="003A115E" w:rsidRDefault="009D74E3" w:rsidP="00543AF5">
            <w:pPr>
              <w:pStyle w:val="cuatexto"/>
              <w:jc w:val="right"/>
            </w:pPr>
            <w:r w:rsidRPr="003A115E">
              <w:t>-5</w:t>
            </w:r>
          </w:p>
        </w:tc>
        <w:tc>
          <w:tcPr>
            <w:tcW w:w="346" w:type="pct"/>
            <w:tcBorders>
              <w:top w:val="single" w:sz="2" w:space="0" w:color="auto"/>
              <w:bottom w:val="single" w:sz="2" w:space="0" w:color="auto"/>
            </w:tcBorders>
            <w:shd w:val="clear" w:color="auto" w:fill="auto"/>
            <w:vAlign w:val="center"/>
            <w:hideMark/>
          </w:tcPr>
          <w:p w14:paraId="497A5B80" w14:textId="77777777" w:rsidR="009D74E3" w:rsidRPr="003A115E" w:rsidRDefault="009D74E3" w:rsidP="00543AF5">
            <w:pPr>
              <w:pStyle w:val="cuatexto"/>
              <w:jc w:val="right"/>
            </w:pPr>
            <w:r w:rsidRPr="003A115E">
              <w:t xml:space="preserve">52,92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76150EB8" w14:textId="77777777" w:rsidR="009D74E3" w:rsidRPr="003A115E" w:rsidRDefault="009D74E3" w:rsidP="00543AF5">
            <w:pPr>
              <w:pStyle w:val="cuatexto"/>
              <w:jc w:val="right"/>
            </w:pPr>
            <w:r w:rsidRPr="003A115E">
              <w:t>217</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20E2A527" w14:textId="77777777" w:rsidR="009D74E3" w:rsidRPr="003A115E" w:rsidRDefault="009D74E3" w:rsidP="00543AF5">
            <w:pPr>
              <w:pStyle w:val="cuatexto"/>
              <w:jc w:val="right"/>
            </w:pPr>
            <w:r w:rsidRPr="003A115E">
              <w:t xml:space="preserve">70,53 </w:t>
            </w:r>
          </w:p>
        </w:tc>
      </w:tr>
      <w:tr w:rsidR="000A742F" w:rsidRPr="003A115E" w14:paraId="42AB93D6"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744280D9" w14:textId="77777777" w:rsidR="009D74E3" w:rsidRPr="003A115E" w:rsidRDefault="009D74E3" w:rsidP="00543AF5">
            <w:pPr>
              <w:pStyle w:val="cuatexto"/>
            </w:pPr>
            <w:r w:rsidRPr="003A115E">
              <w:t xml:space="preserve">Ahorro bruto </w:t>
            </w:r>
          </w:p>
        </w:tc>
        <w:tc>
          <w:tcPr>
            <w:tcW w:w="461" w:type="pct"/>
            <w:tcBorders>
              <w:top w:val="single" w:sz="2" w:space="0" w:color="auto"/>
              <w:left w:val="nil"/>
              <w:bottom w:val="single" w:sz="2" w:space="0" w:color="auto"/>
              <w:right w:val="nil"/>
            </w:tcBorders>
            <w:shd w:val="clear" w:color="auto" w:fill="auto"/>
            <w:vAlign w:val="center"/>
            <w:hideMark/>
          </w:tcPr>
          <w:p w14:paraId="3656082F" w14:textId="77777777" w:rsidR="009D74E3" w:rsidRPr="003A115E" w:rsidRDefault="009D74E3" w:rsidP="00543AF5">
            <w:pPr>
              <w:pStyle w:val="cuatexto"/>
              <w:jc w:val="right"/>
            </w:pPr>
            <w:r w:rsidRPr="003A115E">
              <w:t xml:space="preserve">126,60 </w:t>
            </w:r>
          </w:p>
        </w:tc>
        <w:tc>
          <w:tcPr>
            <w:tcW w:w="513" w:type="pct"/>
            <w:tcBorders>
              <w:top w:val="single" w:sz="2" w:space="0" w:color="auto"/>
              <w:left w:val="nil"/>
              <w:bottom w:val="single" w:sz="2" w:space="0" w:color="auto"/>
              <w:right w:val="nil"/>
            </w:tcBorders>
            <w:shd w:val="clear" w:color="auto" w:fill="auto"/>
            <w:vAlign w:val="center"/>
            <w:hideMark/>
          </w:tcPr>
          <w:p w14:paraId="1D84B696" w14:textId="77777777" w:rsidR="009D74E3" w:rsidRPr="003A115E" w:rsidRDefault="009D74E3" w:rsidP="00543AF5">
            <w:pPr>
              <w:pStyle w:val="cuatexto"/>
              <w:jc w:val="right"/>
            </w:pPr>
            <w:r w:rsidRPr="003A115E">
              <w:t xml:space="preserve">137,68 </w:t>
            </w:r>
          </w:p>
        </w:tc>
        <w:tc>
          <w:tcPr>
            <w:tcW w:w="426" w:type="pct"/>
            <w:tcBorders>
              <w:top w:val="single" w:sz="2" w:space="0" w:color="auto"/>
              <w:left w:val="nil"/>
              <w:bottom w:val="single" w:sz="2" w:space="0" w:color="auto"/>
              <w:right w:val="nil"/>
            </w:tcBorders>
            <w:shd w:val="clear" w:color="auto" w:fill="auto"/>
            <w:vAlign w:val="center"/>
            <w:hideMark/>
          </w:tcPr>
          <w:p w14:paraId="075D6539" w14:textId="77777777" w:rsidR="009D74E3" w:rsidRPr="003A115E" w:rsidRDefault="009D74E3" w:rsidP="00543AF5">
            <w:pPr>
              <w:pStyle w:val="cuatexto"/>
              <w:jc w:val="right"/>
            </w:pPr>
            <w:r w:rsidRPr="003A115E">
              <w:t xml:space="preserve">138,84 </w:t>
            </w:r>
          </w:p>
        </w:tc>
        <w:tc>
          <w:tcPr>
            <w:tcW w:w="351" w:type="pct"/>
            <w:tcBorders>
              <w:top w:val="single" w:sz="2" w:space="0" w:color="auto"/>
              <w:left w:val="nil"/>
              <w:bottom w:val="single" w:sz="2" w:space="0" w:color="auto"/>
              <w:right w:val="nil"/>
            </w:tcBorders>
            <w:shd w:val="clear" w:color="auto" w:fill="auto"/>
            <w:vAlign w:val="center"/>
            <w:hideMark/>
          </w:tcPr>
          <w:p w14:paraId="2500EF2F" w14:textId="77777777" w:rsidR="009D74E3" w:rsidRPr="003A115E" w:rsidRDefault="009D74E3" w:rsidP="00543AF5">
            <w:pPr>
              <w:pStyle w:val="cuatexto"/>
              <w:jc w:val="right"/>
            </w:pPr>
            <w:r w:rsidRPr="003A115E">
              <w:t xml:space="preserve">139,09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2FE4AFBF" w14:textId="77777777" w:rsidR="009D74E3" w:rsidRPr="003A115E" w:rsidRDefault="009D74E3" w:rsidP="00543AF5">
            <w:pPr>
              <w:pStyle w:val="cuatexto"/>
              <w:jc w:val="right"/>
            </w:pPr>
            <w:r w:rsidRPr="003A115E">
              <w:t xml:space="preserve">128,57 </w:t>
            </w:r>
          </w:p>
        </w:tc>
        <w:tc>
          <w:tcPr>
            <w:tcW w:w="714" w:type="pct"/>
            <w:tcBorders>
              <w:top w:val="single" w:sz="2" w:space="0" w:color="auto"/>
              <w:left w:val="single" w:sz="2" w:space="0" w:color="auto"/>
              <w:bottom w:val="single" w:sz="2" w:space="0" w:color="auto"/>
            </w:tcBorders>
            <w:shd w:val="clear" w:color="auto" w:fill="auto"/>
            <w:vAlign w:val="center"/>
            <w:hideMark/>
          </w:tcPr>
          <w:p w14:paraId="73370BC6" w14:textId="77777777" w:rsidR="009D74E3" w:rsidRPr="003A115E" w:rsidRDefault="009D74E3" w:rsidP="00543AF5">
            <w:pPr>
              <w:pStyle w:val="cuatexto"/>
              <w:jc w:val="right"/>
            </w:pPr>
            <w:r w:rsidRPr="003A115E">
              <w:t>2</w:t>
            </w:r>
          </w:p>
        </w:tc>
        <w:tc>
          <w:tcPr>
            <w:tcW w:w="346" w:type="pct"/>
            <w:tcBorders>
              <w:top w:val="single" w:sz="2" w:space="0" w:color="auto"/>
              <w:bottom w:val="single" w:sz="2" w:space="0" w:color="auto"/>
            </w:tcBorders>
            <w:shd w:val="clear" w:color="auto" w:fill="auto"/>
            <w:vAlign w:val="center"/>
            <w:hideMark/>
          </w:tcPr>
          <w:p w14:paraId="21CB9F85" w14:textId="77777777" w:rsidR="009D74E3" w:rsidRPr="003A115E" w:rsidRDefault="009D74E3" w:rsidP="00543AF5">
            <w:pPr>
              <w:pStyle w:val="cuatexto"/>
              <w:jc w:val="right"/>
            </w:pPr>
            <w:r w:rsidRPr="003A115E">
              <w:t xml:space="preserve">-10,52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1BB37D12" w14:textId="77777777" w:rsidR="009D74E3" w:rsidRPr="003A115E" w:rsidRDefault="009D74E3" w:rsidP="00543AF5">
            <w:pPr>
              <w:pStyle w:val="cuatexto"/>
              <w:jc w:val="right"/>
            </w:pPr>
            <w:r w:rsidRPr="003A115E">
              <w:t>-8</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4FD1E784" w14:textId="77777777" w:rsidR="009D74E3" w:rsidRPr="003A115E" w:rsidRDefault="009D74E3" w:rsidP="00543AF5">
            <w:pPr>
              <w:pStyle w:val="cuatexto"/>
              <w:jc w:val="right"/>
            </w:pPr>
            <w:r w:rsidRPr="003A115E">
              <w:t xml:space="preserve">140,56 </w:t>
            </w:r>
          </w:p>
        </w:tc>
      </w:tr>
      <w:tr w:rsidR="000A742F" w:rsidRPr="003A115E" w14:paraId="0082A9AC"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4B534D43" w14:textId="77777777" w:rsidR="009D74E3" w:rsidRPr="003A115E" w:rsidRDefault="009D74E3" w:rsidP="00543AF5">
            <w:pPr>
              <w:pStyle w:val="cuatexto"/>
            </w:pPr>
            <w:r w:rsidRPr="003A115E">
              <w:t>Carga financiera</w:t>
            </w:r>
          </w:p>
        </w:tc>
        <w:tc>
          <w:tcPr>
            <w:tcW w:w="461" w:type="pct"/>
            <w:tcBorders>
              <w:top w:val="single" w:sz="2" w:space="0" w:color="auto"/>
              <w:left w:val="nil"/>
              <w:bottom w:val="single" w:sz="2" w:space="0" w:color="auto"/>
              <w:right w:val="nil"/>
            </w:tcBorders>
            <w:shd w:val="clear" w:color="auto" w:fill="auto"/>
            <w:vAlign w:val="center"/>
            <w:hideMark/>
          </w:tcPr>
          <w:p w14:paraId="55C7D8FB" w14:textId="77777777" w:rsidR="009D74E3" w:rsidRPr="003A115E" w:rsidRDefault="009D74E3" w:rsidP="00543AF5">
            <w:pPr>
              <w:pStyle w:val="cuatexto"/>
              <w:jc w:val="right"/>
            </w:pPr>
            <w:r w:rsidRPr="003A115E">
              <w:t xml:space="preserve">35,00 </w:t>
            </w:r>
          </w:p>
        </w:tc>
        <w:tc>
          <w:tcPr>
            <w:tcW w:w="513" w:type="pct"/>
            <w:tcBorders>
              <w:top w:val="single" w:sz="2" w:space="0" w:color="auto"/>
              <w:left w:val="nil"/>
              <w:bottom w:val="single" w:sz="2" w:space="0" w:color="auto"/>
              <w:right w:val="nil"/>
            </w:tcBorders>
            <w:shd w:val="clear" w:color="auto" w:fill="auto"/>
            <w:vAlign w:val="center"/>
            <w:hideMark/>
          </w:tcPr>
          <w:p w14:paraId="6EDC069F" w14:textId="77777777" w:rsidR="009D74E3" w:rsidRPr="003A115E" w:rsidRDefault="009D74E3" w:rsidP="00543AF5">
            <w:pPr>
              <w:pStyle w:val="cuatexto"/>
              <w:jc w:val="right"/>
            </w:pPr>
            <w:r w:rsidRPr="003A115E">
              <w:t xml:space="preserve">30,54 </w:t>
            </w:r>
          </w:p>
        </w:tc>
        <w:tc>
          <w:tcPr>
            <w:tcW w:w="426" w:type="pct"/>
            <w:tcBorders>
              <w:top w:val="single" w:sz="2" w:space="0" w:color="auto"/>
              <w:left w:val="nil"/>
              <w:bottom w:val="single" w:sz="2" w:space="0" w:color="auto"/>
              <w:right w:val="nil"/>
            </w:tcBorders>
            <w:shd w:val="clear" w:color="auto" w:fill="auto"/>
            <w:vAlign w:val="center"/>
            <w:hideMark/>
          </w:tcPr>
          <w:p w14:paraId="09F7021E" w14:textId="77777777" w:rsidR="009D74E3" w:rsidRPr="003A115E" w:rsidRDefault="009D74E3" w:rsidP="00543AF5">
            <w:pPr>
              <w:pStyle w:val="cuatexto"/>
              <w:jc w:val="right"/>
            </w:pPr>
            <w:r w:rsidRPr="003A115E">
              <w:t xml:space="preserve">30,33 </w:t>
            </w:r>
          </w:p>
        </w:tc>
        <w:tc>
          <w:tcPr>
            <w:tcW w:w="351" w:type="pct"/>
            <w:tcBorders>
              <w:top w:val="single" w:sz="2" w:space="0" w:color="auto"/>
              <w:left w:val="nil"/>
              <w:bottom w:val="single" w:sz="2" w:space="0" w:color="auto"/>
              <w:right w:val="nil"/>
            </w:tcBorders>
            <w:shd w:val="clear" w:color="auto" w:fill="auto"/>
            <w:vAlign w:val="center"/>
            <w:hideMark/>
          </w:tcPr>
          <w:p w14:paraId="6418F237" w14:textId="77777777" w:rsidR="009D74E3" w:rsidRPr="003A115E" w:rsidRDefault="009D74E3" w:rsidP="00543AF5">
            <w:pPr>
              <w:pStyle w:val="cuatexto"/>
              <w:jc w:val="right"/>
            </w:pPr>
            <w:r w:rsidRPr="003A115E">
              <w:t xml:space="preserve">26,21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2C112676" w14:textId="77777777" w:rsidR="009D74E3" w:rsidRPr="003A115E" w:rsidRDefault="009D74E3" w:rsidP="00543AF5">
            <w:pPr>
              <w:pStyle w:val="cuatexto"/>
              <w:jc w:val="right"/>
            </w:pPr>
            <w:r w:rsidRPr="003A115E">
              <w:t xml:space="preserve">21,18 </w:t>
            </w:r>
          </w:p>
        </w:tc>
        <w:tc>
          <w:tcPr>
            <w:tcW w:w="714" w:type="pct"/>
            <w:tcBorders>
              <w:top w:val="single" w:sz="2" w:space="0" w:color="auto"/>
              <w:left w:val="single" w:sz="2" w:space="0" w:color="auto"/>
              <w:bottom w:val="single" w:sz="2" w:space="0" w:color="auto"/>
            </w:tcBorders>
            <w:shd w:val="clear" w:color="auto" w:fill="auto"/>
            <w:vAlign w:val="center"/>
            <w:hideMark/>
          </w:tcPr>
          <w:p w14:paraId="28FD47B9" w14:textId="77777777" w:rsidR="009D74E3" w:rsidRPr="003A115E" w:rsidRDefault="009D74E3" w:rsidP="00543AF5">
            <w:pPr>
              <w:pStyle w:val="cuatexto"/>
              <w:jc w:val="right"/>
            </w:pPr>
            <w:r w:rsidRPr="003A115E">
              <w:t>-39</w:t>
            </w:r>
          </w:p>
        </w:tc>
        <w:tc>
          <w:tcPr>
            <w:tcW w:w="346" w:type="pct"/>
            <w:tcBorders>
              <w:top w:val="single" w:sz="2" w:space="0" w:color="auto"/>
              <w:bottom w:val="single" w:sz="2" w:space="0" w:color="auto"/>
            </w:tcBorders>
            <w:shd w:val="clear" w:color="auto" w:fill="auto"/>
            <w:vAlign w:val="center"/>
            <w:hideMark/>
          </w:tcPr>
          <w:p w14:paraId="17B5494B" w14:textId="77777777" w:rsidR="009D74E3" w:rsidRPr="003A115E" w:rsidRDefault="009D74E3" w:rsidP="00543AF5">
            <w:pPr>
              <w:pStyle w:val="cuatexto"/>
              <w:jc w:val="right"/>
            </w:pPr>
            <w:r w:rsidRPr="003A115E">
              <w:t xml:space="preserve">-5,03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20C987DB" w14:textId="77777777" w:rsidR="009D74E3" w:rsidRPr="003A115E" w:rsidRDefault="009D74E3" w:rsidP="00543AF5">
            <w:pPr>
              <w:pStyle w:val="cuatexto"/>
              <w:jc w:val="right"/>
            </w:pPr>
            <w:r w:rsidRPr="003A115E">
              <w:t>-19</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6E6DAC94" w14:textId="77777777" w:rsidR="009D74E3" w:rsidRPr="003A115E" w:rsidRDefault="009D74E3" w:rsidP="00543AF5">
            <w:pPr>
              <w:pStyle w:val="cuatexto"/>
              <w:jc w:val="right"/>
            </w:pPr>
            <w:r w:rsidRPr="003A115E">
              <w:t xml:space="preserve">21,18 </w:t>
            </w:r>
          </w:p>
        </w:tc>
      </w:tr>
      <w:tr w:rsidR="000A742F" w:rsidRPr="003A115E" w14:paraId="57D0E45D"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2FB3E15C" w14:textId="77777777" w:rsidR="009D74E3" w:rsidRPr="003A115E" w:rsidRDefault="009D74E3" w:rsidP="00543AF5">
            <w:pPr>
              <w:pStyle w:val="cuatexto"/>
            </w:pPr>
            <w:r w:rsidRPr="003A115E">
              <w:t xml:space="preserve">Ahorro neto </w:t>
            </w:r>
          </w:p>
        </w:tc>
        <w:tc>
          <w:tcPr>
            <w:tcW w:w="461" w:type="pct"/>
            <w:tcBorders>
              <w:top w:val="single" w:sz="2" w:space="0" w:color="auto"/>
              <w:left w:val="nil"/>
              <w:bottom w:val="single" w:sz="2" w:space="0" w:color="auto"/>
              <w:right w:val="nil"/>
            </w:tcBorders>
            <w:shd w:val="clear" w:color="auto" w:fill="auto"/>
            <w:vAlign w:val="center"/>
            <w:hideMark/>
          </w:tcPr>
          <w:p w14:paraId="22D950E7" w14:textId="77777777" w:rsidR="009D74E3" w:rsidRPr="003A115E" w:rsidRDefault="009D74E3" w:rsidP="00543AF5">
            <w:pPr>
              <w:pStyle w:val="cuatexto"/>
              <w:jc w:val="right"/>
            </w:pPr>
            <w:r w:rsidRPr="003A115E">
              <w:t xml:space="preserve">91,60 </w:t>
            </w:r>
          </w:p>
        </w:tc>
        <w:tc>
          <w:tcPr>
            <w:tcW w:w="513" w:type="pct"/>
            <w:tcBorders>
              <w:top w:val="single" w:sz="2" w:space="0" w:color="auto"/>
              <w:left w:val="nil"/>
              <w:bottom w:val="single" w:sz="2" w:space="0" w:color="auto"/>
              <w:right w:val="nil"/>
            </w:tcBorders>
            <w:shd w:val="clear" w:color="auto" w:fill="auto"/>
            <w:vAlign w:val="center"/>
            <w:hideMark/>
          </w:tcPr>
          <w:p w14:paraId="06018207" w14:textId="77777777" w:rsidR="009D74E3" w:rsidRPr="003A115E" w:rsidRDefault="009D74E3" w:rsidP="00543AF5">
            <w:pPr>
              <w:pStyle w:val="cuatexto"/>
              <w:jc w:val="right"/>
            </w:pPr>
            <w:r w:rsidRPr="003A115E">
              <w:t xml:space="preserve">107,14 </w:t>
            </w:r>
          </w:p>
        </w:tc>
        <w:tc>
          <w:tcPr>
            <w:tcW w:w="426" w:type="pct"/>
            <w:tcBorders>
              <w:top w:val="single" w:sz="2" w:space="0" w:color="auto"/>
              <w:left w:val="nil"/>
              <w:bottom w:val="single" w:sz="2" w:space="0" w:color="auto"/>
              <w:right w:val="nil"/>
            </w:tcBorders>
            <w:shd w:val="clear" w:color="auto" w:fill="auto"/>
            <w:vAlign w:val="center"/>
            <w:hideMark/>
          </w:tcPr>
          <w:p w14:paraId="02E6090C" w14:textId="77777777" w:rsidR="009D74E3" w:rsidRPr="003A115E" w:rsidRDefault="009D74E3" w:rsidP="00543AF5">
            <w:pPr>
              <w:pStyle w:val="cuatexto"/>
              <w:jc w:val="right"/>
            </w:pPr>
            <w:r w:rsidRPr="003A115E">
              <w:t xml:space="preserve">108,51 </w:t>
            </w:r>
          </w:p>
        </w:tc>
        <w:tc>
          <w:tcPr>
            <w:tcW w:w="351" w:type="pct"/>
            <w:tcBorders>
              <w:top w:val="single" w:sz="2" w:space="0" w:color="auto"/>
              <w:left w:val="nil"/>
              <w:bottom w:val="single" w:sz="2" w:space="0" w:color="auto"/>
              <w:right w:val="nil"/>
            </w:tcBorders>
            <w:shd w:val="clear" w:color="auto" w:fill="auto"/>
            <w:vAlign w:val="center"/>
            <w:hideMark/>
          </w:tcPr>
          <w:p w14:paraId="4DF5B98F" w14:textId="77777777" w:rsidR="009D74E3" w:rsidRPr="003A115E" w:rsidRDefault="009D74E3" w:rsidP="00543AF5">
            <w:pPr>
              <w:pStyle w:val="cuatexto"/>
              <w:jc w:val="right"/>
            </w:pPr>
            <w:r w:rsidRPr="003A115E">
              <w:t xml:space="preserve">112,89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66DC7AE1" w14:textId="77777777" w:rsidR="009D74E3" w:rsidRPr="003A115E" w:rsidRDefault="009D74E3" w:rsidP="00543AF5">
            <w:pPr>
              <w:pStyle w:val="cuatexto"/>
              <w:jc w:val="right"/>
            </w:pPr>
            <w:r w:rsidRPr="003A115E">
              <w:t xml:space="preserve">107,39 </w:t>
            </w:r>
          </w:p>
        </w:tc>
        <w:tc>
          <w:tcPr>
            <w:tcW w:w="714" w:type="pct"/>
            <w:tcBorders>
              <w:top w:val="single" w:sz="2" w:space="0" w:color="auto"/>
              <w:left w:val="single" w:sz="2" w:space="0" w:color="auto"/>
              <w:bottom w:val="single" w:sz="2" w:space="0" w:color="auto"/>
            </w:tcBorders>
            <w:shd w:val="clear" w:color="auto" w:fill="auto"/>
            <w:vAlign w:val="center"/>
            <w:hideMark/>
          </w:tcPr>
          <w:p w14:paraId="3362ED52" w14:textId="77777777" w:rsidR="009D74E3" w:rsidRPr="003A115E" w:rsidRDefault="009D74E3" w:rsidP="00543AF5">
            <w:pPr>
              <w:pStyle w:val="cuatexto"/>
              <w:jc w:val="right"/>
            </w:pPr>
            <w:r w:rsidRPr="003A115E">
              <w:t>17</w:t>
            </w:r>
          </w:p>
        </w:tc>
        <w:tc>
          <w:tcPr>
            <w:tcW w:w="346" w:type="pct"/>
            <w:tcBorders>
              <w:top w:val="single" w:sz="2" w:space="0" w:color="auto"/>
              <w:bottom w:val="single" w:sz="2" w:space="0" w:color="auto"/>
            </w:tcBorders>
            <w:shd w:val="clear" w:color="auto" w:fill="auto"/>
            <w:vAlign w:val="center"/>
            <w:hideMark/>
          </w:tcPr>
          <w:p w14:paraId="7537259F" w14:textId="77777777" w:rsidR="009D74E3" w:rsidRPr="003A115E" w:rsidRDefault="009D74E3" w:rsidP="00543AF5">
            <w:pPr>
              <w:pStyle w:val="cuatexto"/>
              <w:jc w:val="right"/>
            </w:pPr>
            <w:r w:rsidRPr="003A115E">
              <w:t xml:space="preserve">-5,50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5FAB45DD" w14:textId="77777777" w:rsidR="009D74E3" w:rsidRPr="003A115E" w:rsidRDefault="009D74E3" w:rsidP="00543AF5">
            <w:pPr>
              <w:pStyle w:val="cuatexto"/>
              <w:jc w:val="right"/>
            </w:pPr>
            <w:r w:rsidRPr="003A115E">
              <w:t>-5</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48A407ED" w14:textId="77777777" w:rsidR="009D74E3" w:rsidRPr="003A115E" w:rsidRDefault="009D74E3" w:rsidP="00543AF5">
            <w:pPr>
              <w:pStyle w:val="cuatexto"/>
              <w:jc w:val="right"/>
            </w:pPr>
            <w:r w:rsidRPr="003A115E">
              <w:t xml:space="preserve">119,38 </w:t>
            </w:r>
          </w:p>
        </w:tc>
      </w:tr>
      <w:tr w:rsidR="000A742F" w:rsidRPr="003A115E" w14:paraId="1CC7FDE4"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03D5B8C1" w14:textId="77777777" w:rsidR="009D74E3" w:rsidRPr="003A115E" w:rsidRDefault="009D74E3" w:rsidP="00543AF5">
            <w:pPr>
              <w:pStyle w:val="cuatexto"/>
            </w:pPr>
            <w:r w:rsidRPr="003A115E">
              <w:t>Índice de carga financiera</w:t>
            </w:r>
          </w:p>
        </w:tc>
        <w:tc>
          <w:tcPr>
            <w:tcW w:w="461" w:type="pct"/>
            <w:tcBorders>
              <w:top w:val="single" w:sz="2" w:space="0" w:color="auto"/>
              <w:left w:val="nil"/>
              <w:bottom w:val="single" w:sz="2" w:space="0" w:color="auto"/>
              <w:right w:val="nil"/>
            </w:tcBorders>
            <w:shd w:val="clear" w:color="auto" w:fill="auto"/>
            <w:vAlign w:val="center"/>
            <w:hideMark/>
          </w:tcPr>
          <w:p w14:paraId="391D65FB" w14:textId="77777777" w:rsidR="009D74E3" w:rsidRPr="003A115E" w:rsidRDefault="009D74E3" w:rsidP="00543AF5">
            <w:pPr>
              <w:pStyle w:val="cuatexto"/>
              <w:jc w:val="right"/>
            </w:pPr>
            <w:r w:rsidRPr="003A115E">
              <w:t xml:space="preserve">4,65 </w:t>
            </w:r>
          </w:p>
        </w:tc>
        <w:tc>
          <w:tcPr>
            <w:tcW w:w="513" w:type="pct"/>
            <w:tcBorders>
              <w:top w:val="single" w:sz="2" w:space="0" w:color="auto"/>
              <w:left w:val="nil"/>
              <w:bottom w:val="single" w:sz="2" w:space="0" w:color="auto"/>
              <w:right w:val="nil"/>
            </w:tcBorders>
            <w:shd w:val="clear" w:color="auto" w:fill="auto"/>
            <w:vAlign w:val="center"/>
            <w:hideMark/>
          </w:tcPr>
          <w:p w14:paraId="37DE2BEB" w14:textId="77777777" w:rsidR="009D74E3" w:rsidRPr="003A115E" w:rsidRDefault="009D74E3" w:rsidP="00543AF5">
            <w:pPr>
              <w:pStyle w:val="cuatexto"/>
              <w:jc w:val="right"/>
            </w:pPr>
            <w:r w:rsidRPr="003A115E">
              <w:t xml:space="preserve">3,86 </w:t>
            </w:r>
          </w:p>
        </w:tc>
        <w:tc>
          <w:tcPr>
            <w:tcW w:w="426" w:type="pct"/>
            <w:tcBorders>
              <w:top w:val="single" w:sz="2" w:space="0" w:color="auto"/>
              <w:left w:val="nil"/>
              <w:bottom w:val="single" w:sz="2" w:space="0" w:color="auto"/>
              <w:right w:val="nil"/>
            </w:tcBorders>
            <w:shd w:val="clear" w:color="auto" w:fill="auto"/>
            <w:vAlign w:val="center"/>
            <w:hideMark/>
          </w:tcPr>
          <w:p w14:paraId="6147B920" w14:textId="77777777" w:rsidR="009D74E3" w:rsidRPr="003A115E" w:rsidRDefault="009D74E3" w:rsidP="00543AF5">
            <w:pPr>
              <w:pStyle w:val="cuatexto"/>
              <w:jc w:val="right"/>
            </w:pPr>
            <w:r w:rsidRPr="003A115E">
              <w:t xml:space="preserve">3,88 </w:t>
            </w:r>
          </w:p>
        </w:tc>
        <w:tc>
          <w:tcPr>
            <w:tcW w:w="351" w:type="pct"/>
            <w:tcBorders>
              <w:top w:val="single" w:sz="2" w:space="0" w:color="auto"/>
              <w:left w:val="nil"/>
              <w:bottom w:val="single" w:sz="2" w:space="0" w:color="auto"/>
              <w:right w:val="nil"/>
            </w:tcBorders>
            <w:shd w:val="clear" w:color="auto" w:fill="auto"/>
            <w:vAlign w:val="center"/>
            <w:hideMark/>
          </w:tcPr>
          <w:p w14:paraId="1795E9E7" w14:textId="77777777" w:rsidR="009D74E3" w:rsidRPr="003A115E" w:rsidRDefault="009D74E3" w:rsidP="00543AF5">
            <w:pPr>
              <w:pStyle w:val="cuatexto"/>
              <w:jc w:val="right"/>
            </w:pPr>
            <w:r w:rsidRPr="003A115E">
              <w:t xml:space="preserve">3,16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6D3AFE42" w14:textId="77777777" w:rsidR="009D74E3" w:rsidRPr="003A115E" w:rsidRDefault="009D74E3" w:rsidP="00543AF5">
            <w:pPr>
              <w:pStyle w:val="cuatexto"/>
              <w:jc w:val="right"/>
            </w:pPr>
            <w:r w:rsidRPr="003A115E">
              <w:t xml:space="preserve">2,35 </w:t>
            </w:r>
          </w:p>
        </w:tc>
        <w:tc>
          <w:tcPr>
            <w:tcW w:w="714" w:type="pct"/>
            <w:tcBorders>
              <w:top w:val="single" w:sz="2" w:space="0" w:color="auto"/>
              <w:left w:val="single" w:sz="2" w:space="0" w:color="auto"/>
              <w:bottom w:val="single" w:sz="2" w:space="0" w:color="auto"/>
            </w:tcBorders>
            <w:shd w:val="clear" w:color="auto" w:fill="auto"/>
            <w:vAlign w:val="center"/>
            <w:hideMark/>
          </w:tcPr>
          <w:p w14:paraId="0B3924CA" w14:textId="77777777" w:rsidR="009D74E3" w:rsidRPr="003A115E" w:rsidRDefault="009D74E3" w:rsidP="00543AF5">
            <w:pPr>
              <w:pStyle w:val="cuatexto"/>
              <w:jc w:val="right"/>
            </w:pPr>
            <w:r w:rsidRPr="003A115E">
              <w:t>-50</w:t>
            </w:r>
          </w:p>
        </w:tc>
        <w:tc>
          <w:tcPr>
            <w:tcW w:w="346" w:type="pct"/>
            <w:tcBorders>
              <w:top w:val="single" w:sz="2" w:space="0" w:color="auto"/>
              <w:bottom w:val="single" w:sz="2" w:space="0" w:color="auto"/>
            </w:tcBorders>
            <w:shd w:val="clear" w:color="auto" w:fill="auto"/>
            <w:vAlign w:val="center"/>
            <w:hideMark/>
          </w:tcPr>
          <w:p w14:paraId="2A4501C5" w14:textId="77777777" w:rsidR="009D74E3" w:rsidRPr="003A115E" w:rsidRDefault="009D74E3" w:rsidP="00543AF5">
            <w:pPr>
              <w:pStyle w:val="cuatexto"/>
              <w:jc w:val="right"/>
            </w:pPr>
            <w:r w:rsidRPr="003A115E">
              <w:t xml:space="preserve">-0,81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3461B8BC" w14:textId="77777777" w:rsidR="009D74E3" w:rsidRPr="003A115E" w:rsidRDefault="009D74E3" w:rsidP="00543AF5">
            <w:pPr>
              <w:pStyle w:val="cuatexto"/>
              <w:jc w:val="right"/>
            </w:pPr>
            <w:r w:rsidRPr="003A115E">
              <w:t>-26</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23F8D9CB" w14:textId="77777777" w:rsidR="009D74E3" w:rsidRPr="003A115E" w:rsidRDefault="009D74E3" w:rsidP="00543AF5">
            <w:pPr>
              <w:pStyle w:val="cuatexto"/>
              <w:jc w:val="right"/>
            </w:pPr>
            <w:r w:rsidRPr="003A115E">
              <w:t xml:space="preserve">2,14 </w:t>
            </w:r>
          </w:p>
        </w:tc>
      </w:tr>
      <w:tr w:rsidR="000A742F" w:rsidRPr="003A115E" w14:paraId="0ADC1B55"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3F63CFB2" w14:textId="77777777" w:rsidR="009D74E3" w:rsidRPr="003A115E" w:rsidRDefault="009D74E3" w:rsidP="00543AF5">
            <w:pPr>
              <w:pStyle w:val="cuatexto"/>
            </w:pPr>
            <w:r w:rsidRPr="003A115E">
              <w:t>% ahorro bruto / ingresos corrientes</w:t>
            </w:r>
          </w:p>
        </w:tc>
        <w:tc>
          <w:tcPr>
            <w:tcW w:w="461" w:type="pct"/>
            <w:tcBorders>
              <w:top w:val="single" w:sz="2" w:space="0" w:color="auto"/>
              <w:left w:val="nil"/>
              <w:bottom w:val="single" w:sz="2" w:space="0" w:color="auto"/>
              <w:right w:val="nil"/>
            </w:tcBorders>
            <w:shd w:val="clear" w:color="auto" w:fill="auto"/>
            <w:vAlign w:val="center"/>
            <w:hideMark/>
          </w:tcPr>
          <w:p w14:paraId="7323BE85" w14:textId="77777777" w:rsidR="009D74E3" w:rsidRPr="003A115E" w:rsidRDefault="009D74E3" w:rsidP="00543AF5">
            <w:pPr>
              <w:pStyle w:val="cuatexto"/>
              <w:jc w:val="right"/>
            </w:pPr>
            <w:r w:rsidRPr="003A115E">
              <w:t xml:space="preserve">16,82 </w:t>
            </w:r>
          </w:p>
        </w:tc>
        <w:tc>
          <w:tcPr>
            <w:tcW w:w="513" w:type="pct"/>
            <w:tcBorders>
              <w:top w:val="single" w:sz="2" w:space="0" w:color="auto"/>
              <w:left w:val="nil"/>
              <w:bottom w:val="single" w:sz="2" w:space="0" w:color="auto"/>
              <w:right w:val="nil"/>
            </w:tcBorders>
            <w:shd w:val="clear" w:color="auto" w:fill="auto"/>
            <w:vAlign w:val="center"/>
            <w:hideMark/>
          </w:tcPr>
          <w:p w14:paraId="3D50F2DF" w14:textId="77777777" w:rsidR="009D74E3" w:rsidRPr="003A115E" w:rsidRDefault="009D74E3" w:rsidP="00543AF5">
            <w:pPr>
              <w:pStyle w:val="cuatexto"/>
              <w:jc w:val="right"/>
            </w:pPr>
            <w:r w:rsidRPr="003A115E">
              <w:t xml:space="preserve">17,39 </w:t>
            </w:r>
          </w:p>
        </w:tc>
        <w:tc>
          <w:tcPr>
            <w:tcW w:w="426" w:type="pct"/>
            <w:tcBorders>
              <w:top w:val="single" w:sz="2" w:space="0" w:color="auto"/>
              <w:left w:val="nil"/>
              <w:bottom w:val="single" w:sz="2" w:space="0" w:color="auto"/>
              <w:right w:val="nil"/>
            </w:tcBorders>
            <w:shd w:val="clear" w:color="auto" w:fill="auto"/>
            <w:vAlign w:val="center"/>
            <w:hideMark/>
          </w:tcPr>
          <w:p w14:paraId="658226E8" w14:textId="77777777" w:rsidR="009D74E3" w:rsidRPr="003A115E" w:rsidRDefault="009D74E3" w:rsidP="00543AF5">
            <w:pPr>
              <w:pStyle w:val="cuatexto"/>
              <w:jc w:val="right"/>
            </w:pPr>
            <w:r w:rsidRPr="003A115E">
              <w:t xml:space="preserve">17,75 </w:t>
            </w:r>
          </w:p>
        </w:tc>
        <w:tc>
          <w:tcPr>
            <w:tcW w:w="351" w:type="pct"/>
            <w:tcBorders>
              <w:top w:val="single" w:sz="2" w:space="0" w:color="auto"/>
              <w:left w:val="nil"/>
              <w:bottom w:val="single" w:sz="2" w:space="0" w:color="auto"/>
              <w:right w:val="nil"/>
            </w:tcBorders>
            <w:shd w:val="clear" w:color="auto" w:fill="auto"/>
            <w:vAlign w:val="center"/>
            <w:hideMark/>
          </w:tcPr>
          <w:p w14:paraId="4D1B8093" w14:textId="77777777" w:rsidR="009D74E3" w:rsidRPr="003A115E" w:rsidRDefault="009D74E3" w:rsidP="00543AF5">
            <w:pPr>
              <w:pStyle w:val="cuatexto"/>
              <w:jc w:val="right"/>
            </w:pPr>
            <w:r w:rsidRPr="003A115E">
              <w:t xml:space="preserve">16,77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33206FA1" w14:textId="77777777" w:rsidR="009D74E3" w:rsidRPr="003A115E" w:rsidRDefault="009D74E3" w:rsidP="00543AF5">
            <w:pPr>
              <w:pStyle w:val="cuatexto"/>
              <w:jc w:val="right"/>
            </w:pPr>
            <w:r w:rsidRPr="003A115E">
              <w:t xml:space="preserve">14,23 </w:t>
            </w:r>
          </w:p>
        </w:tc>
        <w:tc>
          <w:tcPr>
            <w:tcW w:w="714" w:type="pct"/>
            <w:tcBorders>
              <w:top w:val="single" w:sz="2" w:space="0" w:color="auto"/>
              <w:left w:val="single" w:sz="2" w:space="0" w:color="auto"/>
              <w:bottom w:val="single" w:sz="2" w:space="0" w:color="auto"/>
            </w:tcBorders>
            <w:shd w:val="clear" w:color="auto" w:fill="auto"/>
            <w:vAlign w:val="center"/>
            <w:hideMark/>
          </w:tcPr>
          <w:p w14:paraId="7E67405C" w14:textId="77777777" w:rsidR="009D74E3" w:rsidRPr="003A115E" w:rsidRDefault="009D74E3" w:rsidP="00543AF5">
            <w:pPr>
              <w:pStyle w:val="cuatexto"/>
              <w:jc w:val="right"/>
            </w:pPr>
            <w:r w:rsidRPr="003A115E">
              <w:t>-15</w:t>
            </w:r>
          </w:p>
        </w:tc>
        <w:tc>
          <w:tcPr>
            <w:tcW w:w="346" w:type="pct"/>
            <w:tcBorders>
              <w:top w:val="single" w:sz="2" w:space="0" w:color="auto"/>
              <w:bottom w:val="single" w:sz="2" w:space="0" w:color="auto"/>
            </w:tcBorders>
            <w:shd w:val="clear" w:color="auto" w:fill="auto"/>
            <w:vAlign w:val="center"/>
            <w:hideMark/>
          </w:tcPr>
          <w:p w14:paraId="5A1D178F" w14:textId="77777777" w:rsidR="009D74E3" w:rsidRPr="003A115E" w:rsidRDefault="009D74E3" w:rsidP="00543AF5">
            <w:pPr>
              <w:pStyle w:val="cuatexto"/>
              <w:jc w:val="right"/>
            </w:pPr>
            <w:r w:rsidRPr="003A115E">
              <w:t xml:space="preserve">-2,53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291DB8D2" w14:textId="77777777" w:rsidR="009D74E3" w:rsidRPr="003A115E" w:rsidRDefault="009D74E3" w:rsidP="00543AF5">
            <w:pPr>
              <w:pStyle w:val="cuatexto"/>
              <w:jc w:val="right"/>
            </w:pPr>
            <w:r w:rsidRPr="003A115E">
              <w:t>-15</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74480B08" w14:textId="77777777" w:rsidR="009D74E3" w:rsidRPr="003A115E" w:rsidRDefault="009D74E3" w:rsidP="00543AF5">
            <w:pPr>
              <w:pStyle w:val="cuatexto"/>
              <w:jc w:val="right"/>
            </w:pPr>
            <w:r w:rsidRPr="003A115E">
              <w:t xml:space="preserve">14,21 </w:t>
            </w:r>
          </w:p>
        </w:tc>
      </w:tr>
      <w:tr w:rsidR="000A742F" w:rsidRPr="003A115E" w14:paraId="05732DF5"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3911553C" w14:textId="77777777" w:rsidR="009D74E3" w:rsidRPr="003A115E" w:rsidRDefault="009D74E3" w:rsidP="00543AF5">
            <w:pPr>
              <w:pStyle w:val="cuatexto"/>
            </w:pPr>
            <w:r w:rsidRPr="003A115E">
              <w:t>% Capacidad de endeudamiento</w:t>
            </w:r>
          </w:p>
        </w:tc>
        <w:tc>
          <w:tcPr>
            <w:tcW w:w="461" w:type="pct"/>
            <w:tcBorders>
              <w:top w:val="single" w:sz="2" w:space="0" w:color="auto"/>
              <w:left w:val="nil"/>
              <w:bottom w:val="single" w:sz="2" w:space="0" w:color="auto"/>
              <w:right w:val="nil"/>
            </w:tcBorders>
            <w:shd w:val="clear" w:color="auto" w:fill="auto"/>
            <w:vAlign w:val="center"/>
            <w:hideMark/>
          </w:tcPr>
          <w:p w14:paraId="68FFB1F7" w14:textId="77777777" w:rsidR="009D74E3" w:rsidRPr="003A115E" w:rsidRDefault="009D74E3" w:rsidP="00543AF5">
            <w:pPr>
              <w:pStyle w:val="cuatexto"/>
              <w:jc w:val="right"/>
            </w:pPr>
            <w:r w:rsidRPr="003A115E">
              <w:t xml:space="preserve">12,17 </w:t>
            </w:r>
          </w:p>
        </w:tc>
        <w:tc>
          <w:tcPr>
            <w:tcW w:w="513" w:type="pct"/>
            <w:tcBorders>
              <w:top w:val="single" w:sz="2" w:space="0" w:color="auto"/>
              <w:left w:val="nil"/>
              <w:bottom w:val="single" w:sz="2" w:space="0" w:color="auto"/>
              <w:right w:val="nil"/>
            </w:tcBorders>
            <w:shd w:val="clear" w:color="auto" w:fill="auto"/>
            <w:vAlign w:val="center"/>
            <w:hideMark/>
          </w:tcPr>
          <w:p w14:paraId="345B4266" w14:textId="77777777" w:rsidR="009D74E3" w:rsidRPr="003A115E" w:rsidRDefault="009D74E3" w:rsidP="00543AF5">
            <w:pPr>
              <w:pStyle w:val="cuatexto"/>
              <w:jc w:val="right"/>
            </w:pPr>
            <w:r w:rsidRPr="003A115E">
              <w:t xml:space="preserve">13,53 </w:t>
            </w:r>
          </w:p>
        </w:tc>
        <w:tc>
          <w:tcPr>
            <w:tcW w:w="426" w:type="pct"/>
            <w:tcBorders>
              <w:top w:val="single" w:sz="2" w:space="0" w:color="auto"/>
              <w:left w:val="nil"/>
              <w:bottom w:val="single" w:sz="2" w:space="0" w:color="auto"/>
              <w:right w:val="nil"/>
            </w:tcBorders>
            <w:shd w:val="clear" w:color="auto" w:fill="auto"/>
            <w:vAlign w:val="center"/>
            <w:hideMark/>
          </w:tcPr>
          <w:p w14:paraId="2C0F0B96" w14:textId="77777777" w:rsidR="009D74E3" w:rsidRPr="003A115E" w:rsidRDefault="009D74E3" w:rsidP="00543AF5">
            <w:pPr>
              <w:pStyle w:val="cuatexto"/>
              <w:jc w:val="right"/>
            </w:pPr>
            <w:r w:rsidRPr="003A115E">
              <w:t xml:space="preserve">13,88 </w:t>
            </w:r>
          </w:p>
        </w:tc>
        <w:tc>
          <w:tcPr>
            <w:tcW w:w="351" w:type="pct"/>
            <w:tcBorders>
              <w:top w:val="single" w:sz="2" w:space="0" w:color="auto"/>
              <w:left w:val="nil"/>
              <w:bottom w:val="single" w:sz="2" w:space="0" w:color="auto"/>
              <w:right w:val="nil"/>
            </w:tcBorders>
            <w:shd w:val="clear" w:color="auto" w:fill="auto"/>
            <w:vAlign w:val="center"/>
            <w:hideMark/>
          </w:tcPr>
          <w:p w14:paraId="583C4CBD" w14:textId="77777777" w:rsidR="009D74E3" w:rsidRPr="003A115E" w:rsidRDefault="009D74E3" w:rsidP="00543AF5">
            <w:pPr>
              <w:pStyle w:val="cuatexto"/>
              <w:jc w:val="right"/>
            </w:pPr>
            <w:r w:rsidRPr="003A115E">
              <w:t xml:space="preserve">13,61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1C58C0EF" w14:textId="77777777" w:rsidR="009D74E3" w:rsidRPr="003A115E" w:rsidRDefault="009D74E3" w:rsidP="00543AF5">
            <w:pPr>
              <w:pStyle w:val="cuatexto"/>
              <w:jc w:val="right"/>
            </w:pPr>
            <w:r w:rsidRPr="003A115E">
              <w:t xml:space="preserve">11,89 </w:t>
            </w:r>
          </w:p>
        </w:tc>
        <w:tc>
          <w:tcPr>
            <w:tcW w:w="714" w:type="pct"/>
            <w:tcBorders>
              <w:top w:val="single" w:sz="2" w:space="0" w:color="auto"/>
              <w:left w:val="single" w:sz="2" w:space="0" w:color="auto"/>
              <w:bottom w:val="single" w:sz="2" w:space="0" w:color="auto"/>
            </w:tcBorders>
            <w:shd w:val="clear" w:color="auto" w:fill="auto"/>
            <w:vAlign w:val="center"/>
            <w:hideMark/>
          </w:tcPr>
          <w:p w14:paraId="13EE553D" w14:textId="77777777" w:rsidR="009D74E3" w:rsidRPr="003A115E" w:rsidRDefault="009D74E3" w:rsidP="00543AF5">
            <w:pPr>
              <w:pStyle w:val="cuatexto"/>
              <w:jc w:val="right"/>
            </w:pPr>
            <w:r w:rsidRPr="003A115E">
              <w:t>-2</w:t>
            </w:r>
          </w:p>
        </w:tc>
        <w:tc>
          <w:tcPr>
            <w:tcW w:w="346" w:type="pct"/>
            <w:tcBorders>
              <w:top w:val="single" w:sz="2" w:space="0" w:color="auto"/>
              <w:bottom w:val="single" w:sz="2" w:space="0" w:color="auto"/>
            </w:tcBorders>
            <w:shd w:val="clear" w:color="auto" w:fill="auto"/>
            <w:vAlign w:val="center"/>
            <w:hideMark/>
          </w:tcPr>
          <w:p w14:paraId="3948B26B" w14:textId="77777777" w:rsidR="009D74E3" w:rsidRPr="003A115E" w:rsidRDefault="009D74E3" w:rsidP="00543AF5">
            <w:pPr>
              <w:pStyle w:val="cuatexto"/>
              <w:jc w:val="right"/>
            </w:pPr>
            <w:r w:rsidRPr="003A115E">
              <w:t xml:space="preserve">-1,72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34F1819F" w14:textId="77777777" w:rsidR="009D74E3" w:rsidRPr="003A115E" w:rsidRDefault="009D74E3" w:rsidP="00543AF5">
            <w:pPr>
              <w:pStyle w:val="cuatexto"/>
              <w:jc w:val="right"/>
            </w:pPr>
            <w:r w:rsidRPr="003A115E">
              <w:t>-13</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300686EE" w14:textId="77777777" w:rsidR="009D74E3" w:rsidRPr="003A115E" w:rsidRDefault="009D74E3" w:rsidP="00543AF5">
            <w:pPr>
              <w:pStyle w:val="cuatexto"/>
              <w:jc w:val="right"/>
            </w:pPr>
            <w:r w:rsidRPr="003A115E">
              <w:t xml:space="preserve">12,07 </w:t>
            </w:r>
          </w:p>
        </w:tc>
      </w:tr>
      <w:tr w:rsidR="000A742F" w:rsidRPr="003A115E" w14:paraId="400F1314" w14:textId="77777777" w:rsidTr="001C7883">
        <w:trPr>
          <w:trHeight w:val="198"/>
        </w:trPr>
        <w:tc>
          <w:tcPr>
            <w:tcW w:w="1089" w:type="pct"/>
            <w:tcBorders>
              <w:top w:val="single" w:sz="2" w:space="0" w:color="auto"/>
              <w:left w:val="nil"/>
              <w:bottom w:val="single" w:sz="2" w:space="0" w:color="auto"/>
              <w:right w:val="nil"/>
            </w:tcBorders>
            <w:shd w:val="clear" w:color="auto" w:fill="auto"/>
            <w:vAlign w:val="center"/>
            <w:hideMark/>
          </w:tcPr>
          <w:p w14:paraId="2EB6CD26" w14:textId="77777777" w:rsidR="009D74E3" w:rsidRPr="003A115E" w:rsidRDefault="009D74E3" w:rsidP="00543AF5">
            <w:pPr>
              <w:pStyle w:val="cuatexto"/>
            </w:pPr>
            <w:r w:rsidRPr="003A115E">
              <w:t>Deuda viva (2)</w:t>
            </w:r>
          </w:p>
        </w:tc>
        <w:tc>
          <w:tcPr>
            <w:tcW w:w="461" w:type="pct"/>
            <w:tcBorders>
              <w:top w:val="single" w:sz="2" w:space="0" w:color="auto"/>
              <w:left w:val="nil"/>
              <w:bottom w:val="single" w:sz="2" w:space="0" w:color="auto"/>
              <w:right w:val="nil"/>
            </w:tcBorders>
            <w:shd w:val="clear" w:color="auto" w:fill="auto"/>
            <w:vAlign w:val="center"/>
            <w:hideMark/>
          </w:tcPr>
          <w:p w14:paraId="35E8E6AC" w14:textId="77777777" w:rsidR="009D74E3" w:rsidRPr="003A115E" w:rsidRDefault="009D74E3" w:rsidP="00543AF5">
            <w:pPr>
              <w:pStyle w:val="cuatexto"/>
              <w:jc w:val="right"/>
            </w:pPr>
            <w:r w:rsidRPr="003A115E">
              <w:t xml:space="preserve">207,63 </w:t>
            </w:r>
          </w:p>
        </w:tc>
        <w:tc>
          <w:tcPr>
            <w:tcW w:w="513" w:type="pct"/>
            <w:tcBorders>
              <w:top w:val="single" w:sz="2" w:space="0" w:color="auto"/>
              <w:left w:val="nil"/>
              <w:bottom w:val="single" w:sz="2" w:space="0" w:color="auto"/>
              <w:right w:val="nil"/>
            </w:tcBorders>
            <w:shd w:val="clear" w:color="auto" w:fill="auto"/>
            <w:vAlign w:val="center"/>
            <w:hideMark/>
          </w:tcPr>
          <w:p w14:paraId="42E63358" w14:textId="77777777" w:rsidR="009D74E3" w:rsidRPr="003A115E" w:rsidRDefault="009D74E3" w:rsidP="00543AF5">
            <w:pPr>
              <w:pStyle w:val="cuatexto"/>
              <w:jc w:val="right"/>
            </w:pPr>
            <w:r w:rsidRPr="003A115E">
              <w:t xml:space="preserve">179,61 </w:t>
            </w:r>
          </w:p>
        </w:tc>
        <w:tc>
          <w:tcPr>
            <w:tcW w:w="426" w:type="pct"/>
            <w:tcBorders>
              <w:top w:val="single" w:sz="2" w:space="0" w:color="auto"/>
              <w:left w:val="nil"/>
              <w:bottom w:val="single" w:sz="2" w:space="0" w:color="auto"/>
              <w:right w:val="nil"/>
            </w:tcBorders>
            <w:shd w:val="clear" w:color="auto" w:fill="auto"/>
            <w:vAlign w:val="center"/>
            <w:hideMark/>
          </w:tcPr>
          <w:p w14:paraId="144C8F2A" w14:textId="77777777" w:rsidR="009D74E3" w:rsidRPr="003A115E" w:rsidRDefault="009D74E3" w:rsidP="00543AF5">
            <w:pPr>
              <w:pStyle w:val="cuatexto"/>
              <w:jc w:val="right"/>
            </w:pPr>
            <w:r w:rsidRPr="003A115E">
              <w:t xml:space="preserve">137,74 </w:t>
            </w:r>
          </w:p>
        </w:tc>
        <w:tc>
          <w:tcPr>
            <w:tcW w:w="351" w:type="pct"/>
            <w:tcBorders>
              <w:top w:val="single" w:sz="2" w:space="0" w:color="auto"/>
              <w:left w:val="nil"/>
              <w:bottom w:val="single" w:sz="2" w:space="0" w:color="auto"/>
              <w:right w:val="nil"/>
            </w:tcBorders>
            <w:shd w:val="clear" w:color="auto" w:fill="auto"/>
            <w:vAlign w:val="center"/>
            <w:hideMark/>
          </w:tcPr>
          <w:p w14:paraId="581CE9B7" w14:textId="77777777" w:rsidR="009D74E3" w:rsidRPr="003A115E" w:rsidRDefault="009D74E3" w:rsidP="00543AF5">
            <w:pPr>
              <w:pStyle w:val="cuatexto"/>
              <w:jc w:val="right"/>
            </w:pPr>
            <w:r w:rsidRPr="003A115E">
              <w:t xml:space="preserve">121,68 </w:t>
            </w:r>
          </w:p>
        </w:tc>
        <w:tc>
          <w:tcPr>
            <w:tcW w:w="409" w:type="pct"/>
            <w:tcBorders>
              <w:top w:val="single" w:sz="2" w:space="0" w:color="auto"/>
              <w:left w:val="nil"/>
              <w:bottom w:val="single" w:sz="2" w:space="0" w:color="auto"/>
              <w:right w:val="single" w:sz="2" w:space="0" w:color="auto"/>
            </w:tcBorders>
            <w:shd w:val="clear" w:color="auto" w:fill="auto"/>
            <w:vAlign w:val="center"/>
            <w:hideMark/>
          </w:tcPr>
          <w:p w14:paraId="683EF8CE" w14:textId="77777777" w:rsidR="009D74E3" w:rsidRPr="003A115E" w:rsidRDefault="009D74E3" w:rsidP="00543AF5">
            <w:pPr>
              <w:pStyle w:val="cuatexto"/>
              <w:jc w:val="right"/>
            </w:pPr>
            <w:r w:rsidRPr="003A115E">
              <w:t xml:space="preserve">118,56 </w:t>
            </w:r>
          </w:p>
        </w:tc>
        <w:tc>
          <w:tcPr>
            <w:tcW w:w="714" w:type="pct"/>
            <w:tcBorders>
              <w:top w:val="single" w:sz="2" w:space="0" w:color="auto"/>
              <w:left w:val="single" w:sz="2" w:space="0" w:color="auto"/>
              <w:bottom w:val="single" w:sz="2" w:space="0" w:color="auto"/>
            </w:tcBorders>
            <w:shd w:val="clear" w:color="auto" w:fill="auto"/>
            <w:vAlign w:val="center"/>
            <w:hideMark/>
          </w:tcPr>
          <w:p w14:paraId="52DBE32E" w14:textId="77777777" w:rsidR="009D74E3" w:rsidRPr="003A115E" w:rsidRDefault="009D74E3" w:rsidP="00543AF5">
            <w:pPr>
              <w:pStyle w:val="cuatexto"/>
              <w:jc w:val="right"/>
            </w:pPr>
            <w:r w:rsidRPr="003A115E">
              <w:t>-43</w:t>
            </w:r>
          </w:p>
        </w:tc>
        <w:tc>
          <w:tcPr>
            <w:tcW w:w="346" w:type="pct"/>
            <w:tcBorders>
              <w:top w:val="single" w:sz="2" w:space="0" w:color="auto"/>
              <w:bottom w:val="single" w:sz="2" w:space="0" w:color="auto"/>
            </w:tcBorders>
            <w:shd w:val="clear" w:color="auto" w:fill="auto"/>
            <w:vAlign w:val="center"/>
            <w:hideMark/>
          </w:tcPr>
          <w:p w14:paraId="58A74E93" w14:textId="77777777" w:rsidR="009D74E3" w:rsidRPr="003A115E" w:rsidRDefault="009D74E3" w:rsidP="00543AF5">
            <w:pPr>
              <w:pStyle w:val="cuatexto"/>
              <w:jc w:val="right"/>
            </w:pPr>
            <w:r w:rsidRPr="003A115E">
              <w:t xml:space="preserve">-3,12 </w:t>
            </w:r>
          </w:p>
        </w:tc>
        <w:tc>
          <w:tcPr>
            <w:tcW w:w="346" w:type="pct"/>
            <w:tcBorders>
              <w:top w:val="single" w:sz="2" w:space="0" w:color="auto"/>
              <w:left w:val="nil"/>
              <w:bottom w:val="single" w:sz="2" w:space="0" w:color="auto"/>
              <w:right w:val="single" w:sz="2" w:space="0" w:color="auto"/>
            </w:tcBorders>
            <w:shd w:val="clear" w:color="auto" w:fill="auto"/>
            <w:vAlign w:val="center"/>
            <w:hideMark/>
          </w:tcPr>
          <w:p w14:paraId="257E48B4" w14:textId="77777777" w:rsidR="009D74E3" w:rsidRPr="003A115E" w:rsidRDefault="009D74E3" w:rsidP="00543AF5">
            <w:pPr>
              <w:pStyle w:val="cuatexto"/>
              <w:jc w:val="right"/>
            </w:pPr>
            <w:r w:rsidRPr="003A115E">
              <w:t>-3</w:t>
            </w:r>
          </w:p>
        </w:tc>
        <w:tc>
          <w:tcPr>
            <w:tcW w:w="346" w:type="pct"/>
            <w:tcBorders>
              <w:top w:val="single" w:sz="2" w:space="0" w:color="auto"/>
              <w:left w:val="single" w:sz="2" w:space="0" w:color="auto"/>
              <w:bottom w:val="single" w:sz="2" w:space="0" w:color="auto"/>
              <w:right w:val="nil"/>
            </w:tcBorders>
            <w:shd w:val="clear" w:color="auto" w:fill="auto"/>
            <w:vAlign w:val="center"/>
            <w:hideMark/>
          </w:tcPr>
          <w:p w14:paraId="78B7D90F" w14:textId="77777777" w:rsidR="009D74E3" w:rsidRPr="003A115E" w:rsidRDefault="009D74E3" w:rsidP="00543AF5">
            <w:pPr>
              <w:pStyle w:val="cuatexto"/>
              <w:jc w:val="right"/>
            </w:pPr>
            <w:r w:rsidRPr="003A115E">
              <w:t xml:space="preserve">118,56 </w:t>
            </w:r>
          </w:p>
        </w:tc>
      </w:tr>
      <w:tr w:rsidR="000A742F" w:rsidRPr="003A115E" w14:paraId="088ADB0B" w14:textId="77777777" w:rsidTr="001C7883">
        <w:trPr>
          <w:trHeight w:val="198"/>
        </w:trPr>
        <w:tc>
          <w:tcPr>
            <w:tcW w:w="1089" w:type="pct"/>
            <w:tcBorders>
              <w:top w:val="single" w:sz="2" w:space="0" w:color="auto"/>
              <w:left w:val="nil"/>
              <w:bottom w:val="single" w:sz="4" w:space="0" w:color="auto"/>
              <w:right w:val="nil"/>
            </w:tcBorders>
            <w:shd w:val="clear" w:color="auto" w:fill="auto"/>
            <w:vAlign w:val="center"/>
            <w:hideMark/>
          </w:tcPr>
          <w:p w14:paraId="1D5BBF35" w14:textId="77777777" w:rsidR="009D74E3" w:rsidRPr="003A115E" w:rsidRDefault="009D74E3" w:rsidP="00543AF5">
            <w:pPr>
              <w:pStyle w:val="cuatexto"/>
            </w:pPr>
            <w:r w:rsidRPr="003A115E">
              <w:rPr>
                <w:lang w:val="es-ES"/>
              </w:rPr>
              <w:t xml:space="preserve">Remanente Tesorería gastos </w:t>
            </w:r>
            <w:proofErr w:type="spellStart"/>
            <w:r w:rsidRPr="003A115E">
              <w:rPr>
                <w:lang w:val="es-ES"/>
              </w:rPr>
              <w:t>grales</w:t>
            </w:r>
            <w:proofErr w:type="spellEnd"/>
            <w:r w:rsidRPr="003A115E">
              <w:rPr>
                <w:lang w:val="es-ES"/>
              </w:rPr>
              <w:t>.</w:t>
            </w:r>
          </w:p>
        </w:tc>
        <w:tc>
          <w:tcPr>
            <w:tcW w:w="461" w:type="pct"/>
            <w:tcBorders>
              <w:top w:val="single" w:sz="2" w:space="0" w:color="auto"/>
              <w:left w:val="nil"/>
              <w:bottom w:val="single" w:sz="4" w:space="0" w:color="auto"/>
              <w:right w:val="nil"/>
            </w:tcBorders>
            <w:shd w:val="clear" w:color="auto" w:fill="auto"/>
            <w:vAlign w:val="center"/>
            <w:hideMark/>
          </w:tcPr>
          <w:p w14:paraId="63C31F08" w14:textId="77777777" w:rsidR="009D74E3" w:rsidRPr="003A115E" w:rsidRDefault="009D74E3" w:rsidP="00543AF5">
            <w:pPr>
              <w:pStyle w:val="cuatexto"/>
              <w:jc w:val="right"/>
            </w:pPr>
            <w:r w:rsidRPr="003A115E">
              <w:t xml:space="preserve">250,65 </w:t>
            </w:r>
          </w:p>
        </w:tc>
        <w:tc>
          <w:tcPr>
            <w:tcW w:w="513" w:type="pct"/>
            <w:tcBorders>
              <w:top w:val="single" w:sz="2" w:space="0" w:color="auto"/>
              <w:left w:val="nil"/>
              <w:bottom w:val="single" w:sz="4" w:space="0" w:color="auto"/>
              <w:right w:val="nil"/>
            </w:tcBorders>
            <w:shd w:val="clear" w:color="auto" w:fill="auto"/>
            <w:vAlign w:val="center"/>
            <w:hideMark/>
          </w:tcPr>
          <w:p w14:paraId="4F8A5A62" w14:textId="77777777" w:rsidR="009D74E3" w:rsidRPr="003A115E" w:rsidRDefault="009D74E3" w:rsidP="00543AF5">
            <w:pPr>
              <w:pStyle w:val="cuatexto"/>
              <w:jc w:val="right"/>
            </w:pPr>
            <w:r w:rsidRPr="003A115E">
              <w:t xml:space="preserve">275,17 </w:t>
            </w:r>
          </w:p>
        </w:tc>
        <w:tc>
          <w:tcPr>
            <w:tcW w:w="426" w:type="pct"/>
            <w:tcBorders>
              <w:top w:val="single" w:sz="2" w:space="0" w:color="auto"/>
              <w:left w:val="nil"/>
              <w:bottom w:val="single" w:sz="4" w:space="0" w:color="auto"/>
              <w:right w:val="nil"/>
            </w:tcBorders>
            <w:shd w:val="clear" w:color="auto" w:fill="auto"/>
            <w:vAlign w:val="center"/>
            <w:hideMark/>
          </w:tcPr>
          <w:p w14:paraId="09BA51B3" w14:textId="77777777" w:rsidR="009D74E3" w:rsidRPr="003A115E" w:rsidRDefault="009D74E3" w:rsidP="00543AF5">
            <w:pPr>
              <w:pStyle w:val="cuatexto"/>
              <w:jc w:val="right"/>
            </w:pPr>
            <w:r w:rsidRPr="003A115E">
              <w:t xml:space="preserve">301,52 </w:t>
            </w:r>
          </w:p>
        </w:tc>
        <w:tc>
          <w:tcPr>
            <w:tcW w:w="351" w:type="pct"/>
            <w:tcBorders>
              <w:top w:val="single" w:sz="2" w:space="0" w:color="auto"/>
              <w:left w:val="nil"/>
              <w:bottom w:val="single" w:sz="4" w:space="0" w:color="auto"/>
              <w:right w:val="nil"/>
            </w:tcBorders>
            <w:shd w:val="clear" w:color="auto" w:fill="auto"/>
            <w:vAlign w:val="center"/>
            <w:hideMark/>
          </w:tcPr>
          <w:p w14:paraId="4BDCE950" w14:textId="77777777" w:rsidR="009D74E3" w:rsidRPr="003A115E" w:rsidRDefault="009D74E3" w:rsidP="00543AF5">
            <w:pPr>
              <w:pStyle w:val="cuatexto"/>
              <w:jc w:val="right"/>
            </w:pPr>
            <w:r w:rsidRPr="003A115E">
              <w:t xml:space="preserve">335,45 </w:t>
            </w:r>
          </w:p>
        </w:tc>
        <w:tc>
          <w:tcPr>
            <w:tcW w:w="409" w:type="pct"/>
            <w:tcBorders>
              <w:top w:val="single" w:sz="2" w:space="0" w:color="auto"/>
              <w:left w:val="nil"/>
              <w:bottom w:val="single" w:sz="4" w:space="0" w:color="auto"/>
              <w:right w:val="single" w:sz="2" w:space="0" w:color="auto"/>
            </w:tcBorders>
            <w:shd w:val="clear" w:color="auto" w:fill="auto"/>
            <w:vAlign w:val="center"/>
            <w:hideMark/>
          </w:tcPr>
          <w:p w14:paraId="74EF7F1F" w14:textId="77777777" w:rsidR="009D74E3" w:rsidRPr="003A115E" w:rsidRDefault="009D74E3" w:rsidP="00543AF5">
            <w:pPr>
              <w:pStyle w:val="cuatexto"/>
              <w:jc w:val="right"/>
            </w:pPr>
            <w:r w:rsidRPr="003A115E">
              <w:t xml:space="preserve">373,99 </w:t>
            </w:r>
          </w:p>
        </w:tc>
        <w:tc>
          <w:tcPr>
            <w:tcW w:w="714" w:type="pct"/>
            <w:tcBorders>
              <w:top w:val="single" w:sz="2" w:space="0" w:color="auto"/>
              <w:left w:val="single" w:sz="2" w:space="0" w:color="auto"/>
              <w:bottom w:val="single" w:sz="4" w:space="0" w:color="auto"/>
            </w:tcBorders>
            <w:shd w:val="clear" w:color="auto" w:fill="auto"/>
            <w:vAlign w:val="center"/>
            <w:hideMark/>
          </w:tcPr>
          <w:p w14:paraId="22ECB908" w14:textId="77777777" w:rsidR="009D74E3" w:rsidRPr="003A115E" w:rsidRDefault="009D74E3" w:rsidP="00543AF5">
            <w:pPr>
              <w:pStyle w:val="cuatexto"/>
              <w:jc w:val="right"/>
            </w:pPr>
            <w:r w:rsidRPr="003A115E">
              <w:t>49</w:t>
            </w:r>
          </w:p>
        </w:tc>
        <w:tc>
          <w:tcPr>
            <w:tcW w:w="346" w:type="pct"/>
            <w:tcBorders>
              <w:top w:val="single" w:sz="2" w:space="0" w:color="auto"/>
              <w:bottom w:val="single" w:sz="4" w:space="0" w:color="auto"/>
            </w:tcBorders>
            <w:shd w:val="clear" w:color="auto" w:fill="auto"/>
            <w:vAlign w:val="center"/>
            <w:hideMark/>
          </w:tcPr>
          <w:p w14:paraId="6E83299E" w14:textId="77777777" w:rsidR="009D74E3" w:rsidRPr="003A115E" w:rsidRDefault="009D74E3" w:rsidP="00543AF5">
            <w:pPr>
              <w:pStyle w:val="cuatexto"/>
              <w:jc w:val="right"/>
            </w:pPr>
            <w:r w:rsidRPr="003A115E">
              <w:t xml:space="preserve">38,54 </w:t>
            </w:r>
          </w:p>
        </w:tc>
        <w:tc>
          <w:tcPr>
            <w:tcW w:w="346" w:type="pct"/>
            <w:tcBorders>
              <w:top w:val="single" w:sz="2" w:space="0" w:color="auto"/>
              <w:left w:val="nil"/>
              <w:bottom w:val="single" w:sz="4" w:space="0" w:color="auto"/>
              <w:right w:val="single" w:sz="2" w:space="0" w:color="auto"/>
            </w:tcBorders>
            <w:shd w:val="clear" w:color="auto" w:fill="auto"/>
            <w:vAlign w:val="center"/>
            <w:hideMark/>
          </w:tcPr>
          <w:p w14:paraId="38E077B4" w14:textId="77777777" w:rsidR="009D74E3" w:rsidRPr="003A115E" w:rsidRDefault="009D74E3" w:rsidP="00543AF5">
            <w:pPr>
              <w:pStyle w:val="cuatexto"/>
              <w:jc w:val="right"/>
            </w:pPr>
            <w:r w:rsidRPr="003A115E">
              <w:t>11</w:t>
            </w:r>
          </w:p>
        </w:tc>
        <w:tc>
          <w:tcPr>
            <w:tcW w:w="346" w:type="pct"/>
            <w:tcBorders>
              <w:top w:val="single" w:sz="2" w:space="0" w:color="auto"/>
              <w:left w:val="single" w:sz="2" w:space="0" w:color="auto"/>
              <w:bottom w:val="single" w:sz="4" w:space="0" w:color="auto"/>
              <w:right w:val="nil"/>
            </w:tcBorders>
            <w:shd w:val="clear" w:color="auto" w:fill="auto"/>
            <w:vAlign w:val="center"/>
            <w:hideMark/>
          </w:tcPr>
          <w:p w14:paraId="165CFE0C" w14:textId="777434A0" w:rsidR="009D74E3" w:rsidRPr="003A115E" w:rsidRDefault="0082467B" w:rsidP="0082467B">
            <w:pPr>
              <w:pStyle w:val="cuatexto"/>
              <w:jc w:val="right"/>
            </w:pPr>
            <w:r w:rsidRPr="003A115E">
              <w:t>N/A</w:t>
            </w:r>
            <w:r w:rsidR="009D74E3" w:rsidRPr="003A115E">
              <w:t xml:space="preserve"> </w:t>
            </w:r>
          </w:p>
        </w:tc>
      </w:tr>
    </w:tbl>
    <w:p w14:paraId="06B3A363" w14:textId="4BD2A60E" w:rsidR="002A4BE9" w:rsidRPr="003A115E" w:rsidRDefault="002A4BE9" w:rsidP="00E0306B">
      <w:pPr>
        <w:pStyle w:val="texto"/>
        <w:spacing w:before="60" w:after="0"/>
        <w:ind w:firstLine="0"/>
        <w:rPr>
          <w:rFonts w:ascii="Arial Narrow" w:hAnsi="Arial Narrow" w:cs="Arial"/>
          <w:sz w:val="16"/>
          <w:szCs w:val="16"/>
        </w:rPr>
      </w:pPr>
      <w:r w:rsidRPr="003A115E">
        <w:rPr>
          <w:rFonts w:ascii="Arial" w:hAnsi="Arial" w:cs="Arial"/>
          <w:sz w:val="14"/>
          <w:szCs w:val="14"/>
        </w:rPr>
        <w:t>(</w:t>
      </w:r>
      <w:r w:rsidR="00E72E7F" w:rsidRPr="003A115E">
        <w:rPr>
          <w:rFonts w:ascii="Arial Narrow" w:hAnsi="Arial Narrow" w:cs="Arial"/>
          <w:sz w:val="16"/>
          <w:szCs w:val="16"/>
        </w:rPr>
        <w:t>1</w:t>
      </w:r>
      <w:r w:rsidRPr="003A115E">
        <w:rPr>
          <w:rFonts w:ascii="Arial Narrow" w:hAnsi="Arial Narrow" w:cs="Arial"/>
          <w:sz w:val="16"/>
          <w:szCs w:val="16"/>
        </w:rPr>
        <w:t xml:space="preserve">) Indicadores consolidados con </w:t>
      </w:r>
      <w:r w:rsidR="009D74E3" w:rsidRPr="003A115E">
        <w:rPr>
          <w:rFonts w:ascii="Arial Narrow" w:hAnsi="Arial Narrow" w:cs="Arial"/>
          <w:sz w:val="16"/>
          <w:szCs w:val="16"/>
        </w:rPr>
        <w:t>SCPSA</w:t>
      </w:r>
      <w:r w:rsidRPr="003A115E">
        <w:rPr>
          <w:rFonts w:ascii="Arial Narrow" w:hAnsi="Arial Narrow" w:cs="Arial"/>
          <w:sz w:val="16"/>
          <w:szCs w:val="16"/>
        </w:rPr>
        <w:t>.</w:t>
      </w:r>
    </w:p>
    <w:p w14:paraId="25675407" w14:textId="4E07A4BB" w:rsidR="002A4BE9" w:rsidRPr="003A115E" w:rsidRDefault="00E72E7F" w:rsidP="7A999140">
      <w:pPr>
        <w:pStyle w:val="texto"/>
        <w:spacing w:before="60" w:after="60"/>
        <w:ind w:firstLine="0"/>
        <w:rPr>
          <w:rFonts w:ascii="Arial Narrow" w:hAnsi="Arial Narrow" w:cs="Arial"/>
          <w:sz w:val="16"/>
          <w:szCs w:val="16"/>
          <w:lang w:val="es-ES"/>
        </w:rPr>
      </w:pPr>
      <w:r w:rsidRPr="003A115E">
        <w:rPr>
          <w:rFonts w:ascii="Arial Narrow" w:hAnsi="Arial Narrow" w:cs="Arial"/>
          <w:sz w:val="16"/>
          <w:szCs w:val="16"/>
          <w:lang w:val="es-ES"/>
        </w:rPr>
        <w:t xml:space="preserve">(2) Del conjunto del </w:t>
      </w:r>
      <w:r w:rsidR="002A4BE9" w:rsidRPr="003A115E">
        <w:rPr>
          <w:rFonts w:ascii="Arial Narrow" w:hAnsi="Arial Narrow" w:cs="Arial"/>
          <w:sz w:val="16"/>
          <w:szCs w:val="16"/>
          <w:lang w:val="es-ES"/>
        </w:rPr>
        <w:t xml:space="preserve">Sector Público Local, incluyendo entidades locales, sus </w:t>
      </w:r>
      <w:r w:rsidRPr="003A115E">
        <w:rPr>
          <w:rFonts w:ascii="Arial Narrow" w:hAnsi="Arial Narrow" w:cs="Arial"/>
          <w:sz w:val="16"/>
          <w:szCs w:val="16"/>
          <w:lang w:val="es-ES"/>
        </w:rPr>
        <w:t>OO.AA.</w:t>
      </w:r>
      <w:r w:rsidR="002A4BE9" w:rsidRPr="003A115E">
        <w:rPr>
          <w:rFonts w:ascii="Arial Narrow" w:hAnsi="Arial Narrow" w:cs="Arial"/>
          <w:sz w:val="16"/>
          <w:szCs w:val="16"/>
          <w:lang w:val="es-ES"/>
        </w:rPr>
        <w:t xml:space="preserve"> y todas las sociedades participadas al 100% por las mismas.</w:t>
      </w:r>
      <w:r w:rsidR="00804B13" w:rsidRPr="003A115E">
        <w:rPr>
          <w:rFonts w:ascii="Arial Narrow" w:hAnsi="Arial Narrow" w:cs="Arial"/>
          <w:sz w:val="16"/>
          <w:szCs w:val="16"/>
          <w:lang w:val="es-ES"/>
        </w:rPr>
        <w:t xml:space="preserve"> </w:t>
      </w:r>
      <w:r w:rsidR="00CF48F7" w:rsidRPr="003A115E">
        <w:rPr>
          <w:rFonts w:ascii="Arial Narrow" w:hAnsi="Arial Narrow" w:cs="Arial"/>
          <w:sz w:val="16"/>
          <w:szCs w:val="16"/>
          <w:lang w:val="es-ES"/>
        </w:rPr>
        <w:t xml:space="preserve"> </w:t>
      </w:r>
    </w:p>
    <w:p w14:paraId="39BDAB77" w14:textId="3C742CCC" w:rsidR="0082467B" w:rsidRPr="003A115E" w:rsidRDefault="003E6EC3" w:rsidP="00C0014A">
      <w:pPr>
        <w:pStyle w:val="texto"/>
        <w:spacing w:before="200" w:after="120"/>
      </w:pPr>
      <w:r w:rsidRPr="003A115E">
        <w:t xml:space="preserve">      No es posible determinar </w:t>
      </w:r>
      <w:r w:rsidR="009A173B" w:rsidRPr="003A115E">
        <w:t>el remanente de tesorería para gastos generales consolidado</w:t>
      </w:r>
      <w:r w:rsidR="00D713BD" w:rsidRPr="003A115E">
        <w:t>,</w:t>
      </w:r>
      <w:r w:rsidR="009A173B" w:rsidRPr="003A115E">
        <w:t xml:space="preserve"> ya que</w:t>
      </w:r>
      <w:r w:rsidR="00D713BD" w:rsidRPr="003A115E">
        <w:t>,</w:t>
      </w:r>
      <w:r w:rsidR="009A173B" w:rsidRPr="003A115E">
        <w:t xml:space="preserve"> </w:t>
      </w:r>
      <w:r w:rsidR="00D713BD" w:rsidRPr="003A115E">
        <w:t xml:space="preserve">por su naturaleza jurídica, </w:t>
      </w:r>
      <w:r w:rsidR="009A173B" w:rsidRPr="003A115E">
        <w:t>la SCPSA</w:t>
      </w:r>
      <w:r w:rsidR="00D713BD" w:rsidRPr="003A115E">
        <w:t xml:space="preserve">, </w:t>
      </w:r>
      <w:r w:rsidR="009A173B" w:rsidRPr="003A115E">
        <w:t>no dispone de esta magnitud.</w:t>
      </w:r>
      <w:r w:rsidR="00D713BD" w:rsidRPr="003A115E">
        <w:t xml:space="preserve"> Sin embargo</w:t>
      </w:r>
      <w:r w:rsidR="009A173B" w:rsidRPr="003A115E">
        <w:t>, su fondo de maniobra</w:t>
      </w:r>
      <w:r w:rsidR="00C0014A" w:rsidRPr="003A115E">
        <w:rPr>
          <w:rStyle w:val="Refdenotaalpie"/>
        </w:rPr>
        <w:footnoteReference w:id="9"/>
      </w:r>
      <w:r w:rsidR="009A173B" w:rsidRPr="003A115E">
        <w:t xml:space="preserve"> asciende a </w:t>
      </w:r>
      <w:r w:rsidR="00C61CC5" w:rsidRPr="003A115E">
        <w:t>38,</w:t>
      </w:r>
      <w:r w:rsidR="00284BBF" w:rsidRPr="003A115E">
        <w:t>79</w:t>
      </w:r>
      <w:r w:rsidR="00C0014A" w:rsidRPr="003A115E">
        <w:t xml:space="preserve"> millones.</w:t>
      </w:r>
    </w:p>
    <w:p w14:paraId="6CB29EE2" w14:textId="7BEFCDF8" w:rsidR="002A4BE9" w:rsidRPr="003A115E" w:rsidRDefault="002A4BE9" w:rsidP="007F034F">
      <w:pPr>
        <w:pStyle w:val="texto"/>
        <w:spacing w:before="200" w:after="120"/>
      </w:pPr>
      <w:r w:rsidRPr="003A115E">
        <w:t>De los datos del cuadro anterior destacamos los siguientes aspect</w:t>
      </w:r>
      <w:r w:rsidR="007F034F" w:rsidRPr="003A115E">
        <w:t>os</w:t>
      </w:r>
      <w:r w:rsidRPr="003A115E">
        <w:t>:</w:t>
      </w:r>
    </w:p>
    <w:p w14:paraId="15215EE2" w14:textId="6E3E3B98" w:rsidR="007F034F" w:rsidRPr="003A115E" w:rsidRDefault="00407F5E"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spacing w:val="4"/>
        </w:rPr>
      </w:pPr>
      <w:r w:rsidRPr="003A115E">
        <w:rPr>
          <w:rFonts w:cs="Arial"/>
          <w:spacing w:val="4"/>
        </w:rPr>
        <w:t>En 2022</w:t>
      </w:r>
      <w:r w:rsidR="229FD4D1" w:rsidRPr="003A115E">
        <w:rPr>
          <w:rFonts w:cs="Arial"/>
          <w:spacing w:val="4"/>
        </w:rPr>
        <w:t xml:space="preserve"> los ingresos han aumentado un </w:t>
      </w:r>
      <w:r w:rsidRPr="003A115E">
        <w:rPr>
          <w:rFonts w:cs="Arial"/>
          <w:spacing w:val="4"/>
        </w:rPr>
        <w:t>16</w:t>
      </w:r>
      <w:r w:rsidR="229FD4D1" w:rsidRPr="003A115E">
        <w:rPr>
          <w:rFonts w:cs="Arial"/>
          <w:spacing w:val="4"/>
        </w:rPr>
        <w:t xml:space="preserve"> por ciento con respecto al ejercicio anterior, situándose un </w:t>
      </w:r>
      <w:r w:rsidR="006F1D1F" w:rsidRPr="003A115E">
        <w:rPr>
          <w:rFonts w:cs="Arial"/>
          <w:spacing w:val="4"/>
        </w:rPr>
        <w:t>24</w:t>
      </w:r>
      <w:r w:rsidR="229FD4D1" w:rsidRPr="003A115E">
        <w:rPr>
          <w:rFonts w:cs="Arial"/>
          <w:spacing w:val="4"/>
        </w:rPr>
        <w:t xml:space="preserve"> por </w:t>
      </w:r>
      <w:r w:rsidR="1BC26375" w:rsidRPr="003A115E">
        <w:rPr>
          <w:rFonts w:cs="Arial"/>
          <w:spacing w:val="4"/>
        </w:rPr>
        <w:t>ciento por encima de los de 201</w:t>
      </w:r>
      <w:r w:rsidR="006F1D1F" w:rsidRPr="003A115E">
        <w:rPr>
          <w:rFonts w:cs="Arial"/>
          <w:spacing w:val="4"/>
        </w:rPr>
        <w:t>8</w:t>
      </w:r>
      <w:r w:rsidR="229FD4D1" w:rsidRPr="003A115E">
        <w:rPr>
          <w:rFonts w:cs="Arial"/>
          <w:spacing w:val="4"/>
        </w:rPr>
        <w:t>.</w:t>
      </w:r>
    </w:p>
    <w:p w14:paraId="1B4E3143" w14:textId="0B82BF1D" w:rsidR="007F034F" w:rsidRPr="003A115E" w:rsidRDefault="229FD4D1"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spacing w:val="4"/>
        </w:rPr>
      </w:pPr>
      <w:r w:rsidRPr="003A115E">
        <w:rPr>
          <w:rFonts w:cs="Arial"/>
          <w:spacing w:val="4"/>
        </w:rPr>
        <w:t xml:space="preserve">Los gastos </w:t>
      </w:r>
      <w:r w:rsidR="00211397" w:rsidRPr="003A115E">
        <w:rPr>
          <w:rFonts w:cs="Arial"/>
          <w:spacing w:val="4"/>
        </w:rPr>
        <w:t xml:space="preserve">totales en 2022 han aumentado un </w:t>
      </w:r>
      <w:r w:rsidR="00B31F85" w:rsidRPr="003A115E">
        <w:rPr>
          <w:rFonts w:cs="Arial"/>
          <w:spacing w:val="4"/>
        </w:rPr>
        <w:t>ocho</w:t>
      </w:r>
      <w:r w:rsidR="00211397" w:rsidRPr="003A115E">
        <w:rPr>
          <w:rFonts w:cs="Arial"/>
          <w:spacing w:val="4"/>
        </w:rPr>
        <w:t xml:space="preserve"> por ciento con respecto al ejercicio anterior</w:t>
      </w:r>
      <w:r w:rsidR="007C19C2" w:rsidRPr="003A115E">
        <w:rPr>
          <w:rFonts w:cs="Arial"/>
          <w:spacing w:val="4"/>
        </w:rPr>
        <w:t xml:space="preserve">, superando en un 22 por ciento los de 2018. </w:t>
      </w:r>
    </w:p>
    <w:p w14:paraId="05983C32" w14:textId="67015B35" w:rsidR="00AD655D" w:rsidRPr="003A115E" w:rsidRDefault="00AD655D" w:rsidP="00AD655D">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spacing w:val="4"/>
        </w:rPr>
      </w:pPr>
      <w:r w:rsidRPr="003A115E">
        <w:rPr>
          <w:rFonts w:cs="Arial"/>
          <w:spacing w:val="4"/>
        </w:rPr>
        <w:t>Los gastos de funcionamiento crecen un 12 por ciento y se sitúan en 774,63 millones, importe máximo de los últimos cinco años.</w:t>
      </w:r>
    </w:p>
    <w:p w14:paraId="3A14E628" w14:textId="34E12C50" w:rsidR="007D5CD1" w:rsidRPr="003A115E" w:rsidRDefault="007D5CD1" w:rsidP="007D5CD1">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spacing w:val="4"/>
        </w:rPr>
      </w:pPr>
      <w:r w:rsidRPr="003A115E">
        <w:rPr>
          <w:rFonts w:cs="Arial"/>
          <w:spacing w:val="4"/>
        </w:rPr>
        <w:lastRenderedPageBreak/>
        <w:t xml:space="preserve">Los gastos de capital se reducen un </w:t>
      </w:r>
      <w:r w:rsidR="00B8580D" w:rsidRPr="003A115E">
        <w:rPr>
          <w:rFonts w:cs="Arial"/>
          <w:spacing w:val="4"/>
        </w:rPr>
        <w:t>cuatro</w:t>
      </w:r>
      <w:r w:rsidRPr="003A115E">
        <w:rPr>
          <w:rFonts w:cs="Arial"/>
          <w:spacing w:val="4"/>
        </w:rPr>
        <w:t xml:space="preserve"> por ciento, alcanzando los </w:t>
      </w:r>
      <w:r w:rsidR="00562B58" w:rsidRPr="003A115E">
        <w:rPr>
          <w:rFonts w:cs="Arial"/>
          <w:spacing w:val="4"/>
        </w:rPr>
        <w:t xml:space="preserve">167,55 </w:t>
      </w:r>
      <w:r w:rsidRPr="003A115E">
        <w:rPr>
          <w:rFonts w:cs="Arial"/>
          <w:spacing w:val="4"/>
        </w:rPr>
        <w:t>millones</w:t>
      </w:r>
      <w:r w:rsidR="00F3745E" w:rsidRPr="003A115E">
        <w:rPr>
          <w:rFonts w:cs="Arial"/>
          <w:spacing w:val="4"/>
        </w:rPr>
        <w:t>.</w:t>
      </w:r>
    </w:p>
    <w:p w14:paraId="4AFF5D3B" w14:textId="778ECDA4" w:rsidR="007F034F" w:rsidRPr="003A115E" w:rsidRDefault="1BC26375" w:rsidP="31020D79">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spacing w:val="4"/>
          <w:lang w:val="es-ES"/>
        </w:rPr>
      </w:pPr>
      <w:r w:rsidRPr="003A115E">
        <w:rPr>
          <w:rFonts w:cs="Arial"/>
          <w:spacing w:val="4"/>
          <w:lang w:val="es-ES"/>
        </w:rPr>
        <w:t xml:space="preserve">La carga financiera continúa su tendencia a la baja, hasta situarse en </w:t>
      </w:r>
      <w:r w:rsidR="00F3745E" w:rsidRPr="003A115E">
        <w:rPr>
          <w:rFonts w:cs="Arial"/>
          <w:spacing w:val="4"/>
          <w:lang w:val="es-ES"/>
        </w:rPr>
        <w:t>21,18</w:t>
      </w:r>
      <w:r w:rsidRPr="003A115E">
        <w:rPr>
          <w:rFonts w:cs="Arial"/>
          <w:spacing w:val="4"/>
          <w:lang w:val="es-ES"/>
        </w:rPr>
        <w:t xml:space="preserve"> millones, un 1</w:t>
      </w:r>
      <w:r w:rsidR="00F3745E" w:rsidRPr="003A115E">
        <w:rPr>
          <w:rFonts w:cs="Arial"/>
          <w:spacing w:val="4"/>
          <w:lang w:val="es-ES"/>
        </w:rPr>
        <w:t>9</w:t>
      </w:r>
      <w:r w:rsidR="008153A1" w:rsidRPr="003A115E">
        <w:rPr>
          <w:rFonts w:cs="Arial"/>
          <w:spacing w:val="4"/>
          <w:lang w:val="es-ES"/>
        </w:rPr>
        <w:t xml:space="preserve"> y un 39</w:t>
      </w:r>
      <w:r w:rsidRPr="003A115E">
        <w:rPr>
          <w:rFonts w:cs="Arial"/>
          <w:spacing w:val="4"/>
          <w:lang w:val="es-ES"/>
        </w:rPr>
        <w:t xml:space="preserve"> </w:t>
      </w:r>
      <w:r w:rsidR="008153A1" w:rsidRPr="003A115E">
        <w:rPr>
          <w:rFonts w:cs="Arial"/>
          <w:spacing w:val="4"/>
          <w:lang w:val="es-ES"/>
        </w:rPr>
        <w:t>por ciento inferior a la de 2021 y 2018</w:t>
      </w:r>
      <w:r w:rsidRPr="003A115E">
        <w:rPr>
          <w:rFonts w:cs="Arial"/>
          <w:spacing w:val="4"/>
          <w:lang w:val="es-ES"/>
        </w:rPr>
        <w:t xml:space="preserve">, respectivamente. </w:t>
      </w:r>
    </w:p>
    <w:p w14:paraId="5DEE3C5A" w14:textId="4BBCC246" w:rsidR="003B00CD" w:rsidRPr="003A115E" w:rsidRDefault="1BC26375"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spacing w:line="259" w:lineRule="auto"/>
        <w:ind w:left="0" w:firstLine="289"/>
        <w:rPr>
          <w:rFonts w:cs="Arial"/>
          <w:szCs w:val="26"/>
        </w:rPr>
      </w:pPr>
      <w:r w:rsidRPr="003A115E">
        <w:rPr>
          <w:rFonts w:cs="Arial"/>
          <w:spacing w:val="4"/>
        </w:rPr>
        <w:t xml:space="preserve">Como consecuencia de lo anterior, el ahorro neto, una vez atendidos los gastos de funcionamiento y la carga financiera, alcanza los </w:t>
      </w:r>
      <w:r w:rsidR="00E94D43" w:rsidRPr="003A115E">
        <w:rPr>
          <w:rFonts w:cs="Arial"/>
          <w:spacing w:val="4"/>
        </w:rPr>
        <w:t>107,39</w:t>
      </w:r>
      <w:r w:rsidRPr="003A115E">
        <w:rPr>
          <w:rFonts w:cs="Arial"/>
          <w:spacing w:val="4"/>
        </w:rPr>
        <w:t xml:space="preserve"> millones, </w:t>
      </w:r>
      <w:r w:rsidR="00E94D43" w:rsidRPr="003A115E">
        <w:rPr>
          <w:rFonts w:cs="Arial"/>
          <w:spacing w:val="4"/>
        </w:rPr>
        <w:t>manteniéndose relativamente estable en los últimos cuatro ejercicios</w:t>
      </w:r>
      <w:r w:rsidRPr="003A115E">
        <w:rPr>
          <w:rFonts w:cs="Arial"/>
          <w:spacing w:val="4"/>
        </w:rPr>
        <w:t>.</w:t>
      </w:r>
    </w:p>
    <w:p w14:paraId="4F7D794C" w14:textId="4FA6DECB" w:rsidR="002A4BE9" w:rsidRPr="003A115E" w:rsidRDefault="34CD8A04" w:rsidP="31020D79">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lang w:val="es-ES"/>
        </w:rPr>
      </w:pPr>
      <w:r w:rsidRPr="003A115E">
        <w:rPr>
          <w:rFonts w:cs="Arial"/>
          <w:lang w:val="es-ES"/>
        </w:rPr>
        <w:t>La deuda viva de las entidades locales de Navarra a cierre de 202</w:t>
      </w:r>
      <w:r w:rsidR="00C00968" w:rsidRPr="003A115E">
        <w:rPr>
          <w:rFonts w:cs="Arial"/>
          <w:lang w:val="es-ES"/>
        </w:rPr>
        <w:t>2</w:t>
      </w:r>
      <w:r w:rsidRPr="003A115E">
        <w:rPr>
          <w:rFonts w:cs="Arial"/>
          <w:lang w:val="es-ES"/>
        </w:rPr>
        <w:t xml:space="preserve">, incluyendo todos sus organismos públicos y sociedades públicas participadas íntegramente se situaba en </w:t>
      </w:r>
      <w:r w:rsidR="00C867D1" w:rsidRPr="003A115E">
        <w:rPr>
          <w:rFonts w:cs="Arial"/>
          <w:lang w:val="es-ES"/>
        </w:rPr>
        <w:t>118,56</w:t>
      </w:r>
      <w:r w:rsidRPr="003A115E">
        <w:rPr>
          <w:rFonts w:cs="Arial"/>
          <w:lang w:val="es-ES"/>
        </w:rPr>
        <w:t xml:space="preserve"> millones, reduciéndose en un </w:t>
      </w:r>
      <w:r w:rsidR="00B8580D" w:rsidRPr="003A115E">
        <w:rPr>
          <w:rFonts w:cs="Arial"/>
          <w:lang w:val="es-ES"/>
        </w:rPr>
        <w:t>tres</w:t>
      </w:r>
      <w:r w:rsidRPr="003A115E">
        <w:rPr>
          <w:rFonts w:cs="Arial"/>
          <w:lang w:val="es-ES"/>
        </w:rPr>
        <w:t xml:space="preserve"> y un </w:t>
      </w:r>
      <w:r w:rsidR="4FD77996" w:rsidRPr="003A115E">
        <w:rPr>
          <w:rFonts w:cs="Arial"/>
          <w:lang w:val="es-ES"/>
        </w:rPr>
        <w:t>4</w:t>
      </w:r>
      <w:r w:rsidR="00C867D1" w:rsidRPr="003A115E">
        <w:rPr>
          <w:rFonts w:cs="Arial"/>
          <w:lang w:val="es-ES"/>
        </w:rPr>
        <w:t>3</w:t>
      </w:r>
      <w:r w:rsidRPr="003A115E">
        <w:rPr>
          <w:rFonts w:cs="Arial"/>
          <w:lang w:val="es-ES"/>
        </w:rPr>
        <w:t xml:space="preserve"> por ciento con respecto a 20</w:t>
      </w:r>
      <w:r w:rsidR="00C867D1" w:rsidRPr="003A115E">
        <w:rPr>
          <w:rFonts w:cs="Arial"/>
          <w:lang w:val="es-ES"/>
        </w:rPr>
        <w:t>21 y a 2018</w:t>
      </w:r>
      <w:r w:rsidRPr="003A115E">
        <w:rPr>
          <w:rFonts w:cs="Arial"/>
          <w:lang w:val="es-ES"/>
        </w:rPr>
        <w:t>, respectivamente. Esta tendencia está relacionada, en buena medida, con las exigencias de la LO</w:t>
      </w:r>
      <w:r w:rsidR="59A5D65C" w:rsidRPr="003A115E">
        <w:rPr>
          <w:rFonts w:cs="Arial"/>
          <w:lang w:val="es-ES"/>
        </w:rPr>
        <w:t>EPySF</w:t>
      </w:r>
      <w:r w:rsidRPr="003A115E">
        <w:rPr>
          <w:rFonts w:cs="Arial"/>
          <w:lang w:val="es-ES"/>
        </w:rPr>
        <w:t>. En 202</w:t>
      </w:r>
      <w:r w:rsidR="00E671A6" w:rsidRPr="003A115E">
        <w:rPr>
          <w:rFonts w:cs="Arial"/>
          <w:lang w:val="es-ES"/>
        </w:rPr>
        <w:t>2</w:t>
      </w:r>
      <w:r w:rsidR="59A5D65C" w:rsidRPr="003A115E">
        <w:rPr>
          <w:rFonts w:cs="Arial"/>
          <w:lang w:val="es-ES"/>
        </w:rPr>
        <w:t xml:space="preserve"> se amortizó deuda por </w:t>
      </w:r>
      <w:r w:rsidR="47C86843" w:rsidRPr="003A115E">
        <w:rPr>
          <w:rFonts w:cs="Arial"/>
          <w:lang w:val="es-ES"/>
        </w:rPr>
        <w:t>2</w:t>
      </w:r>
      <w:r w:rsidR="00A241BC" w:rsidRPr="003A115E">
        <w:rPr>
          <w:rFonts w:cs="Arial"/>
          <w:lang w:val="es-ES"/>
        </w:rPr>
        <w:t>0</w:t>
      </w:r>
      <w:r w:rsidR="47C86843" w:rsidRPr="003A115E">
        <w:rPr>
          <w:rFonts w:cs="Arial"/>
          <w:lang w:val="es-ES"/>
        </w:rPr>
        <w:t>,1</w:t>
      </w:r>
      <w:r w:rsidRPr="003A115E">
        <w:rPr>
          <w:rFonts w:cs="Arial"/>
          <w:lang w:val="es-ES"/>
        </w:rPr>
        <w:t xml:space="preserve"> millones, mientras que la concertación de nueva deuda ascendió a </w:t>
      </w:r>
      <w:r w:rsidR="00BE7B6F" w:rsidRPr="003A115E">
        <w:rPr>
          <w:rFonts w:cs="Arial"/>
          <w:lang w:val="es-ES"/>
        </w:rPr>
        <w:t>19,4</w:t>
      </w:r>
      <w:r w:rsidRPr="003A115E">
        <w:rPr>
          <w:rFonts w:cs="Arial"/>
          <w:lang w:val="es-ES"/>
        </w:rPr>
        <w:t xml:space="preserve"> millones. El tipo de interés medio de la deuda viva se sitúa en el 1,</w:t>
      </w:r>
      <w:r w:rsidR="59A5D65C" w:rsidRPr="003A115E">
        <w:rPr>
          <w:rFonts w:cs="Arial"/>
          <w:lang w:val="es-ES"/>
        </w:rPr>
        <w:t>3</w:t>
      </w:r>
      <w:r w:rsidRPr="003A115E">
        <w:rPr>
          <w:rFonts w:cs="Arial"/>
          <w:lang w:val="es-ES"/>
        </w:rPr>
        <w:t xml:space="preserve"> por ciento y el plazo medio d</w:t>
      </w:r>
      <w:r w:rsidR="00E671A6" w:rsidRPr="003A115E">
        <w:rPr>
          <w:rFonts w:cs="Arial"/>
          <w:lang w:val="es-ES"/>
        </w:rPr>
        <w:t>e vencimiento pendiente, en 8,96</w:t>
      </w:r>
      <w:r w:rsidRPr="003A115E">
        <w:rPr>
          <w:rFonts w:cs="Arial"/>
          <w:lang w:val="es-ES"/>
        </w:rPr>
        <w:t xml:space="preserve"> años.</w:t>
      </w:r>
      <w:r w:rsidR="005C1625" w:rsidRPr="003A115E">
        <w:rPr>
          <w:rFonts w:cs="Arial"/>
          <w:lang w:val="es-ES"/>
        </w:rPr>
        <w:t xml:space="preserve"> </w:t>
      </w:r>
    </w:p>
    <w:p w14:paraId="5A8B89C0" w14:textId="27835636" w:rsidR="002A4BE9" w:rsidRPr="003A115E" w:rsidRDefault="34CD8A04" w:rsidP="0DF82E94">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spacing w:after="0"/>
        <w:ind w:left="0" w:firstLine="289"/>
        <w:rPr>
          <w:rFonts w:cs="Arial"/>
          <w:lang w:val="es-ES"/>
        </w:rPr>
      </w:pPr>
      <w:r w:rsidRPr="003A115E">
        <w:rPr>
          <w:rFonts w:cs="Arial"/>
          <w:lang w:val="es-ES"/>
        </w:rPr>
        <w:t xml:space="preserve">El remanente de tesorería para gastos generales, excedente de recursos generados que puede ser utilizado para </w:t>
      </w:r>
      <w:r w:rsidR="00C05463" w:rsidRPr="003A115E">
        <w:rPr>
          <w:rFonts w:cs="Arial"/>
          <w:lang w:val="es-ES"/>
        </w:rPr>
        <w:t xml:space="preserve">financiar </w:t>
      </w:r>
      <w:r w:rsidR="00564749" w:rsidRPr="003A115E">
        <w:rPr>
          <w:rFonts w:cs="Arial"/>
          <w:lang w:val="es-ES"/>
        </w:rPr>
        <w:t xml:space="preserve">modificaciones de </w:t>
      </w:r>
      <w:r w:rsidR="00C05463" w:rsidRPr="003A115E">
        <w:rPr>
          <w:rFonts w:cs="Arial"/>
          <w:lang w:val="es-ES"/>
        </w:rPr>
        <w:t>gasto</w:t>
      </w:r>
      <w:r w:rsidRPr="003A115E">
        <w:rPr>
          <w:rFonts w:cs="Arial"/>
          <w:lang w:val="es-ES"/>
        </w:rPr>
        <w:t xml:space="preserve"> en ejercicios futuros, continúa la tendencia creciente de los últimos años, situándose en </w:t>
      </w:r>
      <w:r w:rsidR="00BE7B6F" w:rsidRPr="003A115E">
        <w:rPr>
          <w:rFonts w:cs="Arial"/>
          <w:lang w:val="es-ES"/>
        </w:rPr>
        <w:t>374</w:t>
      </w:r>
      <w:r w:rsidRPr="003A115E">
        <w:rPr>
          <w:rFonts w:cs="Arial"/>
          <w:lang w:val="es-ES"/>
        </w:rPr>
        <w:t xml:space="preserve"> millones a cierre de 202</w:t>
      </w:r>
      <w:r w:rsidR="00BE7B6F" w:rsidRPr="003A115E">
        <w:rPr>
          <w:rFonts w:cs="Arial"/>
          <w:lang w:val="es-ES"/>
        </w:rPr>
        <w:t>2</w:t>
      </w:r>
      <w:r w:rsidRPr="003A115E">
        <w:rPr>
          <w:rFonts w:cs="Arial"/>
          <w:lang w:val="es-ES"/>
        </w:rPr>
        <w:t xml:space="preserve">, lo que supone un aumento del </w:t>
      </w:r>
      <w:r w:rsidR="4FD77996" w:rsidRPr="003A115E">
        <w:rPr>
          <w:rFonts w:cs="Arial"/>
          <w:lang w:val="es-ES"/>
        </w:rPr>
        <w:t>11</w:t>
      </w:r>
      <w:r w:rsidRPr="003A115E">
        <w:rPr>
          <w:rFonts w:cs="Arial"/>
          <w:lang w:val="es-ES"/>
        </w:rPr>
        <w:t xml:space="preserve"> y del </w:t>
      </w:r>
      <w:r w:rsidR="00EB1C23" w:rsidRPr="003A115E">
        <w:rPr>
          <w:rFonts w:cs="Arial"/>
          <w:lang w:val="es-ES"/>
        </w:rPr>
        <w:t>49</w:t>
      </w:r>
      <w:r w:rsidRPr="003A115E">
        <w:rPr>
          <w:rFonts w:cs="Arial"/>
          <w:lang w:val="es-ES"/>
        </w:rPr>
        <w:t xml:space="preserve"> por ciento con respecto a </w:t>
      </w:r>
      <w:r w:rsidR="00C05463" w:rsidRPr="003A115E">
        <w:rPr>
          <w:rFonts w:cs="Arial"/>
          <w:lang w:val="es-ES"/>
        </w:rPr>
        <w:t>2021 y</w:t>
      </w:r>
      <w:r w:rsidRPr="003A115E">
        <w:rPr>
          <w:rFonts w:cs="Arial"/>
          <w:lang w:val="es-ES"/>
        </w:rPr>
        <w:t xml:space="preserve"> a 20</w:t>
      </w:r>
      <w:r w:rsidR="00BE7B6F" w:rsidRPr="003A115E">
        <w:rPr>
          <w:rFonts w:cs="Arial"/>
          <w:lang w:val="es-ES"/>
        </w:rPr>
        <w:t>18</w:t>
      </w:r>
      <w:r w:rsidRPr="003A115E">
        <w:rPr>
          <w:rFonts w:cs="Arial"/>
          <w:lang w:val="es-ES"/>
        </w:rPr>
        <w:t xml:space="preserve">, respectivamente. </w:t>
      </w:r>
    </w:p>
    <w:p w14:paraId="09188941" w14:textId="77777777" w:rsidR="00C05463" w:rsidRPr="003A115E" w:rsidRDefault="00C05463" w:rsidP="00C05463">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spacing w:after="0"/>
        <w:ind w:left="289" w:firstLine="0"/>
        <w:rPr>
          <w:rFonts w:cs="Arial"/>
          <w:lang w:val="es-ES"/>
        </w:rPr>
      </w:pPr>
    </w:p>
    <w:p w14:paraId="4D536727" w14:textId="1E30970B" w:rsidR="00B86F6D" w:rsidRPr="003A115E" w:rsidRDefault="0023757D" w:rsidP="0023757D">
      <w:pPr>
        <w:pStyle w:val="texto"/>
        <w:rPr>
          <w:lang w:val="es-ES"/>
        </w:rPr>
      </w:pPr>
      <w:r w:rsidRPr="003A115E">
        <w:rPr>
          <w:b/>
          <w:bCs/>
          <w:lang w:val="es-ES"/>
        </w:rPr>
        <w:t>En definitiva,</w:t>
      </w:r>
      <w:r w:rsidR="000A15DF" w:rsidRPr="003A115E">
        <w:rPr>
          <w:b/>
          <w:bCs/>
          <w:lang w:val="es-ES"/>
        </w:rPr>
        <w:t xml:space="preserve"> </w:t>
      </w:r>
      <w:r w:rsidR="000A15DF" w:rsidRPr="003A115E">
        <w:rPr>
          <w:lang w:val="es-ES"/>
        </w:rPr>
        <w:t xml:space="preserve">la situación financiera de las entidades locales de Navarra, en el ejercicio 2022, </w:t>
      </w:r>
      <w:r w:rsidR="00B86F6D" w:rsidRPr="003A115E">
        <w:rPr>
          <w:lang w:val="es-ES"/>
        </w:rPr>
        <w:t xml:space="preserve">se mantiene </w:t>
      </w:r>
      <w:r w:rsidR="007C1D39" w:rsidRPr="003A115E">
        <w:rPr>
          <w:lang w:val="es-ES"/>
        </w:rPr>
        <w:t xml:space="preserve">saneada </w:t>
      </w:r>
      <w:r w:rsidR="00B86F6D" w:rsidRPr="003A115E">
        <w:rPr>
          <w:lang w:val="es-ES"/>
        </w:rPr>
        <w:t xml:space="preserve">en la línea de </w:t>
      </w:r>
      <w:r w:rsidR="007C1D39" w:rsidRPr="003A115E">
        <w:rPr>
          <w:lang w:val="es-ES"/>
        </w:rPr>
        <w:t>los últimos ejercicios</w:t>
      </w:r>
      <w:r w:rsidR="00B86F6D" w:rsidRPr="003A115E">
        <w:rPr>
          <w:lang w:val="es-ES"/>
        </w:rPr>
        <w:t>.</w:t>
      </w:r>
      <w:r w:rsidR="00E45C4A" w:rsidRPr="003A115E">
        <w:rPr>
          <w:lang w:val="es-ES"/>
        </w:rPr>
        <w:t xml:space="preserve"> </w:t>
      </w:r>
      <w:r w:rsidR="00207610" w:rsidRPr="003A115E">
        <w:rPr>
          <w:lang w:val="es-ES"/>
        </w:rPr>
        <w:t>Los ingresos</w:t>
      </w:r>
      <w:r w:rsidR="0072287B" w:rsidRPr="003A115E">
        <w:rPr>
          <w:lang w:val="es-ES"/>
        </w:rPr>
        <w:t xml:space="preserve"> </w:t>
      </w:r>
      <w:r w:rsidR="00207610" w:rsidRPr="003A115E">
        <w:rPr>
          <w:lang w:val="es-ES"/>
        </w:rPr>
        <w:t>han aumentado en mayor proporción que l</w:t>
      </w:r>
      <w:r w:rsidR="00966929" w:rsidRPr="003A115E">
        <w:rPr>
          <w:lang w:val="es-ES"/>
        </w:rPr>
        <w:t>os gastos</w:t>
      </w:r>
      <w:r w:rsidR="0060011B">
        <w:rPr>
          <w:lang w:val="es-ES"/>
        </w:rPr>
        <w:t>,</w:t>
      </w:r>
      <w:r w:rsidR="00966929" w:rsidRPr="003A115E">
        <w:rPr>
          <w:lang w:val="es-ES"/>
        </w:rPr>
        <w:t xml:space="preserve"> lo que ha supuesto un incremento del resultado presupuestario </w:t>
      </w:r>
      <w:r w:rsidR="001615DD" w:rsidRPr="003A115E">
        <w:rPr>
          <w:lang w:val="es-ES"/>
        </w:rPr>
        <w:t>respecto al</w:t>
      </w:r>
      <w:r w:rsidR="00966929" w:rsidRPr="003A115E">
        <w:rPr>
          <w:lang w:val="es-ES"/>
        </w:rPr>
        <w:t xml:space="preserve"> ejercicio</w:t>
      </w:r>
      <w:r w:rsidR="001615DD" w:rsidRPr="003A115E">
        <w:rPr>
          <w:lang w:val="es-ES"/>
        </w:rPr>
        <w:t xml:space="preserve"> 2021</w:t>
      </w:r>
      <w:r w:rsidR="00966929" w:rsidRPr="003A115E">
        <w:rPr>
          <w:lang w:val="es-ES"/>
        </w:rPr>
        <w:t xml:space="preserve">. </w:t>
      </w:r>
      <w:r w:rsidR="002D6D69" w:rsidRPr="003A115E">
        <w:rPr>
          <w:lang w:val="es-ES"/>
        </w:rPr>
        <w:t>A pesar de que los</w:t>
      </w:r>
      <w:r w:rsidR="00966929" w:rsidRPr="003A115E">
        <w:rPr>
          <w:lang w:val="es-ES"/>
        </w:rPr>
        <w:t xml:space="preserve"> ingresos </w:t>
      </w:r>
      <w:r w:rsidR="00122CFF" w:rsidRPr="003A115E">
        <w:rPr>
          <w:lang w:val="es-ES"/>
        </w:rPr>
        <w:t>corrientes</w:t>
      </w:r>
      <w:r w:rsidR="00966929" w:rsidRPr="003A115E">
        <w:rPr>
          <w:lang w:val="es-ES"/>
        </w:rPr>
        <w:t xml:space="preserve"> del ejercicio </w:t>
      </w:r>
      <w:r w:rsidR="00D822F7" w:rsidRPr="003A115E">
        <w:rPr>
          <w:lang w:val="es-ES"/>
        </w:rPr>
        <w:t xml:space="preserve">se han incrementado de manera </w:t>
      </w:r>
      <w:r w:rsidR="006964AC" w:rsidRPr="003A115E">
        <w:rPr>
          <w:lang w:val="es-ES"/>
        </w:rPr>
        <w:t>significativa</w:t>
      </w:r>
      <w:r w:rsidR="0060011B">
        <w:rPr>
          <w:lang w:val="es-ES"/>
        </w:rPr>
        <w:t>,</w:t>
      </w:r>
      <w:r w:rsidR="00E45C4A" w:rsidRPr="003A115E">
        <w:rPr>
          <w:lang w:val="es-ES"/>
        </w:rPr>
        <w:t xml:space="preserve"> el ahorro bruto del ejercicio se ha reducido</w:t>
      </w:r>
      <w:r w:rsidR="002205C4" w:rsidRPr="003A115E">
        <w:rPr>
          <w:lang w:val="es-ES"/>
        </w:rPr>
        <w:t xml:space="preserve"> respecto al ejercicio 2021</w:t>
      </w:r>
      <w:r w:rsidR="00671AD4" w:rsidRPr="003A115E">
        <w:rPr>
          <w:lang w:val="es-ES"/>
        </w:rPr>
        <w:t xml:space="preserve"> debido al mayor </w:t>
      </w:r>
      <w:r w:rsidR="00DB246C" w:rsidRPr="003A115E">
        <w:rPr>
          <w:lang w:val="es-ES"/>
        </w:rPr>
        <w:t>crecimiento de los gastos de funcionamiento.</w:t>
      </w:r>
    </w:p>
    <w:p w14:paraId="17054152" w14:textId="55331002" w:rsidR="008B773A" w:rsidRPr="003A115E" w:rsidRDefault="00CF3F37" w:rsidP="00AA7F66">
      <w:pPr>
        <w:pStyle w:val="atitulo2"/>
        <w:spacing w:before="240"/>
        <w:rPr>
          <w:color w:val="auto"/>
        </w:rPr>
      </w:pPr>
      <w:bookmarkStart w:id="79" w:name="_Toc183679751"/>
      <w:r w:rsidRPr="003A115E">
        <w:rPr>
          <w:color w:val="auto"/>
        </w:rPr>
        <w:t>VI.5</w:t>
      </w:r>
      <w:r w:rsidR="008B773A" w:rsidRPr="003A115E">
        <w:rPr>
          <w:color w:val="auto"/>
        </w:rPr>
        <w:t xml:space="preserve"> Análisis comparativo de ayuntamientos navarros por tramo de población</w:t>
      </w:r>
      <w:bookmarkEnd w:id="79"/>
    </w:p>
    <w:p w14:paraId="52DFB9B3" w14:textId="33E1FA35" w:rsidR="00AA7F66" w:rsidRPr="003A115E" w:rsidRDefault="008B773A" w:rsidP="008B773A">
      <w:pPr>
        <w:pStyle w:val="texto"/>
        <w:spacing w:before="120"/>
      </w:pPr>
      <w:r w:rsidRPr="003A115E">
        <w:t>En la siguiente tabla se comparan un conjunto de indicadores de los ayuntamientos navarros</w:t>
      </w:r>
      <w:r w:rsidRPr="003A115E">
        <w:rPr>
          <w:rStyle w:val="Refdenotaalpie"/>
        </w:rPr>
        <w:footnoteReference w:id="10"/>
      </w:r>
      <w:r w:rsidRPr="003A115E">
        <w:t xml:space="preserve"> comprendidos en distintos tramos de población</w:t>
      </w:r>
    </w:p>
    <w:p w14:paraId="7F489526" w14:textId="77777777" w:rsidR="00AA7F66" w:rsidRPr="003A115E" w:rsidRDefault="00AA7F66">
      <w:pPr>
        <w:rPr>
          <w:spacing w:val="6"/>
          <w:sz w:val="26"/>
          <w:lang w:val="es-ES_tradnl" w:eastAsia="en-US"/>
        </w:rPr>
      </w:pPr>
      <w:r w:rsidRPr="003A115E">
        <w:br w:type="page"/>
      </w:r>
    </w:p>
    <w:p w14:paraId="3D41D0B3" w14:textId="7E40AB5D" w:rsidR="008B773A" w:rsidRPr="003A115E" w:rsidRDefault="008B773A" w:rsidP="00CE7010">
      <w:pPr>
        <w:pStyle w:val="texto"/>
        <w:spacing w:before="120"/>
        <w:jc w:val="right"/>
        <w:rPr>
          <w:rStyle w:val="textoCar"/>
          <w:rFonts w:ascii="Arial Narrow" w:hAnsi="Arial Narrow"/>
          <w:sz w:val="18"/>
          <w:szCs w:val="18"/>
          <w:lang w:val="es-ES"/>
        </w:rPr>
      </w:pPr>
      <w:r w:rsidRPr="003A115E">
        <w:rPr>
          <w:rStyle w:val="textoCar"/>
          <w:rFonts w:ascii="Arial Narrow" w:hAnsi="Arial Narrow"/>
          <w:sz w:val="18"/>
          <w:szCs w:val="18"/>
          <w:lang w:val="es-ES"/>
        </w:rPr>
        <w:lastRenderedPageBreak/>
        <w:t>(</w:t>
      </w:r>
      <w:r w:rsidR="00CE7010">
        <w:rPr>
          <w:rStyle w:val="textoCar"/>
          <w:rFonts w:ascii="Arial Narrow" w:hAnsi="Arial Narrow"/>
          <w:sz w:val="18"/>
          <w:szCs w:val="18"/>
          <w:lang w:val="es-ES"/>
        </w:rPr>
        <w:t xml:space="preserve">en </w:t>
      </w:r>
      <w:r w:rsidR="00812D02">
        <w:rPr>
          <w:rStyle w:val="textoCar"/>
          <w:rFonts w:ascii="Arial Narrow" w:hAnsi="Arial Narrow"/>
          <w:sz w:val="18"/>
          <w:szCs w:val="18"/>
          <w:lang w:val="es-ES"/>
        </w:rPr>
        <w:t>e</w:t>
      </w:r>
      <w:r w:rsidRPr="003A115E">
        <w:rPr>
          <w:rStyle w:val="textoCar"/>
          <w:rFonts w:ascii="Arial Narrow" w:hAnsi="Arial Narrow"/>
          <w:sz w:val="18"/>
          <w:szCs w:val="18"/>
          <w:lang w:val="es-ES"/>
        </w:rPr>
        <w:t>uros)</w:t>
      </w:r>
    </w:p>
    <w:tbl>
      <w:tblPr>
        <w:tblW w:w="5000" w:type="pct"/>
        <w:tblLayout w:type="fixed"/>
        <w:tblCellMar>
          <w:left w:w="70" w:type="dxa"/>
          <w:right w:w="70" w:type="dxa"/>
        </w:tblCellMar>
        <w:tblLook w:val="04A0" w:firstRow="1" w:lastRow="0" w:firstColumn="1" w:lastColumn="0" w:noHBand="0" w:noVBand="1"/>
      </w:tblPr>
      <w:tblGrid>
        <w:gridCol w:w="3261"/>
        <w:gridCol w:w="1105"/>
        <w:gridCol w:w="1105"/>
        <w:gridCol w:w="1106"/>
        <w:gridCol w:w="1105"/>
        <w:gridCol w:w="1106"/>
      </w:tblGrid>
      <w:tr w:rsidR="000A742F" w:rsidRPr="003A115E" w14:paraId="6EBAFEA8" w14:textId="77777777" w:rsidTr="00327F3B">
        <w:trPr>
          <w:trHeight w:val="255"/>
        </w:trPr>
        <w:tc>
          <w:tcPr>
            <w:tcW w:w="3261" w:type="dxa"/>
            <w:tcBorders>
              <w:top w:val="single" w:sz="4" w:space="0" w:color="auto"/>
              <w:left w:val="nil"/>
              <w:bottom w:val="single" w:sz="4" w:space="0" w:color="auto"/>
              <w:right w:val="nil"/>
            </w:tcBorders>
            <w:shd w:val="clear" w:color="auto" w:fill="FABF8F" w:themeFill="accent6" w:themeFillTint="99"/>
            <w:noWrap/>
            <w:vAlign w:val="center"/>
            <w:hideMark/>
          </w:tcPr>
          <w:p w14:paraId="20F02A10" w14:textId="77777777" w:rsidR="008B773A" w:rsidRPr="003A115E" w:rsidRDefault="008B773A" w:rsidP="005272BD">
            <w:pPr>
              <w:pStyle w:val="cuadroCabe"/>
            </w:pPr>
            <w:r w:rsidRPr="003A115E">
              <w:t>Población</w:t>
            </w:r>
          </w:p>
        </w:tc>
        <w:tc>
          <w:tcPr>
            <w:tcW w:w="1105" w:type="dxa"/>
            <w:tcBorders>
              <w:top w:val="single" w:sz="4" w:space="0" w:color="auto"/>
              <w:left w:val="nil"/>
              <w:bottom w:val="single" w:sz="4" w:space="0" w:color="auto"/>
              <w:right w:val="nil"/>
            </w:tcBorders>
            <w:shd w:val="clear" w:color="auto" w:fill="FABF8F" w:themeFill="accent6" w:themeFillTint="99"/>
            <w:vAlign w:val="center"/>
            <w:hideMark/>
          </w:tcPr>
          <w:p w14:paraId="388A62C8" w14:textId="77777777" w:rsidR="008B773A" w:rsidRPr="003A115E" w:rsidRDefault="008B773A" w:rsidP="005272BD">
            <w:pPr>
              <w:pStyle w:val="cuadroCabe"/>
              <w:jc w:val="right"/>
            </w:pPr>
            <w:r w:rsidRPr="003A115E">
              <w:t>Hasta 1.000</w:t>
            </w:r>
          </w:p>
        </w:tc>
        <w:tc>
          <w:tcPr>
            <w:tcW w:w="1105" w:type="dxa"/>
            <w:tcBorders>
              <w:top w:val="single" w:sz="4" w:space="0" w:color="auto"/>
              <w:left w:val="nil"/>
              <w:bottom w:val="single" w:sz="4" w:space="0" w:color="auto"/>
              <w:right w:val="nil"/>
            </w:tcBorders>
            <w:shd w:val="clear" w:color="auto" w:fill="FABF8F" w:themeFill="accent6" w:themeFillTint="99"/>
            <w:vAlign w:val="center"/>
            <w:hideMark/>
          </w:tcPr>
          <w:p w14:paraId="2FFC6AA0" w14:textId="77777777" w:rsidR="008B773A" w:rsidRPr="003A115E" w:rsidRDefault="008B773A" w:rsidP="005272BD">
            <w:pPr>
              <w:pStyle w:val="cuadroCabe"/>
              <w:jc w:val="right"/>
            </w:pPr>
            <w:r w:rsidRPr="003A115E">
              <w:t>De 1.000 a 5.000</w:t>
            </w:r>
          </w:p>
        </w:tc>
        <w:tc>
          <w:tcPr>
            <w:tcW w:w="1106" w:type="dxa"/>
            <w:tcBorders>
              <w:top w:val="single" w:sz="4" w:space="0" w:color="auto"/>
              <w:left w:val="nil"/>
              <w:bottom w:val="single" w:sz="4" w:space="0" w:color="auto"/>
              <w:right w:val="nil"/>
            </w:tcBorders>
            <w:shd w:val="clear" w:color="auto" w:fill="FABF8F" w:themeFill="accent6" w:themeFillTint="99"/>
            <w:vAlign w:val="center"/>
            <w:hideMark/>
          </w:tcPr>
          <w:p w14:paraId="0193390C" w14:textId="77777777" w:rsidR="008B773A" w:rsidRPr="003A115E" w:rsidRDefault="008B773A" w:rsidP="005272BD">
            <w:pPr>
              <w:pStyle w:val="cuadroCabe"/>
              <w:jc w:val="right"/>
            </w:pPr>
            <w:r w:rsidRPr="003A115E">
              <w:t>De 5.000 a 10.000</w:t>
            </w:r>
          </w:p>
        </w:tc>
        <w:tc>
          <w:tcPr>
            <w:tcW w:w="1105" w:type="dxa"/>
            <w:tcBorders>
              <w:top w:val="single" w:sz="4" w:space="0" w:color="auto"/>
              <w:left w:val="nil"/>
              <w:bottom w:val="single" w:sz="4" w:space="0" w:color="auto"/>
              <w:right w:val="nil"/>
            </w:tcBorders>
            <w:shd w:val="clear" w:color="auto" w:fill="FABF8F" w:themeFill="accent6" w:themeFillTint="99"/>
            <w:vAlign w:val="center"/>
            <w:hideMark/>
          </w:tcPr>
          <w:p w14:paraId="08002853" w14:textId="77777777" w:rsidR="008B773A" w:rsidRPr="003A115E" w:rsidRDefault="008B773A" w:rsidP="005272BD">
            <w:pPr>
              <w:pStyle w:val="cuadroCabe"/>
              <w:jc w:val="right"/>
            </w:pPr>
            <w:r w:rsidRPr="003A115E">
              <w:t>De 10.000 a 40.000</w:t>
            </w:r>
          </w:p>
        </w:tc>
        <w:tc>
          <w:tcPr>
            <w:tcW w:w="1106" w:type="dxa"/>
            <w:tcBorders>
              <w:top w:val="single" w:sz="4" w:space="0" w:color="auto"/>
              <w:left w:val="nil"/>
              <w:bottom w:val="single" w:sz="4" w:space="0" w:color="auto"/>
              <w:right w:val="nil"/>
            </w:tcBorders>
            <w:shd w:val="clear" w:color="auto" w:fill="FABF8F" w:themeFill="accent6" w:themeFillTint="99"/>
            <w:vAlign w:val="center"/>
            <w:hideMark/>
          </w:tcPr>
          <w:p w14:paraId="0917BD04" w14:textId="77777777" w:rsidR="008B773A" w:rsidRPr="003A115E" w:rsidRDefault="008B773A" w:rsidP="0186A00D">
            <w:pPr>
              <w:pStyle w:val="cuadroCabe"/>
              <w:jc w:val="right"/>
              <w:rPr>
                <w:lang w:val="es-ES"/>
              </w:rPr>
            </w:pPr>
            <w:r w:rsidRPr="003A115E">
              <w:rPr>
                <w:lang w:val="es-ES"/>
              </w:rPr>
              <w:t>Más de  40.000</w:t>
            </w:r>
          </w:p>
        </w:tc>
      </w:tr>
      <w:tr w:rsidR="000A742F" w:rsidRPr="003A115E" w14:paraId="0B6661E9" w14:textId="77777777" w:rsidTr="00327F3B">
        <w:trPr>
          <w:trHeight w:val="198"/>
        </w:trPr>
        <w:tc>
          <w:tcPr>
            <w:tcW w:w="3261" w:type="dxa"/>
            <w:tcBorders>
              <w:top w:val="single" w:sz="4" w:space="0" w:color="auto"/>
              <w:left w:val="nil"/>
              <w:bottom w:val="single" w:sz="2" w:space="0" w:color="auto"/>
              <w:right w:val="nil"/>
            </w:tcBorders>
            <w:shd w:val="clear" w:color="auto" w:fill="auto"/>
            <w:noWrap/>
            <w:vAlign w:val="center"/>
            <w:hideMark/>
          </w:tcPr>
          <w:p w14:paraId="16C85E12" w14:textId="77777777" w:rsidR="008B773A" w:rsidRPr="003A115E" w:rsidRDefault="008B773A" w:rsidP="005272BD">
            <w:pPr>
              <w:pStyle w:val="cuatexto"/>
            </w:pPr>
            <w:r w:rsidRPr="003A115E">
              <w:rPr>
                <w:lang w:val="es-ES"/>
              </w:rPr>
              <w:t>Nº ayuntamientos</w:t>
            </w:r>
          </w:p>
        </w:tc>
        <w:tc>
          <w:tcPr>
            <w:tcW w:w="1105" w:type="dxa"/>
            <w:tcBorders>
              <w:top w:val="single" w:sz="4" w:space="0" w:color="auto"/>
              <w:left w:val="nil"/>
              <w:bottom w:val="single" w:sz="2" w:space="0" w:color="auto"/>
              <w:right w:val="nil"/>
            </w:tcBorders>
            <w:shd w:val="clear" w:color="auto" w:fill="auto"/>
            <w:vAlign w:val="center"/>
            <w:hideMark/>
          </w:tcPr>
          <w:p w14:paraId="1FCD8B1E" w14:textId="77777777" w:rsidR="008B773A" w:rsidRPr="003A115E" w:rsidRDefault="008B773A" w:rsidP="005272BD">
            <w:pPr>
              <w:pStyle w:val="cuatexto"/>
              <w:jc w:val="right"/>
            </w:pPr>
            <w:r w:rsidRPr="003A115E">
              <w:t>172</w:t>
            </w:r>
          </w:p>
        </w:tc>
        <w:tc>
          <w:tcPr>
            <w:tcW w:w="1105" w:type="dxa"/>
            <w:tcBorders>
              <w:top w:val="single" w:sz="4" w:space="0" w:color="auto"/>
              <w:left w:val="nil"/>
              <w:bottom w:val="single" w:sz="2" w:space="0" w:color="auto"/>
              <w:right w:val="nil"/>
            </w:tcBorders>
            <w:shd w:val="clear" w:color="auto" w:fill="auto"/>
            <w:vAlign w:val="center"/>
            <w:hideMark/>
          </w:tcPr>
          <w:p w14:paraId="2B5EC8AE" w14:textId="77777777" w:rsidR="008B773A" w:rsidRPr="003A115E" w:rsidRDefault="008B773A" w:rsidP="005272BD">
            <w:pPr>
              <w:pStyle w:val="cuatexto"/>
              <w:jc w:val="right"/>
            </w:pPr>
            <w:r w:rsidRPr="003A115E">
              <w:t>59</w:t>
            </w:r>
          </w:p>
        </w:tc>
        <w:tc>
          <w:tcPr>
            <w:tcW w:w="1106" w:type="dxa"/>
            <w:tcBorders>
              <w:top w:val="single" w:sz="4" w:space="0" w:color="auto"/>
              <w:left w:val="nil"/>
              <w:bottom w:val="single" w:sz="2" w:space="0" w:color="auto"/>
              <w:right w:val="nil"/>
            </w:tcBorders>
            <w:shd w:val="clear" w:color="auto" w:fill="auto"/>
            <w:vAlign w:val="center"/>
            <w:hideMark/>
          </w:tcPr>
          <w:p w14:paraId="6E457953" w14:textId="77777777" w:rsidR="008B773A" w:rsidRPr="003A115E" w:rsidRDefault="008B773A" w:rsidP="005272BD">
            <w:pPr>
              <w:pStyle w:val="cuatexto"/>
              <w:jc w:val="right"/>
            </w:pPr>
            <w:r w:rsidRPr="003A115E">
              <w:t>9</w:t>
            </w:r>
          </w:p>
        </w:tc>
        <w:tc>
          <w:tcPr>
            <w:tcW w:w="1105" w:type="dxa"/>
            <w:tcBorders>
              <w:top w:val="single" w:sz="4" w:space="0" w:color="auto"/>
              <w:left w:val="nil"/>
              <w:bottom w:val="single" w:sz="2" w:space="0" w:color="auto"/>
              <w:right w:val="nil"/>
            </w:tcBorders>
            <w:shd w:val="clear" w:color="auto" w:fill="auto"/>
            <w:vAlign w:val="center"/>
            <w:hideMark/>
          </w:tcPr>
          <w:p w14:paraId="7A4C553E" w14:textId="77777777" w:rsidR="008B773A" w:rsidRPr="003A115E" w:rsidRDefault="008B773A" w:rsidP="005272BD">
            <w:pPr>
              <w:pStyle w:val="cuatexto"/>
              <w:jc w:val="right"/>
            </w:pPr>
            <w:r w:rsidRPr="003A115E">
              <w:t>11</w:t>
            </w:r>
          </w:p>
        </w:tc>
        <w:tc>
          <w:tcPr>
            <w:tcW w:w="1106" w:type="dxa"/>
            <w:tcBorders>
              <w:top w:val="single" w:sz="4" w:space="0" w:color="auto"/>
              <w:left w:val="nil"/>
              <w:bottom w:val="single" w:sz="2" w:space="0" w:color="auto"/>
              <w:right w:val="nil"/>
            </w:tcBorders>
            <w:shd w:val="clear" w:color="auto" w:fill="auto"/>
            <w:vAlign w:val="center"/>
            <w:hideMark/>
          </w:tcPr>
          <w:p w14:paraId="5D6F2189" w14:textId="77777777" w:rsidR="008B773A" w:rsidRPr="003A115E" w:rsidRDefault="008B773A" w:rsidP="005272BD">
            <w:pPr>
              <w:pStyle w:val="cuatexto"/>
              <w:jc w:val="right"/>
            </w:pPr>
            <w:r w:rsidRPr="003A115E">
              <w:t>1</w:t>
            </w:r>
          </w:p>
        </w:tc>
      </w:tr>
      <w:tr w:rsidR="000A742F" w:rsidRPr="003A115E" w14:paraId="1B26F465" w14:textId="77777777" w:rsidTr="00327F3B">
        <w:trPr>
          <w:trHeight w:val="198"/>
        </w:trPr>
        <w:tc>
          <w:tcPr>
            <w:tcW w:w="3261" w:type="dxa"/>
            <w:tcBorders>
              <w:top w:val="single" w:sz="2" w:space="0" w:color="auto"/>
              <w:left w:val="nil"/>
              <w:bottom w:val="single" w:sz="2" w:space="0" w:color="auto"/>
              <w:right w:val="nil"/>
            </w:tcBorders>
            <w:shd w:val="clear" w:color="auto" w:fill="auto"/>
            <w:noWrap/>
            <w:vAlign w:val="center"/>
            <w:hideMark/>
          </w:tcPr>
          <w:p w14:paraId="71C6D2A7" w14:textId="77777777" w:rsidR="008B773A" w:rsidRPr="003A115E" w:rsidRDefault="008B773A" w:rsidP="005272BD">
            <w:pPr>
              <w:pStyle w:val="cuatexto"/>
            </w:pPr>
            <w:r w:rsidRPr="003A115E">
              <w:t>Población total</w:t>
            </w:r>
          </w:p>
        </w:tc>
        <w:tc>
          <w:tcPr>
            <w:tcW w:w="1105" w:type="dxa"/>
            <w:tcBorders>
              <w:top w:val="single" w:sz="2" w:space="0" w:color="auto"/>
              <w:left w:val="nil"/>
              <w:bottom w:val="single" w:sz="2" w:space="0" w:color="auto"/>
              <w:right w:val="nil"/>
            </w:tcBorders>
            <w:shd w:val="clear" w:color="auto" w:fill="auto"/>
            <w:vAlign w:val="center"/>
            <w:hideMark/>
          </w:tcPr>
          <w:p w14:paraId="738C348B" w14:textId="77777777" w:rsidR="008B773A" w:rsidRPr="003A115E" w:rsidRDefault="008B773A" w:rsidP="005272BD">
            <w:pPr>
              <w:pStyle w:val="cuatexto"/>
              <w:jc w:val="right"/>
            </w:pPr>
            <w:r w:rsidRPr="003A115E">
              <w:t>51.667</w:t>
            </w:r>
          </w:p>
        </w:tc>
        <w:tc>
          <w:tcPr>
            <w:tcW w:w="1105" w:type="dxa"/>
            <w:tcBorders>
              <w:top w:val="single" w:sz="2" w:space="0" w:color="auto"/>
              <w:left w:val="nil"/>
              <w:bottom w:val="single" w:sz="2" w:space="0" w:color="auto"/>
              <w:right w:val="nil"/>
            </w:tcBorders>
            <w:shd w:val="clear" w:color="auto" w:fill="auto"/>
            <w:vAlign w:val="center"/>
            <w:hideMark/>
          </w:tcPr>
          <w:p w14:paraId="64C8BDA4" w14:textId="77777777" w:rsidR="008B773A" w:rsidRPr="003A115E" w:rsidRDefault="008B773A" w:rsidP="005272BD">
            <w:pPr>
              <w:pStyle w:val="cuatexto"/>
              <w:jc w:val="right"/>
            </w:pPr>
            <w:r w:rsidRPr="003A115E">
              <w:t>146.889</w:t>
            </w:r>
          </w:p>
        </w:tc>
        <w:tc>
          <w:tcPr>
            <w:tcW w:w="1106" w:type="dxa"/>
            <w:tcBorders>
              <w:top w:val="single" w:sz="2" w:space="0" w:color="auto"/>
              <w:left w:val="nil"/>
              <w:bottom w:val="single" w:sz="2" w:space="0" w:color="auto"/>
              <w:right w:val="nil"/>
            </w:tcBorders>
            <w:shd w:val="clear" w:color="auto" w:fill="auto"/>
            <w:vAlign w:val="center"/>
            <w:hideMark/>
          </w:tcPr>
          <w:p w14:paraId="0420343E" w14:textId="77777777" w:rsidR="008B773A" w:rsidRPr="003A115E" w:rsidRDefault="008B773A" w:rsidP="005272BD">
            <w:pPr>
              <w:pStyle w:val="cuatexto"/>
              <w:jc w:val="right"/>
            </w:pPr>
            <w:r w:rsidRPr="003A115E">
              <w:t>67.240</w:t>
            </w:r>
          </w:p>
        </w:tc>
        <w:tc>
          <w:tcPr>
            <w:tcW w:w="1105" w:type="dxa"/>
            <w:tcBorders>
              <w:top w:val="single" w:sz="2" w:space="0" w:color="auto"/>
              <w:left w:val="nil"/>
              <w:bottom w:val="single" w:sz="2" w:space="0" w:color="auto"/>
              <w:right w:val="nil"/>
            </w:tcBorders>
            <w:shd w:val="clear" w:color="auto" w:fill="auto"/>
            <w:vAlign w:val="center"/>
            <w:hideMark/>
          </w:tcPr>
          <w:p w14:paraId="6280E512" w14:textId="77777777" w:rsidR="008B773A" w:rsidRPr="003A115E" w:rsidRDefault="008B773A" w:rsidP="005272BD">
            <w:pPr>
              <w:pStyle w:val="cuatexto"/>
              <w:jc w:val="right"/>
            </w:pPr>
            <w:r w:rsidRPr="003A115E">
              <w:t>182.558</w:t>
            </w:r>
          </w:p>
        </w:tc>
        <w:tc>
          <w:tcPr>
            <w:tcW w:w="1106" w:type="dxa"/>
            <w:tcBorders>
              <w:top w:val="single" w:sz="2" w:space="0" w:color="auto"/>
              <w:left w:val="nil"/>
              <w:bottom w:val="single" w:sz="2" w:space="0" w:color="auto"/>
              <w:right w:val="nil"/>
            </w:tcBorders>
            <w:shd w:val="clear" w:color="auto" w:fill="auto"/>
            <w:vAlign w:val="center"/>
            <w:hideMark/>
          </w:tcPr>
          <w:p w14:paraId="05E0C660" w14:textId="77777777" w:rsidR="008B773A" w:rsidRPr="003A115E" w:rsidRDefault="008B773A" w:rsidP="005272BD">
            <w:pPr>
              <w:pStyle w:val="cuatexto"/>
              <w:jc w:val="right"/>
            </w:pPr>
            <w:r w:rsidRPr="003A115E">
              <w:t>203.418</w:t>
            </w:r>
          </w:p>
        </w:tc>
      </w:tr>
      <w:tr w:rsidR="000A742F" w:rsidRPr="003A115E" w14:paraId="41706E2B" w14:textId="77777777" w:rsidTr="00327F3B">
        <w:trPr>
          <w:trHeight w:val="198"/>
        </w:trPr>
        <w:tc>
          <w:tcPr>
            <w:tcW w:w="3261" w:type="dxa"/>
            <w:tcBorders>
              <w:top w:val="single" w:sz="2" w:space="0" w:color="auto"/>
              <w:left w:val="nil"/>
              <w:bottom w:val="single" w:sz="2" w:space="0" w:color="auto"/>
              <w:right w:val="nil"/>
            </w:tcBorders>
            <w:shd w:val="clear" w:color="auto" w:fill="auto"/>
            <w:noWrap/>
            <w:vAlign w:val="center"/>
            <w:hideMark/>
          </w:tcPr>
          <w:p w14:paraId="407A7DEA" w14:textId="77777777" w:rsidR="008B773A" w:rsidRPr="003A115E" w:rsidRDefault="008B773A" w:rsidP="005272BD">
            <w:pPr>
              <w:pStyle w:val="cuatexto"/>
            </w:pPr>
            <w:r w:rsidRPr="003A115E">
              <w:t>Ingresos totales (por habitante)</w:t>
            </w:r>
          </w:p>
        </w:tc>
        <w:tc>
          <w:tcPr>
            <w:tcW w:w="1105" w:type="dxa"/>
            <w:tcBorders>
              <w:top w:val="single" w:sz="2" w:space="0" w:color="auto"/>
              <w:left w:val="nil"/>
              <w:bottom w:val="single" w:sz="2" w:space="0" w:color="auto"/>
              <w:right w:val="nil"/>
            </w:tcBorders>
            <w:shd w:val="clear" w:color="auto" w:fill="auto"/>
            <w:noWrap/>
            <w:vAlign w:val="center"/>
            <w:hideMark/>
          </w:tcPr>
          <w:p w14:paraId="363D4ED4" w14:textId="77777777" w:rsidR="008B773A" w:rsidRPr="003A115E" w:rsidRDefault="008B773A" w:rsidP="005272BD">
            <w:pPr>
              <w:pStyle w:val="cuatexto"/>
              <w:jc w:val="right"/>
            </w:pPr>
            <w:r w:rsidRPr="003A115E">
              <w:t>1.745</w:t>
            </w:r>
          </w:p>
        </w:tc>
        <w:tc>
          <w:tcPr>
            <w:tcW w:w="1105" w:type="dxa"/>
            <w:tcBorders>
              <w:top w:val="single" w:sz="2" w:space="0" w:color="auto"/>
              <w:left w:val="nil"/>
              <w:bottom w:val="single" w:sz="2" w:space="0" w:color="auto"/>
              <w:right w:val="nil"/>
            </w:tcBorders>
            <w:shd w:val="clear" w:color="auto" w:fill="auto"/>
            <w:noWrap/>
            <w:vAlign w:val="center"/>
            <w:hideMark/>
          </w:tcPr>
          <w:p w14:paraId="6905E62B" w14:textId="77777777" w:rsidR="008B773A" w:rsidRPr="003A115E" w:rsidRDefault="008B773A" w:rsidP="005272BD">
            <w:pPr>
              <w:pStyle w:val="cuatexto"/>
              <w:jc w:val="right"/>
            </w:pPr>
            <w:r w:rsidRPr="003A115E">
              <w:t>1.448</w:t>
            </w:r>
          </w:p>
        </w:tc>
        <w:tc>
          <w:tcPr>
            <w:tcW w:w="1106" w:type="dxa"/>
            <w:tcBorders>
              <w:top w:val="single" w:sz="2" w:space="0" w:color="auto"/>
              <w:left w:val="nil"/>
              <w:bottom w:val="single" w:sz="2" w:space="0" w:color="auto"/>
              <w:right w:val="nil"/>
            </w:tcBorders>
            <w:shd w:val="clear" w:color="auto" w:fill="auto"/>
            <w:noWrap/>
            <w:vAlign w:val="center"/>
            <w:hideMark/>
          </w:tcPr>
          <w:p w14:paraId="225BE095" w14:textId="77777777" w:rsidR="008B773A" w:rsidRPr="003A115E" w:rsidRDefault="008B773A" w:rsidP="005272BD">
            <w:pPr>
              <w:pStyle w:val="cuatexto"/>
              <w:jc w:val="right"/>
            </w:pPr>
            <w:r w:rsidRPr="003A115E">
              <w:t>1.232</w:t>
            </w:r>
          </w:p>
        </w:tc>
        <w:tc>
          <w:tcPr>
            <w:tcW w:w="1105" w:type="dxa"/>
            <w:tcBorders>
              <w:top w:val="single" w:sz="2" w:space="0" w:color="auto"/>
              <w:left w:val="nil"/>
              <w:bottom w:val="single" w:sz="2" w:space="0" w:color="auto"/>
              <w:right w:val="nil"/>
            </w:tcBorders>
            <w:shd w:val="clear" w:color="auto" w:fill="auto"/>
            <w:noWrap/>
            <w:vAlign w:val="center"/>
            <w:hideMark/>
          </w:tcPr>
          <w:p w14:paraId="39C36941" w14:textId="77777777" w:rsidR="008B773A" w:rsidRPr="003A115E" w:rsidRDefault="008B773A" w:rsidP="005272BD">
            <w:pPr>
              <w:pStyle w:val="cuatexto"/>
              <w:jc w:val="right"/>
            </w:pPr>
            <w:r w:rsidRPr="003A115E">
              <w:t>1.117</w:t>
            </w:r>
          </w:p>
        </w:tc>
        <w:tc>
          <w:tcPr>
            <w:tcW w:w="1106" w:type="dxa"/>
            <w:tcBorders>
              <w:top w:val="single" w:sz="2" w:space="0" w:color="auto"/>
              <w:left w:val="nil"/>
              <w:bottom w:val="single" w:sz="2" w:space="0" w:color="auto"/>
              <w:right w:val="nil"/>
            </w:tcBorders>
            <w:shd w:val="clear" w:color="auto" w:fill="auto"/>
            <w:noWrap/>
            <w:vAlign w:val="center"/>
            <w:hideMark/>
          </w:tcPr>
          <w:p w14:paraId="18A9B423" w14:textId="77777777" w:rsidR="008B773A" w:rsidRPr="003A115E" w:rsidRDefault="008B773A" w:rsidP="005272BD">
            <w:pPr>
              <w:pStyle w:val="cuatexto"/>
              <w:jc w:val="right"/>
            </w:pPr>
            <w:r w:rsidRPr="003A115E">
              <w:t>1.329</w:t>
            </w:r>
          </w:p>
        </w:tc>
      </w:tr>
      <w:tr w:rsidR="000A742F" w:rsidRPr="003A115E" w14:paraId="27DE45A3" w14:textId="77777777" w:rsidTr="00327F3B">
        <w:trPr>
          <w:trHeight w:val="198"/>
        </w:trPr>
        <w:tc>
          <w:tcPr>
            <w:tcW w:w="3261" w:type="dxa"/>
            <w:tcBorders>
              <w:top w:val="single" w:sz="2" w:space="0" w:color="auto"/>
              <w:left w:val="nil"/>
              <w:bottom w:val="single" w:sz="2" w:space="0" w:color="auto"/>
              <w:right w:val="nil"/>
            </w:tcBorders>
            <w:shd w:val="clear" w:color="auto" w:fill="auto"/>
            <w:vAlign w:val="center"/>
            <w:hideMark/>
          </w:tcPr>
          <w:p w14:paraId="113F3E17" w14:textId="77777777" w:rsidR="008B773A" w:rsidRPr="003A115E" w:rsidRDefault="008B773A" w:rsidP="005272BD">
            <w:pPr>
              <w:pStyle w:val="cuatexto"/>
            </w:pPr>
            <w:r w:rsidRPr="003A115E">
              <w:t>Ingresos corrientes (por habitante)</w:t>
            </w:r>
          </w:p>
        </w:tc>
        <w:tc>
          <w:tcPr>
            <w:tcW w:w="1105" w:type="dxa"/>
            <w:tcBorders>
              <w:top w:val="single" w:sz="2" w:space="0" w:color="auto"/>
              <w:left w:val="nil"/>
              <w:bottom w:val="single" w:sz="2" w:space="0" w:color="auto"/>
              <w:right w:val="nil"/>
            </w:tcBorders>
            <w:shd w:val="clear" w:color="auto" w:fill="auto"/>
            <w:noWrap/>
            <w:vAlign w:val="center"/>
            <w:hideMark/>
          </w:tcPr>
          <w:p w14:paraId="423DC35C" w14:textId="77777777" w:rsidR="008B773A" w:rsidRPr="003A115E" w:rsidRDefault="008B773A" w:rsidP="005272BD">
            <w:pPr>
              <w:pStyle w:val="cuatexto"/>
              <w:jc w:val="right"/>
            </w:pPr>
            <w:r w:rsidRPr="003A115E">
              <w:t>1.441</w:t>
            </w:r>
          </w:p>
        </w:tc>
        <w:tc>
          <w:tcPr>
            <w:tcW w:w="1105" w:type="dxa"/>
            <w:tcBorders>
              <w:top w:val="single" w:sz="2" w:space="0" w:color="auto"/>
              <w:left w:val="nil"/>
              <w:bottom w:val="single" w:sz="2" w:space="0" w:color="auto"/>
              <w:right w:val="nil"/>
            </w:tcBorders>
            <w:shd w:val="clear" w:color="auto" w:fill="auto"/>
            <w:noWrap/>
            <w:vAlign w:val="center"/>
            <w:hideMark/>
          </w:tcPr>
          <w:p w14:paraId="567C7371" w14:textId="77777777" w:rsidR="008B773A" w:rsidRPr="003A115E" w:rsidRDefault="008B773A" w:rsidP="005272BD">
            <w:pPr>
              <w:pStyle w:val="cuatexto"/>
              <w:jc w:val="right"/>
            </w:pPr>
            <w:r w:rsidRPr="003A115E">
              <w:t>1.257</w:t>
            </w:r>
          </w:p>
        </w:tc>
        <w:tc>
          <w:tcPr>
            <w:tcW w:w="1106" w:type="dxa"/>
            <w:tcBorders>
              <w:top w:val="single" w:sz="2" w:space="0" w:color="auto"/>
              <w:left w:val="nil"/>
              <w:bottom w:val="single" w:sz="2" w:space="0" w:color="auto"/>
              <w:right w:val="nil"/>
            </w:tcBorders>
            <w:shd w:val="clear" w:color="auto" w:fill="auto"/>
            <w:noWrap/>
            <w:vAlign w:val="center"/>
            <w:hideMark/>
          </w:tcPr>
          <w:p w14:paraId="7F6599C7" w14:textId="77777777" w:rsidR="008B773A" w:rsidRPr="003A115E" w:rsidRDefault="008B773A" w:rsidP="005272BD">
            <w:pPr>
              <w:pStyle w:val="cuatexto"/>
              <w:jc w:val="right"/>
            </w:pPr>
            <w:r w:rsidRPr="003A115E">
              <w:t>1.132</w:t>
            </w:r>
          </w:p>
        </w:tc>
        <w:tc>
          <w:tcPr>
            <w:tcW w:w="1105" w:type="dxa"/>
            <w:tcBorders>
              <w:top w:val="single" w:sz="2" w:space="0" w:color="auto"/>
              <w:left w:val="nil"/>
              <w:bottom w:val="single" w:sz="2" w:space="0" w:color="auto"/>
              <w:right w:val="nil"/>
            </w:tcBorders>
            <w:shd w:val="clear" w:color="auto" w:fill="auto"/>
            <w:noWrap/>
            <w:vAlign w:val="center"/>
            <w:hideMark/>
          </w:tcPr>
          <w:p w14:paraId="77C95E6D" w14:textId="77777777" w:rsidR="008B773A" w:rsidRPr="003A115E" w:rsidRDefault="008B773A" w:rsidP="005272BD">
            <w:pPr>
              <w:pStyle w:val="cuatexto"/>
              <w:jc w:val="right"/>
            </w:pPr>
            <w:r w:rsidRPr="003A115E">
              <w:t>992</w:t>
            </w:r>
          </w:p>
        </w:tc>
        <w:tc>
          <w:tcPr>
            <w:tcW w:w="1106" w:type="dxa"/>
            <w:tcBorders>
              <w:top w:val="single" w:sz="2" w:space="0" w:color="auto"/>
              <w:left w:val="nil"/>
              <w:bottom w:val="single" w:sz="2" w:space="0" w:color="auto"/>
              <w:right w:val="nil"/>
            </w:tcBorders>
            <w:shd w:val="clear" w:color="auto" w:fill="auto"/>
            <w:noWrap/>
            <w:vAlign w:val="center"/>
            <w:hideMark/>
          </w:tcPr>
          <w:p w14:paraId="0338749C" w14:textId="77777777" w:rsidR="008B773A" w:rsidRPr="003A115E" w:rsidRDefault="008B773A" w:rsidP="005272BD">
            <w:pPr>
              <w:pStyle w:val="cuatexto"/>
              <w:jc w:val="right"/>
            </w:pPr>
            <w:r w:rsidRPr="003A115E">
              <w:t>1.129</w:t>
            </w:r>
          </w:p>
        </w:tc>
      </w:tr>
      <w:tr w:rsidR="000A742F" w:rsidRPr="003A115E" w14:paraId="752654F5" w14:textId="77777777" w:rsidTr="00327F3B">
        <w:trPr>
          <w:trHeight w:val="198"/>
        </w:trPr>
        <w:tc>
          <w:tcPr>
            <w:tcW w:w="3261" w:type="dxa"/>
            <w:tcBorders>
              <w:top w:val="single" w:sz="2" w:space="0" w:color="auto"/>
              <w:left w:val="nil"/>
              <w:bottom w:val="single" w:sz="2" w:space="0" w:color="auto"/>
              <w:right w:val="nil"/>
            </w:tcBorders>
            <w:shd w:val="clear" w:color="auto" w:fill="auto"/>
            <w:noWrap/>
            <w:vAlign w:val="center"/>
            <w:hideMark/>
          </w:tcPr>
          <w:p w14:paraId="15224434" w14:textId="77777777" w:rsidR="008B773A" w:rsidRPr="003A115E" w:rsidRDefault="008B773A" w:rsidP="005272BD">
            <w:pPr>
              <w:pStyle w:val="cuatexto"/>
            </w:pPr>
            <w:r w:rsidRPr="003A115E">
              <w:t>Ingresos de capital (por habitante)</w:t>
            </w:r>
          </w:p>
        </w:tc>
        <w:tc>
          <w:tcPr>
            <w:tcW w:w="1105" w:type="dxa"/>
            <w:tcBorders>
              <w:top w:val="single" w:sz="2" w:space="0" w:color="auto"/>
              <w:left w:val="nil"/>
              <w:bottom w:val="single" w:sz="2" w:space="0" w:color="auto"/>
              <w:right w:val="nil"/>
            </w:tcBorders>
            <w:shd w:val="clear" w:color="auto" w:fill="auto"/>
            <w:noWrap/>
            <w:vAlign w:val="center"/>
            <w:hideMark/>
          </w:tcPr>
          <w:p w14:paraId="5E9F3C08" w14:textId="77777777" w:rsidR="008B773A" w:rsidRPr="003A115E" w:rsidRDefault="008B773A" w:rsidP="005272BD">
            <w:pPr>
              <w:pStyle w:val="cuatexto"/>
              <w:jc w:val="right"/>
            </w:pPr>
            <w:r w:rsidRPr="003A115E">
              <w:t>305</w:t>
            </w:r>
          </w:p>
        </w:tc>
        <w:tc>
          <w:tcPr>
            <w:tcW w:w="1105" w:type="dxa"/>
            <w:tcBorders>
              <w:top w:val="single" w:sz="2" w:space="0" w:color="auto"/>
              <w:left w:val="nil"/>
              <w:bottom w:val="single" w:sz="2" w:space="0" w:color="auto"/>
              <w:right w:val="nil"/>
            </w:tcBorders>
            <w:shd w:val="clear" w:color="auto" w:fill="auto"/>
            <w:noWrap/>
            <w:vAlign w:val="center"/>
            <w:hideMark/>
          </w:tcPr>
          <w:p w14:paraId="1DCEE124" w14:textId="77777777" w:rsidR="008B773A" w:rsidRPr="003A115E" w:rsidRDefault="008B773A" w:rsidP="005272BD">
            <w:pPr>
              <w:pStyle w:val="cuatexto"/>
              <w:jc w:val="right"/>
            </w:pPr>
            <w:r w:rsidRPr="003A115E">
              <w:t>191</w:t>
            </w:r>
          </w:p>
        </w:tc>
        <w:tc>
          <w:tcPr>
            <w:tcW w:w="1106" w:type="dxa"/>
            <w:tcBorders>
              <w:top w:val="single" w:sz="2" w:space="0" w:color="auto"/>
              <w:left w:val="nil"/>
              <w:bottom w:val="single" w:sz="2" w:space="0" w:color="auto"/>
              <w:right w:val="nil"/>
            </w:tcBorders>
            <w:shd w:val="clear" w:color="auto" w:fill="auto"/>
            <w:noWrap/>
            <w:vAlign w:val="center"/>
            <w:hideMark/>
          </w:tcPr>
          <w:p w14:paraId="249FDA93" w14:textId="77777777" w:rsidR="008B773A" w:rsidRPr="003A115E" w:rsidRDefault="008B773A" w:rsidP="005272BD">
            <w:pPr>
              <w:pStyle w:val="cuatexto"/>
              <w:jc w:val="right"/>
            </w:pPr>
            <w:r w:rsidRPr="003A115E">
              <w:t>99</w:t>
            </w:r>
          </w:p>
        </w:tc>
        <w:tc>
          <w:tcPr>
            <w:tcW w:w="1105" w:type="dxa"/>
            <w:tcBorders>
              <w:top w:val="single" w:sz="2" w:space="0" w:color="auto"/>
              <w:left w:val="nil"/>
              <w:bottom w:val="single" w:sz="2" w:space="0" w:color="auto"/>
              <w:right w:val="nil"/>
            </w:tcBorders>
            <w:shd w:val="clear" w:color="auto" w:fill="auto"/>
            <w:noWrap/>
            <w:vAlign w:val="center"/>
            <w:hideMark/>
          </w:tcPr>
          <w:p w14:paraId="23911198" w14:textId="77777777" w:rsidR="008B773A" w:rsidRPr="003A115E" w:rsidRDefault="008B773A" w:rsidP="005272BD">
            <w:pPr>
              <w:pStyle w:val="cuatexto"/>
              <w:jc w:val="right"/>
            </w:pPr>
            <w:r w:rsidRPr="003A115E">
              <w:t>125</w:t>
            </w:r>
          </w:p>
        </w:tc>
        <w:tc>
          <w:tcPr>
            <w:tcW w:w="1106" w:type="dxa"/>
            <w:tcBorders>
              <w:top w:val="single" w:sz="2" w:space="0" w:color="auto"/>
              <w:left w:val="nil"/>
              <w:bottom w:val="single" w:sz="2" w:space="0" w:color="auto"/>
              <w:right w:val="nil"/>
            </w:tcBorders>
            <w:shd w:val="clear" w:color="auto" w:fill="auto"/>
            <w:noWrap/>
            <w:vAlign w:val="center"/>
            <w:hideMark/>
          </w:tcPr>
          <w:p w14:paraId="0F5CC60B" w14:textId="77777777" w:rsidR="008B773A" w:rsidRPr="003A115E" w:rsidRDefault="008B773A" w:rsidP="005272BD">
            <w:pPr>
              <w:pStyle w:val="cuatexto"/>
              <w:jc w:val="right"/>
            </w:pPr>
            <w:r w:rsidRPr="003A115E">
              <w:t>200</w:t>
            </w:r>
          </w:p>
        </w:tc>
      </w:tr>
      <w:tr w:rsidR="000A742F" w:rsidRPr="003A115E" w14:paraId="29BAE732" w14:textId="77777777" w:rsidTr="00327F3B">
        <w:trPr>
          <w:trHeight w:val="198"/>
        </w:trPr>
        <w:tc>
          <w:tcPr>
            <w:tcW w:w="3261" w:type="dxa"/>
            <w:tcBorders>
              <w:top w:val="single" w:sz="2" w:space="0" w:color="auto"/>
              <w:left w:val="nil"/>
              <w:bottom w:val="single" w:sz="2" w:space="0" w:color="auto"/>
              <w:right w:val="nil"/>
            </w:tcBorders>
            <w:shd w:val="clear" w:color="auto" w:fill="auto"/>
            <w:vAlign w:val="center"/>
            <w:hideMark/>
          </w:tcPr>
          <w:p w14:paraId="5A962759" w14:textId="77777777" w:rsidR="008B773A" w:rsidRPr="003A115E" w:rsidRDefault="008B773A" w:rsidP="005272BD">
            <w:pPr>
              <w:pStyle w:val="cuatexto"/>
            </w:pPr>
            <w:r w:rsidRPr="003A115E">
              <w:rPr>
                <w:lang w:val="es-ES"/>
              </w:rPr>
              <w:t>Gastos de funcionamiento (por habit.)</w:t>
            </w:r>
          </w:p>
        </w:tc>
        <w:tc>
          <w:tcPr>
            <w:tcW w:w="1105" w:type="dxa"/>
            <w:tcBorders>
              <w:top w:val="single" w:sz="2" w:space="0" w:color="auto"/>
              <w:left w:val="nil"/>
              <w:bottom w:val="single" w:sz="2" w:space="0" w:color="auto"/>
              <w:right w:val="nil"/>
            </w:tcBorders>
            <w:shd w:val="clear" w:color="auto" w:fill="auto"/>
            <w:noWrap/>
            <w:vAlign w:val="center"/>
            <w:hideMark/>
          </w:tcPr>
          <w:p w14:paraId="4D707459" w14:textId="77777777" w:rsidR="008B773A" w:rsidRPr="003A115E" w:rsidRDefault="008B773A" w:rsidP="005272BD">
            <w:pPr>
              <w:pStyle w:val="cuatexto"/>
              <w:jc w:val="right"/>
            </w:pPr>
            <w:r w:rsidRPr="003A115E">
              <w:t>1.100</w:t>
            </w:r>
          </w:p>
        </w:tc>
        <w:tc>
          <w:tcPr>
            <w:tcW w:w="1105" w:type="dxa"/>
            <w:tcBorders>
              <w:top w:val="single" w:sz="2" w:space="0" w:color="auto"/>
              <w:left w:val="nil"/>
              <w:bottom w:val="single" w:sz="2" w:space="0" w:color="auto"/>
              <w:right w:val="nil"/>
            </w:tcBorders>
            <w:shd w:val="clear" w:color="auto" w:fill="auto"/>
            <w:noWrap/>
            <w:vAlign w:val="center"/>
            <w:hideMark/>
          </w:tcPr>
          <w:p w14:paraId="6E2C4D33" w14:textId="77777777" w:rsidR="008B773A" w:rsidRPr="003A115E" w:rsidRDefault="008B773A" w:rsidP="005272BD">
            <w:pPr>
              <w:pStyle w:val="cuatexto"/>
              <w:jc w:val="right"/>
            </w:pPr>
            <w:r w:rsidRPr="003A115E">
              <w:t>1.049</w:t>
            </w:r>
          </w:p>
        </w:tc>
        <w:tc>
          <w:tcPr>
            <w:tcW w:w="1106" w:type="dxa"/>
            <w:tcBorders>
              <w:top w:val="single" w:sz="2" w:space="0" w:color="auto"/>
              <w:left w:val="nil"/>
              <w:bottom w:val="single" w:sz="2" w:space="0" w:color="auto"/>
              <w:right w:val="nil"/>
            </w:tcBorders>
            <w:shd w:val="clear" w:color="auto" w:fill="auto"/>
            <w:noWrap/>
            <w:vAlign w:val="center"/>
            <w:hideMark/>
          </w:tcPr>
          <w:p w14:paraId="349A99AF" w14:textId="77777777" w:rsidR="008B773A" w:rsidRPr="003A115E" w:rsidRDefault="008B773A" w:rsidP="005272BD">
            <w:pPr>
              <w:pStyle w:val="cuatexto"/>
              <w:jc w:val="right"/>
            </w:pPr>
            <w:r w:rsidRPr="003A115E">
              <w:t>978</w:t>
            </w:r>
          </w:p>
        </w:tc>
        <w:tc>
          <w:tcPr>
            <w:tcW w:w="1105" w:type="dxa"/>
            <w:tcBorders>
              <w:top w:val="single" w:sz="2" w:space="0" w:color="auto"/>
              <w:left w:val="nil"/>
              <w:bottom w:val="single" w:sz="2" w:space="0" w:color="auto"/>
              <w:right w:val="nil"/>
            </w:tcBorders>
            <w:shd w:val="clear" w:color="auto" w:fill="auto"/>
            <w:noWrap/>
            <w:vAlign w:val="center"/>
            <w:hideMark/>
          </w:tcPr>
          <w:p w14:paraId="2A06A7AA" w14:textId="77777777" w:rsidR="008B773A" w:rsidRPr="003A115E" w:rsidRDefault="008B773A" w:rsidP="005272BD">
            <w:pPr>
              <w:pStyle w:val="cuatexto"/>
              <w:jc w:val="right"/>
            </w:pPr>
            <w:r w:rsidRPr="003A115E">
              <w:t>887</w:t>
            </w:r>
          </w:p>
        </w:tc>
        <w:tc>
          <w:tcPr>
            <w:tcW w:w="1106" w:type="dxa"/>
            <w:tcBorders>
              <w:top w:val="single" w:sz="2" w:space="0" w:color="auto"/>
              <w:left w:val="nil"/>
              <w:bottom w:val="single" w:sz="2" w:space="0" w:color="auto"/>
              <w:right w:val="nil"/>
            </w:tcBorders>
            <w:shd w:val="clear" w:color="auto" w:fill="auto"/>
            <w:noWrap/>
            <w:vAlign w:val="center"/>
            <w:hideMark/>
          </w:tcPr>
          <w:p w14:paraId="5C5AFD79" w14:textId="77777777" w:rsidR="008B773A" w:rsidRPr="003A115E" w:rsidRDefault="008B773A" w:rsidP="005272BD">
            <w:pPr>
              <w:pStyle w:val="cuatexto"/>
              <w:jc w:val="right"/>
            </w:pPr>
            <w:r w:rsidRPr="003A115E">
              <w:t>1.023</w:t>
            </w:r>
          </w:p>
        </w:tc>
      </w:tr>
      <w:tr w:rsidR="000A742F" w:rsidRPr="003A115E" w14:paraId="5B59B1ED" w14:textId="77777777" w:rsidTr="00327F3B">
        <w:trPr>
          <w:trHeight w:val="198"/>
        </w:trPr>
        <w:tc>
          <w:tcPr>
            <w:tcW w:w="3261" w:type="dxa"/>
            <w:tcBorders>
              <w:top w:val="single" w:sz="2" w:space="0" w:color="auto"/>
              <w:left w:val="nil"/>
              <w:bottom w:val="single" w:sz="2" w:space="0" w:color="auto"/>
              <w:right w:val="nil"/>
            </w:tcBorders>
            <w:shd w:val="clear" w:color="auto" w:fill="auto"/>
            <w:noWrap/>
            <w:vAlign w:val="center"/>
            <w:hideMark/>
          </w:tcPr>
          <w:p w14:paraId="024433A6" w14:textId="77777777" w:rsidR="008B773A" w:rsidRPr="003A115E" w:rsidRDefault="008B773A" w:rsidP="005272BD">
            <w:pPr>
              <w:pStyle w:val="cuatexto"/>
            </w:pPr>
            <w:r w:rsidRPr="003A115E">
              <w:t>Gastos de capital (por habitante)</w:t>
            </w:r>
          </w:p>
        </w:tc>
        <w:tc>
          <w:tcPr>
            <w:tcW w:w="1105" w:type="dxa"/>
            <w:tcBorders>
              <w:top w:val="single" w:sz="2" w:space="0" w:color="auto"/>
              <w:left w:val="nil"/>
              <w:bottom w:val="single" w:sz="2" w:space="0" w:color="auto"/>
              <w:right w:val="nil"/>
            </w:tcBorders>
            <w:shd w:val="clear" w:color="auto" w:fill="auto"/>
            <w:noWrap/>
            <w:vAlign w:val="center"/>
            <w:hideMark/>
          </w:tcPr>
          <w:p w14:paraId="0D7E098D" w14:textId="77777777" w:rsidR="008B773A" w:rsidRPr="003A115E" w:rsidRDefault="008B773A" w:rsidP="005272BD">
            <w:pPr>
              <w:pStyle w:val="cuatexto"/>
              <w:jc w:val="right"/>
            </w:pPr>
            <w:r w:rsidRPr="003A115E">
              <w:t>448</w:t>
            </w:r>
          </w:p>
        </w:tc>
        <w:tc>
          <w:tcPr>
            <w:tcW w:w="1105" w:type="dxa"/>
            <w:tcBorders>
              <w:top w:val="single" w:sz="2" w:space="0" w:color="auto"/>
              <w:left w:val="nil"/>
              <w:bottom w:val="single" w:sz="2" w:space="0" w:color="auto"/>
              <w:right w:val="nil"/>
            </w:tcBorders>
            <w:shd w:val="clear" w:color="auto" w:fill="auto"/>
            <w:noWrap/>
            <w:vAlign w:val="center"/>
            <w:hideMark/>
          </w:tcPr>
          <w:p w14:paraId="37411A14" w14:textId="77777777" w:rsidR="008B773A" w:rsidRPr="003A115E" w:rsidRDefault="008B773A" w:rsidP="005272BD">
            <w:pPr>
              <w:pStyle w:val="cuatexto"/>
              <w:jc w:val="right"/>
            </w:pPr>
            <w:r w:rsidRPr="003A115E">
              <w:t>310</w:t>
            </w:r>
          </w:p>
        </w:tc>
        <w:tc>
          <w:tcPr>
            <w:tcW w:w="1106" w:type="dxa"/>
            <w:tcBorders>
              <w:top w:val="single" w:sz="2" w:space="0" w:color="auto"/>
              <w:left w:val="nil"/>
              <w:bottom w:val="single" w:sz="2" w:space="0" w:color="auto"/>
              <w:right w:val="nil"/>
            </w:tcBorders>
            <w:shd w:val="clear" w:color="auto" w:fill="auto"/>
            <w:noWrap/>
            <w:vAlign w:val="center"/>
            <w:hideMark/>
          </w:tcPr>
          <w:p w14:paraId="5792300E" w14:textId="77777777" w:rsidR="008B773A" w:rsidRPr="003A115E" w:rsidRDefault="008B773A" w:rsidP="005272BD">
            <w:pPr>
              <w:pStyle w:val="cuatexto"/>
              <w:jc w:val="right"/>
            </w:pPr>
            <w:r w:rsidRPr="003A115E">
              <w:t>198</w:t>
            </w:r>
          </w:p>
        </w:tc>
        <w:tc>
          <w:tcPr>
            <w:tcW w:w="1105" w:type="dxa"/>
            <w:tcBorders>
              <w:top w:val="single" w:sz="2" w:space="0" w:color="auto"/>
              <w:left w:val="nil"/>
              <w:bottom w:val="single" w:sz="2" w:space="0" w:color="auto"/>
              <w:right w:val="nil"/>
            </w:tcBorders>
            <w:shd w:val="clear" w:color="auto" w:fill="auto"/>
            <w:noWrap/>
            <w:vAlign w:val="center"/>
            <w:hideMark/>
          </w:tcPr>
          <w:p w14:paraId="1E4A6B2B" w14:textId="77777777" w:rsidR="008B773A" w:rsidRPr="003A115E" w:rsidRDefault="008B773A" w:rsidP="005272BD">
            <w:pPr>
              <w:pStyle w:val="cuatexto"/>
              <w:jc w:val="right"/>
            </w:pPr>
            <w:r w:rsidRPr="003A115E">
              <w:t>125</w:t>
            </w:r>
          </w:p>
        </w:tc>
        <w:tc>
          <w:tcPr>
            <w:tcW w:w="1106" w:type="dxa"/>
            <w:tcBorders>
              <w:top w:val="single" w:sz="2" w:space="0" w:color="auto"/>
              <w:left w:val="nil"/>
              <w:bottom w:val="single" w:sz="2" w:space="0" w:color="auto"/>
              <w:right w:val="nil"/>
            </w:tcBorders>
            <w:shd w:val="clear" w:color="auto" w:fill="auto"/>
            <w:noWrap/>
            <w:vAlign w:val="center"/>
            <w:hideMark/>
          </w:tcPr>
          <w:p w14:paraId="27FE218C" w14:textId="77777777" w:rsidR="008B773A" w:rsidRPr="003A115E" w:rsidRDefault="008B773A" w:rsidP="005272BD">
            <w:pPr>
              <w:pStyle w:val="cuatexto"/>
              <w:jc w:val="right"/>
            </w:pPr>
            <w:r w:rsidRPr="003A115E">
              <w:t>171</w:t>
            </w:r>
          </w:p>
        </w:tc>
      </w:tr>
      <w:tr w:rsidR="000A742F" w:rsidRPr="003A115E" w14:paraId="428E36C5" w14:textId="77777777" w:rsidTr="00327F3B">
        <w:trPr>
          <w:trHeight w:val="198"/>
        </w:trPr>
        <w:tc>
          <w:tcPr>
            <w:tcW w:w="3261" w:type="dxa"/>
            <w:tcBorders>
              <w:top w:val="single" w:sz="2" w:space="0" w:color="auto"/>
              <w:left w:val="nil"/>
              <w:bottom w:val="single" w:sz="2" w:space="0" w:color="auto"/>
              <w:right w:val="nil"/>
            </w:tcBorders>
            <w:shd w:val="clear" w:color="auto" w:fill="auto"/>
            <w:noWrap/>
            <w:vAlign w:val="center"/>
            <w:hideMark/>
          </w:tcPr>
          <w:p w14:paraId="1B0BC889" w14:textId="77777777" w:rsidR="008B773A" w:rsidRPr="003A115E" w:rsidRDefault="008B773A" w:rsidP="005272BD">
            <w:pPr>
              <w:pStyle w:val="cuatexto"/>
            </w:pPr>
            <w:r w:rsidRPr="003A115E">
              <w:rPr>
                <w:lang w:val="es-ES"/>
              </w:rPr>
              <w:t>Carga financiera(por habitante)</w:t>
            </w:r>
          </w:p>
        </w:tc>
        <w:tc>
          <w:tcPr>
            <w:tcW w:w="1105" w:type="dxa"/>
            <w:tcBorders>
              <w:top w:val="single" w:sz="2" w:space="0" w:color="auto"/>
              <w:left w:val="nil"/>
              <w:bottom w:val="single" w:sz="2" w:space="0" w:color="auto"/>
              <w:right w:val="nil"/>
            </w:tcBorders>
            <w:shd w:val="clear" w:color="auto" w:fill="auto"/>
            <w:noWrap/>
            <w:vAlign w:val="center"/>
            <w:hideMark/>
          </w:tcPr>
          <w:p w14:paraId="2E18F7C7" w14:textId="77777777" w:rsidR="008B773A" w:rsidRPr="003A115E" w:rsidRDefault="008B773A" w:rsidP="005272BD">
            <w:pPr>
              <w:pStyle w:val="cuatexto"/>
              <w:jc w:val="right"/>
            </w:pPr>
            <w:r w:rsidRPr="003A115E">
              <w:t>37</w:t>
            </w:r>
          </w:p>
        </w:tc>
        <w:tc>
          <w:tcPr>
            <w:tcW w:w="1105" w:type="dxa"/>
            <w:tcBorders>
              <w:top w:val="single" w:sz="2" w:space="0" w:color="auto"/>
              <w:left w:val="nil"/>
              <w:bottom w:val="single" w:sz="2" w:space="0" w:color="auto"/>
              <w:right w:val="nil"/>
            </w:tcBorders>
            <w:shd w:val="clear" w:color="auto" w:fill="auto"/>
            <w:noWrap/>
            <w:vAlign w:val="center"/>
            <w:hideMark/>
          </w:tcPr>
          <w:p w14:paraId="0EE65620" w14:textId="77777777" w:rsidR="008B773A" w:rsidRPr="003A115E" w:rsidRDefault="008B773A" w:rsidP="005272BD">
            <w:pPr>
              <w:pStyle w:val="cuatexto"/>
              <w:jc w:val="right"/>
            </w:pPr>
            <w:r w:rsidRPr="003A115E">
              <w:t>34</w:t>
            </w:r>
          </w:p>
        </w:tc>
        <w:tc>
          <w:tcPr>
            <w:tcW w:w="1106" w:type="dxa"/>
            <w:tcBorders>
              <w:top w:val="single" w:sz="2" w:space="0" w:color="auto"/>
              <w:left w:val="nil"/>
              <w:bottom w:val="single" w:sz="2" w:space="0" w:color="auto"/>
              <w:right w:val="nil"/>
            </w:tcBorders>
            <w:shd w:val="clear" w:color="auto" w:fill="auto"/>
            <w:noWrap/>
            <w:vAlign w:val="center"/>
            <w:hideMark/>
          </w:tcPr>
          <w:p w14:paraId="3582D262" w14:textId="77777777" w:rsidR="008B773A" w:rsidRPr="003A115E" w:rsidRDefault="008B773A" w:rsidP="005272BD">
            <w:pPr>
              <w:pStyle w:val="cuatexto"/>
              <w:jc w:val="right"/>
            </w:pPr>
            <w:r w:rsidRPr="003A115E">
              <w:t>27</w:t>
            </w:r>
          </w:p>
        </w:tc>
        <w:tc>
          <w:tcPr>
            <w:tcW w:w="1105" w:type="dxa"/>
            <w:tcBorders>
              <w:top w:val="single" w:sz="2" w:space="0" w:color="auto"/>
              <w:left w:val="nil"/>
              <w:bottom w:val="single" w:sz="2" w:space="0" w:color="auto"/>
              <w:right w:val="nil"/>
            </w:tcBorders>
            <w:shd w:val="clear" w:color="auto" w:fill="auto"/>
            <w:noWrap/>
            <w:vAlign w:val="center"/>
            <w:hideMark/>
          </w:tcPr>
          <w:p w14:paraId="76CDBB63" w14:textId="77777777" w:rsidR="008B773A" w:rsidRPr="003A115E" w:rsidRDefault="008B773A" w:rsidP="005272BD">
            <w:pPr>
              <w:pStyle w:val="cuatexto"/>
              <w:jc w:val="right"/>
            </w:pPr>
            <w:r w:rsidRPr="003A115E">
              <w:t>18</w:t>
            </w:r>
          </w:p>
        </w:tc>
        <w:tc>
          <w:tcPr>
            <w:tcW w:w="1106" w:type="dxa"/>
            <w:tcBorders>
              <w:top w:val="single" w:sz="2" w:space="0" w:color="auto"/>
              <w:left w:val="nil"/>
              <w:bottom w:val="single" w:sz="2" w:space="0" w:color="auto"/>
              <w:right w:val="nil"/>
            </w:tcBorders>
            <w:shd w:val="clear" w:color="auto" w:fill="auto"/>
            <w:noWrap/>
            <w:vAlign w:val="center"/>
            <w:hideMark/>
          </w:tcPr>
          <w:p w14:paraId="4D9AB13C" w14:textId="77777777" w:rsidR="008B773A" w:rsidRPr="003A115E" w:rsidRDefault="008B773A" w:rsidP="005272BD">
            <w:pPr>
              <w:pStyle w:val="cuatexto"/>
              <w:jc w:val="right"/>
            </w:pPr>
            <w:r w:rsidRPr="003A115E">
              <w:t>40</w:t>
            </w:r>
          </w:p>
        </w:tc>
      </w:tr>
      <w:tr w:rsidR="000A742F" w:rsidRPr="003A115E" w14:paraId="0E38F32C" w14:textId="77777777" w:rsidTr="00327F3B">
        <w:trPr>
          <w:trHeight w:val="198"/>
        </w:trPr>
        <w:tc>
          <w:tcPr>
            <w:tcW w:w="3261" w:type="dxa"/>
            <w:tcBorders>
              <w:top w:val="single" w:sz="2" w:space="0" w:color="auto"/>
              <w:left w:val="nil"/>
              <w:bottom w:val="single" w:sz="2" w:space="0" w:color="auto"/>
              <w:right w:val="nil"/>
            </w:tcBorders>
            <w:shd w:val="clear" w:color="auto" w:fill="auto"/>
            <w:noWrap/>
            <w:vAlign w:val="center"/>
            <w:hideMark/>
          </w:tcPr>
          <w:p w14:paraId="64D7F397" w14:textId="77777777" w:rsidR="008B773A" w:rsidRPr="003A115E" w:rsidRDefault="008B773A" w:rsidP="005272BD">
            <w:pPr>
              <w:pStyle w:val="cuatexto"/>
            </w:pPr>
            <w:r w:rsidRPr="003A115E">
              <w:t>Ahorro bruto (por habitante)</w:t>
            </w:r>
          </w:p>
        </w:tc>
        <w:tc>
          <w:tcPr>
            <w:tcW w:w="1105" w:type="dxa"/>
            <w:tcBorders>
              <w:top w:val="single" w:sz="2" w:space="0" w:color="auto"/>
              <w:left w:val="nil"/>
              <w:bottom w:val="single" w:sz="2" w:space="0" w:color="auto"/>
              <w:right w:val="nil"/>
            </w:tcBorders>
            <w:shd w:val="clear" w:color="auto" w:fill="auto"/>
            <w:noWrap/>
            <w:vAlign w:val="center"/>
            <w:hideMark/>
          </w:tcPr>
          <w:p w14:paraId="4BA8C165" w14:textId="77777777" w:rsidR="008B773A" w:rsidRPr="003A115E" w:rsidRDefault="008B773A" w:rsidP="005272BD">
            <w:pPr>
              <w:pStyle w:val="cuatexto"/>
              <w:jc w:val="right"/>
            </w:pPr>
            <w:r w:rsidRPr="003A115E">
              <w:t>341</w:t>
            </w:r>
          </w:p>
        </w:tc>
        <w:tc>
          <w:tcPr>
            <w:tcW w:w="1105" w:type="dxa"/>
            <w:tcBorders>
              <w:top w:val="single" w:sz="2" w:space="0" w:color="auto"/>
              <w:left w:val="nil"/>
              <w:bottom w:val="single" w:sz="2" w:space="0" w:color="auto"/>
              <w:right w:val="nil"/>
            </w:tcBorders>
            <w:shd w:val="clear" w:color="auto" w:fill="auto"/>
            <w:noWrap/>
            <w:vAlign w:val="center"/>
            <w:hideMark/>
          </w:tcPr>
          <w:p w14:paraId="24101BDB" w14:textId="77777777" w:rsidR="008B773A" w:rsidRPr="003A115E" w:rsidRDefault="008B773A" w:rsidP="005272BD">
            <w:pPr>
              <w:pStyle w:val="cuatexto"/>
              <w:jc w:val="right"/>
            </w:pPr>
            <w:r w:rsidRPr="003A115E">
              <w:t>208</w:t>
            </w:r>
          </w:p>
        </w:tc>
        <w:tc>
          <w:tcPr>
            <w:tcW w:w="1106" w:type="dxa"/>
            <w:tcBorders>
              <w:top w:val="single" w:sz="2" w:space="0" w:color="auto"/>
              <w:left w:val="nil"/>
              <w:bottom w:val="single" w:sz="2" w:space="0" w:color="auto"/>
              <w:right w:val="nil"/>
            </w:tcBorders>
            <w:shd w:val="clear" w:color="auto" w:fill="auto"/>
            <w:noWrap/>
            <w:vAlign w:val="center"/>
            <w:hideMark/>
          </w:tcPr>
          <w:p w14:paraId="19096412" w14:textId="77777777" w:rsidR="008B773A" w:rsidRPr="003A115E" w:rsidRDefault="008B773A" w:rsidP="005272BD">
            <w:pPr>
              <w:pStyle w:val="cuatexto"/>
              <w:jc w:val="right"/>
            </w:pPr>
            <w:r w:rsidRPr="003A115E">
              <w:t>154</w:t>
            </w:r>
          </w:p>
        </w:tc>
        <w:tc>
          <w:tcPr>
            <w:tcW w:w="1105" w:type="dxa"/>
            <w:tcBorders>
              <w:top w:val="single" w:sz="2" w:space="0" w:color="auto"/>
              <w:left w:val="nil"/>
              <w:bottom w:val="single" w:sz="2" w:space="0" w:color="auto"/>
              <w:right w:val="nil"/>
            </w:tcBorders>
            <w:shd w:val="clear" w:color="auto" w:fill="auto"/>
            <w:noWrap/>
            <w:vAlign w:val="center"/>
            <w:hideMark/>
          </w:tcPr>
          <w:p w14:paraId="1850D345" w14:textId="77777777" w:rsidR="008B773A" w:rsidRPr="003A115E" w:rsidRDefault="008B773A" w:rsidP="005272BD">
            <w:pPr>
              <w:pStyle w:val="cuatexto"/>
              <w:jc w:val="right"/>
            </w:pPr>
            <w:r w:rsidRPr="003A115E">
              <w:t>105</w:t>
            </w:r>
          </w:p>
        </w:tc>
        <w:tc>
          <w:tcPr>
            <w:tcW w:w="1106" w:type="dxa"/>
            <w:tcBorders>
              <w:top w:val="single" w:sz="2" w:space="0" w:color="auto"/>
              <w:left w:val="nil"/>
              <w:bottom w:val="single" w:sz="2" w:space="0" w:color="auto"/>
              <w:right w:val="nil"/>
            </w:tcBorders>
            <w:shd w:val="clear" w:color="auto" w:fill="auto"/>
            <w:noWrap/>
            <w:vAlign w:val="center"/>
            <w:hideMark/>
          </w:tcPr>
          <w:p w14:paraId="6FC5B18A" w14:textId="77777777" w:rsidR="008B773A" w:rsidRPr="003A115E" w:rsidRDefault="008B773A" w:rsidP="005272BD">
            <w:pPr>
              <w:pStyle w:val="cuatexto"/>
              <w:jc w:val="right"/>
            </w:pPr>
            <w:r w:rsidRPr="003A115E">
              <w:t>107</w:t>
            </w:r>
          </w:p>
        </w:tc>
      </w:tr>
      <w:tr w:rsidR="000A742F" w:rsidRPr="003A115E" w14:paraId="0BA93528" w14:textId="77777777" w:rsidTr="00327F3B">
        <w:trPr>
          <w:trHeight w:val="198"/>
        </w:trPr>
        <w:tc>
          <w:tcPr>
            <w:tcW w:w="3261" w:type="dxa"/>
            <w:tcBorders>
              <w:top w:val="single" w:sz="2" w:space="0" w:color="auto"/>
              <w:left w:val="nil"/>
              <w:bottom w:val="single" w:sz="2" w:space="0" w:color="auto"/>
              <w:right w:val="nil"/>
            </w:tcBorders>
            <w:shd w:val="clear" w:color="auto" w:fill="auto"/>
            <w:noWrap/>
            <w:vAlign w:val="center"/>
            <w:hideMark/>
          </w:tcPr>
          <w:p w14:paraId="39D59229" w14:textId="77777777" w:rsidR="008B773A" w:rsidRPr="003A115E" w:rsidRDefault="008B773A" w:rsidP="005272BD">
            <w:pPr>
              <w:pStyle w:val="cuatexto"/>
            </w:pPr>
            <w:r w:rsidRPr="003A115E">
              <w:t>Ahorro neto (por habitante)</w:t>
            </w:r>
          </w:p>
        </w:tc>
        <w:tc>
          <w:tcPr>
            <w:tcW w:w="1105" w:type="dxa"/>
            <w:tcBorders>
              <w:top w:val="single" w:sz="2" w:space="0" w:color="auto"/>
              <w:left w:val="nil"/>
              <w:bottom w:val="single" w:sz="2" w:space="0" w:color="auto"/>
              <w:right w:val="nil"/>
            </w:tcBorders>
            <w:shd w:val="clear" w:color="auto" w:fill="auto"/>
            <w:noWrap/>
            <w:vAlign w:val="center"/>
            <w:hideMark/>
          </w:tcPr>
          <w:p w14:paraId="51550B0E" w14:textId="77777777" w:rsidR="008B773A" w:rsidRPr="003A115E" w:rsidRDefault="008B773A" w:rsidP="005272BD">
            <w:pPr>
              <w:pStyle w:val="cuatexto"/>
              <w:jc w:val="right"/>
            </w:pPr>
            <w:r w:rsidRPr="003A115E">
              <w:t>304</w:t>
            </w:r>
          </w:p>
        </w:tc>
        <w:tc>
          <w:tcPr>
            <w:tcW w:w="1105" w:type="dxa"/>
            <w:tcBorders>
              <w:top w:val="single" w:sz="2" w:space="0" w:color="auto"/>
              <w:left w:val="nil"/>
              <w:bottom w:val="single" w:sz="2" w:space="0" w:color="auto"/>
              <w:right w:val="nil"/>
            </w:tcBorders>
            <w:shd w:val="clear" w:color="auto" w:fill="auto"/>
            <w:noWrap/>
            <w:vAlign w:val="center"/>
            <w:hideMark/>
          </w:tcPr>
          <w:p w14:paraId="469601F6" w14:textId="77777777" w:rsidR="008B773A" w:rsidRPr="003A115E" w:rsidRDefault="008B773A" w:rsidP="005272BD">
            <w:pPr>
              <w:pStyle w:val="cuatexto"/>
              <w:jc w:val="right"/>
            </w:pPr>
            <w:r w:rsidRPr="003A115E">
              <w:t>174</w:t>
            </w:r>
          </w:p>
        </w:tc>
        <w:tc>
          <w:tcPr>
            <w:tcW w:w="1106" w:type="dxa"/>
            <w:tcBorders>
              <w:top w:val="single" w:sz="2" w:space="0" w:color="auto"/>
              <w:left w:val="nil"/>
              <w:bottom w:val="single" w:sz="2" w:space="0" w:color="auto"/>
              <w:right w:val="nil"/>
            </w:tcBorders>
            <w:shd w:val="clear" w:color="auto" w:fill="auto"/>
            <w:noWrap/>
            <w:vAlign w:val="center"/>
            <w:hideMark/>
          </w:tcPr>
          <w:p w14:paraId="03D60719" w14:textId="77777777" w:rsidR="008B773A" w:rsidRPr="003A115E" w:rsidRDefault="008B773A" w:rsidP="005272BD">
            <w:pPr>
              <w:pStyle w:val="cuatexto"/>
              <w:jc w:val="right"/>
            </w:pPr>
            <w:r w:rsidRPr="003A115E">
              <w:t>127</w:t>
            </w:r>
          </w:p>
        </w:tc>
        <w:tc>
          <w:tcPr>
            <w:tcW w:w="1105" w:type="dxa"/>
            <w:tcBorders>
              <w:top w:val="single" w:sz="2" w:space="0" w:color="auto"/>
              <w:left w:val="nil"/>
              <w:bottom w:val="single" w:sz="2" w:space="0" w:color="auto"/>
              <w:right w:val="nil"/>
            </w:tcBorders>
            <w:shd w:val="clear" w:color="auto" w:fill="auto"/>
            <w:noWrap/>
            <w:vAlign w:val="center"/>
            <w:hideMark/>
          </w:tcPr>
          <w:p w14:paraId="44DAFD8F" w14:textId="77777777" w:rsidR="008B773A" w:rsidRPr="003A115E" w:rsidRDefault="008B773A" w:rsidP="005272BD">
            <w:pPr>
              <w:pStyle w:val="cuatexto"/>
              <w:jc w:val="right"/>
            </w:pPr>
            <w:r w:rsidRPr="003A115E">
              <w:t>87</w:t>
            </w:r>
          </w:p>
        </w:tc>
        <w:tc>
          <w:tcPr>
            <w:tcW w:w="1106" w:type="dxa"/>
            <w:tcBorders>
              <w:top w:val="single" w:sz="2" w:space="0" w:color="auto"/>
              <w:left w:val="nil"/>
              <w:bottom w:val="single" w:sz="2" w:space="0" w:color="auto"/>
              <w:right w:val="nil"/>
            </w:tcBorders>
            <w:shd w:val="clear" w:color="auto" w:fill="auto"/>
            <w:noWrap/>
            <w:vAlign w:val="center"/>
            <w:hideMark/>
          </w:tcPr>
          <w:p w14:paraId="203E28A0" w14:textId="77777777" w:rsidR="008B773A" w:rsidRPr="003A115E" w:rsidRDefault="008B773A" w:rsidP="005272BD">
            <w:pPr>
              <w:pStyle w:val="cuatexto"/>
              <w:jc w:val="right"/>
            </w:pPr>
            <w:r w:rsidRPr="003A115E">
              <w:t>67</w:t>
            </w:r>
          </w:p>
        </w:tc>
      </w:tr>
      <w:tr w:rsidR="000A742F" w:rsidRPr="003A115E" w14:paraId="419EF9DF" w14:textId="77777777" w:rsidTr="00327F3B">
        <w:trPr>
          <w:trHeight w:val="198"/>
        </w:trPr>
        <w:tc>
          <w:tcPr>
            <w:tcW w:w="3261" w:type="dxa"/>
            <w:tcBorders>
              <w:top w:val="single" w:sz="2" w:space="0" w:color="auto"/>
              <w:left w:val="nil"/>
              <w:bottom w:val="single" w:sz="2" w:space="0" w:color="auto"/>
              <w:right w:val="nil"/>
            </w:tcBorders>
            <w:shd w:val="clear" w:color="auto" w:fill="auto"/>
            <w:noWrap/>
            <w:vAlign w:val="center"/>
            <w:hideMark/>
          </w:tcPr>
          <w:p w14:paraId="7568E764" w14:textId="0F333D92" w:rsidR="008B773A" w:rsidRPr="003A115E" w:rsidRDefault="008B773A" w:rsidP="005272BD">
            <w:pPr>
              <w:pStyle w:val="cuatexto"/>
            </w:pPr>
            <w:r w:rsidRPr="003A115E">
              <w:rPr>
                <w:lang w:val="es-ES"/>
              </w:rPr>
              <w:t>Índice de carga fina</w:t>
            </w:r>
            <w:r w:rsidR="005E65DA" w:rsidRPr="003A115E">
              <w:rPr>
                <w:lang w:val="es-ES"/>
              </w:rPr>
              <w:t>nciera (cap. 3 y 9 entre ingr. c</w:t>
            </w:r>
            <w:r w:rsidRPr="003A115E">
              <w:rPr>
                <w:lang w:val="es-ES"/>
              </w:rPr>
              <w:t>orrientes)</w:t>
            </w:r>
          </w:p>
        </w:tc>
        <w:tc>
          <w:tcPr>
            <w:tcW w:w="1105" w:type="dxa"/>
            <w:tcBorders>
              <w:top w:val="single" w:sz="2" w:space="0" w:color="auto"/>
              <w:left w:val="nil"/>
              <w:bottom w:val="single" w:sz="2" w:space="0" w:color="auto"/>
              <w:right w:val="nil"/>
            </w:tcBorders>
            <w:shd w:val="clear" w:color="auto" w:fill="auto"/>
            <w:noWrap/>
            <w:vAlign w:val="center"/>
            <w:hideMark/>
          </w:tcPr>
          <w:p w14:paraId="5481D971" w14:textId="77777777" w:rsidR="008B773A" w:rsidRPr="003A115E" w:rsidRDefault="008B773A" w:rsidP="005272BD">
            <w:pPr>
              <w:pStyle w:val="cuatexto"/>
              <w:jc w:val="right"/>
            </w:pPr>
            <w:r w:rsidRPr="003A115E">
              <w:t>3</w:t>
            </w:r>
          </w:p>
        </w:tc>
        <w:tc>
          <w:tcPr>
            <w:tcW w:w="1105" w:type="dxa"/>
            <w:tcBorders>
              <w:top w:val="single" w:sz="2" w:space="0" w:color="auto"/>
              <w:left w:val="nil"/>
              <w:bottom w:val="single" w:sz="2" w:space="0" w:color="auto"/>
              <w:right w:val="nil"/>
            </w:tcBorders>
            <w:shd w:val="clear" w:color="auto" w:fill="auto"/>
            <w:noWrap/>
            <w:vAlign w:val="center"/>
            <w:hideMark/>
          </w:tcPr>
          <w:p w14:paraId="147FB678" w14:textId="77777777" w:rsidR="008B773A" w:rsidRPr="003A115E" w:rsidRDefault="008B773A" w:rsidP="005272BD">
            <w:pPr>
              <w:pStyle w:val="cuatexto"/>
              <w:jc w:val="right"/>
            </w:pPr>
            <w:r w:rsidRPr="003A115E">
              <w:t>3</w:t>
            </w:r>
          </w:p>
        </w:tc>
        <w:tc>
          <w:tcPr>
            <w:tcW w:w="1106" w:type="dxa"/>
            <w:tcBorders>
              <w:top w:val="single" w:sz="2" w:space="0" w:color="auto"/>
              <w:left w:val="nil"/>
              <w:bottom w:val="single" w:sz="2" w:space="0" w:color="auto"/>
              <w:right w:val="nil"/>
            </w:tcBorders>
            <w:shd w:val="clear" w:color="auto" w:fill="auto"/>
            <w:noWrap/>
            <w:vAlign w:val="center"/>
            <w:hideMark/>
          </w:tcPr>
          <w:p w14:paraId="0287DB16" w14:textId="77777777" w:rsidR="008B773A" w:rsidRPr="003A115E" w:rsidRDefault="008B773A" w:rsidP="005272BD">
            <w:pPr>
              <w:pStyle w:val="cuatexto"/>
              <w:jc w:val="right"/>
            </w:pPr>
            <w:r w:rsidRPr="003A115E">
              <w:t>2</w:t>
            </w:r>
          </w:p>
        </w:tc>
        <w:tc>
          <w:tcPr>
            <w:tcW w:w="1105" w:type="dxa"/>
            <w:tcBorders>
              <w:top w:val="single" w:sz="2" w:space="0" w:color="auto"/>
              <w:left w:val="nil"/>
              <w:bottom w:val="single" w:sz="2" w:space="0" w:color="auto"/>
              <w:right w:val="nil"/>
            </w:tcBorders>
            <w:shd w:val="clear" w:color="auto" w:fill="auto"/>
            <w:noWrap/>
            <w:vAlign w:val="center"/>
            <w:hideMark/>
          </w:tcPr>
          <w:p w14:paraId="30EC8507" w14:textId="77777777" w:rsidR="008B773A" w:rsidRPr="003A115E" w:rsidRDefault="008B773A" w:rsidP="005272BD">
            <w:pPr>
              <w:pStyle w:val="cuatexto"/>
              <w:jc w:val="right"/>
            </w:pPr>
            <w:r w:rsidRPr="003A115E">
              <w:t>2</w:t>
            </w:r>
          </w:p>
        </w:tc>
        <w:tc>
          <w:tcPr>
            <w:tcW w:w="1106" w:type="dxa"/>
            <w:tcBorders>
              <w:top w:val="single" w:sz="2" w:space="0" w:color="auto"/>
              <w:left w:val="nil"/>
              <w:bottom w:val="single" w:sz="2" w:space="0" w:color="auto"/>
              <w:right w:val="nil"/>
            </w:tcBorders>
            <w:shd w:val="clear" w:color="auto" w:fill="auto"/>
            <w:noWrap/>
            <w:vAlign w:val="center"/>
            <w:hideMark/>
          </w:tcPr>
          <w:p w14:paraId="7CB8338F" w14:textId="77777777" w:rsidR="008B773A" w:rsidRPr="003A115E" w:rsidRDefault="008B773A" w:rsidP="005272BD">
            <w:pPr>
              <w:pStyle w:val="cuatexto"/>
              <w:jc w:val="right"/>
            </w:pPr>
            <w:r w:rsidRPr="003A115E">
              <w:t>4</w:t>
            </w:r>
          </w:p>
        </w:tc>
      </w:tr>
      <w:tr w:rsidR="000A742F" w:rsidRPr="003A115E" w14:paraId="0B266113" w14:textId="77777777" w:rsidTr="00327F3B">
        <w:trPr>
          <w:trHeight w:val="198"/>
        </w:trPr>
        <w:tc>
          <w:tcPr>
            <w:tcW w:w="3261" w:type="dxa"/>
            <w:tcBorders>
              <w:top w:val="single" w:sz="2" w:space="0" w:color="auto"/>
              <w:left w:val="nil"/>
              <w:bottom w:val="single" w:sz="2" w:space="0" w:color="auto"/>
              <w:right w:val="nil"/>
            </w:tcBorders>
            <w:shd w:val="clear" w:color="auto" w:fill="auto"/>
            <w:noWrap/>
            <w:vAlign w:val="center"/>
            <w:hideMark/>
          </w:tcPr>
          <w:p w14:paraId="0AE4C2D8" w14:textId="77777777" w:rsidR="008B773A" w:rsidRPr="003A115E" w:rsidRDefault="008B773A" w:rsidP="005272BD">
            <w:pPr>
              <w:pStyle w:val="cuatexto"/>
            </w:pPr>
            <w:r w:rsidRPr="003A115E">
              <w:rPr>
                <w:lang w:val="es-ES"/>
              </w:rPr>
              <w:t>Porc. ahorro bruto s/ ingresos corrientes (ing ctes - gastos func. / ingr corrientes)</w:t>
            </w:r>
          </w:p>
        </w:tc>
        <w:tc>
          <w:tcPr>
            <w:tcW w:w="1105" w:type="dxa"/>
            <w:tcBorders>
              <w:top w:val="single" w:sz="2" w:space="0" w:color="auto"/>
              <w:left w:val="nil"/>
              <w:bottom w:val="single" w:sz="2" w:space="0" w:color="auto"/>
              <w:right w:val="nil"/>
            </w:tcBorders>
            <w:shd w:val="clear" w:color="auto" w:fill="auto"/>
            <w:noWrap/>
            <w:vAlign w:val="center"/>
            <w:hideMark/>
          </w:tcPr>
          <w:p w14:paraId="0513A25A" w14:textId="77777777" w:rsidR="008B773A" w:rsidRPr="003A115E" w:rsidRDefault="008B773A" w:rsidP="005272BD">
            <w:pPr>
              <w:pStyle w:val="cuatexto"/>
              <w:jc w:val="right"/>
            </w:pPr>
            <w:r w:rsidRPr="003A115E">
              <w:t>24</w:t>
            </w:r>
          </w:p>
        </w:tc>
        <w:tc>
          <w:tcPr>
            <w:tcW w:w="1105" w:type="dxa"/>
            <w:tcBorders>
              <w:top w:val="single" w:sz="2" w:space="0" w:color="auto"/>
              <w:left w:val="nil"/>
              <w:bottom w:val="single" w:sz="2" w:space="0" w:color="auto"/>
              <w:right w:val="nil"/>
            </w:tcBorders>
            <w:shd w:val="clear" w:color="auto" w:fill="auto"/>
            <w:noWrap/>
            <w:vAlign w:val="center"/>
            <w:hideMark/>
          </w:tcPr>
          <w:p w14:paraId="5D480DEA" w14:textId="77777777" w:rsidR="008B773A" w:rsidRPr="003A115E" w:rsidRDefault="008B773A" w:rsidP="005272BD">
            <w:pPr>
              <w:pStyle w:val="cuatexto"/>
              <w:jc w:val="right"/>
            </w:pPr>
            <w:r w:rsidRPr="003A115E">
              <w:t>17</w:t>
            </w:r>
          </w:p>
        </w:tc>
        <w:tc>
          <w:tcPr>
            <w:tcW w:w="1106" w:type="dxa"/>
            <w:tcBorders>
              <w:top w:val="single" w:sz="2" w:space="0" w:color="auto"/>
              <w:left w:val="nil"/>
              <w:bottom w:val="single" w:sz="2" w:space="0" w:color="auto"/>
              <w:right w:val="nil"/>
            </w:tcBorders>
            <w:shd w:val="clear" w:color="auto" w:fill="auto"/>
            <w:noWrap/>
            <w:vAlign w:val="center"/>
            <w:hideMark/>
          </w:tcPr>
          <w:p w14:paraId="304AC531" w14:textId="77777777" w:rsidR="008B773A" w:rsidRPr="003A115E" w:rsidRDefault="008B773A" w:rsidP="005272BD">
            <w:pPr>
              <w:pStyle w:val="cuatexto"/>
              <w:jc w:val="right"/>
            </w:pPr>
            <w:r w:rsidRPr="003A115E">
              <w:t>14</w:t>
            </w:r>
          </w:p>
        </w:tc>
        <w:tc>
          <w:tcPr>
            <w:tcW w:w="1105" w:type="dxa"/>
            <w:tcBorders>
              <w:top w:val="single" w:sz="2" w:space="0" w:color="auto"/>
              <w:left w:val="nil"/>
              <w:bottom w:val="single" w:sz="2" w:space="0" w:color="auto"/>
              <w:right w:val="nil"/>
            </w:tcBorders>
            <w:shd w:val="clear" w:color="auto" w:fill="auto"/>
            <w:noWrap/>
            <w:vAlign w:val="center"/>
            <w:hideMark/>
          </w:tcPr>
          <w:p w14:paraId="3F7BB3F4" w14:textId="77777777" w:rsidR="008B773A" w:rsidRPr="003A115E" w:rsidRDefault="008B773A" w:rsidP="005272BD">
            <w:pPr>
              <w:pStyle w:val="cuatexto"/>
              <w:jc w:val="right"/>
            </w:pPr>
            <w:r w:rsidRPr="003A115E">
              <w:t>11</w:t>
            </w:r>
          </w:p>
        </w:tc>
        <w:tc>
          <w:tcPr>
            <w:tcW w:w="1106" w:type="dxa"/>
            <w:tcBorders>
              <w:top w:val="single" w:sz="2" w:space="0" w:color="auto"/>
              <w:left w:val="nil"/>
              <w:bottom w:val="single" w:sz="2" w:space="0" w:color="auto"/>
              <w:right w:val="nil"/>
            </w:tcBorders>
            <w:shd w:val="clear" w:color="auto" w:fill="auto"/>
            <w:noWrap/>
            <w:vAlign w:val="center"/>
            <w:hideMark/>
          </w:tcPr>
          <w:p w14:paraId="07B3789A" w14:textId="77777777" w:rsidR="008B773A" w:rsidRPr="003A115E" w:rsidRDefault="008B773A" w:rsidP="005272BD">
            <w:pPr>
              <w:pStyle w:val="cuatexto"/>
              <w:jc w:val="right"/>
            </w:pPr>
            <w:r w:rsidRPr="003A115E">
              <w:t>9</w:t>
            </w:r>
          </w:p>
        </w:tc>
      </w:tr>
      <w:tr w:rsidR="000A742F" w:rsidRPr="003A115E" w14:paraId="10E13FF7" w14:textId="77777777" w:rsidTr="00327F3B">
        <w:trPr>
          <w:trHeight w:val="198"/>
        </w:trPr>
        <w:tc>
          <w:tcPr>
            <w:tcW w:w="3261" w:type="dxa"/>
            <w:tcBorders>
              <w:top w:val="single" w:sz="2" w:space="0" w:color="auto"/>
              <w:left w:val="nil"/>
              <w:bottom w:val="single" w:sz="2" w:space="0" w:color="auto"/>
              <w:right w:val="nil"/>
            </w:tcBorders>
            <w:shd w:val="clear" w:color="auto" w:fill="auto"/>
            <w:noWrap/>
            <w:vAlign w:val="center"/>
            <w:hideMark/>
          </w:tcPr>
          <w:p w14:paraId="5A66C10F" w14:textId="77777777" w:rsidR="008B773A" w:rsidRPr="003A115E" w:rsidRDefault="008B773A" w:rsidP="005272BD">
            <w:pPr>
              <w:pStyle w:val="cuatexto"/>
            </w:pPr>
            <w:r w:rsidRPr="003A115E">
              <w:t>Ingresos por transferencias corrientes (por habitante)</w:t>
            </w:r>
          </w:p>
        </w:tc>
        <w:tc>
          <w:tcPr>
            <w:tcW w:w="1105" w:type="dxa"/>
            <w:tcBorders>
              <w:top w:val="single" w:sz="2" w:space="0" w:color="auto"/>
              <w:left w:val="nil"/>
              <w:bottom w:val="single" w:sz="2" w:space="0" w:color="auto"/>
              <w:right w:val="nil"/>
            </w:tcBorders>
            <w:shd w:val="clear" w:color="auto" w:fill="auto"/>
            <w:noWrap/>
            <w:vAlign w:val="center"/>
            <w:hideMark/>
          </w:tcPr>
          <w:p w14:paraId="33094E44" w14:textId="77777777" w:rsidR="008B773A" w:rsidRPr="003A115E" w:rsidRDefault="008B773A" w:rsidP="005272BD">
            <w:pPr>
              <w:pStyle w:val="cuatexto"/>
              <w:jc w:val="right"/>
            </w:pPr>
            <w:r w:rsidRPr="003A115E">
              <w:t>596</w:t>
            </w:r>
          </w:p>
        </w:tc>
        <w:tc>
          <w:tcPr>
            <w:tcW w:w="1105" w:type="dxa"/>
            <w:tcBorders>
              <w:top w:val="single" w:sz="2" w:space="0" w:color="auto"/>
              <w:left w:val="nil"/>
              <w:bottom w:val="single" w:sz="2" w:space="0" w:color="auto"/>
              <w:right w:val="nil"/>
            </w:tcBorders>
            <w:shd w:val="clear" w:color="auto" w:fill="auto"/>
            <w:noWrap/>
            <w:vAlign w:val="center"/>
            <w:hideMark/>
          </w:tcPr>
          <w:p w14:paraId="070C5D2D" w14:textId="77777777" w:rsidR="008B773A" w:rsidRPr="003A115E" w:rsidRDefault="008B773A" w:rsidP="005272BD">
            <w:pPr>
              <w:pStyle w:val="cuatexto"/>
              <w:jc w:val="right"/>
            </w:pPr>
            <w:r w:rsidRPr="003A115E">
              <w:t>528</w:t>
            </w:r>
          </w:p>
        </w:tc>
        <w:tc>
          <w:tcPr>
            <w:tcW w:w="1106" w:type="dxa"/>
            <w:tcBorders>
              <w:top w:val="single" w:sz="2" w:space="0" w:color="auto"/>
              <w:left w:val="nil"/>
              <w:bottom w:val="single" w:sz="2" w:space="0" w:color="auto"/>
              <w:right w:val="nil"/>
            </w:tcBorders>
            <w:shd w:val="clear" w:color="auto" w:fill="auto"/>
            <w:noWrap/>
            <w:vAlign w:val="center"/>
            <w:hideMark/>
          </w:tcPr>
          <w:p w14:paraId="005F2BFE" w14:textId="77777777" w:rsidR="008B773A" w:rsidRPr="003A115E" w:rsidRDefault="008B773A" w:rsidP="005272BD">
            <w:pPr>
              <w:pStyle w:val="cuatexto"/>
              <w:jc w:val="right"/>
            </w:pPr>
            <w:r w:rsidRPr="003A115E">
              <w:t>475</w:t>
            </w:r>
          </w:p>
        </w:tc>
        <w:tc>
          <w:tcPr>
            <w:tcW w:w="1105" w:type="dxa"/>
            <w:tcBorders>
              <w:top w:val="single" w:sz="2" w:space="0" w:color="auto"/>
              <w:left w:val="nil"/>
              <w:bottom w:val="single" w:sz="2" w:space="0" w:color="auto"/>
              <w:right w:val="nil"/>
            </w:tcBorders>
            <w:shd w:val="clear" w:color="auto" w:fill="auto"/>
            <w:noWrap/>
            <w:vAlign w:val="center"/>
            <w:hideMark/>
          </w:tcPr>
          <w:p w14:paraId="5E275BEE" w14:textId="77777777" w:rsidR="008B773A" w:rsidRPr="003A115E" w:rsidRDefault="008B773A" w:rsidP="005272BD">
            <w:pPr>
              <w:pStyle w:val="cuatexto"/>
              <w:jc w:val="right"/>
            </w:pPr>
            <w:r w:rsidRPr="003A115E">
              <w:t>468</w:t>
            </w:r>
          </w:p>
        </w:tc>
        <w:tc>
          <w:tcPr>
            <w:tcW w:w="1106" w:type="dxa"/>
            <w:tcBorders>
              <w:top w:val="single" w:sz="2" w:space="0" w:color="auto"/>
              <w:left w:val="nil"/>
              <w:bottom w:val="single" w:sz="2" w:space="0" w:color="auto"/>
              <w:right w:val="nil"/>
            </w:tcBorders>
            <w:shd w:val="clear" w:color="auto" w:fill="auto"/>
            <w:noWrap/>
            <w:vAlign w:val="center"/>
            <w:hideMark/>
          </w:tcPr>
          <w:p w14:paraId="26FE9D32" w14:textId="77777777" w:rsidR="008B773A" w:rsidRPr="003A115E" w:rsidRDefault="008B773A" w:rsidP="005272BD">
            <w:pPr>
              <w:pStyle w:val="cuatexto"/>
              <w:jc w:val="right"/>
            </w:pPr>
            <w:r w:rsidRPr="003A115E">
              <w:t>549</w:t>
            </w:r>
          </w:p>
        </w:tc>
      </w:tr>
      <w:tr w:rsidR="008B773A" w:rsidRPr="003A115E" w14:paraId="24DB8E67" w14:textId="77777777" w:rsidTr="00327F3B">
        <w:trPr>
          <w:trHeight w:val="198"/>
        </w:trPr>
        <w:tc>
          <w:tcPr>
            <w:tcW w:w="3261" w:type="dxa"/>
            <w:tcBorders>
              <w:top w:val="single" w:sz="2" w:space="0" w:color="auto"/>
              <w:left w:val="nil"/>
              <w:bottom w:val="single" w:sz="4" w:space="0" w:color="auto"/>
              <w:right w:val="nil"/>
            </w:tcBorders>
            <w:shd w:val="clear" w:color="auto" w:fill="auto"/>
            <w:noWrap/>
            <w:vAlign w:val="center"/>
            <w:hideMark/>
          </w:tcPr>
          <w:p w14:paraId="2C5F8E12" w14:textId="77777777" w:rsidR="008B773A" w:rsidRPr="003A115E" w:rsidRDefault="008B773A" w:rsidP="0186A00D">
            <w:pPr>
              <w:pStyle w:val="cuatexto"/>
              <w:rPr>
                <w:lang w:val="es-ES"/>
              </w:rPr>
            </w:pPr>
            <w:r w:rsidRPr="003A115E">
              <w:rPr>
                <w:lang w:val="es-ES"/>
              </w:rPr>
              <w:t>Porcentaje de gastos corrientes financiados con transf.corrientes</w:t>
            </w:r>
          </w:p>
        </w:tc>
        <w:tc>
          <w:tcPr>
            <w:tcW w:w="1105" w:type="dxa"/>
            <w:tcBorders>
              <w:top w:val="single" w:sz="2" w:space="0" w:color="auto"/>
              <w:left w:val="nil"/>
              <w:bottom w:val="single" w:sz="4" w:space="0" w:color="auto"/>
              <w:right w:val="nil"/>
            </w:tcBorders>
            <w:shd w:val="clear" w:color="auto" w:fill="auto"/>
            <w:noWrap/>
            <w:vAlign w:val="center"/>
            <w:hideMark/>
          </w:tcPr>
          <w:p w14:paraId="68DA09E0" w14:textId="77777777" w:rsidR="008B773A" w:rsidRPr="003A115E" w:rsidRDefault="008B773A" w:rsidP="005272BD">
            <w:pPr>
              <w:pStyle w:val="cuatexto"/>
              <w:jc w:val="right"/>
            </w:pPr>
            <w:r w:rsidRPr="003A115E">
              <w:t>54</w:t>
            </w:r>
          </w:p>
        </w:tc>
        <w:tc>
          <w:tcPr>
            <w:tcW w:w="1105" w:type="dxa"/>
            <w:tcBorders>
              <w:top w:val="single" w:sz="2" w:space="0" w:color="auto"/>
              <w:left w:val="nil"/>
              <w:bottom w:val="single" w:sz="4" w:space="0" w:color="auto"/>
              <w:right w:val="nil"/>
            </w:tcBorders>
            <w:shd w:val="clear" w:color="auto" w:fill="auto"/>
            <w:noWrap/>
            <w:vAlign w:val="center"/>
            <w:hideMark/>
          </w:tcPr>
          <w:p w14:paraId="0FB9BF34" w14:textId="77777777" w:rsidR="008B773A" w:rsidRPr="003A115E" w:rsidRDefault="008B773A" w:rsidP="005272BD">
            <w:pPr>
              <w:pStyle w:val="cuatexto"/>
              <w:jc w:val="right"/>
            </w:pPr>
            <w:r w:rsidRPr="003A115E">
              <w:t>50</w:t>
            </w:r>
          </w:p>
        </w:tc>
        <w:tc>
          <w:tcPr>
            <w:tcW w:w="1106" w:type="dxa"/>
            <w:tcBorders>
              <w:top w:val="single" w:sz="2" w:space="0" w:color="auto"/>
              <w:left w:val="nil"/>
              <w:bottom w:val="single" w:sz="4" w:space="0" w:color="auto"/>
              <w:right w:val="nil"/>
            </w:tcBorders>
            <w:shd w:val="clear" w:color="auto" w:fill="auto"/>
            <w:noWrap/>
            <w:vAlign w:val="center"/>
            <w:hideMark/>
          </w:tcPr>
          <w:p w14:paraId="63E8E5C9" w14:textId="77777777" w:rsidR="008B773A" w:rsidRPr="003A115E" w:rsidRDefault="008B773A" w:rsidP="005272BD">
            <w:pPr>
              <w:pStyle w:val="cuatexto"/>
              <w:jc w:val="right"/>
            </w:pPr>
            <w:r w:rsidRPr="003A115E">
              <w:t>48</w:t>
            </w:r>
          </w:p>
        </w:tc>
        <w:tc>
          <w:tcPr>
            <w:tcW w:w="1105" w:type="dxa"/>
            <w:tcBorders>
              <w:top w:val="single" w:sz="2" w:space="0" w:color="auto"/>
              <w:left w:val="nil"/>
              <w:bottom w:val="single" w:sz="4" w:space="0" w:color="auto"/>
              <w:right w:val="nil"/>
            </w:tcBorders>
            <w:shd w:val="clear" w:color="auto" w:fill="auto"/>
            <w:noWrap/>
            <w:vAlign w:val="center"/>
            <w:hideMark/>
          </w:tcPr>
          <w:p w14:paraId="78C43D30" w14:textId="77777777" w:rsidR="008B773A" w:rsidRPr="003A115E" w:rsidRDefault="008B773A" w:rsidP="005272BD">
            <w:pPr>
              <w:pStyle w:val="cuatexto"/>
              <w:jc w:val="right"/>
            </w:pPr>
            <w:r w:rsidRPr="003A115E">
              <w:t>53</w:t>
            </w:r>
          </w:p>
        </w:tc>
        <w:tc>
          <w:tcPr>
            <w:tcW w:w="1106" w:type="dxa"/>
            <w:tcBorders>
              <w:top w:val="single" w:sz="2" w:space="0" w:color="auto"/>
              <w:left w:val="nil"/>
              <w:bottom w:val="single" w:sz="4" w:space="0" w:color="auto"/>
              <w:right w:val="nil"/>
            </w:tcBorders>
            <w:shd w:val="clear" w:color="auto" w:fill="auto"/>
            <w:noWrap/>
            <w:vAlign w:val="center"/>
            <w:hideMark/>
          </w:tcPr>
          <w:p w14:paraId="1B6C4D3B" w14:textId="77777777" w:rsidR="008B773A" w:rsidRPr="003A115E" w:rsidRDefault="008B773A" w:rsidP="005272BD">
            <w:pPr>
              <w:pStyle w:val="cuatexto"/>
              <w:jc w:val="right"/>
            </w:pPr>
            <w:r w:rsidRPr="003A115E">
              <w:t>54</w:t>
            </w:r>
          </w:p>
        </w:tc>
      </w:tr>
    </w:tbl>
    <w:p w14:paraId="15F2C137" w14:textId="77777777" w:rsidR="008B773A" w:rsidRPr="003A115E" w:rsidRDefault="008B773A" w:rsidP="008B773A">
      <w:pPr>
        <w:ind w:right="-1" w:firstLine="284"/>
        <w:jc w:val="right"/>
        <w:rPr>
          <w:rStyle w:val="textoCar"/>
          <w:rFonts w:ascii="Arial Narrow" w:hAnsi="Arial Narrow"/>
          <w:sz w:val="18"/>
          <w:szCs w:val="18"/>
          <w:lang w:val="es-ES"/>
        </w:rPr>
      </w:pPr>
    </w:p>
    <w:p w14:paraId="6A0C9CE9" w14:textId="74D40359" w:rsidR="008B773A" w:rsidRPr="003A115E" w:rsidRDefault="008B773A" w:rsidP="00D57958">
      <w:pPr>
        <w:pStyle w:val="texto"/>
        <w:spacing w:before="240" w:after="360"/>
      </w:pPr>
      <w:r w:rsidRPr="003A115E">
        <w:t>Con la excepción de Pamplona, conforme aumenta el tamaño del municipio, disminuyen los ingresos totales, corrientes y de capital, así como los gastos de funcionamiento y de capital y el ahorro bruto por habitante.</w:t>
      </w:r>
    </w:p>
    <w:p w14:paraId="638617F0" w14:textId="56FB99A4" w:rsidR="002A4BE9" w:rsidRPr="003A115E" w:rsidRDefault="00CF3F37" w:rsidP="00AA7F66">
      <w:pPr>
        <w:pStyle w:val="atitulo2"/>
        <w:spacing w:before="240" w:after="360"/>
        <w:rPr>
          <w:color w:val="auto"/>
        </w:rPr>
      </w:pPr>
      <w:bookmarkStart w:id="80" w:name="_Toc529773885"/>
      <w:bookmarkStart w:id="81" w:name="_Toc24100146"/>
      <w:bookmarkStart w:id="82" w:name="_Toc52348294"/>
      <w:bookmarkStart w:id="83" w:name="_Toc123547411"/>
      <w:bookmarkStart w:id="84" w:name="_Toc183679752"/>
      <w:r w:rsidRPr="003A115E">
        <w:rPr>
          <w:color w:val="auto"/>
        </w:rPr>
        <w:t>VI.6</w:t>
      </w:r>
      <w:r w:rsidR="002A4BE9" w:rsidRPr="003A115E">
        <w:rPr>
          <w:color w:val="auto"/>
        </w:rPr>
        <w:t xml:space="preserve"> Objetivos de estabilidad presupuestaria y sostenibilidad financiera</w:t>
      </w:r>
      <w:bookmarkEnd w:id="80"/>
      <w:bookmarkEnd w:id="81"/>
      <w:bookmarkEnd w:id="82"/>
      <w:bookmarkEnd w:id="83"/>
      <w:bookmarkEnd w:id="84"/>
    </w:p>
    <w:p w14:paraId="400170AE" w14:textId="77777777" w:rsidR="002A4BE9" w:rsidRPr="003A115E" w:rsidRDefault="002A4BE9" w:rsidP="31020D79">
      <w:pPr>
        <w:tabs>
          <w:tab w:val="center" w:pos="2835"/>
          <w:tab w:val="center" w:pos="3969"/>
          <w:tab w:val="center" w:pos="5103"/>
          <w:tab w:val="center" w:pos="6237"/>
          <w:tab w:val="center" w:pos="7371"/>
        </w:tabs>
        <w:ind w:firstLine="284"/>
        <w:rPr>
          <w:spacing w:val="6"/>
          <w:sz w:val="26"/>
          <w:szCs w:val="26"/>
        </w:rPr>
      </w:pPr>
      <w:r w:rsidRPr="003A115E">
        <w:rPr>
          <w:spacing w:val="6"/>
          <w:sz w:val="26"/>
          <w:szCs w:val="26"/>
        </w:rPr>
        <w:t>De acuerdo con la LOEPySF, en el ámbito de la Administración Local deben cumplirse las siguientes reglas fiscales:</w:t>
      </w:r>
    </w:p>
    <w:p w14:paraId="388C8AB9" w14:textId="77777777" w:rsidR="002A4BE9" w:rsidRPr="003A115E" w:rsidRDefault="34CD8A04"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3A115E">
        <w:rPr>
          <w:rFonts w:cs="Arial"/>
        </w:rPr>
        <w:t xml:space="preserve"> Estabilidad presupuestaria: presentar capacidad de financiación medida en términos de contabilidad nacional.</w:t>
      </w:r>
    </w:p>
    <w:p w14:paraId="02A1DBD6" w14:textId="654CFB2A" w:rsidR="002A4BE9" w:rsidRPr="003A115E" w:rsidRDefault="34CD8A04"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3A115E">
        <w:rPr>
          <w:rFonts w:cs="Arial"/>
        </w:rPr>
        <w:t>Regla de gasto: la variación interanual del gasto computable no debe superar la tasa de referencia del crecimie</w:t>
      </w:r>
      <w:r w:rsidR="2C7397AF" w:rsidRPr="003A115E">
        <w:rPr>
          <w:rFonts w:cs="Arial"/>
        </w:rPr>
        <w:t>nto del PIB a medio plazo</w:t>
      </w:r>
      <w:r w:rsidRPr="003A115E">
        <w:rPr>
          <w:rFonts w:cs="Arial"/>
        </w:rPr>
        <w:t>.</w:t>
      </w:r>
    </w:p>
    <w:p w14:paraId="53467F0A" w14:textId="5401BB9E" w:rsidR="002A4BE9" w:rsidRPr="003A115E" w:rsidRDefault="34CD8A04"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3A115E">
        <w:rPr>
          <w:rFonts w:cs="Arial"/>
        </w:rPr>
        <w:t xml:space="preserve">Sostenibilidad de la deuda pública: </w:t>
      </w:r>
      <w:r w:rsidR="005217D5">
        <w:rPr>
          <w:rFonts w:cs="Arial"/>
        </w:rPr>
        <w:t>l</w:t>
      </w:r>
      <w:r w:rsidR="003C0D5C" w:rsidRPr="003A115E">
        <w:rPr>
          <w:rFonts w:cs="Arial"/>
        </w:rPr>
        <w:t xml:space="preserve">a </w:t>
      </w:r>
      <w:r w:rsidR="6D43019B" w:rsidRPr="003A115E">
        <w:rPr>
          <w:rFonts w:cs="Arial"/>
        </w:rPr>
        <w:t>deuda viva de cada entidad local</w:t>
      </w:r>
      <w:r w:rsidR="00C17F6D" w:rsidRPr="003A115E">
        <w:rPr>
          <w:rFonts w:cs="Arial"/>
        </w:rPr>
        <w:t>, de acuerdo a nuestra normativa,</w:t>
      </w:r>
      <w:r w:rsidR="6D43019B" w:rsidRPr="003A115E">
        <w:rPr>
          <w:rFonts w:cs="Arial"/>
        </w:rPr>
        <w:t xml:space="preserve"> no debe superar el </w:t>
      </w:r>
      <w:r w:rsidRPr="003A115E">
        <w:rPr>
          <w:rFonts w:cs="Arial"/>
        </w:rPr>
        <w:t>110 por ciento de sus ingresos corrientes.</w:t>
      </w:r>
    </w:p>
    <w:p w14:paraId="2FD8E8B4" w14:textId="0BFE65DB" w:rsidR="002A4BE9" w:rsidRPr="003A115E" w:rsidRDefault="34CD8A04" w:rsidP="3710BB4A">
      <w:pPr>
        <w:pStyle w:val="texto"/>
        <w:numPr>
          <w:ilvl w:val="0"/>
          <w:numId w:val="2"/>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3A115E">
        <w:rPr>
          <w:rFonts w:cs="Arial"/>
        </w:rPr>
        <w:t>Sostenibilidad de la deuda comercial: el periodo medio de pago a proveedores no puede superar</w:t>
      </w:r>
      <w:r w:rsidR="00C17F6D" w:rsidRPr="003A115E">
        <w:rPr>
          <w:rFonts w:cs="Arial"/>
        </w:rPr>
        <w:t xml:space="preserve"> </w:t>
      </w:r>
      <w:r w:rsidRPr="003A115E">
        <w:rPr>
          <w:rFonts w:cs="Arial"/>
        </w:rPr>
        <w:t>el plazo de 30 días.</w:t>
      </w:r>
    </w:p>
    <w:p w14:paraId="449EE60B" w14:textId="1B0E5818" w:rsidR="002A4BE9" w:rsidRPr="003A115E" w:rsidRDefault="002A4BE9" w:rsidP="00EF427F">
      <w:pPr>
        <w:tabs>
          <w:tab w:val="center" w:pos="2835"/>
          <w:tab w:val="center" w:pos="3969"/>
          <w:tab w:val="center" w:pos="5103"/>
          <w:tab w:val="center" w:pos="6237"/>
          <w:tab w:val="center" w:pos="7371"/>
        </w:tabs>
        <w:spacing w:after="120"/>
        <w:ind w:firstLine="284"/>
        <w:jc w:val="both"/>
        <w:rPr>
          <w:spacing w:val="6"/>
          <w:sz w:val="26"/>
          <w:szCs w:val="26"/>
        </w:rPr>
      </w:pPr>
      <w:r w:rsidRPr="003A115E">
        <w:rPr>
          <w:spacing w:val="6"/>
          <w:sz w:val="26"/>
          <w:szCs w:val="26"/>
        </w:rPr>
        <w:t xml:space="preserve">A este respecto, la información aportada por </w:t>
      </w:r>
      <w:r w:rsidR="003C0D5C" w:rsidRPr="003A115E">
        <w:rPr>
          <w:spacing w:val="6"/>
          <w:sz w:val="26"/>
          <w:szCs w:val="26"/>
        </w:rPr>
        <w:t>el departamento</w:t>
      </w:r>
      <w:r w:rsidRPr="003A115E">
        <w:rPr>
          <w:spacing w:val="6"/>
          <w:sz w:val="26"/>
          <w:szCs w:val="26"/>
        </w:rPr>
        <w:t xml:space="preserve"> no </w:t>
      </w:r>
      <w:r w:rsidR="00E77948" w:rsidRPr="003A115E">
        <w:rPr>
          <w:spacing w:val="6"/>
          <w:sz w:val="26"/>
          <w:szCs w:val="26"/>
        </w:rPr>
        <w:t>delimita</w:t>
      </w:r>
      <w:r w:rsidRPr="003A115E">
        <w:rPr>
          <w:spacing w:val="6"/>
          <w:sz w:val="26"/>
          <w:szCs w:val="26"/>
        </w:rPr>
        <w:t xml:space="preserve"> propiamente el subsector “Administración Lo</w:t>
      </w:r>
      <w:r w:rsidR="00E77948" w:rsidRPr="003A115E">
        <w:rPr>
          <w:spacing w:val="6"/>
          <w:sz w:val="26"/>
          <w:szCs w:val="26"/>
        </w:rPr>
        <w:t>cal” de Navarra con los criterios de Contabilidad N</w:t>
      </w:r>
      <w:r w:rsidRPr="003A115E">
        <w:rPr>
          <w:spacing w:val="6"/>
          <w:sz w:val="26"/>
          <w:szCs w:val="26"/>
        </w:rPr>
        <w:t>acional</w:t>
      </w:r>
      <w:r w:rsidR="00E77948" w:rsidRPr="003A115E">
        <w:rPr>
          <w:spacing w:val="6"/>
          <w:sz w:val="26"/>
          <w:szCs w:val="26"/>
        </w:rPr>
        <w:t xml:space="preserve"> (SEC-2010)</w:t>
      </w:r>
      <w:r w:rsidRPr="003A115E">
        <w:rPr>
          <w:spacing w:val="6"/>
          <w:sz w:val="26"/>
          <w:szCs w:val="26"/>
        </w:rPr>
        <w:t xml:space="preserve">, sino que ofrece datos correspondientes al conjunto de las entidades locales y sus </w:t>
      </w:r>
      <w:r w:rsidR="00E72E7F" w:rsidRPr="003A115E">
        <w:rPr>
          <w:spacing w:val="6"/>
          <w:sz w:val="26"/>
          <w:szCs w:val="26"/>
        </w:rPr>
        <w:t>OO.AA.</w:t>
      </w:r>
      <w:r w:rsidRPr="003A115E">
        <w:rPr>
          <w:spacing w:val="6"/>
          <w:sz w:val="26"/>
          <w:szCs w:val="26"/>
        </w:rPr>
        <w:t xml:space="preserve">, incluyendo también, en lo que </w:t>
      </w:r>
      <w:r w:rsidRPr="003A115E">
        <w:rPr>
          <w:spacing w:val="6"/>
          <w:sz w:val="26"/>
          <w:szCs w:val="26"/>
        </w:rPr>
        <w:lastRenderedPageBreak/>
        <w:t>respecta a la deuda pública, a las sociedades participadas íntegramente por las entidades locales.</w:t>
      </w:r>
    </w:p>
    <w:p w14:paraId="60D39F58" w14:textId="77777777" w:rsidR="007F034F" w:rsidRPr="003A115E" w:rsidRDefault="007F034F" w:rsidP="00EF427F">
      <w:pPr>
        <w:tabs>
          <w:tab w:val="center" w:pos="2835"/>
          <w:tab w:val="center" w:pos="3969"/>
          <w:tab w:val="center" w:pos="5103"/>
          <w:tab w:val="center" w:pos="6237"/>
          <w:tab w:val="center" w:pos="7371"/>
        </w:tabs>
        <w:spacing w:after="120"/>
        <w:ind w:firstLine="284"/>
        <w:jc w:val="both"/>
        <w:rPr>
          <w:spacing w:val="6"/>
          <w:sz w:val="26"/>
          <w:szCs w:val="26"/>
        </w:rPr>
      </w:pPr>
      <w:r w:rsidRPr="003A115E">
        <w:rPr>
          <w:spacing w:val="6"/>
          <w:sz w:val="26"/>
          <w:szCs w:val="26"/>
        </w:rPr>
        <w:t xml:space="preserve">Con motivo de la crisis sanitaria, social y económica producida por la pandemia de Covid-19 y siguiendo las recomendaciones de la Comisión Europea, en octubre de 2020 el Congreso de los Diputados apreció la concurrencia de una emergencia extraordinaria conforme a lo previsto en el art. 135.4 de la Constitución y en la LOEPySF, por lo que quedaron suspendidos los objetivos de estabilidad presupuestaria, deuda pública y regla de gasto para el periodo 2020-2021, suspensión que se ha ido prorrogando sucesivamente para los ejercicios 2022 y 2023. </w:t>
      </w:r>
    </w:p>
    <w:p w14:paraId="49F33DFB" w14:textId="1AC56D90" w:rsidR="002A4BE9" w:rsidRPr="003A115E" w:rsidRDefault="002A4BE9" w:rsidP="00EF427F">
      <w:pPr>
        <w:tabs>
          <w:tab w:val="center" w:pos="2835"/>
          <w:tab w:val="center" w:pos="3969"/>
          <w:tab w:val="center" w:pos="5103"/>
          <w:tab w:val="center" w:pos="6237"/>
          <w:tab w:val="center" w:pos="7371"/>
        </w:tabs>
        <w:spacing w:after="120"/>
        <w:ind w:firstLine="284"/>
        <w:jc w:val="both"/>
        <w:rPr>
          <w:spacing w:val="6"/>
          <w:sz w:val="26"/>
          <w:szCs w:val="26"/>
        </w:rPr>
      </w:pPr>
      <w:r w:rsidRPr="003A115E">
        <w:rPr>
          <w:spacing w:val="6"/>
          <w:sz w:val="26"/>
          <w:szCs w:val="26"/>
        </w:rPr>
        <w:t>En todo caso</w:t>
      </w:r>
      <w:r w:rsidR="005164EF" w:rsidRPr="003A115E">
        <w:rPr>
          <w:spacing w:val="6"/>
          <w:sz w:val="26"/>
          <w:szCs w:val="26"/>
        </w:rPr>
        <w:t>,</w:t>
      </w:r>
      <w:r w:rsidRPr="003A115E">
        <w:rPr>
          <w:spacing w:val="6"/>
          <w:sz w:val="26"/>
          <w:szCs w:val="26"/>
        </w:rPr>
        <w:t xml:space="preserve"> un sentido de responsabilidad fiscal y prudencia aconseja hacer seguimiento también de la evolución de las variables a que se refieren las reglas suspendidas. Así:</w:t>
      </w:r>
    </w:p>
    <w:p w14:paraId="5F3AF5AD" w14:textId="20047867" w:rsidR="002A4BE9" w:rsidRPr="003A115E" w:rsidRDefault="002A4BE9" w:rsidP="00EF427F">
      <w:pPr>
        <w:tabs>
          <w:tab w:val="center" w:pos="2835"/>
          <w:tab w:val="center" w:pos="3969"/>
          <w:tab w:val="center" w:pos="5103"/>
          <w:tab w:val="center" w:pos="6237"/>
          <w:tab w:val="center" w:pos="7371"/>
        </w:tabs>
        <w:spacing w:after="80"/>
        <w:ind w:firstLine="284"/>
        <w:jc w:val="both"/>
        <w:rPr>
          <w:spacing w:val="6"/>
          <w:sz w:val="26"/>
          <w:szCs w:val="26"/>
        </w:rPr>
      </w:pPr>
      <w:r w:rsidRPr="003A115E">
        <w:rPr>
          <w:spacing w:val="6"/>
          <w:sz w:val="26"/>
          <w:szCs w:val="26"/>
        </w:rPr>
        <w:t xml:space="preserve">a) En relación con la regla de estabilidad presupuestaria, el sector público local presenta una capacidad de financiación de </w:t>
      </w:r>
      <w:r w:rsidR="00E673EB" w:rsidRPr="003A115E">
        <w:rPr>
          <w:spacing w:val="6"/>
          <w:sz w:val="26"/>
          <w:szCs w:val="26"/>
        </w:rPr>
        <w:t>97,72</w:t>
      </w:r>
      <w:r w:rsidRPr="003A115E">
        <w:rPr>
          <w:spacing w:val="6"/>
          <w:sz w:val="26"/>
          <w:szCs w:val="26"/>
        </w:rPr>
        <w:t xml:space="preserve"> millones</w:t>
      </w:r>
      <w:r w:rsidR="00EC4C05" w:rsidRPr="003A115E">
        <w:rPr>
          <w:spacing w:val="6"/>
          <w:sz w:val="26"/>
          <w:szCs w:val="26"/>
        </w:rPr>
        <w:t>, según se detalla en la tabla siguiente</w:t>
      </w:r>
      <w:r w:rsidRPr="003A115E">
        <w:rPr>
          <w:spacing w:val="6"/>
          <w:sz w:val="26"/>
          <w:szCs w:val="26"/>
        </w:rPr>
        <w:t>:</w:t>
      </w:r>
    </w:p>
    <w:p w14:paraId="4D035EC7" w14:textId="5A20B5CA" w:rsidR="002A4BE9" w:rsidRPr="003A115E" w:rsidRDefault="00357131" w:rsidP="00E77948">
      <w:pPr>
        <w:pStyle w:val="texto"/>
        <w:spacing w:after="0"/>
        <w:jc w:val="right"/>
        <w:rPr>
          <w:rFonts w:ascii="Arial Narrow" w:hAnsi="Arial Narrow"/>
          <w:sz w:val="18"/>
          <w:szCs w:val="18"/>
        </w:rPr>
      </w:pPr>
      <w:r>
        <w:rPr>
          <w:rFonts w:ascii="Arial Narrow" w:hAnsi="Arial Narrow"/>
          <w:sz w:val="18"/>
          <w:szCs w:val="18"/>
        </w:rPr>
        <w:t>(</w:t>
      </w:r>
      <w:r w:rsidR="00431040">
        <w:rPr>
          <w:rFonts w:ascii="Arial Narrow" w:hAnsi="Arial Narrow"/>
          <w:sz w:val="18"/>
          <w:szCs w:val="18"/>
        </w:rPr>
        <w:t>m</w:t>
      </w:r>
      <w:r w:rsidR="002A4BE9" w:rsidRPr="003A115E">
        <w:rPr>
          <w:rFonts w:ascii="Arial Narrow" w:hAnsi="Arial Narrow"/>
          <w:sz w:val="18"/>
          <w:szCs w:val="18"/>
        </w:rPr>
        <w:t>illones</w:t>
      </w:r>
      <w:r>
        <w:rPr>
          <w:rFonts w:ascii="Arial Narrow" w:hAnsi="Arial Narrow"/>
          <w:sz w:val="18"/>
          <w:szCs w:val="18"/>
        </w:rPr>
        <w:t>)</w:t>
      </w:r>
    </w:p>
    <w:tbl>
      <w:tblPr>
        <w:tblW w:w="5001" w:type="pct"/>
        <w:tblCellMar>
          <w:left w:w="70" w:type="dxa"/>
          <w:right w:w="70" w:type="dxa"/>
        </w:tblCellMar>
        <w:tblLook w:val="04A0" w:firstRow="1" w:lastRow="0" w:firstColumn="1" w:lastColumn="0" w:noHBand="0" w:noVBand="1"/>
      </w:tblPr>
      <w:tblGrid>
        <w:gridCol w:w="3401"/>
        <w:gridCol w:w="1389"/>
        <w:gridCol w:w="1391"/>
        <w:gridCol w:w="1391"/>
        <w:gridCol w:w="1218"/>
      </w:tblGrid>
      <w:tr w:rsidR="000A742F" w:rsidRPr="003A115E" w14:paraId="572F5BC2" w14:textId="77777777" w:rsidTr="005F3A0D">
        <w:trPr>
          <w:trHeight w:val="255"/>
        </w:trPr>
        <w:tc>
          <w:tcPr>
            <w:tcW w:w="1935" w:type="pct"/>
            <w:tcBorders>
              <w:top w:val="single" w:sz="4" w:space="0" w:color="auto"/>
              <w:left w:val="nil"/>
              <w:bottom w:val="single" w:sz="4" w:space="0" w:color="auto"/>
              <w:right w:val="nil"/>
            </w:tcBorders>
            <w:shd w:val="clear" w:color="auto" w:fill="FABF8F" w:themeFill="accent6" w:themeFillTint="99"/>
            <w:vAlign w:val="center"/>
            <w:hideMark/>
          </w:tcPr>
          <w:p w14:paraId="74371713" w14:textId="77777777" w:rsidR="00E60D20" w:rsidRPr="003A115E" w:rsidRDefault="00E60D20" w:rsidP="005272BD">
            <w:pPr>
              <w:pStyle w:val="cuadroCabe"/>
            </w:pPr>
            <w:r w:rsidRPr="003A115E">
              <w:t>Capacidad/necesidad de financiación</w:t>
            </w:r>
          </w:p>
        </w:tc>
        <w:tc>
          <w:tcPr>
            <w:tcW w:w="790" w:type="pct"/>
            <w:tcBorders>
              <w:top w:val="single" w:sz="4" w:space="0" w:color="auto"/>
              <w:left w:val="nil"/>
              <w:bottom w:val="single" w:sz="4" w:space="0" w:color="auto"/>
              <w:right w:val="nil"/>
            </w:tcBorders>
            <w:shd w:val="clear" w:color="auto" w:fill="FABF8F" w:themeFill="accent6" w:themeFillTint="99"/>
            <w:vAlign w:val="center"/>
            <w:hideMark/>
          </w:tcPr>
          <w:p w14:paraId="007D2978" w14:textId="77777777" w:rsidR="00E60D20" w:rsidRPr="003A115E" w:rsidRDefault="00E60D20" w:rsidP="005272BD">
            <w:pPr>
              <w:pStyle w:val="cuadroCabe"/>
              <w:jc w:val="right"/>
            </w:pPr>
            <w:r w:rsidRPr="003A115E">
              <w:t>2019</w:t>
            </w:r>
          </w:p>
        </w:tc>
        <w:tc>
          <w:tcPr>
            <w:tcW w:w="791" w:type="pct"/>
            <w:tcBorders>
              <w:top w:val="single" w:sz="4" w:space="0" w:color="auto"/>
              <w:left w:val="nil"/>
              <w:bottom w:val="single" w:sz="4" w:space="0" w:color="auto"/>
              <w:right w:val="nil"/>
            </w:tcBorders>
            <w:shd w:val="clear" w:color="auto" w:fill="FABF8F" w:themeFill="accent6" w:themeFillTint="99"/>
            <w:vAlign w:val="center"/>
            <w:hideMark/>
          </w:tcPr>
          <w:p w14:paraId="5CAC93EB" w14:textId="77777777" w:rsidR="00E60D20" w:rsidRPr="003A115E" w:rsidRDefault="00E60D20" w:rsidP="005272BD">
            <w:pPr>
              <w:pStyle w:val="cuadroCabe"/>
              <w:jc w:val="right"/>
            </w:pPr>
            <w:r w:rsidRPr="003A115E">
              <w:t>2020</w:t>
            </w:r>
          </w:p>
        </w:tc>
        <w:tc>
          <w:tcPr>
            <w:tcW w:w="791" w:type="pct"/>
            <w:tcBorders>
              <w:top w:val="single" w:sz="4" w:space="0" w:color="auto"/>
              <w:left w:val="nil"/>
              <w:bottom w:val="single" w:sz="4" w:space="0" w:color="auto"/>
              <w:right w:val="nil"/>
            </w:tcBorders>
            <w:shd w:val="clear" w:color="auto" w:fill="FABF8F" w:themeFill="accent6" w:themeFillTint="99"/>
            <w:vAlign w:val="center"/>
            <w:hideMark/>
          </w:tcPr>
          <w:p w14:paraId="63B38878" w14:textId="77777777" w:rsidR="00E60D20" w:rsidRPr="003A115E" w:rsidRDefault="00E60D20" w:rsidP="005272BD">
            <w:pPr>
              <w:pStyle w:val="cuadroCabe"/>
              <w:jc w:val="right"/>
            </w:pPr>
            <w:r w:rsidRPr="003A115E">
              <w:t>2021</w:t>
            </w:r>
          </w:p>
        </w:tc>
        <w:tc>
          <w:tcPr>
            <w:tcW w:w="694" w:type="pct"/>
            <w:tcBorders>
              <w:top w:val="single" w:sz="4" w:space="0" w:color="auto"/>
              <w:left w:val="nil"/>
              <w:bottom w:val="single" w:sz="4" w:space="0" w:color="auto"/>
              <w:right w:val="nil"/>
            </w:tcBorders>
            <w:shd w:val="clear" w:color="auto" w:fill="FABF8F" w:themeFill="accent6" w:themeFillTint="99"/>
            <w:vAlign w:val="center"/>
            <w:hideMark/>
          </w:tcPr>
          <w:p w14:paraId="798750B0" w14:textId="77777777" w:rsidR="00E60D20" w:rsidRPr="003A115E" w:rsidRDefault="00E60D20" w:rsidP="005272BD">
            <w:pPr>
              <w:pStyle w:val="cuadroCabe"/>
              <w:jc w:val="right"/>
            </w:pPr>
            <w:r w:rsidRPr="003A115E">
              <w:t>2022</w:t>
            </w:r>
          </w:p>
        </w:tc>
      </w:tr>
      <w:tr w:rsidR="000A742F" w:rsidRPr="003A115E" w14:paraId="2FA054A8" w14:textId="77777777" w:rsidTr="00C0775A">
        <w:trPr>
          <w:trHeight w:val="198"/>
        </w:trPr>
        <w:tc>
          <w:tcPr>
            <w:tcW w:w="1935" w:type="pct"/>
            <w:tcBorders>
              <w:top w:val="single" w:sz="4" w:space="0" w:color="auto"/>
              <w:left w:val="nil"/>
              <w:bottom w:val="single" w:sz="2" w:space="0" w:color="auto"/>
              <w:right w:val="nil"/>
            </w:tcBorders>
            <w:shd w:val="clear" w:color="auto" w:fill="auto"/>
            <w:vAlign w:val="center"/>
            <w:hideMark/>
          </w:tcPr>
          <w:p w14:paraId="4EE00A00" w14:textId="77777777" w:rsidR="00E60D20" w:rsidRPr="003A115E" w:rsidRDefault="00E60D20" w:rsidP="005272BD">
            <w:pPr>
              <w:pStyle w:val="cuatexto"/>
            </w:pPr>
            <w:r w:rsidRPr="003A115E">
              <w:t>Saldo presupuestario no financiero</w:t>
            </w:r>
          </w:p>
        </w:tc>
        <w:tc>
          <w:tcPr>
            <w:tcW w:w="790" w:type="pct"/>
            <w:tcBorders>
              <w:top w:val="single" w:sz="4" w:space="0" w:color="auto"/>
              <w:left w:val="nil"/>
              <w:bottom w:val="single" w:sz="2" w:space="0" w:color="auto"/>
              <w:right w:val="nil"/>
            </w:tcBorders>
            <w:shd w:val="clear" w:color="auto" w:fill="auto"/>
            <w:vAlign w:val="center"/>
            <w:hideMark/>
          </w:tcPr>
          <w:p w14:paraId="03EC8AC1" w14:textId="1C06B0A2" w:rsidR="00E60D20" w:rsidRPr="003A115E" w:rsidRDefault="00E60D20" w:rsidP="005272BD">
            <w:pPr>
              <w:pStyle w:val="cuatexto"/>
              <w:jc w:val="right"/>
            </w:pPr>
            <w:r w:rsidRPr="003A115E">
              <w:t>31,16</w:t>
            </w:r>
          </w:p>
        </w:tc>
        <w:tc>
          <w:tcPr>
            <w:tcW w:w="791" w:type="pct"/>
            <w:tcBorders>
              <w:top w:val="single" w:sz="4" w:space="0" w:color="auto"/>
              <w:left w:val="nil"/>
              <w:bottom w:val="single" w:sz="2" w:space="0" w:color="auto"/>
              <w:right w:val="nil"/>
            </w:tcBorders>
            <w:shd w:val="clear" w:color="auto" w:fill="auto"/>
            <w:vAlign w:val="center"/>
            <w:hideMark/>
          </w:tcPr>
          <w:p w14:paraId="2493BF0B" w14:textId="395541D7" w:rsidR="00E60D20" w:rsidRPr="003A115E" w:rsidRDefault="00E60D20" w:rsidP="005272BD">
            <w:pPr>
              <w:pStyle w:val="cuatexto"/>
              <w:jc w:val="right"/>
            </w:pPr>
            <w:r w:rsidRPr="003A115E">
              <w:t>78,00</w:t>
            </w:r>
          </w:p>
        </w:tc>
        <w:tc>
          <w:tcPr>
            <w:tcW w:w="791" w:type="pct"/>
            <w:tcBorders>
              <w:top w:val="single" w:sz="4" w:space="0" w:color="auto"/>
              <w:left w:val="nil"/>
              <w:bottom w:val="single" w:sz="2" w:space="0" w:color="auto"/>
              <w:right w:val="nil"/>
            </w:tcBorders>
            <w:shd w:val="clear" w:color="auto" w:fill="auto"/>
            <w:vAlign w:val="center"/>
            <w:hideMark/>
          </w:tcPr>
          <w:p w14:paraId="5314D3EC" w14:textId="1BFB2E82" w:rsidR="00E60D20" w:rsidRPr="003A115E" w:rsidRDefault="00E60D20" w:rsidP="005272BD">
            <w:pPr>
              <w:pStyle w:val="cuatexto"/>
              <w:jc w:val="right"/>
            </w:pPr>
            <w:r w:rsidRPr="003A115E">
              <w:t>24,43</w:t>
            </w:r>
          </w:p>
        </w:tc>
        <w:tc>
          <w:tcPr>
            <w:tcW w:w="694" w:type="pct"/>
            <w:tcBorders>
              <w:top w:val="single" w:sz="4" w:space="0" w:color="auto"/>
              <w:left w:val="nil"/>
              <w:bottom w:val="single" w:sz="2" w:space="0" w:color="auto"/>
              <w:right w:val="nil"/>
            </w:tcBorders>
            <w:shd w:val="clear" w:color="auto" w:fill="auto"/>
            <w:vAlign w:val="center"/>
            <w:hideMark/>
          </w:tcPr>
          <w:p w14:paraId="6112F726" w14:textId="77CE1F94" w:rsidR="00E60D20" w:rsidRPr="003A115E" w:rsidRDefault="00E60D20" w:rsidP="005272BD">
            <w:pPr>
              <w:pStyle w:val="cuatexto"/>
              <w:jc w:val="right"/>
            </w:pPr>
            <w:r w:rsidRPr="003A115E">
              <w:t>77,36</w:t>
            </w:r>
          </w:p>
        </w:tc>
      </w:tr>
      <w:tr w:rsidR="000A742F" w:rsidRPr="003A115E" w14:paraId="23C15B52" w14:textId="77777777" w:rsidTr="00C0775A">
        <w:trPr>
          <w:trHeight w:val="198"/>
        </w:trPr>
        <w:tc>
          <w:tcPr>
            <w:tcW w:w="1935" w:type="pct"/>
            <w:tcBorders>
              <w:top w:val="single" w:sz="2" w:space="0" w:color="auto"/>
              <w:left w:val="nil"/>
              <w:bottom w:val="nil"/>
              <w:right w:val="nil"/>
            </w:tcBorders>
            <w:shd w:val="clear" w:color="auto" w:fill="auto"/>
            <w:vAlign w:val="center"/>
            <w:hideMark/>
          </w:tcPr>
          <w:p w14:paraId="34DC816E" w14:textId="77777777" w:rsidR="00E60D20" w:rsidRPr="003A115E" w:rsidRDefault="00E60D20" w:rsidP="005272BD">
            <w:pPr>
              <w:pStyle w:val="cuatexto"/>
            </w:pPr>
            <w:r w:rsidRPr="003A115E">
              <w:t>Ajustes:</w:t>
            </w:r>
          </w:p>
        </w:tc>
        <w:tc>
          <w:tcPr>
            <w:tcW w:w="790" w:type="pct"/>
            <w:tcBorders>
              <w:top w:val="single" w:sz="2" w:space="0" w:color="auto"/>
              <w:left w:val="nil"/>
              <w:bottom w:val="nil"/>
              <w:right w:val="nil"/>
            </w:tcBorders>
            <w:shd w:val="clear" w:color="auto" w:fill="auto"/>
            <w:vAlign w:val="center"/>
            <w:hideMark/>
          </w:tcPr>
          <w:p w14:paraId="0A5E2EFB" w14:textId="399E5AA4" w:rsidR="00E60D20" w:rsidRPr="003A115E" w:rsidRDefault="00E60D20" w:rsidP="005272BD">
            <w:pPr>
              <w:pStyle w:val="cuatexto"/>
              <w:jc w:val="right"/>
            </w:pPr>
          </w:p>
        </w:tc>
        <w:tc>
          <w:tcPr>
            <w:tcW w:w="791" w:type="pct"/>
            <w:tcBorders>
              <w:top w:val="single" w:sz="2" w:space="0" w:color="auto"/>
              <w:left w:val="nil"/>
              <w:bottom w:val="nil"/>
              <w:right w:val="nil"/>
            </w:tcBorders>
            <w:shd w:val="clear" w:color="auto" w:fill="auto"/>
            <w:vAlign w:val="center"/>
            <w:hideMark/>
          </w:tcPr>
          <w:p w14:paraId="5A3D1ABD" w14:textId="0B081262" w:rsidR="00E60D20" w:rsidRPr="003A115E" w:rsidRDefault="00E60D20" w:rsidP="005272BD">
            <w:pPr>
              <w:pStyle w:val="cuatexto"/>
              <w:jc w:val="right"/>
            </w:pPr>
          </w:p>
        </w:tc>
        <w:tc>
          <w:tcPr>
            <w:tcW w:w="791" w:type="pct"/>
            <w:tcBorders>
              <w:top w:val="single" w:sz="2" w:space="0" w:color="auto"/>
              <w:left w:val="nil"/>
              <w:bottom w:val="nil"/>
              <w:right w:val="nil"/>
            </w:tcBorders>
            <w:shd w:val="clear" w:color="auto" w:fill="auto"/>
            <w:vAlign w:val="center"/>
            <w:hideMark/>
          </w:tcPr>
          <w:p w14:paraId="7537B067" w14:textId="4FB5F40C" w:rsidR="00E60D20" w:rsidRPr="003A115E" w:rsidRDefault="00E60D20" w:rsidP="005272BD">
            <w:pPr>
              <w:pStyle w:val="cuatexto"/>
              <w:jc w:val="right"/>
            </w:pPr>
          </w:p>
        </w:tc>
        <w:tc>
          <w:tcPr>
            <w:tcW w:w="694" w:type="pct"/>
            <w:tcBorders>
              <w:top w:val="single" w:sz="2" w:space="0" w:color="auto"/>
              <w:left w:val="nil"/>
              <w:bottom w:val="nil"/>
              <w:right w:val="nil"/>
            </w:tcBorders>
            <w:shd w:val="clear" w:color="auto" w:fill="auto"/>
            <w:vAlign w:val="center"/>
            <w:hideMark/>
          </w:tcPr>
          <w:p w14:paraId="74776743" w14:textId="12603DEA" w:rsidR="00E60D20" w:rsidRPr="003A115E" w:rsidRDefault="00E60D20" w:rsidP="005272BD">
            <w:pPr>
              <w:pStyle w:val="cuatexto"/>
              <w:jc w:val="right"/>
            </w:pPr>
          </w:p>
        </w:tc>
      </w:tr>
      <w:tr w:rsidR="000A742F" w:rsidRPr="003A115E" w14:paraId="307CBF69" w14:textId="77777777" w:rsidTr="00C0775A">
        <w:trPr>
          <w:trHeight w:val="198"/>
        </w:trPr>
        <w:tc>
          <w:tcPr>
            <w:tcW w:w="1935" w:type="pct"/>
            <w:tcBorders>
              <w:top w:val="nil"/>
              <w:left w:val="nil"/>
              <w:bottom w:val="nil"/>
              <w:right w:val="nil"/>
            </w:tcBorders>
            <w:shd w:val="clear" w:color="auto" w:fill="auto"/>
            <w:vAlign w:val="center"/>
            <w:hideMark/>
          </w:tcPr>
          <w:p w14:paraId="4BD91482" w14:textId="77777777" w:rsidR="00E60D20" w:rsidRPr="003A115E" w:rsidRDefault="00E60D20" w:rsidP="005272BD">
            <w:pPr>
              <w:pStyle w:val="cuatexto"/>
            </w:pPr>
            <w:r w:rsidRPr="003A115E">
              <w:t>Ingresos de recaudación incierta</w:t>
            </w:r>
          </w:p>
        </w:tc>
        <w:tc>
          <w:tcPr>
            <w:tcW w:w="790" w:type="pct"/>
            <w:tcBorders>
              <w:top w:val="nil"/>
              <w:left w:val="nil"/>
              <w:bottom w:val="nil"/>
              <w:right w:val="nil"/>
            </w:tcBorders>
            <w:shd w:val="clear" w:color="auto" w:fill="auto"/>
            <w:vAlign w:val="center"/>
            <w:hideMark/>
          </w:tcPr>
          <w:p w14:paraId="61F49026" w14:textId="1133ED69" w:rsidR="00E60D20" w:rsidRPr="003A115E" w:rsidRDefault="00E60D20" w:rsidP="005272BD">
            <w:pPr>
              <w:pStyle w:val="cuatexto"/>
              <w:jc w:val="right"/>
            </w:pPr>
            <w:r w:rsidRPr="003A115E">
              <w:t>-6,23</w:t>
            </w:r>
          </w:p>
        </w:tc>
        <w:tc>
          <w:tcPr>
            <w:tcW w:w="791" w:type="pct"/>
            <w:tcBorders>
              <w:top w:val="nil"/>
              <w:left w:val="nil"/>
              <w:bottom w:val="nil"/>
              <w:right w:val="nil"/>
            </w:tcBorders>
            <w:shd w:val="clear" w:color="auto" w:fill="auto"/>
            <w:vAlign w:val="center"/>
            <w:hideMark/>
          </w:tcPr>
          <w:p w14:paraId="7E4AE23C" w14:textId="10279FDA" w:rsidR="00E60D20" w:rsidRPr="003A115E" w:rsidRDefault="00E60D20" w:rsidP="005272BD">
            <w:pPr>
              <w:pStyle w:val="cuatexto"/>
              <w:jc w:val="right"/>
            </w:pPr>
            <w:r w:rsidRPr="003A115E">
              <w:t>-11,66</w:t>
            </w:r>
          </w:p>
        </w:tc>
        <w:tc>
          <w:tcPr>
            <w:tcW w:w="791" w:type="pct"/>
            <w:tcBorders>
              <w:top w:val="nil"/>
              <w:left w:val="nil"/>
              <w:bottom w:val="nil"/>
              <w:right w:val="nil"/>
            </w:tcBorders>
            <w:shd w:val="clear" w:color="auto" w:fill="auto"/>
            <w:vAlign w:val="center"/>
            <w:hideMark/>
          </w:tcPr>
          <w:p w14:paraId="19D60F3C" w14:textId="5B2C2557" w:rsidR="00E60D20" w:rsidRPr="003A115E" w:rsidRDefault="00E60D20" w:rsidP="005272BD">
            <w:pPr>
              <w:pStyle w:val="cuatexto"/>
              <w:jc w:val="right"/>
            </w:pPr>
            <w:r w:rsidRPr="003A115E">
              <w:t>-4,64*</w:t>
            </w:r>
          </w:p>
        </w:tc>
        <w:tc>
          <w:tcPr>
            <w:tcW w:w="694" w:type="pct"/>
            <w:tcBorders>
              <w:top w:val="nil"/>
              <w:left w:val="nil"/>
              <w:bottom w:val="nil"/>
              <w:right w:val="nil"/>
            </w:tcBorders>
            <w:shd w:val="clear" w:color="auto" w:fill="auto"/>
            <w:vAlign w:val="center"/>
            <w:hideMark/>
          </w:tcPr>
          <w:p w14:paraId="441338F4" w14:textId="47A16ED2" w:rsidR="00E60D20" w:rsidRPr="003A115E" w:rsidRDefault="00E60D20" w:rsidP="005272BD">
            <w:pPr>
              <w:pStyle w:val="cuatexto"/>
              <w:jc w:val="right"/>
            </w:pPr>
            <w:r w:rsidRPr="003A115E">
              <w:t>-16,88</w:t>
            </w:r>
          </w:p>
        </w:tc>
      </w:tr>
      <w:tr w:rsidR="000A742F" w:rsidRPr="003A115E" w14:paraId="1D9A3000" w14:textId="77777777" w:rsidTr="00C0775A">
        <w:trPr>
          <w:trHeight w:val="198"/>
        </w:trPr>
        <w:tc>
          <w:tcPr>
            <w:tcW w:w="1935" w:type="pct"/>
            <w:tcBorders>
              <w:top w:val="nil"/>
              <w:left w:val="nil"/>
              <w:bottom w:val="single" w:sz="4" w:space="0" w:color="auto"/>
              <w:right w:val="nil"/>
            </w:tcBorders>
            <w:shd w:val="clear" w:color="auto" w:fill="auto"/>
            <w:vAlign w:val="center"/>
            <w:hideMark/>
          </w:tcPr>
          <w:p w14:paraId="3CC7DFA9" w14:textId="5376426D" w:rsidR="00E60D20" w:rsidRPr="003A115E" w:rsidRDefault="00E60D20" w:rsidP="005272BD">
            <w:pPr>
              <w:pStyle w:val="cuatexto"/>
            </w:pPr>
            <w:r w:rsidRPr="003A115E">
              <w:t>Transferen</w:t>
            </w:r>
            <w:r w:rsidR="00B238E4" w:rsidRPr="003A115E">
              <w:t>c</w:t>
            </w:r>
            <w:r w:rsidRPr="003A115E">
              <w:t>ias recibidas de otras AAPP</w:t>
            </w:r>
          </w:p>
        </w:tc>
        <w:tc>
          <w:tcPr>
            <w:tcW w:w="790" w:type="pct"/>
            <w:tcBorders>
              <w:top w:val="nil"/>
              <w:left w:val="nil"/>
              <w:bottom w:val="single" w:sz="4" w:space="0" w:color="auto"/>
              <w:right w:val="nil"/>
            </w:tcBorders>
            <w:shd w:val="clear" w:color="auto" w:fill="auto"/>
            <w:vAlign w:val="center"/>
            <w:hideMark/>
          </w:tcPr>
          <w:p w14:paraId="5ADC18EE" w14:textId="0AB79DE6" w:rsidR="00E60D20" w:rsidRPr="003A115E" w:rsidRDefault="00E60D20" w:rsidP="005272BD">
            <w:pPr>
              <w:pStyle w:val="cuatexto"/>
              <w:jc w:val="right"/>
            </w:pPr>
            <w:r w:rsidRPr="003A115E">
              <w:t>12,85</w:t>
            </w:r>
          </w:p>
        </w:tc>
        <w:tc>
          <w:tcPr>
            <w:tcW w:w="791" w:type="pct"/>
            <w:tcBorders>
              <w:top w:val="nil"/>
              <w:left w:val="nil"/>
              <w:bottom w:val="single" w:sz="4" w:space="0" w:color="auto"/>
              <w:right w:val="nil"/>
            </w:tcBorders>
            <w:shd w:val="clear" w:color="auto" w:fill="auto"/>
            <w:vAlign w:val="center"/>
            <w:hideMark/>
          </w:tcPr>
          <w:p w14:paraId="48B547B0" w14:textId="186C3FA8" w:rsidR="00E60D20" w:rsidRPr="003A115E" w:rsidRDefault="00E60D20" w:rsidP="005272BD">
            <w:pPr>
              <w:pStyle w:val="cuatexto"/>
              <w:jc w:val="right"/>
            </w:pPr>
            <w:r w:rsidRPr="003A115E">
              <w:t>21,46</w:t>
            </w:r>
          </w:p>
        </w:tc>
        <w:tc>
          <w:tcPr>
            <w:tcW w:w="791" w:type="pct"/>
            <w:tcBorders>
              <w:top w:val="nil"/>
              <w:left w:val="nil"/>
              <w:bottom w:val="single" w:sz="4" w:space="0" w:color="auto"/>
              <w:right w:val="nil"/>
            </w:tcBorders>
            <w:shd w:val="clear" w:color="auto" w:fill="auto"/>
            <w:vAlign w:val="center"/>
            <w:hideMark/>
          </w:tcPr>
          <w:p w14:paraId="6D8C13FC" w14:textId="32F31DC0" w:rsidR="00E60D20" w:rsidRPr="003A115E" w:rsidRDefault="00E60D20" w:rsidP="005272BD">
            <w:pPr>
              <w:pStyle w:val="cuatexto"/>
              <w:jc w:val="right"/>
            </w:pPr>
            <w:r w:rsidRPr="003A115E">
              <w:t>20,08</w:t>
            </w:r>
          </w:p>
        </w:tc>
        <w:tc>
          <w:tcPr>
            <w:tcW w:w="694" w:type="pct"/>
            <w:tcBorders>
              <w:top w:val="nil"/>
              <w:left w:val="nil"/>
              <w:bottom w:val="single" w:sz="4" w:space="0" w:color="auto"/>
              <w:right w:val="nil"/>
            </w:tcBorders>
            <w:shd w:val="clear" w:color="auto" w:fill="auto"/>
            <w:vAlign w:val="center"/>
            <w:hideMark/>
          </w:tcPr>
          <w:p w14:paraId="31E79DB6" w14:textId="431F08F5" w:rsidR="00E60D20" w:rsidRPr="003A115E" w:rsidRDefault="00E60D20" w:rsidP="005272BD">
            <w:pPr>
              <w:pStyle w:val="cuatexto"/>
              <w:jc w:val="right"/>
            </w:pPr>
            <w:r w:rsidRPr="003A115E">
              <w:t>37,24</w:t>
            </w:r>
          </w:p>
        </w:tc>
      </w:tr>
      <w:tr w:rsidR="000A742F" w:rsidRPr="003A115E" w14:paraId="060FA6B2" w14:textId="77777777" w:rsidTr="005F3A0D">
        <w:trPr>
          <w:trHeight w:val="255"/>
        </w:trPr>
        <w:tc>
          <w:tcPr>
            <w:tcW w:w="1935" w:type="pct"/>
            <w:tcBorders>
              <w:top w:val="single" w:sz="4" w:space="0" w:color="auto"/>
              <w:left w:val="nil"/>
              <w:bottom w:val="single" w:sz="4" w:space="0" w:color="auto"/>
              <w:right w:val="nil"/>
            </w:tcBorders>
            <w:shd w:val="clear" w:color="auto" w:fill="FABF8F" w:themeFill="accent6" w:themeFillTint="99"/>
            <w:vAlign w:val="center"/>
            <w:hideMark/>
          </w:tcPr>
          <w:p w14:paraId="3F304485" w14:textId="77777777" w:rsidR="00E60D20" w:rsidRPr="003A115E" w:rsidRDefault="00E60D20" w:rsidP="005272BD">
            <w:pPr>
              <w:pStyle w:val="cuadroCabe"/>
            </w:pPr>
            <w:r w:rsidRPr="003A115E">
              <w:t>Capacidad de financiación</w:t>
            </w:r>
          </w:p>
        </w:tc>
        <w:tc>
          <w:tcPr>
            <w:tcW w:w="790" w:type="pct"/>
            <w:tcBorders>
              <w:top w:val="single" w:sz="4" w:space="0" w:color="auto"/>
              <w:left w:val="nil"/>
              <w:bottom w:val="single" w:sz="4" w:space="0" w:color="auto"/>
              <w:right w:val="nil"/>
            </w:tcBorders>
            <w:shd w:val="clear" w:color="auto" w:fill="FABF8F" w:themeFill="accent6" w:themeFillTint="99"/>
            <w:vAlign w:val="center"/>
            <w:hideMark/>
          </w:tcPr>
          <w:p w14:paraId="39C177F6" w14:textId="694185C1" w:rsidR="00E60D20" w:rsidRPr="003A115E" w:rsidRDefault="00E60D20" w:rsidP="005272BD">
            <w:pPr>
              <w:pStyle w:val="cuadroCabe"/>
              <w:jc w:val="right"/>
            </w:pPr>
            <w:r w:rsidRPr="003A115E">
              <w:t>37,78</w:t>
            </w:r>
          </w:p>
        </w:tc>
        <w:tc>
          <w:tcPr>
            <w:tcW w:w="791" w:type="pct"/>
            <w:tcBorders>
              <w:top w:val="single" w:sz="4" w:space="0" w:color="auto"/>
              <w:left w:val="nil"/>
              <w:bottom w:val="single" w:sz="4" w:space="0" w:color="auto"/>
              <w:right w:val="nil"/>
            </w:tcBorders>
            <w:shd w:val="clear" w:color="auto" w:fill="FABF8F" w:themeFill="accent6" w:themeFillTint="99"/>
            <w:vAlign w:val="center"/>
            <w:hideMark/>
          </w:tcPr>
          <w:p w14:paraId="4E23E372" w14:textId="6E9F9962" w:rsidR="00E60D20" w:rsidRPr="003A115E" w:rsidRDefault="00E60D20" w:rsidP="005272BD">
            <w:pPr>
              <w:pStyle w:val="cuadroCabe"/>
              <w:jc w:val="right"/>
            </w:pPr>
            <w:r w:rsidRPr="003A115E">
              <w:t>87,80</w:t>
            </w:r>
          </w:p>
        </w:tc>
        <w:tc>
          <w:tcPr>
            <w:tcW w:w="791" w:type="pct"/>
            <w:tcBorders>
              <w:top w:val="single" w:sz="4" w:space="0" w:color="auto"/>
              <w:left w:val="nil"/>
              <w:bottom w:val="single" w:sz="4" w:space="0" w:color="auto"/>
              <w:right w:val="nil"/>
            </w:tcBorders>
            <w:shd w:val="clear" w:color="auto" w:fill="FABF8F" w:themeFill="accent6" w:themeFillTint="99"/>
            <w:vAlign w:val="center"/>
            <w:hideMark/>
          </w:tcPr>
          <w:p w14:paraId="51D96667" w14:textId="73194473" w:rsidR="00E60D20" w:rsidRPr="003A115E" w:rsidRDefault="001048EE" w:rsidP="005272BD">
            <w:pPr>
              <w:pStyle w:val="cuadroCabe"/>
              <w:jc w:val="right"/>
            </w:pPr>
            <w:r w:rsidRPr="003A115E">
              <w:t>39,88</w:t>
            </w:r>
          </w:p>
        </w:tc>
        <w:tc>
          <w:tcPr>
            <w:tcW w:w="694" w:type="pct"/>
            <w:tcBorders>
              <w:top w:val="single" w:sz="4" w:space="0" w:color="auto"/>
              <w:left w:val="nil"/>
              <w:bottom w:val="single" w:sz="4" w:space="0" w:color="auto"/>
              <w:right w:val="nil"/>
            </w:tcBorders>
            <w:shd w:val="clear" w:color="auto" w:fill="FABF8F" w:themeFill="accent6" w:themeFillTint="99"/>
            <w:vAlign w:val="center"/>
            <w:hideMark/>
          </w:tcPr>
          <w:p w14:paraId="1C3A5D07" w14:textId="4981C363" w:rsidR="00E60D20" w:rsidRPr="003A115E" w:rsidRDefault="00E60D20" w:rsidP="005272BD">
            <w:pPr>
              <w:pStyle w:val="cuadroCabe"/>
              <w:jc w:val="right"/>
            </w:pPr>
            <w:r w:rsidRPr="003A115E">
              <w:t>97,72</w:t>
            </w:r>
          </w:p>
        </w:tc>
      </w:tr>
    </w:tbl>
    <w:p w14:paraId="5090F16A" w14:textId="2D414996" w:rsidR="005B552E" w:rsidRPr="003A115E" w:rsidRDefault="005B552E" w:rsidP="00B739A9">
      <w:pPr>
        <w:tabs>
          <w:tab w:val="center" w:pos="2835"/>
          <w:tab w:val="center" w:pos="3969"/>
          <w:tab w:val="center" w:pos="5103"/>
          <w:tab w:val="center" w:pos="6237"/>
          <w:tab w:val="center" w:pos="7371"/>
        </w:tabs>
        <w:spacing w:before="60"/>
        <w:rPr>
          <w:rFonts w:ascii="Arial Narrow" w:hAnsi="Arial Narrow" w:cs="Arial"/>
          <w:spacing w:val="6"/>
          <w:sz w:val="16"/>
          <w:szCs w:val="16"/>
        </w:rPr>
      </w:pPr>
      <w:r w:rsidRPr="003A115E">
        <w:rPr>
          <w:rFonts w:ascii="Arial Narrow" w:hAnsi="Arial Narrow" w:cs="Arial"/>
          <w:spacing w:val="6"/>
          <w:sz w:val="16"/>
          <w:szCs w:val="16"/>
        </w:rPr>
        <w:t xml:space="preserve">(*) Dato facilitado por la DGALD en noviembre de 2023 </w:t>
      </w:r>
      <w:r w:rsidR="00E77948" w:rsidRPr="003A115E">
        <w:rPr>
          <w:rFonts w:ascii="Arial Narrow" w:hAnsi="Arial Narrow" w:cs="Arial"/>
          <w:spacing w:val="6"/>
          <w:sz w:val="16"/>
          <w:szCs w:val="16"/>
        </w:rPr>
        <w:t>para rectificar el</w:t>
      </w:r>
      <w:r w:rsidRPr="003A115E">
        <w:rPr>
          <w:rFonts w:ascii="Arial Narrow" w:hAnsi="Arial Narrow" w:cs="Arial"/>
          <w:spacing w:val="6"/>
          <w:sz w:val="16"/>
          <w:szCs w:val="16"/>
        </w:rPr>
        <w:t xml:space="preserve"> que figura en </w:t>
      </w:r>
      <w:r w:rsidR="00E60D20" w:rsidRPr="003A115E">
        <w:rPr>
          <w:rFonts w:ascii="Arial Narrow" w:hAnsi="Arial Narrow" w:cs="Arial"/>
          <w:spacing w:val="6"/>
          <w:sz w:val="16"/>
          <w:szCs w:val="16"/>
        </w:rPr>
        <w:t>el</w:t>
      </w:r>
      <w:r w:rsidRPr="003A115E">
        <w:rPr>
          <w:rFonts w:ascii="Arial Narrow" w:hAnsi="Arial Narrow" w:cs="Arial"/>
          <w:spacing w:val="6"/>
          <w:sz w:val="16"/>
          <w:szCs w:val="16"/>
        </w:rPr>
        <w:t xml:space="preserve"> informe sobre situación financiera elaborado por dicha dirección general en abril de 2023.</w:t>
      </w:r>
    </w:p>
    <w:p w14:paraId="42F49275" w14:textId="5BC85739" w:rsidR="002A4BE9" w:rsidRPr="003A115E" w:rsidRDefault="002A4BE9" w:rsidP="00EF427F">
      <w:pPr>
        <w:tabs>
          <w:tab w:val="center" w:pos="2835"/>
          <w:tab w:val="center" w:pos="3969"/>
          <w:tab w:val="center" w:pos="5103"/>
          <w:tab w:val="center" w:pos="6237"/>
          <w:tab w:val="center" w:pos="7371"/>
        </w:tabs>
        <w:spacing w:before="80" w:after="120"/>
        <w:ind w:firstLine="284"/>
        <w:jc w:val="both"/>
        <w:rPr>
          <w:spacing w:val="6"/>
          <w:sz w:val="26"/>
          <w:szCs w:val="26"/>
        </w:rPr>
      </w:pPr>
      <w:r w:rsidRPr="003A115E">
        <w:rPr>
          <w:spacing w:val="6"/>
          <w:sz w:val="26"/>
          <w:szCs w:val="26"/>
        </w:rPr>
        <w:t xml:space="preserve">b) En relación con la regla de gasto, </w:t>
      </w:r>
      <w:r w:rsidR="00C84D07" w:rsidRPr="003A115E">
        <w:rPr>
          <w:spacing w:val="6"/>
          <w:sz w:val="26"/>
          <w:szCs w:val="26"/>
        </w:rPr>
        <w:t>al haberse suspendido la regla de gasto para el ejercicio 202</w:t>
      </w:r>
      <w:r w:rsidR="006B53C7" w:rsidRPr="003A115E">
        <w:rPr>
          <w:spacing w:val="6"/>
          <w:sz w:val="26"/>
          <w:szCs w:val="26"/>
        </w:rPr>
        <w:t>2</w:t>
      </w:r>
      <w:r w:rsidR="00C84D07" w:rsidRPr="003A115E">
        <w:rPr>
          <w:spacing w:val="6"/>
          <w:sz w:val="26"/>
          <w:szCs w:val="26"/>
        </w:rPr>
        <w:t xml:space="preserve">, no se estableció tasa de referencia del crecimiento del PIB a medio plazo a estos efectos. </w:t>
      </w:r>
      <w:r w:rsidR="008D29EC" w:rsidRPr="003A115E">
        <w:rPr>
          <w:spacing w:val="6"/>
          <w:sz w:val="26"/>
          <w:szCs w:val="26"/>
        </w:rPr>
        <w:t xml:space="preserve">El informe del departamento, al carecer de la información requerida, no incluye datos sobre la tasa de variación del gasto computable. </w:t>
      </w:r>
    </w:p>
    <w:p w14:paraId="6B223629" w14:textId="52BA8A3C" w:rsidR="002A4BE9" w:rsidRPr="003A115E" w:rsidRDefault="002A4BE9" w:rsidP="00EF427F">
      <w:pPr>
        <w:tabs>
          <w:tab w:val="center" w:pos="2835"/>
          <w:tab w:val="center" w:pos="3969"/>
          <w:tab w:val="center" w:pos="5103"/>
          <w:tab w:val="center" w:pos="6237"/>
          <w:tab w:val="center" w:pos="7371"/>
        </w:tabs>
        <w:spacing w:after="120"/>
        <w:ind w:firstLine="284"/>
        <w:jc w:val="both"/>
        <w:rPr>
          <w:spacing w:val="6"/>
          <w:sz w:val="26"/>
          <w:szCs w:val="26"/>
        </w:rPr>
      </w:pPr>
      <w:r w:rsidRPr="003A115E">
        <w:rPr>
          <w:spacing w:val="6"/>
          <w:sz w:val="26"/>
          <w:szCs w:val="26"/>
        </w:rPr>
        <w:t xml:space="preserve">c) En relación con la sostenibilidad de la deuda pública, la deuda viva del sector </w:t>
      </w:r>
      <w:r w:rsidR="00B113F4" w:rsidRPr="003A115E">
        <w:rPr>
          <w:spacing w:val="6"/>
          <w:sz w:val="26"/>
          <w:szCs w:val="26"/>
        </w:rPr>
        <w:t xml:space="preserve">público local </w:t>
      </w:r>
      <w:r w:rsidRPr="003A115E">
        <w:rPr>
          <w:spacing w:val="6"/>
          <w:sz w:val="26"/>
          <w:szCs w:val="26"/>
        </w:rPr>
        <w:t>a 31 de diciembre de 202</w:t>
      </w:r>
      <w:r w:rsidR="001048EE" w:rsidRPr="003A115E">
        <w:rPr>
          <w:spacing w:val="6"/>
          <w:sz w:val="26"/>
          <w:szCs w:val="26"/>
        </w:rPr>
        <w:t xml:space="preserve">2 </w:t>
      </w:r>
      <w:r w:rsidRPr="003A115E">
        <w:rPr>
          <w:spacing w:val="6"/>
          <w:sz w:val="26"/>
          <w:szCs w:val="26"/>
        </w:rPr>
        <w:t xml:space="preserve">ascendía a </w:t>
      </w:r>
      <w:r w:rsidR="009C43FA" w:rsidRPr="003A115E">
        <w:rPr>
          <w:spacing w:val="6"/>
          <w:sz w:val="26"/>
          <w:szCs w:val="26"/>
        </w:rPr>
        <w:t>118,56</w:t>
      </w:r>
      <w:r w:rsidRPr="003A115E">
        <w:rPr>
          <w:spacing w:val="6"/>
          <w:sz w:val="26"/>
          <w:szCs w:val="26"/>
        </w:rPr>
        <w:t xml:space="preserve"> millones lo que representa el 1</w:t>
      </w:r>
      <w:r w:rsidR="00080C80" w:rsidRPr="003A115E">
        <w:rPr>
          <w:spacing w:val="6"/>
          <w:sz w:val="26"/>
          <w:szCs w:val="26"/>
        </w:rPr>
        <w:t>3</w:t>
      </w:r>
      <w:r w:rsidRPr="003A115E">
        <w:rPr>
          <w:spacing w:val="6"/>
          <w:sz w:val="26"/>
          <w:szCs w:val="26"/>
        </w:rPr>
        <w:t xml:space="preserve"> por ciento de los ingresos corrientes</w:t>
      </w:r>
      <w:r w:rsidR="00FB4B12" w:rsidRPr="003A115E">
        <w:rPr>
          <w:spacing w:val="6"/>
          <w:sz w:val="26"/>
          <w:szCs w:val="26"/>
        </w:rPr>
        <w:t>.</w:t>
      </w:r>
    </w:p>
    <w:p w14:paraId="2BC6DCB4" w14:textId="073137BA" w:rsidR="00B113F4" w:rsidRPr="003A115E" w:rsidRDefault="002A4BE9" w:rsidP="00EF427F">
      <w:pPr>
        <w:tabs>
          <w:tab w:val="center" w:pos="2835"/>
          <w:tab w:val="center" w:pos="3969"/>
          <w:tab w:val="center" w:pos="5103"/>
          <w:tab w:val="center" w:pos="6237"/>
          <w:tab w:val="center" w:pos="7371"/>
        </w:tabs>
        <w:spacing w:after="120"/>
        <w:ind w:firstLine="284"/>
        <w:jc w:val="both"/>
        <w:rPr>
          <w:spacing w:val="6"/>
          <w:sz w:val="26"/>
          <w:szCs w:val="26"/>
        </w:rPr>
      </w:pPr>
      <w:r w:rsidRPr="003A115E">
        <w:rPr>
          <w:spacing w:val="6"/>
          <w:sz w:val="26"/>
          <w:szCs w:val="26"/>
        </w:rPr>
        <w:t>d) La regla de sostenibilidad de la deuda comercial estaba en vigor en 202</w:t>
      </w:r>
      <w:r w:rsidR="00BB6DDC" w:rsidRPr="003A115E">
        <w:rPr>
          <w:spacing w:val="6"/>
          <w:sz w:val="26"/>
          <w:szCs w:val="26"/>
        </w:rPr>
        <w:t>2</w:t>
      </w:r>
      <w:r w:rsidRPr="003A115E">
        <w:rPr>
          <w:spacing w:val="6"/>
          <w:sz w:val="26"/>
          <w:szCs w:val="26"/>
        </w:rPr>
        <w:t xml:space="preserve">, pero el informe no aporta información </w:t>
      </w:r>
      <w:r w:rsidR="00FB4B12" w:rsidRPr="003A115E">
        <w:rPr>
          <w:spacing w:val="6"/>
          <w:sz w:val="26"/>
          <w:szCs w:val="26"/>
        </w:rPr>
        <w:t>acerca de su cumplimiento</w:t>
      </w:r>
      <w:r w:rsidRPr="003A115E">
        <w:rPr>
          <w:spacing w:val="6"/>
          <w:sz w:val="26"/>
          <w:szCs w:val="26"/>
        </w:rPr>
        <w:t xml:space="preserve">. En la información que a este respecto publica trimestralmente el Ministerio de Hacienda figuran únicamente datos relativos a entre </w:t>
      </w:r>
      <w:r w:rsidR="00403DD4" w:rsidRPr="003A115E">
        <w:rPr>
          <w:spacing w:val="6"/>
          <w:sz w:val="26"/>
          <w:szCs w:val="26"/>
        </w:rPr>
        <w:t>79</w:t>
      </w:r>
      <w:r w:rsidRPr="003A115E">
        <w:rPr>
          <w:spacing w:val="6"/>
          <w:sz w:val="26"/>
          <w:szCs w:val="26"/>
        </w:rPr>
        <w:t xml:space="preserve"> y </w:t>
      </w:r>
      <w:r w:rsidR="001048EE" w:rsidRPr="003A115E">
        <w:rPr>
          <w:spacing w:val="6"/>
          <w:sz w:val="26"/>
          <w:szCs w:val="26"/>
        </w:rPr>
        <w:t>91</w:t>
      </w:r>
      <w:r w:rsidRPr="003A115E">
        <w:rPr>
          <w:spacing w:val="6"/>
          <w:sz w:val="26"/>
          <w:szCs w:val="26"/>
        </w:rPr>
        <w:t xml:space="preserve"> entidades locales de Navarra (dependiendo del trimestre), es decir, solo el </w:t>
      </w:r>
      <w:r w:rsidR="005509AF" w:rsidRPr="003A115E">
        <w:rPr>
          <w:spacing w:val="6"/>
          <w:sz w:val="26"/>
          <w:szCs w:val="26"/>
        </w:rPr>
        <w:t>13</w:t>
      </w:r>
      <w:r w:rsidRPr="003A115E">
        <w:rPr>
          <w:spacing w:val="6"/>
          <w:sz w:val="26"/>
          <w:szCs w:val="26"/>
        </w:rPr>
        <w:t xml:space="preserve"> por ciento de las entidades locales de Navarra remiten esta información. De acuerdo con la misma, para el conjunto de entidades locales que han facilitado la información, el periodo medio de pago se situó claramente por debajo del máximo de 30 días legalmente establecido en los cuatro trimestres del año y, concretamente, en el cuarto trimestre fue de </w:t>
      </w:r>
      <w:r w:rsidR="00957E49" w:rsidRPr="003A115E">
        <w:rPr>
          <w:spacing w:val="6"/>
          <w:sz w:val="26"/>
          <w:szCs w:val="26"/>
        </w:rPr>
        <w:t>20,</w:t>
      </w:r>
      <w:r w:rsidR="008D7A60" w:rsidRPr="003A115E">
        <w:rPr>
          <w:spacing w:val="6"/>
          <w:sz w:val="26"/>
          <w:szCs w:val="26"/>
        </w:rPr>
        <w:t>22</w:t>
      </w:r>
      <w:r w:rsidRPr="003A115E">
        <w:rPr>
          <w:spacing w:val="6"/>
          <w:sz w:val="26"/>
          <w:szCs w:val="26"/>
        </w:rPr>
        <w:t xml:space="preserve"> días.</w:t>
      </w:r>
    </w:p>
    <w:p w14:paraId="0225BED0" w14:textId="77777777" w:rsidR="00345C6C" w:rsidRPr="003A115E" w:rsidRDefault="00345C6C" w:rsidP="00442CCA">
      <w:pPr>
        <w:pStyle w:val="atitulo1"/>
        <w:rPr>
          <w:color w:val="auto"/>
        </w:rPr>
      </w:pPr>
      <w:bookmarkStart w:id="85" w:name="_Toc183679753"/>
      <w:r w:rsidRPr="003A115E">
        <w:rPr>
          <w:color w:val="auto"/>
        </w:rPr>
        <w:lastRenderedPageBreak/>
        <w:t>V</w:t>
      </w:r>
      <w:r w:rsidR="00683931" w:rsidRPr="003A115E">
        <w:rPr>
          <w:color w:val="auto"/>
        </w:rPr>
        <w:t>I</w:t>
      </w:r>
      <w:r w:rsidRPr="003A115E">
        <w:rPr>
          <w:color w:val="auto"/>
        </w:rPr>
        <w:t>I. Contratación administrativa</w:t>
      </w:r>
      <w:bookmarkEnd w:id="58"/>
      <w:bookmarkEnd w:id="59"/>
      <w:bookmarkEnd w:id="85"/>
    </w:p>
    <w:p w14:paraId="1DC1DE15" w14:textId="191B3D72" w:rsidR="0017101E" w:rsidRPr="003A115E" w:rsidRDefault="0017101E" w:rsidP="00EF33ED">
      <w:pPr>
        <w:pStyle w:val="texto"/>
      </w:pPr>
      <w:bookmarkStart w:id="86" w:name="_Toc52348296"/>
      <w:r w:rsidRPr="003A115E">
        <w:t>En este epígrafe se analizan los cont</w:t>
      </w:r>
      <w:r w:rsidR="009D1EF7" w:rsidRPr="003A115E">
        <w:t>ratos adjudicados en el año 2022</w:t>
      </w:r>
      <w:r w:rsidRPr="003A115E">
        <w:t xml:space="preserve"> por las entidades locales y sus entes dependientes, según la información del registro de contratos gestionado por la Junta de Contratación Pública, que no incluye las contrataciones realizadas a través del régimen especial para contratos de menor cuantía. </w:t>
      </w:r>
    </w:p>
    <w:p w14:paraId="256C37D9" w14:textId="28601DBC" w:rsidR="0017101E" w:rsidRPr="003A115E" w:rsidRDefault="0017101E" w:rsidP="00EF33ED">
      <w:pPr>
        <w:pStyle w:val="texto"/>
        <w:spacing w:after="120"/>
      </w:pPr>
      <w:r w:rsidRPr="003A115E">
        <w:t>La tabla siguiente resume la actividad de contratación del sector público local en 202</w:t>
      </w:r>
      <w:r w:rsidR="009D1EF7" w:rsidRPr="003A115E">
        <w:t>2</w:t>
      </w:r>
      <w:r w:rsidRPr="003A115E">
        <w:t xml:space="preserve"> indicando el número de contratos y su importe de adjudicación.</w:t>
      </w:r>
    </w:p>
    <w:p w14:paraId="590DC3B1" w14:textId="214C574F" w:rsidR="0017101E" w:rsidRPr="003A115E" w:rsidRDefault="0017101E" w:rsidP="0017101E">
      <w:pPr>
        <w:pStyle w:val="texto"/>
        <w:spacing w:after="0"/>
        <w:jc w:val="right"/>
        <w:rPr>
          <w:rFonts w:ascii="Arial Narrow" w:hAnsi="Arial Narrow"/>
          <w:sz w:val="20"/>
          <w:szCs w:val="20"/>
        </w:rPr>
      </w:pPr>
      <w:r w:rsidRPr="003A115E">
        <w:rPr>
          <w:rFonts w:ascii="Arial Narrow" w:hAnsi="Arial Narrow"/>
          <w:sz w:val="20"/>
          <w:szCs w:val="20"/>
        </w:rPr>
        <w:t>(</w:t>
      </w:r>
      <w:r w:rsidR="00543EBD">
        <w:rPr>
          <w:rFonts w:ascii="Arial Narrow" w:hAnsi="Arial Narrow"/>
          <w:sz w:val="20"/>
          <w:szCs w:val="20"/>
        </w:rPr>
        <w:t>miles</w:t>
      </w:r>
      <w:r w:rsidRPr="003A115E">
        <w:rPr>
          <w:rFonts w:ascii="Arial Narrow" w:hAnsi="Arial Narrow"/>
          <w:sz w:val="20"/>
          <w:szCs w:val="20"/>
        </w:rPr>
        <w:t>)</w:t>
      </w:r>
    </w:p>
    <w:tbl>
      <w:tblPr>
        <w:tblW w:w="5000" w:type="pct"/>
        <w:tblCellMar>
          <w:left w:w="70" w:type="dxa"/>
          <w:right w:w="70" w:type="dxa"/>
        </w:tblCellMar>
        <w:tblLook w:val="04A0" w:firstRow="1" w:lastRow="0" w:firstColumn="1" w:lastColumn="0" w:noHBand="0" w:noVBand="1"/>
      </w:tblPr>
      <w:tblGrid>
        <w:gridCol w:w="2277"/>
        <w:gridCol w:w="552"/>
        <w:gridCol w:w="727"/>
        <w:gridCol w:w="553"/>
        <w:gridCol w:w="727"/>
        <w:gridCol w:w="554"/>
        <w:gridCol w:w="727"/>
        <w:gridCol w:w="652"/>
        <w:gridCol w:w="621"/>
        <w:gridCol w:w="565"/>
        <w:gridCol w:w="833"/>
      </w:tblGrid>
      <w:tr w:rsidR="000A742F" w:rsidRPr="003A115E" w14:paraId="2F0EC89D" w14:textId="77777777" w:rsidTr="005F3A0D">
        <w:trPr>
          <w:trHeight w:val="255"/>
        </w:trPr>
        <w:tc>
          <w:tcPr>
            <w:tcW w:w="1296" w:type="pct"/>
            <w:vMerge w:val="restart"/>
            <w:tcBorders>
              <w:top w:val="single" w:sz="4" w:space="0" w:color="auto"/>
              <w:left w:val="nil"/>
              <w:bottom w:val="single" w:sz="4" w:space="0" w:color="auto"/>
              <w:right w:val="nil"/>
            </w:tcBorders>
            <w:shd w:val="clear" w:color="auto" w:fill="FABF8F" w:themeFill="accent6" w:themeFillTint="99"/>
            <w:vAlign w:val="center"/>
            <w:hideMark/>
          </w:tcPr>
          <w:p w14:paraId="0E29F752" w14:textId="746C6D45" w:rsidR="00631726" w:rsidRPr="003A115E" w:rsidRDefault="00631726" w:rsidP="009E7912">
            <w:pPr>
              <w:pStyle w:val="cuadroCabe"/>
            </w:pPr>
          </w:p>
        </w:tc>
        <w:tc>
          <w:tcPr>
            <w:tcW w:w="741"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7B01CA52" w14:textId="77777777" w:rsidR="00631726" w:rsidRPr="003A115E" w:rsidRDefault="00631726" w:rsidP="00CC28BD">
            <w:pPr>
              <w:pStyle w:val="cuadroCabe"/>
              <w:jc w:val="center"/>
            </w:pPr>
            <w:r w:rsidRPr="003A115E">
              <w:t>Obras</w:t>
            </w:r>
          </w:p>
        </w:tc>
        <w:tc>
          <w:tcPr>
            <w:tcW w:w="741"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0EBB9B36" w14:textId="77777777" w:rsidR="00631726" w:rsidRPr="003A115E" w:rsidRDefault="00631726" w:rsidP="00CC28BD">
            <w:pPr>
              <w:pStyle w:val="cuadroCabe"/>
              <w:jc w:val="center"/>
            </w:pPr>
            <w:r w:rsidRPr="003A115E">
              <w:t>Servicios</w:t>
            </w:r>
          </w:p>
        </w:tc>
        <w:tc>
          <w:tcPr>
            <w:tcW w:w="691"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4E3E1DFD" w14:textId="77777777" w:rsidR="00631726" w:rsidRPr="003A115E" w:rsidRDefault="00631726" w:rsidP="00CC28BD">
            <w:pPr>
              <w:pStyle w:val="cuadroCabe"/>
              <w:jc w:val="center"/>
            </w:pPr>
            <w:r w:rsidRPr="003A115E">
              <w:t>Suministros</w:t>
            </w:r>
          </w:p>
        </w:tc>
        <w:tc>
          <w:tcPr>
            <w:tcW w:w="730"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401155AA" w14:textId="4B0EF9A7" w:rsidR="00631726" w:rsidRPr="003A115E" w:rsidRDefault="00631726" w:rsidP="00CC28BD">
            <w:pPr>
              <w:pStyle w:val="cuadroCabe"/>
              <w:jc w:val="center"/>
            </w:pPr>
            <w:r w:rsidRPr="003A115E">
              <w:t>Concesiones obras p</w:t>
            </w:r>
            <w:r w:rsidR="006A4524" w:rsidRPr="003A115E">
              <w:t>ú</w:t>
            </w:r>
            <w:r w:rsidRPr="003A115E">
              <w:t>blicas/servicios</w:t>
            </w:r>
          </w:p>
        </w:tc>
        <w:tc>
          <w:tcPr>
            <w:tcW w:w="802"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74104407" w14:textId="77777777" w:rsidR="00631726" w:rsidRPr="003A115E" w:rsidRDefault="00631726" w:rsidP="00CC28BD">
            <w:pPr>
              <w:pStyle w:val="cuadroCabe"/>
              <w:jc w:val="center"/>
            </w:pPr>
            <w:r w:rsidRPr="003A115E">
              <w:t>Total</w:t>
            </w:r>
          </w:p>
        </w:tc>
      </w:tr>
      <w:tr w:rsidR="000A742F" w:rsidRPr="003A115E" w14:paraId="61A1EE0E" w14:textId="77777777" w:rsidTr="005F3A0D">
        <w:trPr>
          <w:trHeight w:val="255"/>
        </w:trPr>
        <w:tc>
          <w:tcPr>
            <w:tcW w:w="1296" w:type="pct"/>
            <w:vMerge/>
            <w:shd w:val="clear" w:color="auto" w:fill="FABF8F" w:themeFill="accent6" w:themeFillTint="99"/>
            <w:vAlign w:val="center"/>
            <w:hideMark/>
          </w:tcPr>
          <w:p w14:paraId="6533037A" w14:textId="77777777" w:rsidR="00631726" w:rsidRPr="003A115E" w:rsidRDefault="00631726" w:rsidP="00631726">
            <w:pPr>
              <w:jc w:val="center"/>
              <w:rPr>
                <w:rFonts w:ascii="Arial Narrow" w:hAnsi="Arial Narrow" w:cs="Calibri"/>
                <w:sz w:val="16"/>
                <w:szCs w:val="16"/>
              </w:rPr>
            </w:pPr>
          </w:p>
        </w:tc>
        <w:tc>
          <w:tcPr>
            <w:tcW w:w="327" w:type="pct"/>
            <w:tcBorders>
              <w:top w:val="single" w:sz="4" w:space="0" w:color="auto"/>
              <w:left w:val="nil"/>
              <w:bottom w:val="nil"/>
              <w:right w:val="nil"/>
            </w:tcBorders>
            <w:shd w:val="clear" w:color="auto" w:fill="FABF8F" w:themeFill="accent6" w:themeFillTint="99"/>
            <w:vAlign w:val="center"/>
            <w:hideMark/>
          </w:tcPr>
          <w:p w14:paraId="7119545B" w14:textId="77777777" w:rsidR="00631726" w:rsidRPr="003A115E" w:rsidRDefault="00631726" w:rsidP="00631726">
            <w:pPr>
              <w:jc w:val="right"/>
              <w:rPr>
                <w:rFonts w:ascii="Arial Narrow" w:hAnsi="Arial Narrow" w:cs="Calibri"/>
                <w:sz w:val="18"/>
                <w:szCs w:val="16"/>
              </w:rPr>
            </w:pPr>
            <w:r w:rsidRPr="003A115E">
              <w:rPr>
                <w:rFonts w:ascii="Arial Narrow" w:hAnsi="Arial Narrow" w:cs="Calibri"/>
                <w:sz w:val="18"/>
                <w:szCs w:val="16"/>
              </w:rPr>
              <w:t>Nº</w:t>
            </w:r>
          </w:p>
        </w:tc>
        <w:tc>
          <w:tcPr>
            <w:tcW w:w="414" w:type="pct"/>
            <w:tcBorders>
              <w:top w:val="single" w:sz="4" w:space="0" w:color="auto"/>
              <w:left w:val="nil"/>
              <w:bottom w:val="nil"/>
              <w:right w:val="single" w:sz="2" w:space="0" w:color="auto"/>
            </w:tcBorders>
            <w:shd w:val="clear" w:color="auto" w:fill="FABF8F" w:themeFill="accent6" w:themeFillTint="99"/>
            <w:vAlign w:val="center"/>
            <w:hideMark/>
          </w:tcPr>
          <w:p w14:paraId="73C61C9E" w14:textId="77777777" w:rsidR="00631726" w:rsidRPr="003A115E" w:rsidRDefault="00631726" w:rsidP="00631726">
            <w:pPr>
              <w:jc w:val="right"/>
              <w:rPr>
                <w:rFonts w:ascii="Arial Narrow" w:hAnsi="Arial Narrow" w:cs="Calibri"/>
                <w:sz w:val="18"/>
                <w:szCs w:val="16"/>
              </w:rPr>
            </w:pPr>
            <w:r w:rsidRPr="003A115E">
              <w:rPr>
                <w:rFonts w:ascii="Arial Narrow" w:hAnsi="Arial Narrow" w:cs="Calibri"/>
                <w:sz w:val="18"/>
                <w:szCs w:val="16"/>
              </w:rPr>
              <w:t>Importe</w:t>
            </w:r>
          </w:p>
        </w:tc>
        <w:tc>
          <w:tcPr>
            <w:tcW w:w="327" w:type="pct"/>
            <w:tcBorders>
              <w:top w:val="single" w:sz="4" w:space="0" w:color="auto"/>
              <w:left w:val="single" w:sz="2" w:space="0" w:color="auto"/>
              <w:bottom w:val="nil"/>
              <w:right w:val="nil"/>
            </w:tcBorders>
            <w:shd w:val="clear" w:color="auto" w:fill="FABF8F" w:themeFill="accent6" w:themeFillTint="99"/>
            <w:vAlign w:val="center"/>
            <w:hideMark/>
          </w:tcPr>
          <w:p w14:paraId="1244D974" w14:textId="77777777" w:rsidR="00631726" w:rsidRPr="003A115E" w:rsidRDefault="00631726" w:rsidP="00631726">
            <w:pPr>
              <w:jc w:val="right"/>
              <w:rPr>
                <w:rFonts w:ascii="Arial Narrow" w:hAnsi="Arial Narrow" w:cs="Calibri"/>
                <w:sz w:val="18"/>
                <w:szCs w:val="16"/>
              </w:rPr>
            </w:pPr>
            <w:r w:rsidRPr="003A115E">
              <w:rPr>
                <w:rFonts w:ascii="Arial Narrow" w:hAnsi="Arial Narrow" w:cs="Calibri"/>
                <w:sz w:val="18"/>
                <w:szCs w:val="16"/>
              </w:rPr>
              <w:t>Nº</w:t>
            </w:r>
          </w:p>
        </w:tc>
        <w:tc>
          <w:tcPr>
            <w:tcW w:w="414" w:type="pct"/>
            <w:tcBorders>
              <w:top w:val="single" w:sz="4" w:space="0" w:color="auto"/>
              <w:left w:val="nil"/>
              <w:bottom w:val="nil"/>
              <w:right w:val="single" w:sz="2" w:space="0" w:color="auto"/>
            </w:tcBorders>
            <w:shd w:val="clear" w:color="auto" w:fill="FABF8F" w:themeFill="accent6" w:themeFillTint="99"/>
            <w:vAlign w:val="center"/>
            <w:hideMark/>
          </w:tcPr>
          <w:p w14:paraId="7656FAF3" w14:textId="77777777" w:rsidR="00631726" w:rsidRPr="003A115E" w:rsidRDefault="00631726" w:rsidP="00631726">
            <w:pPr>
              <w:jc w:val="right"/>
              <w:rPr>
                <w:rFonts w:ascii="Arial Narrow" w:hAnsi="Arial Narrow" w:cs="Calibri"/>
                <w:sz w:val="18"/>
                <w:szCs w:val="16"/>
              </w:rPr>
            </w:pPr>
            <w:r w:rsidRPr="003A115E">
              <w:rPr>
                <w:rFonts w:ascii="Arial Narrow" w:hAnsi="Arial Narrow" w:cs="Calibri"/>
                <w:sz w:val="18"/>
                <w:szCs w:val="16"/>
              </w:rPr>
              <w:t>Importe</w:t>
            </w:r>
          </w:p>
        </w:tc>
        <w:tc>
          <w:tcPr>
            <w:tcW w:w="327" w:type="pct"/>
            <w:tcBorders>
              <w:top w:val="single" w:sz="4" w:space="0" w:color="auto"/>
              <w:left w:val="single" w:sz="2" w:space="0" w:color="auto"/>
              <w:bottom w:val="nil"/>
              <w:right w:val="nil"/>
            </w:tcBorders>
            <w:shd w:val="clear" w:color="auto" w:fill="FABF8F" w:themeFill="accent6" w:themeFillTint="99"/>
            <w:vAlign w:val="center"/>
            <w:hideMark/>
          </w:tcPr>
          <w:p w14:paraId="01E624E2" w14:textId="77777777" w:rsidR="00631726" w:rsidRPr="003A115E" w:rsidRDefault="00631726" w:rsidP="00631726">
            <w:pPr>
              <w:jc w:val="right"/>
              <w:rPr>
                <w:rFonts w:ascii="Arial Narrow" w:hAnsi="Arial Narrow" w:cs="Calibri"/>
                <w:sz w:val="18"/>
                <w:szCs w:val="16"/>
              </w:rPr>
            </w:pPr>
            <w:r w:rsidRPr="003A115E">
              <w:rPr>
                <w:rFonts w:ascii="Arial Narrow" w:hAnsi="Arial Narrow" w:cs="Calibri"/>
                <w:sz w:val="18"/>
                <w:szCs w:val="16"/>
              </w:rPr>
              <w:t>Nº</w:t>
            </w:r>
          </w:p>
        </w:tc>
        <w:tc>
          <w:tcPr>
            <w:tcW w:w="364" w:type="pct"/>
            <w:tcBorders>
              <w:top w:val="single" w:sz="4" w:space="0" w:color="auto"/>
              <w:left w:val="nil"/>
              <w:bottom w:val="nil"/>
              <w:right w:val="single" w:sz="2" w:space="0" w:color="auto"/>
            </w:tcBorders>
            <w:shd w:val="clear" w:color="auto" w:fill="FABF8F" w:themeFill="accent6" w:themeFillTint="99"/>
            <w:vAlign w:val="center"/>
            <w:hideMark/>
          </w:tcPr>
          <w:p w14:paraId="75219517" w14:textId="77777777" w:rsidR="00631726" w:rsidRPr="003A115E" w:rsidRDefault="00631726" w:rsidP="00631726">
            <w:pPr>
              <w:jc w:val="right"/>
              <w:rPr>
                <w:rFonts w:ascii="Arial Narrow" w:hAnsi="Arial Narrow" w:cs="Calibri"/>
                <w:sz w:val="18"/>
                <w:szCs w:val="16"/>
              </w:rPr>
            </w:pPr>
            <w:r w:rsidRPr="003A115E">
              <w:rPr>
                <w:rFonts w:ascii="Arial Narrow" w:hAnsi="Arial Narrow" w:cs="Calibri"/>
                <w:sz w:val="18"/>
                <w:szCs w:val="16"/>
              </w:rPr>
              <w:t>Importe</w:t>
            </w:r>
          </w:p>
        </w:tc>
        <w:tc>
          <w:tcPr>
            <w:tcW w:w="377" w:type="pct"/>
            <w:tcBorders>
              <w:top w:val="single" w:sz="4" w:space="0" w:color="auto"/>
              <w:left w:val="single" w:sz="2" w:space="0" w:color="auto"/>
              <w:bottom w:val="nil"/>
              <w:right w:val="nil"/>
            </w:tcBorders>
            <w:shd w:val="clear" w:color="auto" w:fill="FABF8F" w:themeFill="accent6" w:themeFillTint="99"/>
            <w:vAlign w:val="center"/>
            <w:hideMark/>
          </w:tcPr>
          <w:p w14:paraId="24618CE5" w14:textId="77777777" w:rsidR="00631726" w:rsidRPr="003A115E" w:rsidRDefault="00631726" w:rsidP="00631726">
            <w:pPr>
              <w:jc w:val="right"/>
              <w:rPr>
                <w:rFonts w:ascii="Arial Narrow" w:hAnsi="Arial Narrow" w:cs="Calibri"/>
                <w:sz w:val="18"/>
                <w:szCs w:val="16"/>
              </w:rPr>
            </w:pPr>
            <w:r w:rsidRPr="003A115E">
              <w:rPr>
                <w:rFonts w:ascii="Arial Narrow" w:hAnsi="Arial Narrow" w:cs="Calibri"/>
                <w:sz w:val="18"/>
                <w:szCs w:val="16"/>
              </w:rPr>
              <w:t>Nº</w:t>
            </w:r>
          </w:p>
        </w:tc>
        <w:tc>
          <w:tcPr>
            <w:tcW w:w="353" w:type="pct"/>
            <w:tcBorders>
              <w:top w:val="single" w:sz="4" w:space="0" w:color="auto"/>
              <w:left w:val="nil"/>
              <w:bottom w:val="nil"/>
              <w:right w:val="single" w:sz="2" w:space="0" w:color="auto"/>
            </w:tcBorders>
            <w:shd w:val="clear" w:color="auto" w:fill="FABF8F" w:themeFill="accent6" w:themeFillTint="99"/>
            <w:vAlign w:val="center"/>
            <w:hideMark/>
          </w:tcPr>
          <w:p w14:paraId="4D66E935" w14:textId="77777777" w:rsidR="00631726" w:rsidRPr="003A115E" w:rsidRDefault="00631726" w:rsidP="00631726">
            <w:pPr>
              <w:jc w:val="right"/>
              <w:rPr>
                <w:rFonts w:ascii="Arial Narrow" w:hAnsi="Arial Narrow" w:cs="Calibri"/>
                <w:sz w:val="18"/>
                <w:szCs w:val="16"/>
              </w:rPr>
            </w:pPr>
            <w:r w:rsidRPr="003A115E">
              <w:rPr>
                <w:rFonts w:ascii="Arial Narrow" w:hAnsi="Arial Narrow" w:cs="Calibri"/>
                <w:sz w:val="18"/>
                <w:szCs w:val="16"/>
              </w:rPr>
              <w:t>Importe</w:t>
            </w:r>
          </w:p>
        </w:tc>
        <w:tc>
          <w:tcPr>
            <w:tcW w:w="328" w:type="pct"/>
            <w:tcBorders>
              <w:top w:val="single" w:sz="4" w:space="0" w:color="auto"/>
              <w:left w:val="single" w:sz="2" w:space="0" w:color="auto"/>
              <w:bottom w:val="nil"/>
              <w:right w:val="nil"/>
            </w:tcBorders>
            <w:shd w:val="clear" w:color="auto" w:fill="FABF8F" w:themeFill="accent6" w:themeFillTint="99"/>
            <w:vAlign w:val="center"/>
            <w:hideMark/>
          </w:tcPr>
          <w:p w14:paraId="000D830E" w14:textId="77777777" w:rsidR="00631726" w:rsidRPr="003A115E" w:rsidRDefault="00631726" w:rsidP="00631726">
            <w:pPr>
              <w:jc w:val="right"/>
              <w:rPr>
                <w:rFonts w:ascii="Arial Narrow" w:hAnsi="Arial Narrow" w:cs="Calibri"/>
                <w:sz w:val="18"/>
                <w:szCs w:val="16"/>
              </w:rPr>
            </w:pPr>
            <w:r w:rsidRPr="003A115E">
              <w:rPr>
                <w:rFonts w:ascii="Arial Narrow" w:hAnsi="Arial Narrow" w:cs="Calibri"/>
                <w:sz w:val="18"/>
                <w:szCs w:val="16"/>
              </w:rPr>
              <w:t>Nº</w:t>
            </w:r>
          </w:p>
        </w:tc>
        <w:tc>
          <w:tcPr>
            <w:tcW w:w="474" w:type="pct"/>
            <w:tcBorders>
              <w:top w:val="single" w:sz="4" w:space="0" w:color="auto"/>
              <w:left w:val="nil"/>
              <w:bottom w:val="nil"/>
              <w:right w:val="nil"/>
            </w:tcBorders>
            <w:shd w:val="clear" w:color="auto" w:fill="FABF8F" w:themeFill="accent6" w:themeFillTint="99"/>
            <w:vAlign w:val="center"/>
            <w:hideMark/>
          </w:tcPr>
          <w:p w14:paraId="216959AC" w14:textId="77777777" w:rsidR="00631726" w:rsidRPr="003A115E" w:rsidRDefault="00631726" w:rsidP="00631726">
            <w:pPr>
              <w:jc w:val="right"/>
              <w:rPr>
                <w:rFonts w:ascii="Arial Narrow" w:hAnsi="Arial Narrow" w:cs="Calibri"/>
                <w:sz w:val="18"/>
                <w:szCs w:val="16"/>
              </w:rPr>
            </w:pPr>
            <w:r w:rsidRPr="003A115E">
              <w:rPr>
                <w:rFonts w:ascii="Arial Narrow" w:hAnsi="Arial Narrow" w:cs="Calibri"/>
                <w:sz w:val="18"/>
                <w:szCs w:val="16"/>
              </w:rPr>
              <w:t>Importe</w:t>
            </w:r>
          </w:p>
        </w:tc>
      </w:tr>
      <w:tr w:rsidR="000A742F" w:rsidRPr="003A115E" w14:paraId="69ADCB6E" w14:textId="77777777" w:rsidTr="00E80C67">
        <w:trPr>
          <w:trHeight w:val="198"/>
        </w:trPr>
        <w:tc>
          <w:tcPr>
            <w:tcW w:w="1296" w:type="pct"/>
            <w:tcBorders>
              <w:top w:val="nil"/>
              <w:left w:val="nil"/>
              <w:bottom w:val="single" w:sz="2" w:space="0" w:color="auto"/>
              <w:right w:val="nil"/>
            </w:tcBorders>
            <w:shd w:val="clear" w:color="auto" w:fill="auto"/>
            <w:vAlign w:val="center"/>
            <w:hideMark/>
          </w:tcPr>
          <w:p w14:paraId="1C367D02" w14:textId="77777777" w:rsidR="00631726" w:rsidRPr="003A115E" w:rsidRDefault="00631726" w:rsidP="009E7912">
            <w:pPr>
              <w:pStyle w:val="cuatexto"/>
            </w:pPr>
            <w:r w:rsidRPr="003A115E">
              <w:t>Municipios</w:t>
            </w:r>
          </w:p>
        </w:tc>
        <w:tc>
          <w:tcPr>
            <w:tcW w:w="327" w:type="pct"/>
            <w:tcBorders>
              <w:top w:val="single" w:sz="4" w:space="0" w:color="auto"/>
              <w:left w:val="nil"/>
              <w:bottom w:val="single" w:sz="2" w:space="0" w:color="auto"/>
              <w:right w:val="nil"/>
            </w:tcBorders>
            <w:shd w:val="clear" w:color="auto" w:fill="auto"/>
            <w:noWrap/>
            <w:vAlign w:val="center"/>
            <w:hideMark/>
          </w:tcPr>
          <w:p w14:paraId="71667B1C" w14:textId="32AEB1E3" w:rsidR="00631726" w:rsidRPr="003A115E" w:rsidRDefault="00631726" w:rsidP="009E7912">
            <w:pPr>
              <w:pStyle w:val="cuatexto"/>
              <w:jc w:val="right"/>
            </w:pPr>
            <w:r w:rsidRPr="003A115E">
              <w:t>302</w:t>
            </w:r>
          </w:p>
        </w:tc>
        <w:tc>
          <w:tcPr>
            <w:tcW w:w="414" w:type="pct"/>
            <w:tcBorders>
              <w:top w:val="single" w:sz="4" w:space="0" w:color="auto"/>
              <w:left w:val="nil"/>
              <w:bottom w:val="single" w:sz="2" w:space="0" w:color="auto"/>
              <w:right w:val="single" w:sz="2" w:space="0" w:color="auto"/>
            </w:tcBorders>
            <w:shd w:val="clear" w:color="auto" w:fill="auto"/>
            <w:noWrap/>
            <w:vAlign w:val="center"/>
            <w:hideMark/>
          </w:tcPr>
          <w:p w14:paraId="038DC2A8" w14:textId="3EDE4F91" w:rsidR="00631726" w:rsidRPr="003A115E" w:rsidRDefault="00631726" w:rsidP="009E7912">
            <w:pPr>
              <w:pStyle w:val="cuatexto"/>
              <w:jc w:val="right"/>
            </w:pPr>
            <w:r w:rsidRPr="003A115E">
              <w:t>72.239</w:t>
            </w:r>
          </w:p>
        </w:tc>
        <w:tc>
          <w:tcPr>
            <w:tcW w:w="327" w:type="pct"/>
            <w:tcBorders>
              <w:top w:val="single" w:sz="4" w:space="0" w:color="auto"/>
              <w:left w:val="single" w:sz="2" w:space="0" w:color="auto"/>
              <w:bottom w:val="single" w:sz="2" w:space="0" w:color="auto"/>
              <w:right w:val="nil"/>
            </w:tcBorders>
            <w:shd w:val="clear" w:color="auto" w:fill="auto"/>
            <w:noWrap/>
            <w:vAlign w:val="center"/>
            <w:hideMark/>
          </w:tcPr>
          <w:p w14:paraId="707166A5" w14:textId="0498FADF" w:rsidR="00631726" w:rsidRPr="003A115E" w:rsidRDefault="00631726" w:rsidP="009E7912">
            <w:pPr>
              <w:pStyle w:val="cuatexto"/>
              <w:jc w:val="right"/>
            </w:pPr>
            <w:r w:rsidRPr="003A115E">
              <w:t>151</w:t>
            </w:r>
          </w:p>
        </w:tc>
        <w:tc>
          <w:tcPr>
            <w:tcW w:w="414" w:type="pct"/>
            <w:tcBorders>
              <w:top w:val="single" w:sz="4" w:space="0" w:color="auto"/>
              <w:left w:val="nil"/>
              <w:bottom w:val="single" w:sz="2" w:space="0" w:color="auto"/>
              <w:right w:val="single" w:sz="2" w:space="0" w:color="auto"/>
            </w:tcBorders>
            <w:shd w:val="clear" w:color="auto" w:fill="auto"/>
            <w:noWrap/>
            <w:vAlign w:val="center"/>
            <w:hideMark/>
          </w:tcPr>
          <w:p w14:paraId="497BA9F3" w14:textId="68B49E0B" w:rsidR="00631726" w:rsidRPr="003A115E" w:rsidRDefault="00631726" w:rsidP="009E7912">
            <w:pPr>
              <w:pStyle w:val="cuatexto"/>
              <w:jc w:val="right"/>
            </w:pPr>
            <w:r w:rsidRPr="003A115E">
              <w:t>27.188</w:t>
            </w:r>
          </w:p>
        </w:tc>
        <w:tc>
          <w:tcPr>
            <w:tcW w:w="327" w:type="pct"/>
            <w:tcBorders>
              <w:top w:val="single" w:sz="4" w:space="0" w:color="auto"/>
              <w:left w:val="single" w:sz="2" w:space="0" w:color="auto"/>
              <w:bottom w:val="single" w:sz="2" w:space="0" w:color="auto"/>
              <w:right w:val="nil"/>
            </w:tcBorders>
            <w:shd w:val="clear" w:color="auto" w:fill="auto"/>
            <w:noWrap/>
            <w:vAlign w:val="center"/>
            <w:hideMark/>
          </w:tcPr>
          <w:p w14:paraId="2833993C" w14:textId="07F78673" w:rsidR="00631726" w:rsidRPr="003A115E" w:rsidRDefault="00631726" w:rsidP="009E7912">
            <w:pPr>
              <w:pStyle w:val="cuatexto"/>
              <w:jc w:val="right"/>
            </w:pPr>
            <w:r w:rsidRPr="003A115E">
              <w:t>63</w:t>
            </w:r>
          </w:p>
        </w:tc>
        <w:tc>
          <w:tcPr>
            <w:tcW w:w="364" w:type="pct"/>
            <w:tcBorders>
              <w:top w:val="single" w:sz="4" w:space="0" w:color="auto"/>
              <w:left w:val="nil"/>
              <w:bottom w:val="single" w:sz="2" w:space="0" w:color="auto"/>
              <w:right w:val="single" w:sz="2" w:space="0" w:color="auto"/>
            </w:tcBorders>
            <w:shd w:val="clear" w:color="auto" w:fill="auto"/>
            <w:noWrap/>
            <w:vAlign w:val="center"/>
            <w:hideMark/>
          </w:tcPr>
          <w:p w14:paraId="5E8A50FC" w14:textId="61F57E6B" w:rsidR="00631726" w:rsidRPr="003A115E" w:rsidRDefault="00631726" w:rsidP="009E7912">
            <w:pPr>
              <w:pStyle w:val="cuatexto"/>
              <w:jc w:val="right"/>
            </w:pPr>
            <w:r w:rsidRPr="003A115E">
              <w:t>3.535</w:t>
            </w:r>
          </w:p>
        </w:tc>
        <w:tc>
          <w:tcPr>
            <w:tcW w:w="377" w:type="pct"/>
            <w:tcBorders>
              <w:top w:val="single" w:sz="4" w:space="0" w:color="auto"/>
              <w:left w:val="single" w:sz="2" w:space="0" w:color="auto"/>
              <w:bottom w:val="single" w:sz="2" w:space="0" w:color="auto"/>
              <w:right w:val="nil"/>
            </w:tcBorders>
            <w:shd w:val="clear" w:color="auto" w:fill="auto"/>
            <w:noWrap/>
            <w:vAlign w:val="center"/>
            <w:hideMark/>
          </w:tcPr>
          <w:p w14:paraId="7B51CA9B" w14:textId="6ADDBE6C" w:rsidR="00631726" w:rsidRPr="003A115E" w:rsidRDefault="00631726" w:rsidP="009E7912">
            <w:pPr>
              <w:pStyle w:val="cuatexto"/>
              <w:jc w:val="right"/>
            </w:pPr>
            <w:r w:rsidRPr="003A115E">
              <w:t>23</w:t>
            </w:r>
          </w:p>
        </w:tc>
        <w:tc>
          <w:tcPr>
            <w:tcW w:w="353" w:type="pct"/>
            <w:tcBorders>
              <w:top w:val="single" w:sz="4" w:space="0" w:color="auto"/>
              <w:left w:val="nil"/>
              <w:bottom w:val="single" w:sz="2" w:space="0" w:color="auto"/>
              <w:right w:val="single" w:sz="2" w:space="0" w:color="auto"/>
            </w:tcBorders>
            <w:shd w:val="clear" w:color="auto" w:fill="auto"/>
            <w:noWrap/>
            <w:vAlign w:val="center"/>
            <w:hideMark/>
          </w:tcPr>
          <w:p w14:paraId="0BD68E34" w14:textId="24E48B8C" w:rsidR="00631726" w:rsidRPr="003A115E" w:rsidRDefault="00631726" w:rsidP="009E7912">
            <w:pPr>
              <w:pStyle w:val="cuatexto"/>
              <w:jc w:val="right"/>
            </w:pPr>
            <w:r w:rsidRPr="003A115E">
              <w:t>3.627</w:t>
            </w:r>
          </w:p>
        </w:tc>
        <w:tc>
          <w:tcPr>
            <w:tcW w:w="328" w:type="pct"/>
            <w:tcBorders>
              <w:top w:val="single" w:sz="4" w:space="0" w:color="auto"/>
              <w:left w:val="single" w:sz="2" w:space="0" w:color="auto"/>
              <w:bottom w:val="single" w:sz="2" w:space="0" w:color="auto"/>
              <w:right w:val="nil"/>
            </w:tcBorders>
            <w:shd w:val="clear" w:color="auto" w:fill="auto"/>
            <w:noWrap/>
            <w:vAlign w:val="center"/>
            <w:hideMark/>
          </w:tcPr>
          <w:p w14:paraId="411A17F7" w14:textId="5DFAA53F" w:rsidR="00631726" w:rsidRPr="003A115E" w:rsidRDefault="00631726" w:rsidP="009E7912">
            <w:pPr>
              <w:pStyle w:val="cuatexto"/>
              <w:jc w:val="right"/>
            </w:pPr>
            <w:r w:rsidRPr="003A115E">
              <w:t>539</w:t>
            </w:r>
          </w:p>
        </w:tc>
        <w:tc>
          <w:tcPr>
            <w:tcW w:w="474" w:type="pct"/>
            <w:tcBorders>
              <w:top w:val="single" w:sz="4" w:space="0" w:color="auto"/>
              <w:left w:val="nil"/>
              <w:bottom w:val="single" w:sz="2" w:space="0" w:color="auto"/>
              <w:right w:val="nil"/>
            </w:tcBorders>
            <w:shd w:val="clear" w:color="auto" w:fill="auto"/>
            <w:noWrap/>
            <w:vAlign w:val="center"/>
            <w:hideMark/>
          </w:tcPr>
          <w:p w14:paraId="2116259D" w14:textId="36692BBD" w:rsidR="00631726" w:rsidRPr="003A115E" w:rsidRDefault="00631726" w:rsidP="009E7912">
            <w:pPr>
              <w:pStyle w:val="cuatexto"/>
              <w:jc w:val="right"/>
            </w:pPr>
            <w:r w:rsidRPr="003A115E">
              <w:t>106.589</w:t>
            </w:r>
          </w:p>
        </w:tc>
      </w:tr>
      <w:tr w:rsidR="000A742F" w:rsidRPr="003A115E" w14:paraId="05017BF4" w14:textId="77777777" w:rsidTr="00E80C67">
        <w:trPr>
          <w:trHeight w:val="198"/>
        </w:trPr>
        <w:tc>
          <w:tcPr>
            <w:tcW w:w="1296" w:type="pct"/>
            <w:tcBorders>
              <w:top w:val="single" w:sz="2" w:space="0" w:color="auto"/>
              <w:left w:val="nil"/>
              <w:bottom w:val="single" w:sz="2" w:space="0" w:color="auto"/>
              <w:right w:val="nil"/>
            </w:tcBorders>
            <w:shd w:val="clear" w:color="auto" w:fill="auto"/>
            <w:vAlign w:val="center"/>
            <w:hideMark/>
          </w:tcPr>
          <w:p w14:paraId="4B621B2B" w14:textId="265E4312" w:rsidR="00631726" w:rsidRPr="003A115E" w:rsidRDefault="00631726" w:rsidP="009E7912">
            <w:pPr>
              <w:pStyle w:val="cuatexto"/>
            </w:pPr>
            <w:r w:rsidRPr="003A115E">
              <w:t>Concejos</w:t>
            </w:r>
          </w:p>
        </w:tc>
        <w:tc>
          <w:tcPr>
            <w:tcW w:w="327" w:type="pct"/>
            <w:tcBorders>
              <w:top w:val="single" w:sz="2" w:space="0" w:color="auto"/>
              <w:left w:val="nil"/>
              <w:bottom w:val="single" w:sz="2" w:space="0" w:color="auto"/>
              <w:right w:val="nil"/>
            </w:tcBorders>
            <w:shd w:val="clear" w:color="auto" w:fill="auto"/>
            <w:noWrap/>
            <w:vAlign w:val="center"/>
            <w:hideMark/>
          </w:tcPr>
          <w:p w14:paraId="0DB92328" w14:textId="0456E88F" w:rsidR="00631726" w:rsidRPr="003A115E" w:rsidRDefault="00631726" w:rsidP="009E7912">
            <w:pPr>
              <w:pStyle w:val="cuatexto"/>
              <w:jc w:val="right"/>
            </w:pPr>
            <w:r w:rsidRPr="003A115E">
              <w:t>12</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1286638A" w14:textId="3309B3F5" w:rsidR="00631726" w:rsidRPr="003A115E" w:rsidRDefault="00631726" w:rsidP="009E7912">
            <w:pPr>
              <w:pStyle w:val="cuatexto"/>
              <w:jc w:val="right"/>
            </w:pPr>
            <w:r w:rsidRPr="003A115E">
              <w:t>1.211</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48A56CD7" w14:textId="1F2258DA" w:rsidR="00631726" w:rsidRPr="003A115E" w:rsidRDefault="00631726" w:rsidP="009E7912">
            <w:pPr>
              <w:pStyle w:val="cuatexto"/>
              <w:jc w:val="right"/>
            </w:pPr>
            <w:r w:rsidRPr="003A115E">
              <w:t>-</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0D4D476E" w14:textId="2DACBD54" w:rsidR="00631726" w:rsidRPr="003A115E" w:rsidRDefault="00631726" w:rsidP="009E7912">
            <w:pPr>
              <w:pStyle w:val="cuatexto"/>
              <w:jc w:val="right"/>
            </w:pPr>
            <w:r w:rsidRPr="003A115E">
              <w:t>-</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68B9F9D6" w14:textId="1D7873E5" w:rsidR="00631726" w:rsidRPr="003A115E" w:rsidRDefault="00631726" w:rsidP="009E7912">
            <w:pPr>
              <w:pStyle w:val="cuatexto"/>
              <w:jc w:val="right"/>
            </w:pPr>
            <w:r w:rsidRPr="003A115E">
              <w:t>-</w:t>
            </w:r>
          </w:p>
        </w:tc>
        <w:tc>
          <w:tcPr>
            <w:tcW w:w="364" w:type="pct"/>
            <w:tcBorders>
              <w:top w:val="single" w:sz="2" w:space="0" w:color="auto"/>
              <w:left w:val="nil"/>
              <w:bottom w:val="single" w:sz="2" w:space="0" w:color="auto"/>
              <w:right w:val="single" w:sz="2" w:space="0" w:color="auto"/>
            </w:tcBorders>
            <w:shd w:val="clear" w:color="auto" w:fill="auto"/>
            <w:noWrap/>
            <w:vAlign w:val="center"/>
            <w:hideMark/>
          </w:tcPr>
          <w:p w14:paraId="41B26D65" w14:textId="5357B046" w:rsidR="00631726" w:rsidRPr="003A115E" w:rsidRDefault="00631726" w:rsidP="009E7912">
            <w:pPr>
              <w:pStyle w:val="cuatexto"/>
              <w:jc w:val="right"/>
            </w:pPr>
            <w:r w:rsidRPr="003A115E">
              <w:t>-</w:t>
            </w:r>
          </w:p>
        </w:tc>
        <w:tc>
          <w:tcPr>
            <w:tcW w:w="377" w:type="pct"/>
            <w:tcBorders>
              <w:top w:val="single" w:sz="2" w:space="0" w:color="auto"/>
              <w:left w:val="single" w:sz="2" w:space="0" w:color="auto"/>
              <w:bottom w:val="single" w:sz="2" w:space="0" w:color="auto"/>
              <w:right w:val="nil"/>
            </w:tcBorders>
            <w:shd w:val="clear" w:color="auto" w:fill="auto"/>
            <w:noWrap/>
            <w:vAlign w:val="center"/>
            <w:hideMark/>
          </w:tcPr>
          <w:p w14:paraId="751B8FAF" w14:textId="697B0EC0" w:rsidR="00631726" w:rsidRPr="003A115E" w:rsidRDefault="00631726" w:rsidP="009E7912">
            <w:pPr>
              <w:pStyle w:val="cuatexto"/>
              <w:jc w:val="right"/>
            </w:pPr>
            <w:r w:rsidRPr="003A115E">
              <w:t>-</w:t>
            </w:r>
          </w:p>
        </w:tc>
        <w:tc>
          <w:tcPr>
            <w:tcW w:w="353" w:type="pct"/>
            <w:tcBorders>
              <w:top w:val="single" w:sz="2" w:space="0" w:color="auto"/>
              <w:left w:val="nil"/>
              <w:bottom w:val="single" w:sz="2" w:space="0" w:color="auto"/>
              <w:right w:val="single" w:sz="2" w:space="0" w:color="auto"/>
            </w:tcBorders>
            <w:shd w:val="clear" w:color="auto" w:fill="auto"/>
            <w:noWrap/>
            <w:vAlign w:val="center"/>
            <w:hideMark/>
          </w:tcPr>
          <w:p w14:paraId="3D641E2A" w14:textId="455721F0" w:rsidR="00631726" w:rsidRPr="003A115E" w:rsidRDefault="00631726" w:rsidP="009E7912">
            <w:pPr>
              <w:pStyle w:val="cuatexto"/>
              <w:jc w:val="right"/>
            </w:pPr>
            <w:r w:rsidRPr="003A115E">
              <w:t>-</w:t>
            </w:r>
          </w:p>
        </w:tc>
        <w:tc>
          <w:tcPr>
            <w:tcW w:w="328" w:type="pct"/>
            <w:tcBorders>
              <w:top w:val="single" w:sz="2" w:space="0" w:color="auto"/>
              <w:left w:val="single" w:sz="2" w:space="0" w:color="auto"/>
              <w:bottom w:val="single" w:sz="2" w:space="0" w:color="auto"/>
              <w:right w:val="nil"/>
            </w:tcBorders>
            <w:shd w:val="clear" w:color="auto" w:fill="auto"/>
            <w:noWrap/>
            <w:vAlign w:val="center"/>
            <w:hideMark/>
          </w:tcPr>
          <w:p w14:paraId="44E6192F" w14:textId="20C35B21" w:rsidR="00631726" w:rsidRPr="003A115E" w:rsidRDefault="00631726" w:rsidP="009E7912">
            <w:pPr>
              <w:pStyle w:val="cuatexto"/>
              <w:jc w:val="right"/>
            </w:pPr>
            <w:r w:rsidRPr="003A115E">
              <w:t>12</w:t>
            </w:r>
          </w:p>
        </w:tc>
        <w:tc>
          <w:tcPr>
            <w:tcW w:w="474" w:type="pct"/>
            <w:tcBorders>
              <w:top w:val="single" w:sz="2" w:space="0" w:color="auto"/>
              <w:left w:val="nil"/>
              <w:bottom w:val="single" w:sz="2" w:space="0" w:color="auto"/>
              <w:right w:val="nil"/>
            </w:tcBorders>
            <w:shd w:val="clear" w:color="auto" w:fill="auto"/>
            <w:noWrap/>
            <w:vAlign w:val="center"/>
            <w:hideMark/>
          </w:tcPr>
          <w:p w14:paraId="4A60F771" w14:textId="68718112" w:rsidR="00631726" w:rsidRPr="003A115E" w:rsidRDefault="00631726" w:rsidP="009E7912">
            <w:pPr>
              <w:pStyle w:val="cuatexto"/>
              <w:jc w:val="right"/>
            </w:pPr>
            <w:r w:rsidRPr="003A115E">
              <w:t>1.211</w:t>
            </w:r>
          </w:p>
        </w:tc>
      </w:tr>
      <w:tr w:rsidR="000A742F" w:rsidRPr="003A115E" w14:paraId="1AE4A5DD" w14:textId="77777777" w:rsidTr="00E80C67">
        <w:trPr>
          <w:trHeight w:val="198"/>
        </w:trPr>
        <w:tc>
          <w:tcPr>
            <w:tcW w:w="1296" w:type="pct"/>
            <w:tcBorders>
              <w:top w:val="single" w:sz="2" w:space="0" w:color="auto"/>
              <w:left w:val="nil"/>
              <w:bottom w:val="single" w:sz="2" w:space="0" w:color="auto"/>
              <w:right w:val="nil"/>
            </w:tcBorders>
            <w:shd w:val="clear" w:color="auto" w:fill="auto"/>
            <w:vAlign w:val="center"/>
            <w:hideMark/>
          </w:tcPr>
          <w:p w14:paraId="24FCE136" w14:textId="77777777" w:rsidR="00631726" w:rsidRPr="003A115E" w:rsidRDefault="00631726" w:rsidP="009E7912">
            <w:pPr>
              <w:pStyle w:val="cuatexto"/>
            </w:pPr>
            <w:r w:rsidRPr="003A115E">
              <w:t>Agrupaciones</w:t>
            </w:r>
          </w:p>
        </w:tc>
        <w:tc>
          <w:tcPr>
            <w:tcW w:w="327" w:type="pct"/>
            <w:tcBorders>
              <w:top w:val="single" w:sz="2" w:space="0" w:color="auto"/>
              <w:left w:val="nil"/>
              <w:bottom w:val="single" w:sz="2" w:space="0" w:color="auto"/>
              <w:right w:val="nil"/>
            </w:tcBorders>
            <w:shd w:val="clear" w:color="auto" w:fill="auto"/>
            <w:noWrap/>
            <w:vAlign w:val="center"/>
            <w:hideMark/>
          </w:tcPr>
          <w:p w14:paraId="1458967B" w14:textId="4FA194CC" w:rsidR="00631726" w:rsidRPr="003A115E" w:rsidRDefault="00631726" w:rsidP="009E7912">
            <w:pPr>
              <w:pStyle w:val="cuatexto"/>
              <w:jc w:val="right"/>
            </w:pPr>
            <w:r w:rsidRPr="003A115E">
              <w:t>6</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2591B990" w14:textId="2A8C9156" w:rsidR="00631726" w:rsidRPr="003A115E" w:rsidRDefault="00631726" w:rsidP="009E7912">
            <w:pPr>
              <w:pStyle w:val="cuatexto"/>
              <w:jc w:val="right"/>
            </w:pPr>
            <w:r w:rsidRPr="003A115E">
              <w:t>522</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62888AB9" w14:textId="205EC1C8" w:rsidR="00631726" w:rsidRPr="003A115E" w:rsidRDefault="00631726" w:rsidP="009E7912">
            <w:pPr>
              <w:pStyle w:val="cuatexto"/>
              <w:jc w:val="right"/>
            </w:pPr>
            <w:r w:rsidRPr="003A115E">
              <w:t>-</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2B3ECB00" w14:textId="3083866B" w:rsidR="00631726" w:rsidRPr="003A115E" w:rsidRDefault="00631726" w:rsidP="009E7912">
            <w:pPr>
              <w:pStyle w:val="cuatexto"/>
              <w:jc w:val="right"/>
            </w:pPr>
            <w:r w:rsidRPr="003A115E">
              <w:t>-</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22FE9924" w14:textId="652018EE" w:rsidR="00631726" w:rsidRPr="003A115E" w:rsidRDefault="00631726" w:rsidP="009E7912">
            <w:pPr>
              <w:pStyle w:val="cuatexto"/>
              <w:jc w:val="right"/>
            </w:pPr>
            <w:r w:rsidRPr="003A115E">
              <w:t>-</w:t>
            </w:r>
          </w:p>
        </w:tc>
        <w:tc>
          <w:tcPr>
            <w:tcW w:w="364" w:type="pct"/>
            <w:tcBorders>
              <w:top w:val="single" w:sz="2" w:space="0" w:color="auto"/>
              <w:left w:val="nil"/>
              <w:bottom w:val="single" w:sz="2" w:space="0" w:color="auto"/>
              <w:right w:val="single" w:sz="2" w:space="0" w:color="auto"/>
            </w:tcBorders>
            <w:shd w:val="clear" w:color="auto" w:fill="auto"/>
            <w:noWrap/>
            <w:vAlign w:val="center"/>
            <w:hideMark/>
          </w:tcPr>
          <w:p w14:paraId="1C45C143" w14:textId="33E1321B" w:rsidR="00631726" w:rsidRPr="003A115E" w:rsidRDefault="00631726" w:rsidP="009E7912">
            <w:pPr>
              <w:pStyle w:val="cuatexto"/>
              <w:jc w:val="right"/>
            </w:pPr>
            <w:r w:rsidRPr="003A115E">
              <w:t>-</w:t>
            </w:r>
          </w:p>
        </w:tc>
        <w:tc>
          <w:tcPr>
            <w:tcW w:w="377" w:type="pct"/>
            <w:tcBorders>
              <w:top w:val="single" w:sz="2" w:space="0" w:color="auto"/>
              <w:left w:val="single" w:sz="2" w:space="0" w:color="auto"/>
              <w:bottom w:val="single" w:sz="2" w:space="0" w:color="auto"/>
              <w:right w:val="nil"/>
            </w:tcBorders>
            <w:shd w:val="clear" w:color="auto" w:fill="auto"/>
            <w:noWrap/>
            <w:vAlign w:val="center"/>
            <w:hideMark/>
          </w:tcPr>
          <w:p w14:paraId="3B13F03F" w14:textId="3B38450D" w:rsidR="00631726" w:rsidRPr="003A115E" w:rsidRDefault="00631726" w:rsidP="009E7912">
            <w:pPr>
              <w:pStyle w:val="cuatexto"/>
              <w:jc w:val="right"/>
            </w:pPr>
            <w:r w:rsidRPr="003A115E">
              <w:t>-</w:t>
            </w:r>
          </w:p>
        </w:tc>
        <w:tc>
          <w:tcPr>
            <w:tcW w:w="353" w:type="pct"/>
            <w:tcBorders>
              <w:top w:val="single" w:sz="2" w:space="0" w:color="auto"/>
              <w:left w:val="nil"/>
              <w:bottom w:val="single" w:sz="2" w:space="0" w:color="auto"/>
              <w:right w:val="single" w:sz="2" w:space="0" w:color="auto"/>
            </w:tcBorders>
            <w:shd w:val="clear" w:color="auto" w:fill="auto"/>
            <w:noWrap/>
            <w:vAlign w:val="center"/>
            <w:hideMark/>
          </w:tcPr>
          <w:p w14:paraId="06F4709D" w14:textId="24C7878F" w:rsidR="00631726" w:rsidRPr="003A115E" w:rsidRDefault="00631726" w:rsidP="009E7912">
            <w:pPr>
              <w:pStyle w:val="cuatexto"/>
              <w:jc w:val="right"/>
            </w:pPr>
            <w:r w:rsidRPr="003A115E">
              <w:t>-</w:t>
            </w:r>
          </w:p>
        </w:tc>
        <w:tc>
          <w:tcPr>
            <w:tcW w:w="328" w:type="pct"/>
            <w:tcBorders>
              <w:top w:val="single" w:sz="2" w:space="0" w:color="auto"/>
              <w:left w:val="single" w:sz="2" w:space="0" w:color="auto"/>
              <w:bottom w:val="single" w:sz="2" w:space="0" w:color="auto"/>
              <w:right w:val="nil"/>
            </w:tcBorders>
            <w:shd w:val="clear" w:color="auto" w:fill="auto"/>
            <w:noWrap/>
            <w:vAlign w:val="center"/>
            <w:hideMark/>
          </w:tcPr>
          <w:p w14:paraId="6A90F4B3" w14:textId="720788E2" w:rsidR="00631726" w:rsidRPr="003A115E" w:rsidRDefault="00631726" w:rsidP="009E7912">
            <w:pPr>
              <w:pStyle w:val="cuatexto"/>
              <w:jc w:val="right"/>
            </w:pPr>
            <w:r w:rsidRPr="003A115E">
              <w:t>6</w:t>
            </w:r>
          </w:p>
        </w:tc>
        <w:tc>
          <w:tcPr>
            <w:tcW w:w="474" w:type="pct"/>
            <w:tcBorders>
              <w:top w:val="single" w:sz="2" w:space="0" w:color="auto"/>
              <w:left w:val="nil"/>
              <w:bottom w:val="single" w:sz="2" w:space="0" w:color="auto"/>
              <w:right w:val="nil"/>
            </w:tcBorders>
            <w:shd w:val="clear" w:color="auto" w:fill="auto"/>
            <w:noWrap/>
            <w:vAlign w:val="center"/>
            <w:hideMark/>
          </w:tcPr>
          <w:p w14:paraId="560863AC" w14:textId="7FD22B2A" w:rsidR="00631726" w:rsidRPr="003A115E" w:rsidRDefault="00631726" w:rsidP="009E7912">
            <w:pPr>
              <w:pStyle w:val="cuatexto"/>
              <w:jc w:val="right"/>
            </w:pPr>
            <w:r w:rsidRPr="003A115E">
              <w:t>522</w:t>
            </w:r>
          </w:p>
        </w:tc>
      </w:tr>
      <w:tr w:rsidR="000A742F" w:rsidRPr="003A115E" w14:paraId="01BB86FA" w14:textId="77777777" w:rsidTr="00E80C67">
        <w:trPr>
          <w:trHeight w:val="198"/>
        </w:trPr>
        <w:tc>
          <w:tcPr>
            <w:tcW w:w="1296" w:type="pct"/>
            <w:tcBorders>
              <w:top w:val="single" w:sz="2" w:space="0" w:color="auto"/>
              <w:left w:val="nil"/>
              <w:bottom w:val="single" w:sz="2" w:space="0" w:color="auto"/>
              <w:right w:val="nil"/>
            </w:tcBorders>
            <w:shd w:val="clear" w:color="auto" w:fill="auto"/>
            <w:vAlign w:val="center"/>
            <w:hideMark/>
          </w:tcPr>
          <w:p w14:paraId="50BBC3BC" w14:textId="77777777" w:rsidR="00631726" w:rsidRPr="003A115E" w:rsidRDefault="00631726" w:rsidP="009E7912">
            <w:pPr>
              <w:pStyle w:val="cuatexto"/>
            </w:pPr>
            <w:r w:rsidRPr="003A115E">
              <w:t>Mancomunidades</w:t>
            </w:r>
          </w:p>
        </w:tc>
        <w:tc>
          <w:tcPr>
            <w:tcW w:w="327" w:type="pct"/>
            <w:tcBorders>
              <w:top w:val="single" w:sz="2" w:space="0" w:color="auto"/>
              <w:left w:val="nil"/>
              <w:bottom w:val="single" w:sz="2" w:space="0" w:color="auto"/>
              <w:right w:val="nil"/>
            </w:tcBorders>
            <w:shd w:val="clear" w:color="auto" w:fill="auto"/>
            <w:noWrap/>
            <w:vAlign w:val="center"/>
            <w:hideMark/>
          </w:tcPr>
          <w:p w14:paraId="4E50E2D4" w14:textId="6986DCB8" w:rsidR="00631726" w:rsidRPr="003A115E" w:rsidRDefault="00631726" w:rsidP="009E7912">
            <w:pPr>
              <w:pStyle w:val="cuatexto"/>
              <w:jc w:val="right"/>
            </w:pPr>
            <w:r w:rsidRPr="003A115E">
              <w:t>5</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101ACF90" w14:textId="09101908" w:rsidR="00631726" w:rsidRPr="003A115E" w:rsidRDefault="00631726" w:rsidP="009E7912">
            <w:pPr>
              <w:pStyle w:val="cuatexto"/>
              <w:jc w:val="right"/>
            </w:pPr>
            <w:r w:rsidRPr="003A115E">
              <w:t>2.943</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6F99740B" w14:textId="294A4EE9" w:rsidR="00631726" w:rsidRPr="003A115E" w:rsidRDefault="00631726" w:rsidP="009E7912">
            <w:pPr>
              <w:pStyle w:val="cuatexto"/>
              <w:jc w:val="right"/>
            </w:pPr>
            <w:r w:rsidRPr="003A115E">
              <w:t>17</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6D05B4B1" w14:textId="075188D5" w:rsidR="00631726" w:rsidRPr="003A115E" w:rsidRDefault="00631726" w:rsidP="009E7912">
            <w:pPr>
              <w:pStyle w:val="cuatexto"/>
              <w:jc w:val="right"/>
            </w:pPr>
            <w:r w:rsidRPr="003A115E">
              <w:t>3.131</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0EF1DD52" w14:textId="01F81499" w:rsidR="00631726" w:rsidRPr="003A115E" w:rsidRDefault="00631726" w:rsidP="009E7912">
            <w:pPr>
              <w:pStyle w:val="cuatexto"/>
              <w:jc w:val="right"/>
            </w:pPr>
            <w:r w:rsidRPr="003A115E">
              <w:t>13</w:t>
            </w:r>
          </w:p>
        </w:tc>
        <w:tc>
          <w:tcPr>
            <w:tcW w:w="364" w:type="pct"/>
            <w:tcBorders>
              <w:top w:val="single" w:sz="2" w:space="0" w:color="auto"/>
              <w:left w:val="nil"/>
              <w:bottom w:val="single" w:sz="2" w:space="0" w:color="auto"/>
              <w:right w:val="single" w:sz="2" w:space="0" w:color="auto"/>
            </w:tcBorders>
            <w:shd w:val="clear" w:color="auto" w:fill="auto"/>
            <w:noWrap/>
            <w:vAlign w:val="center"/>
            <w:hideMark/>
          </w:tcPr>
          <w:p w14:paraId="6FC43F5E" w14:textId="5E30509B" w:rsidR="00631726" w:rsidRPr="003A115E" w:rsidRDefault="00631726" w:rsidP="009E7912">
            <w:pPr>
              <w:pStyle w:val="cuatexto"/>
              <w:jc w:val="right"/>
            </w:pPr>
            <w:r w:rsidRPr="003A115E">
              <w:t>1.113</w:t>
            </w:r>
          </w:p>
        </w:tc>
        <w:tc>
          <w:tcPr>
            <w:tcW w:w="377" w:type="pct"/>
            <w:tcBorders>
              <w:top w:val="single" w:sz="2" w:space="0" w:color="auto"/>
              <w:left w:val="single" w:sz="2" w:space="0" w:color="auto"/>
              <w:bottom w:val="single" w:sz="2" w:space="0" w:color="auto"/>
              <w:right w:val="nil"/>
            </w:tcBorders>
            <w:shd w:val="clear" w:color="auto" w:fill="auto"/>
            <w:noWrap/>
            <w:vAlign w:val="center"/>
            <w:hideMark/>
          </w:tcPr>
          <w:p w14:paraId="56BFFC46" w14:textId="24B3CE7B" w:rsidR="00631726" w:rsidRPr="003A115E" w:rsidRDefault="00631726" w:rsidP="009E7912">
            <w:pPr>
              <w:pStyle w:val="cuatexto"/>
              <w:jc w:val="right"/>
            </w:pPr>
            <w:r w:rsidRPr="003A115E">
              <w:t>-</w:t>
            </w:r>
          </w:p>
        </w:tc>
        <w:tc>
          <w:tcPr>
            <w:tcW w:w="353" w:type="pct"/>
            <w:tcBorders>
              <w:top w:val="single" w:sz="2" w:space="0" w:color="auto"/>
              <w:left w:val="nil"/>
              <w:bottom w:val="single" w:sz="2" w:space="0" w:color="auto"/>
              <w:right w:val="single" w:sz="2" w:space="0" w:color="auto"/>
            </w:tcBorders>
            <w:shd w:val="clear" w:color="auto" w:fill="auto"/>
            <w:noWrap/>
            <w:vAlign w:val="center"/>
            <w:hideMark/>
          </w:tcPr>
          <w:p w14:paraId="1E3DDE7A" w14:textId="5C14D07D" w:rsidR="00631726" w:rsidRPr="003A115E" w:rsidRDefault="00631726" w:rsidP="009E7912">
            <w:pPr>
              <w:pStyle w:val="cuatexto"/>
              <w:jc w:val="right"/>
            </w:pPr>
            <w:r w:rsidRPr="003A115E">
              <w:t>-</w:t>
            </w:r>
          </w:p>
        </w:tc>
        <w:tc>
          <w:tcPr>
            <w:tcW w:w="328" w:type="pct"/>
            <w:tcBorders>
              <w:top w:val="single" w:sz="2" w:space="0" w:color="auto"/>
              <w:left w:val="single" w:sz="2" w:space="0" w:color="auto"/>
              <w:bottom w:val="single" w:sz="2" w:space="0" w:color="auto"/>
              <w:right w:val="nil"/>
            </w:tcBorders>
            <w:shd w:val="clear" w:color="auto" w:fill="auto"/>
            <w:noWrap/>
            <w:vAlign w:val="center"/>
            <w:hideMark/>
          </w:tcPr>
          <w:p w14:paraId="468CA804" w14:textId="02077DBC" w:rsidR="00631726" w:rsidRPr="003A115E" w:rsidRDefault="00631726" w:rsidP="009E7912">
            <w:pPr>
              <w:pStyle w:val="cuatexto"/>
              <w:jc w:val="right"/>
            </w:pPr>
            <w:r w:rsidRPr="003A115E">
              <w:t>35</w:t>
            </w:r>
          </w:p>
        </w:tc>
        <w:tc>
          <w:tcPr>
            <w:tcW w:w="474" w:type="pct"/>
            <w:tcBorders>
              <w:top w:val="single" w:sz="2" w:space="0" w:color="auto"/>
              <w:left w:val="nil"/>
              <w:bottom w:val="single" w:sz="2" w:space="0" w:color="auto"/>
              <w:right w:val="nil"/>
            </w:tcBorders>
            <w:shd w:val="clear" w:color="auto" w:fill="auto"/>
            <w:noWrap/>
            <w:vAlign w:val="center"/>
            <w:hideMark/>
          </w:tcPr>
          <w:p w14:paraId="1D16760D" w14:textId="69CF420E" w:rsidR="00631726" w:rsidRPr="003A115E" w:rsidRDefault="00631726" w:rsidP="009E7912">
            <w:pPr>
              <w:pStyle w:val="cuatexto"/>
              <w:jc w:val="right"/>
            </w:pPr>
            <w:r w:rsidRPr="003A115E">
              <w:t>7.187</w:t>
            </w:r>
          </w:p>
        </w:tc>
      </w:tr>
      <w:tr w:rsidR="000A742F" w:rsidRPr="003A115E" w14:paraId="096B748A" w14:textId="77777777" w:rsidTr="00E80C67">
        <w:trPr>
          <w:trHeight w:val="198"/>
        </w:trPr>
        <w:tc>
          <w:tcPr>
            <w:tcW w:w="1296" w:type="pct"/>
            <w:tcBorders>
              <w:top w:val="single" w:sz="2" w:space="0" w:color="auto"/>
              <w:left w:val="nil"/>
              <w:bottom w:val="single" w:sz="2" w:space="0" w:color="auto"/>
              <w:right w:val="nil"/>
            </w:tcBorders>
            <w:shd w:val="clear" w:color="auto" w:fill="auto"/>
            <w:vAlign w:val="center"/>
            <w:hideMark/>
          </w:tcPr>
          <w:p w14:paraId="1235C56B" w14:textId="77777777" w:rsidR="00631726" w:rsidRPr="003A115E" w:rsidRDefault="00631726" w:rsidP="0186A00D">
            <w:pPr>
              <w:pStyle w:val="cuatexto"/>
              <w:rPr>
                <w:b/>
                <w:bCs/>
                <w:i/>
                <w:iCs/>
                <w:lang w:val="es-ES"/>
              </w:rPr>
            </w:pPr>
            <w:r w:rsidRPr="003A115E">
              <w:rPr>
                <w:b/>
                <w:bCs/>
                <w:i/>
                <w:iCs/>
                <w:lang w:val="es-ES"/>
              </w:rPr>
              <w:t>Total entidades locales</w:t>
            </w:r>
          </w:p>
        </w:tc>
        <w:tc>
          <w:tcPr>
            <w:tcW w:w="327" w:type="pct"/>
            <w:tcBorders>
              <w:top w:val="single" w:sz="2" w:space="0" w:color="auto"/>
              <w:left w:val="nil"/>
              <w:bottom w:val="single" w:sz="2" w:space="0" w:color="auto"/>
              <w:right w:val="nil"/>
            </w:tcBorders>
            <w:shd w:val="clear" w:color="auto" w:fill="auto"/>
            <w:noWrap/>
            <w:vAlign w:val="center"/>
            <w:hideMark/>
          </w:tcPr>
          <w:p w14:paraId="33E34DE0" w14:textId="7E46C306" w:rsidR="00631726" w:rsidRPr="003A115E" w:rsidRDefault="00631726" w:rsidP="009E7912">
            <w:pPr>
              <w:pStyle w:val="cuatexto"/>
              <w:jc w:val="right"/>
              <w:rPr>
                <w:b/>
                <w:bCs/>
                <w:i/>
                <w:iCs/>
              </w:rPr>
            </w:pPr>
            <w:r w:rsidRPr="003A115E">
              <w:rPr>
                <w:b/>
                <w:bCs/>
                <w:i/>
                <w:iCs/>
              </w:rPr>
              <w:t>325</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322F571A" w14:textId="5E56BB6B" w:rsidR="00631726" w:rsidRPr="003A115E" w:rsidRDefault="00631726" w:rsidP="009E7912">
            <w:pPr>
              <w:pStyle w:val="cuatexto"/>
              <w:jc w:val="right"/>
              <w:rPr>
                <w:b/>
                <w:bCs/>
                <w:i/>
                <w:iCs/>
              </w:rPr>
            </w:pPr>
            <w:r w:rsidRPr="003A115E">
              <w:rPr>
                <w:b/>
                <w:bCs/>
                <w:i/>
                <w:iCs/>
              </w:rPr>
              <w:t>76.915</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5D2D5A48" w14:textId="5F5F6D82" w:rsidR="00631726" w:rsidRPr="003A115E" w:rsidRDefault="00631726" w:rsidP="009E7912">
            <w:pPr>
              <w:pStyle w:val="cuatexto"/>
              <w:jc w:val="right"/>
              <w:rPr>
                <w:b/>
                <w:bCs/>
                <w:i/>
                <w:iCs/>
              </w:rPr>
            </w:pPr>
            <w:r w:rsidRPr="003A115E">
              <w:rPr>
                <w:b/>
                <w:bCs/>
                <w:i/>
                <w:iCs/>
              </w:rPr>
              <w:t>168</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2FED7431" w14:textId="6E91E8A6" w:rsidR="00631726" w:rsidRPr="003A115E" w:rsidRDefault="00631726" w:rsidP="009E7912">
            <w:pPr>
              <w:pStyle w:val="cuatexto"/>
              <w:jc w:val="right"/>
              <w:rPr>
                <w:b/>
                <w:bCs/>
                <w:i/>
                <w:iCs/>
              </w:rPr>
            </w:pPr>
            <w:r w:rsidRPr="003A115E">
              <w:rPr>
                <w:b/>
                <w:bCs/>
                <w:i/>
                <w:iCs/>
              </w:rPr>
              <w:t>30.319</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438F5531" w14:textId="389ACDBB" w:rsidR="00631726" w:rsidRPr="003A115E" w:rsidRDefault="00631726" w:rsidP="009E7912">
            <w:pPr>
              <w:pStyle w:val="cuatexto"/>
              <w:jc w:val="right"/>
              <w:rPr>
                <w:b/>
                <w:bCs/>
                <w:i/>
                <w:iCs/>
              </w:rPr>
            </w:pPr>
            <w:r w:rsidRPr="003A115E">
              <w:rPr>
                <w:b/>
                <w:bCs/>
                <w:i/>
                <w:iCs/>
              </w:rPr>
              <w:t>76</w:t>
            </w:r>
          </w:p>
        </w:tc>
        <w:tc>
          <w:tcPr>
            <w:tcW w:w="364" w:type="pct"/>
            <w:tcBorders>
              <w:top w:val="single" w:sz="2" w:space="0" w:color="auto"/>
              <w:left w:val="nil"/>
              <w:bottom w:val="single" w:sz="2" w:space="0" w:color="auto"/>
              <w:right w:val="single" w:sz="2" w:space="0" w:color="auto"/>
            </w:tcBorders>
            <w:shd w:val="clear" w:color="auto" w:fill="auto"/>
            <w:noWrap/>
            <w:vAlign w:val="center"/>
            <w:hideMark/>
          </w:tcPr>
          <w:p w14:paraId="6CC40706" w14:textId="38E76B42" w:rsidR="00631726" w:rsidRPr="003A115E" w:rsidRDefault="00631726" w:rsidP="009E7912">
            <w:pPr>
              <w:pStyle w:val="cuatexto"/>
              <w:jc w:val="right"/>
              <w:rPr>
                <w:b/>
                <w:bCs/>
                <w:i/>
                <w:iCs/>
              </w:rPr>
            </w:pPr>
            <w:r w:rsidRPr="003A115E">
              <w:rPr>
                <w:b/>
                <w:bCs/>
                <w:i/>
                <w:iCs/>
              </w:rPr>
              <w:t>4.648</w:t>
            </w:r>
          </w:p>
        </w:tc>
        <w:tc>
          <w:tcPr>
            <w:tcW w:w="377" w:type="pct"/>
            <w:tcBorders>
              <w:top w:val="single" w:sz="2" w:space="0" w:color="auto"/>
              <w:left w:val="single" w:sz="2" w:space="0" w:color="auto"/>
              <w:bottom w:val="single" w:sz="2" w:space="0" w:color="auto"/>
              <w:right w:val="nil"/>
            </w:tcBorders>
            <w:shd w:val="clear" w:color="auto" w:fill="auto"/>
            <w:noWrap/>
            <w:vAlign w:val="center"/>
            <w:hideMark/>
          </w:tcPr>
          <w:p w14:paraId="374E634C" w14:textId="2BB3B7B1" w:rsidR="00631726" w:rsidRPr="003A115E" w:rsidRDefault="00631726" w:rsidP="009E7912">
            <w:pPr>
              <w:pStyle w:val="cuatexto"/>
              <w:jc w:val="right"/>
              <w:rPr>
                <w:b/>
                <w:bCs/>
                <w:i/>
                <w:iCs/>
              </w:rPr>
            </w:pPr>
            <w:r w:rsidRPr="003A115E">
              <w:rPr>
                <w:b/>
                <w:bCs/>
                <w:i/>
                <w:iCs/>
              </w:rPr>
              <w:t>23</w:t>
            </w:r>
          </w:p>
        </w:tc>
        <w:tc>
          <w:tcPr>
            <w:tcW w:w="353" w:type="pct"/>
            <w:tcBorders>
              <w:top w:val="single" w:sz="2" w:space="0" w:color="auto"/>
              <w:left w:val="nil"/>
              <w:bottom w:val="single" w:sz="2" w:space="0" w:color="auto"/>
              <w:right w:val="single" w:sz="2" w:space="0" w:color="auto"/>
            </w:tcBorders>
            <w:shd w:val="clear" w:color="auto" w:fill="auto"/>
            <w:noWrap/>
            <w:vAlign w:val="center"/>
            <w:hideMark/>
          </w:tcPr>
          <w:p w14:paraId="554426A9" w14:textId="53BF74D3" w:rsidR="00631726" w:rsidRPr="003A115E" w:rsidRDefault="00631726" w:rsidP="009E7912">
            <w:pPr>
              <w:pStyle w:val="cuatexto"/>
              <w:jc w:val="right"/>
              <w:rPr>
                <w:b/>
                <w:bCs/>
                <w:i/>
                <w:iCs/>
              </w:rPr>
            </w:pPr>
            <w:r w:rsidRPr="003A115E">
              <w:rPr>
                <w:b/>
                <w:bCs/>
                <w:i/>
                <w:iCs/>
              </w:rPr>
              <w:t>3.627</w:t>
            </w:r>
          </w:p>
        </w:tc>
        <w:tc>
          <w:tcPr>
            <w:tcW w:w="328" w:type="pct"/>
            <w:tcBorders>
              <w:top w:val="single" w:sz="2" w:space="0" w:color="auto"/>
              <w:left w:val="single" w:sz="2" w:space="0" w:color="auto"/>
              <w:bottom w:val="single" w:sz="2" w:space="0" w:color="auto"/>
              <w:right w:val="nil"/>
            </w:tcBorders>
            <w:shd w:val="clear" w:color="auto" w:fill="auto"/>
            <w:noWrap/>
            <w:vAlign w:val="center"/>
            <w:hideMark/>
          </w:tcPr>
          <w:p w14:paraId="328C093F" w14:textId="3A91997F" w:rsidR="00631726" w:rsidRPr="003A115E" w:rsidRDefault="00631726" w:rsidP="009E7912">
            <w:pPr>
              <w:pStyle w:val="cuatexto"/>
              <w:jc w:val="right"/>
              <w:rPr>
                <w:b/>
                <w:bCs/>
                <w:i/>
                <w:iCs/>
              </w:rPr>
            </w:pPr>
            <w:r w:rsidRPr="003A115E">
              <w:rPr>
                <w:b/>
                <w:bCs/>
                <w:i/>
                <w:iCs/>
              </w:rPr>
              <w:t>592</w:t>
            </w:r>
          </w:p>
        </w:tc>
        <w:tc>
          <w:tcPr>
            <w:tcW w:w="474" w:type="pct"/>
            <w:tcBorders>
              <w:top w:val="single" w:sz="2" w:space="0" w:color="auto"/>
              <w:left w:val="nil"/>
              <w:bottom w:val="single" w:sz="2" w:space="0" w:color="auto"/>
              <w:right w:val="nil"/>
            </w:tcBorders>
            <w:shd w:val="clear" w:color="auto" w:fill="auto"/>
            <w:noWrap/>
            <w:vAlign w:val="center"/>
            <w:hideMark/>
          </w:tcPr>
          <w:p w14:paraId="414B8649" w14:textId="52B82363" w:rsidR="00631726" w:rsidRPr="003A115E" w:rsidRDefault="00631726" w:rsidP="009E7912">
            <w:pPr>
              <w:pStyle w:val="cuatexto"/>
              <w:jc w:val="right"/>
              <w:rPr>
                <w:b/>
                <w:bCs/>
                <w:i/>
                <w:iCs/>
              </w:rPr>
            </w:pPr>
            <w:r w:rsidRPr="003A115E">
              <w:rPr>
                <w:b/>
                <w:bCs/>
                <w:i/>
                <w:iCs/>
              </w:rPr>
              <w:t>115.508</w:t>
            </w:r>
          </w:p>
        </w:tc>
      </w:tr>
      <w:tr w:rsidR="000A742F" w:rsidRPr="003A115E" w14:paraId="656CB0E0" w14:textId="77777777" w:rsidTr="00E80C67">
        <w:trPr>
          <w:trHeight w:val="198"/>
        </w:trPr>
        <w:tc>
          <w:tcPr>
            <w:tcW w:w="1296" w:type="pct"/>
            <w:tcBorders>
              <w:top w:val="single" w:sz="2" w:space="0" w:color="auto"/>
              <w:left w:val="nil"/>
              <w:bottom w:val="single" w:sz="2" w:space="0" w:color="auto"/>
              <w:right w:val="nil"/>
            </w:tcBorders>
            <w:shd w:val="clear" w:color="auto" w:fill="FFFFFF" w:themeFill="background1"/>
            <w:vAlign w:val="center"/>
            <w:hideMark/>
          </w:tcPr>
          <w:p w14:paraId="7A6299B0" w14:textId="77777777" w:rsidR="00631726" w:rsidRPr="003A115E" w:rsidRDefault="00631726" w:rsidP="009E7912">
            <w:pPr>
              <w:pStyle w:val="cuatexto"/>
            </w:pPr>
            <w:r w:rsidRPr="003A115E">
              <w:t>Organismos Autónomos</w:t>
            </w:r>
          </w:p>
        </w:tc>
        <w:tc>
          <w:tcPr>
            <w:tcW w:w="327" w:type="pct"/>
            <w:tcBorders>
              <w:top w:val="single" w:sz="2" w:space="0" w:color="auto"/>
              <w:left w:val="nil"/>
              <w:bottom w:val="single" w:sz="2" w:space="0" w:color="auto"/>
              <w:right w:val="nil"/>
            </w:tcBorders>
            <w:shd w:val="clear" w:color="auto" w:fill="FFFFFF" w:themeFill="background1"/>
            <w:noWrap/>
            <w:vAlign w:val="center"/>
            <w:hideMark/>
          </w:tcPr>
          <w:p w14:paraId="33AEE0AF" w14:textId="14002318" w:rsidR="00631726" w:rsidRPr="003A115E" w:rsidRDefault="00631726" w:rsidP="009E7912">
            <w:pPr>
              <w:pStyle w:val="cuatexto"/>
              <w:jc w:val="right"/>
            </w:pPr>
            <w:r w:rsidRPr="003A115E">
              <w:t>-</w:t>
            </w:r>
          </w:p>
        </w:tc>
        <w:tc>
          <w:tcPr>
            <w:tcW w:w="414" w:type="pct"/>
            <w:tcBorders>
              <w:top w:val="single" w:sz="2" w:space="0" w:color="auto"/>
              <w:left w:val="nil"/>
              <w:bottom w:val="single" w:sz="2" w:space="0" w:color="auto"/>
              <w:right w:val="single" w:sz="2" w:space="0" w:color="auto"/>
            </w:tcBorders>
            <w:shd w:val="clear" w:color="auto" w:fill="FFFFFF" w:themeFill="background1"/>
            <w:noWrap/>
            <w:vAlign w:val="center"/>
            <w:hideMark/>
          </w:tcPr>
          <w:p w14:paraId="56EE7B34" w14:textId="477C585A" w:rsidR="00631726" w:rsidRPr="003A115E" w:rsidRDefault="00631726" w:rsidP="009E7912">
            <w:pPr>
              <w:pStyle w:val="cuatexto"/>
              <w:jc w:val="right"/>
            </w:pPr>
            <w:r w:rsidRPr="003A115E">
              <w:t>-</w:t>
            </w:r>
          </w:p>
        </w:tc>
        <w:tc>
          <w:tcPr>
            <w:tcW w:w="327" w:type="pct"/>
            <w:tcBorders>
              <w:top w:val="single" w:sz="2" w:space="0" w:color="auto"/>
              <w:left w:val="single" w:sz="2" w:space="0" w:color="auto"/>
              <w:bottom w:val="single" w:sz="2" w:space="0" w:color="auto"/>
              <w:right w:val="nil"/>
            </w:tcBorders>
            <w:shd w:val="clear" w:color="auto" w:fill="FFFFFF" w:themeFill="background1"/>
            <w:noWrap/>
            <w:vAlign w:val="center"/>
            <w:hideMark/>
          </w:tcPr>
          <w:p w14:paraId="15F96DBC" w14:textId="71D07249" w:rsidR="00631726" w:rsidRPr="003A115E" w:rsidRDefault="00631726" w:rsidP="009E7912">
            <w:pPr>
              <w:pStyle w:val="cuatexto"/>
              <w:jc w:val="right"/>
            </w:pPr>
            <w:r w:rsidRPr="003A115E">
              <w:t>2</w:t>
            </w:r>
          </w:p>
        </w:tc>
        <w:tc>
          <w:tcPr>
            <w:tcW w:w="414" w:type="pct"/>
            <w:tcBorders>
              <w:top w:val="single" w:sz="2" w:space="0" w:color="auto"/>
              <w:left w:val="nil"/>
              <w:bottom w:val="single" w:sz="2" w:space="0" w:color="auto"/>
              <w:right w:val="single" w:sz="2" w:space="0" w:color="auto"/>
            </w:tcBorders>
            <w:shd w:val="clear" w:color="auto" w:fill="FFFFFF" w:themeFill="background1"/>
            <w:noWrap/>
            <w:vAlign w:val="center"/>
            <w:hideMark/>
          </w:tcPr>
          <w:p w14:paraId="1CF371BB" w14:textId="4B93E7E4" w:rsidR="00631726" w:rsidRPr="003A115E" w:rsidRDefault="00631726" w:rsidP="009E7912">
            <w:pPr>
              <w:pStyle w:val="cuatexto"/>
              <w:jc w:val="right"/>
            </w:pPr>
            <w:r w:rsidRPr="003A115E">
              <w:t>123</w:t>
            </w:r>
          </w:p>
        </w:tc>
        <w:tc>
          <w:tcPr>
            <w:tcW w:w="327" w:type="pct"/>
            <w:tcBorders>
              <w:top w:val="single" w:sz="2" w:space="0" w:color="auto"/>
              <w:left w:val="single" w:sz="2" w:space="0" w:color="auto"/>
              <w:bottom w:val="single" w:sz="2" w:space="0" w:color="auto"/>
              <w:right w:val="nil"/>
            </w:tcBorders>
            <w:shd w:val="clear" w:color="auto" w:fill="FFFFFF" w:themeFill="background1"/>
            <w:noWrap/>
            <w:vAlign w:val="center"/>
            <w:hideMark/>
          </w:tcPr>
          <w:p w14:paraId="425EE1C2" w14:textId="5689EFC9" w:rsidR="00631726" w:rsidRPr="003A115E" w:rsidRDefault="00631726" w:rsidP="009E7912">
            <w:pPr>
              <w:pStyle w:val="cuatexto"/>
              <w:jc w:val="right"/>
            </w:pPr>
            <w:r w:rsidRPr="003A115E">
              <w:t>1</w:t>
            </w:r>
          </w:p>
        </w:tc>
        <w:tc>
          <w:tcPr>
            <w:tcW w:w="364" w:type="pct"/>
            <w:tcBorders>
              <w:top w:val="single" w:sz="2" w:space="0" w:color="auto"/>
              <w:left w:val="nil"/>
              <w:bottom w:val="single" w:sz="2" w:space="0" w:color="auto"/>
              <w:right w:val="single" w:sz="2" w:space="0" w:color="auto"/>
            </w:tcBorders>
            <w:shd w:val="clear" w:color="auto" w:fill="FFFFFF" w:themeFill="background1"/>
            <w:noWrap/>
            <w:vAlign w:val="center"/>
            <w:hideMark/>
          </w:tcPr>
          <w:p w14:paraId="4D07AC9D" w14:textId="7408E0B4" w:rsidR="00631726" w:rsidRPr="003A115E" w:rsidRDefault="00631726" w:rsidP="009E7912">
            <w:pPr>
              <w:pStyle w:val="cuatexto"/>
              <w:jc w:val="right"/>
            </w:pPr>
            <w:r w:rsidRPr="003A115E">
              <w:t>7</w:t>
            </w:r>
          </w:p>
        </w:tc>
        <w:tc>
          <w:tcPr>
            <w:tcW w:w="377" w:type="pct"/>
            <w:tcBorders>
              <w:top w:val="single" w:sz="2" w:space="0" w:color="auto"/>
              <w:left w:val="single" w:sz="2" w:space="0" w:color="auto"/>
              <w:bottom w:val="single" w:sz="2" w:space="0" w:color="auto"/>
              <w:right w:val="nil"/>
            </w:tcBorders>
            <w:shd w:val="clear" w:color="auto" w:fill="FFFFFF" w:themeFill="background1"/>
            <w:noWrap/>
            <w:vAlign w:val="center"/>
            <w:hideMark/>
          </w:tcPr>
          <w:p w14:paraId="3A75D468" w14:textId="2CB8336B" w:rsidR="00631726" w:rsidRPr="003A115E" w:rsidRDefault="00631726" w:rsidP="009E7912">
            <w:pPr>
              <w:pStyle w:val="cuatexto"/>
              <w:jc w:val="right"/>
            </w:pPr>
            <w:r w:rsidRPr="003A115E">
              <w:t>1</w:t>
            </w:r>
          </w:p>
        </w:tc>
        <w:tc>
          <w:tcPr>
            <w:tcW w:w="353" w:type="pct"/>
            <w:tcBorders>
              <w:top w:val="single" w:sz="2" w:space="0" w:color="auto"/>
              <w:left w:val="nil"/>
              <w:bottom w:val="single" w:sz="2" w:space="0" w:color="auto"/>
              <w:right w:val="single" w:sz="2" w:space="0" w:color="auto"/>
            </w:tcBorders>
            <w:shd w:val="clear" w:color="auto" w:fill="FFFFFF" w:themeFill="background1"/>
            <w:noWrap/>
            <w:vAlign w:val="center"/>
            <w:hideMark/>
          </w:tcPr>
          <w:p w14:paraId="55627DA9" w14:textId="620104C0" w:rsidR="00631726" w:rsidRPr="003A115E" w:rsidRDefault="00631726" w:rsidP="009E7912">
            <w:pPr>
              <w:pStyle w:val="cuatexto"/>
              <w:jc w:val="right"/>
            </w:pPr>
            <w:r w:rsidRPr="003A115E">
              <w:t>1</w:t>
            </w:r>
          </w:p>
        </w:tc>
        <w:tc>
          <w:tcPr>
            <w:tcW w:w="328" w:type="pct"/>
            <w:tcBorders>
              <w:top w:val="single" w:sz="2" w:space="0" w:color="auto"/>
              <w:left w:val="single" w:sz="2" w:space="0" w:color="auto"/>
              <w:bottom w:val="single" w:sz="2" w:space="0" w:color="auto"/>
              <w:right w:val="nil"/>
            </w:tcBorders>
            <w:shd w:val="clear" w:color="auto" w:fill="FFFFFF" w:themeFill="background1"/>
            <w:noWrap/>
            <w:vAlign w:val="center"/>
            <w:hideMark/>
          </w:tcPr>
          <w:p w14:paraId="3E7B9B1B" w14:textId="56A7AD80" w:rsidR="00631726" w:rsidRPr="003A115E" w:rsidRDefault="00631726" w:rsidP="009E7912">
            <w:pPr>
              <w:pStyle w:val="cuatexto"/>
              <w:jc w:val="right"/>
            </w:pPr>
            <w:r w:rsidRPr="003A115E">
              <w:t>4</w:t>
            </w:r>
          </w:p>
        </w:tc>
        <w:tc>
          <w:tcPr>
            <w:tcW w:w="474" w:type="pct"/>
            <w:tcBorders>
              <w:top w:val="single" w:sz="2" w:space="0" w:color="auto"/>
              <w:left w:val="nil"/>
              <w:bottom w:val="single" w:sz="2" w:space="0" w:color="auto"/>
              <w:right w:val="nil"/>
            </w:tcBorders>
            <w:shd w:val="clear" w:color="auto" w:fill="FFFFFF" w:themeFill="background1"/>
            <w:noWrap/>
            <w:vAlign w:val="center"/>
            <w:hideMark/>
          </w:tcPr>
          <w:p w14:paraId="26FA2510" w14:textId="1E49B869" w:rsidR="00631726" w:rsidRPr="003A115E" w:rsidRDefault="00631726" w:rsidP="009E7912">
            <w:pPr>
              <w:pStyle w:val="cuatexto"/>
              <w:jc w:val="right"/>
            </w:pPr>
            <w:r w:rsidRPr="003A115E">
              <w:t>132</w:t>
            </w:r>
          </w:p>
        </w:tc>
      </w:tr>
      <w:tr w:rsidR="000A742F" w:rsidRPr="003A115E" w14:paraId="062C273D" w14:textId="77777777" w:rsidTr="00E80C67">
        <w:trPr>
          <w:trHeight w:val="198"/>
        </w:trPr>
        <w:tc>
          <w:tcPr>
            <w:tcW w:w="1296" w:type="pct"/>
            <w:tcBorders>
              <w:top w:val="single" w:sz="2" w:space="0" w:color="auto"/>
              <w:left w:val="nil"/>
              <w:bottom w:val="single" w:sz="2" w:space="0" w:color="auto"/>
              <w:right w:val="nil"/>
            </w:tcBorders>
            <w:shd w:val="clear" w:color="auto" w:fill="FFFFFF" w:themeFill="background1"/>
            <w:vAlign w:val="center"/>
            <w:hideMark/>
          </w:tcPr>
          <w:p w14:paraId="15CA67F4" w14:textId="77777777" w:rsidR="00631726" w:rsidRPr="003A115E" w:rsidRDefault="00631726" w:rsidP="009E7912">
            <w:pPr>
              <w:pStyle w:val="cuatexto"/>
            </w:pPr>
            <w:r w:rsidRPr="003A115E">
              <w:t>Entidades públicas empresariales</w:t>
            </w:r>
          </w:p>
        </w:tc>
        <w:tc>
          <w:tcPr>
            <w:tcW w:w="327" w:type="pct"/>
            <w:tcBorders>
              <w:top w:val="single" w:sz="2" w:space="0" w:color="auto"/>
              <w:left w:val="nil"/>
              <w:bottom w:val="single" w:sz="2" w:space="0" w:color="auto"/>
              <w:right w:val="nil"/>
            </w:tcBorders>
            <w:shd w:val="clear" w:color="auto" w:fill="FFFFFF" w:themeFill="background1"/>
            <w:noWrap/>
            <w:vAlign w:val="center"/>
            <w:hideMark/>
          </w:tcPr>
          <w:p w14:paraId="1102C8AC" w14:textId="2A3C29F8" w:rsidR="00631726" w:rsidRPr="003A115E" w:rsidRDefault="00631726" w:rsidP="009E7912">
            <w:pPr>
              <w:pStyle w:val="cuatexto"/>
              <w:jc w:val="right"/>
            </w:pPr>
            <w:r w:rsidRPr="003A115E">
              <w:t>-</w:t>
            </w:r>
          </w:p>
        </w:tc>
        <w:tc>
          <w:tcPr>
            <w:tcW w:w="414" w:type="pct"/>
            <w:tcBorders>
              <w:top w:val="single" w:sz="2" w:space="0" w:color="auto"/>
              <w:left w:val="nil"/>
              <w:bottom w:val="single" w:sz="2" w:space="0" w:color="auto"/>
              <w:right w:val="single" w:sz="2" w:space="0" w:color="auto"/>
            </w:tcBorders>
            <w:shd w:val="clear" w:color="auto" w:fill="FFFFFF" w:themeFill="background1"/>
            <w:noWrap/>
            <w:vAlign w:val="center"/>
            <w:hideMark/>
          </w:tcPr>
          <w:p w14:paraId="32D91779" w14:textId="111B83D9" w:rsidR="00631726" w:rsidRPr="003A115E" w:rsidRDefault="00631726" w:rsidP="009E7912">
            <w:pPr>
              <w:pStyle w:val="cuatexto"/>
              <w:jc w:val="right"/>
            </w:pPr>
            <w:r w:rsidRPr="003A115E">
              <w:t>-</w:t>
            </w:r>
          </w:p>
        </w:tc>
        <w:tc>
          <w:tcPr>
            <w:tcW w:w="327" w:type="pct"/>
            <w:tcBorders>
              <w:top w:val="single" w:sz="2" w:space="0" w:color="auto"/>
              <w:left w:val="single" w:sz="2" w:space="0" w:color="auto"/>
              <w:bottom w:val="single" w:sz="2" w:space="0" w:color="auto"/>
              <w:right w:val="nil"/>
            </w:tcBorders>
            <w:shd w:val="clear" w:color="auto" w:fill="FFFFFF" w:themeFill="background1"/>
            <w:noWrap/>
            <w:vAlign w:val="center"/>
            <w:hideMark/>
          </w:tcPr>
          <w:p w14:paraId="4D663E25" w14:textId="2C661887" w:rsidR="00631726" w:rsidRPr="003A115E" w:rsidRDefault="00631726" w:rsidP="009E7912">
            <w:pPr>
              <w:pStyle w:val="cuatexto"/>
              <w:jc w:val="right"/>
            </w:pPr>
            <w:r w:rsidRPr="003A115E">
              <w:t>1</w:t>
            </w:r>
          </w:p>
        </w:tc>
        <w:tc>
          <w:tcPr>
            <w:tcW w:w="414" w:type="pct"/>
            <w:tcBorders>
              <w:top w:val="single" w:sz="2" w:space="0" w:color="auto"/>
              <w:left w:val="nil"/>
              <w:bottom w:val="single" w:sz="2" w:space="0" w:color="auto"/>
              <w:right w:val="single" w:sz="2" w:space="0" w:color="auto"/>
            </w:tcBorders>
            <w:shd w:val="clear" w:color="auto" w:fill="FFFFFF" w:themeFill="background1"/>
            <w:noWrap/>
            <w:vAlign w:val="center"/>
            <w:hideMark/>
          </w:tcPr>
          <w:p w14:paraId="666AEC54" w14:textId="00E3E49C" w:rsidR="00631726" w:rsidRPr="003A115E" w:rsidRDefault="00631726" w:rsidP="009E7912">
            <w:pPr>
              <w:pStyle w:val="cuatexto"/>
              <w:jc w:val="right"/>
            </w:pPr>
            <w:r w:rsidRPr="003A115E">
              <w:t>12</w:t>
            </w:r>
          </w:p>
        </w:tc>
        <w:tc>
          <w:tcPr>
            <w:tcW w:w="327" w:type="pct"/>
            <w:tcBorders>
              <w:top w:val="single" w:sz="2" w:space="0" w:color="auto"/>
              <w:left w:val="single" w:sz="2" w:space="0" w:color="auto"/>
              <w:bottom w:val="single" w:sz="2" w:space="0" w:color="auto"/>
              <w:right w:val="nil"/>
            </w:tcBorders>
            <w:shd w:val="clear" w:color="auto" w:fill="FFFFFF" w:themeFill="background1"/>
            <w:noWrap/>
            <w:vAlign w:val="center"/>
            <w:hideMark/>
          </w:tcPr>
          <w:p w14:paraId="2EF93905" w14:textId="5E2EA515" w:rsidR="00631726" w:rsidRPr="003A115E" w:rsidRDefault="00631726" w:rsidP="009E7912">
            <w:pPr>
              <w:pStyle w:val="cuatexto"/>
              <w:jc w:val="right"/>
            </w:pPr>
            <w:r w:rsidRPr="003A115E">
              <w:t>-</w:t>
            </w:r>
          </w:p>
        </w:tc>
        <w:tc>
          <w:tcPr>
            <w:tcW w:w="364" w:type="pct"/>
            <w:tcBorders>
              <w:top w:val="single" w:sz="2" w:space="0" w:color="auto"/>
              <w:left w:val="nil"/>
              <w:bottom w:val="single" w:sz="2" w:space="0" w:color="auto"/>
              <w:right w:val="single" w:sz="2" w:space="0" w:color="auto"/>
            </w:tcBorders>
            <w:shd w:val="clear" w:color="auto" w:fill="FFFFFF" w:themeFill="background1"/>
            <w:noWrap/>
            <w:vAlign w:val="center"/>
            <w:hideMark/>
          </w:tcPr>
          <w:p w14:paraId="2A0D3AE0" w14:textId="506C3868" w:rsidR="00631726" w:rsidRPr="003A115E" w:rsidRDefault="00631726" w:rsidP="009E7912">
            <w:pPr>
              <w:pStyle w:val="cuatexto"/>
              <w:jc w:val="right"/>
            </w:pPr>
            <w:r w:rsidRPr="003A115E">
              <w:t>-</w:t>
            </w:r>
          </w:p>
        </w:tc>
        <w:tc>
          <w:tcPr>
            <w:tcW w:w="377" w:type="pct"/>
            <w:tcBorders>
              <w:top w:val="single" w:sz="2" w:space="0" w:color="auto"/>
              <w:left w:val="single" w:sz="2" w:space="0" w:color="auto"/>
              <w:bottom w:val="single" w:sz="2" w:space="0" w:color="auto"/>
              <w:right w:val="nil"/>
            </w:tcBorders>
            <w:shd w:val="clear" w:color="auto" w:fill="FFFFFF" w:themeFill="background1"/>
            <w:noWrap/>
            <w:vAlign w:val="center"/>
            <w:hideMark/>
          </w:tcPr>
          <w:p w14:paraId="589876D8" w14:textId="0167F7BD" w:rsidR="00631726" w:rsidRPr="003A115E" w:rsidRDefault="00631726" w:rsidP="009E7912">
            <w:pPr>
              <w:pStyle w:val="cuatexto"/>
              <w:jc w:val="right"/>
            </w:pPr>
            <w:r w:rsidRPr="003A115E">
              <w:t>-</w:t>
            </w:r>
          </w:p>
        </w:tc>
        <w:tc>
          <w:tcPr>
            <w:tcW w:w="353" w:type="pct"/>
            <w:tcBorders>
              <w:top w:val="single" w:sz="2" w:space="0" w:color="auto"/>
              <w:left w:val="nil"/>
              <w:bottom w:val="single" w:sz="2" w:space="0" w:color="auto"/>
              <w:right w:val="single" w:sz="2" w:space="0" w:color="auto"/>
            </w:tcBorders>
            <w:shd w:val="clear" w:color="auto" w:fill="FFFFFF" w:themeFill="background1"/>
            <w:noWrap/>
            <w:vAlign w:val="center"/>
            <w:hideMark/>
          </w:tcPr>
          <w:p w14:paraId="6C1423A5" w14:textId="31CE3070" w:rsidR="00631726" w:rsidRPr="003A115E" w:rsidRDefault="00631726" w:rsidP="009E7912">
            <w:pPr>
              <w:pStyle w:val="cuatexto"/>
              <w:jc w:val="right"/>
            </w:pPr>
            <w:r w:rsidRPr="003A115E">
              <w:t>-</w:t>
            </w:r>
          </w:p>
        </w:tc>
        <w:tc>
          <w:tcPr>
            <w:tcW w:w="328" w:type="pct"/>
            <w:tcBorders>
              <w:top w:val="single" w:sz="2" w:space="0" w:color="auto"/>
              <w:left w:val="single" w:sz="2" w:space="0" w:color="auto"/>
              <w:bottom w:val="single" w:sz="2" w:space="0" w:color="auto"/>
              <w:right w:val="nil"/>
            </w:tcBorders>
            <w:shd w:val="clear" w:color="auto" w:fill="FFFFFF" w:themeFill="background1"/>
            <w:noWrap/>
            <w:vAlign w:val="center"/>
            <w:hideMark/>
          </w:tcPr>
          <w:p w14:paraId="5BA84F5A" w14:textId="7BD0AE7B" w:rsidR="00631726" w:rsidRPr="003A115E" w:rsidRDefault="00631726" w:rsidP="009E7912">
            <w:pPr>
              <w:pStyle w:val="cuatexto"/>
              <w:jc w:val="right"/>
            </w:pPr>
            <w:r w:rsidRPr="003A115E">
              <w:t>1</w:t>
            </w:r>
          </w:p>
        </w:tc>
        <w:tc>
          <w:tcPr>
            <w:tcW w:w="474" w:type="pct"/>
            <w:tcBorders>
              <w:top w:val="single" w:sz="2" w:space="0" w:color="auto"/>
              <w:left w:val="nil"/>
              <w:bottom w:val="single" w:sz="2" w:space="0" w:color="auto"/>
              <w:right w:val="nil"/>
            </w:tcBorders>
            <w:shd w:val="clear" w:color="auto" w:fill="FFFFFF" w:themeFill="background1"/>
            <w:noWrap/>
            <w:vAlign w:val="center"/>
            <w:hideMark/>
          </w:tcPr>
          <w:p w14:paraId="62F90470" w14:textId="367C29F9" w:rsidR="00631726" w:rsidRPr="003A115E" w:rsidRDefault="00631726" w:rsidP="009E7912">
            <w:pPr>
              <w:pStyle w:val="cuatexto"/>
              <w:jc w:val="right"/>
            </w:pPr>
            <w:r w:rsidRPr="003A115E">
              <w:t>12</w:t>
            </w:r>
          </w:p>
        </w:tc>
      </w:tr>
      <w:tr w:rsidR="000A742F" w:rsidRPr="003A115E" w14:paraId="4E7E4380" w14:textId="77777777" w:rsidTr="00E80C67">
        <w:trPr>
          <w:trHeight w:val="198"/>
        </w:trPr>
        <w:tc>
          <w:tcPr>
            <w:tcW w:w="1296" w:type="pct"/>
            <w:tcBorders>
              <w:top w:val="single" w:sz="2" w:space="0" w:color="auto"/>
              <w:left w:val="nil"/>
              <w:bottom w:val="single" w:sz="2" w:space="0" w:color="auto"/>
              <w:right w:val="nil"/>
            </w:tcBorders>
            <w:shd w:val="clear" w:color="auto" w:fill="auto"/>
            <w:vAlign w:val="center"/>
            <w:hideMark/>
          </w:tcPr>
          <w:p w14:paraId="66EA0DE0" w14:textId="77777777" w:rsidR="00631726" w:rsidRPr="003A115E" w:rsidRDefault="00631726" w:rsidP="009E7912">
            <w:pPr>
              <w:pStyle w:val="cuatexto"/>
            </w:pPr>
            <w:r w:rsidRPr="003A115E">
              <w:t>Sociedades públicas</w:t>
            </w:r>
          </w:p>
        </w:tc>
        <w:tc>
          <w:tcPr>
            <w:tcW w:w="327" w:type="pct"/>
            <w:tcBorders>
              <w:top w:val="single" w:sz="2" w:space="0" w:color="auto"/>
              <w:left w:val="nil"/>
              <w:bottom w:val="single" w:sz="2" w:space="0" w:color="auto"/>
              <w:right w:val="nil"/>
            </w:tcBorders>
            <w:shd w:val="clear" w:color="auto" w:fill="auto"/>
            <w:noWrap/>
            <w:vAlign w:val="center"/>
            <w:hideMark/>
          </w:tcPr>
          <w:p w14:paraId="3C23257D" w14:textId="7568DE22" w:rsidR="00631726" w:rsidRPr="003A115E" w:rsidRDefault="00631726" w:rsidP="009E7912">
            <w:pPr>
              <w:pStyle w:val="cuatexto"/>
              <w:jc w:val="right"/>
            </w:pPr>
            <w:r w:rsidRPr="003A115E">
              <w:t>15</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2B620175" w14:textId="5E52F5D1" w:rsidR="00631726" w:rsidRPr="003A115E" w:rsidRDefault="00631726" w:rsidP="009E7912">
            <w:pPr>
              <w:pStyle w:val="cuatexto"/>
              <w:jc w:val="right"/>
            </w:pPr>
            <w:r w:rsidRPr="003A115E">
              <w:t>14.533</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69DE9F32" w14:textId="2272C32D" w:rsidR="00631726" w:rsidRPr="003A115E" w:rsidRDefault="00631726" w:rsidP="009E7912">
            <w:pPr>
              <w:pStyle w:val="cuatexto"/>
              <w:jc w:val="right"/>
            </w:pPr>
            <w:r w:rsidRPr="003A115E">
              <w:t>35</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1C8E3C20" w14:textId="1C6FBAA3" w:rsidR="00631726" w:rsidRPr="003A115E" w:rsidRDefault="00631726" w:rsidP="009E7912">
            <w:pPr>
              <w:pStyle w:val="cuatexto"/>
              <w:jc w:val="right"/>
            </w:pPr>
            <w:r w:rsidRPr="003A115E">
              <w:t>6.251</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17A54DE0" w14:textId="14BBF072" w:rsidR="00631726" w:rsidRPr="003A115E" w:rsidRDefault="00631726" w:rsidP="009E7912">
            <w:pPr>
              <w:pStyle w:val="cuatexto"/>
              <w:jc w:val="right"/>
            </w:pPr>
            <w:r w:rsidRPr="003A115E">
              <w:t>26</w:t>
            </w:r>
          </w:p>
        </w:tc>
        <w:tc>
          <w:tcPr>
            <w:tcW w:w="364" w:type="pct"/>
            <w:tcBorders>
              <w:top w:val="single" w:sz="2" w:space="0" w:color="auto"/>
              <w:left w:val="nil"/>
              <w:bottom w:val="single" w:sz="2" w:space="0" w:color="auto"/>
              <w:right w:val="single" w:sz="2" w:space="0" w:color="auto"/>
            </w:tcBorders>
            <w:shd w:val="clear" w:color="auto" w:fill="auto"/>
            <w:noWrap/>
            <w:vAlign w:val="center"/>
            <w:hideMark/>
          </w:tcPr>
          <w:p w14:paraId="3BA95155" w14:textId="778CFEB7" w:rsidR="00631726" w:rsidRPr="003A115E" w:rsidRDefault="00631726" w:rsidP="009E7912">
            <w:pPr>
              <w:pStyle w:val="cuatexto"/>
              <w:jc w:val="right"/>
            </w:pPr>
            <w:r w:rsidRPr="003A115E">
              <w:t>9.051</w:t>
            </w:r>
          </w:p>
        </w:tc>
        <w:tc>
          <w:tcPr>
            <w:tcW w:w="377" w:type="pct"/>
            <w:tcBorders>
              <w:top w:val="single" w:sz="2" w:space="0" w:color="auto"/>
              <w:left w:val="single" w:sz="2" w:space="0" w:color="auto"/>
              <w:bottom w:val="single" w:sz="2" w:space="0" w:color="auto"/>
              <w:right w:val="nil"/>
            </w:tcBorders>
            <w:shd w:val="clear" w:color="auto" w:fill="auto"/>
            <w:noWrap/>
            <w:vAlign w:val="center"/>
            <w:hideMark/>
          </w:tcPr>
          <w:p w14:paraId="69A2043D" w14:textId="6D12782F" w:rsidR="00631726" w:rsidRPr="003A115E" w:rsidRDefault="00631726" w:rsidP="009E7912">
            <w:pPr>
              <w:pStyle w:val="cuatexto"/>
              <w:jc w:val="right"/>
            </w:pPr>
            <w:r w:rsidRPr="003A115E">
              <w:t>-</w:t>
            </w:r>
          </w:p>
        </w:tc>
        <w:tc>
          <w:tcPr>
            <w:tcW w:w="353" w:type="pct"/>
            <w:tcBorders>
              <w:top w:val="single" w:sz="2" w:space="0" w:color="auto"/>
              <w:left w:val="nil"/>
              <w:bottom w:val="single" w:sz="2" w:space="0" w:color="auto"/>
              <w:right w:val="single" w:sz="2" w:space="0" w:color="auto"/>
            </w:tcBorders>
            <w:shd w:val="clear" w:color="auto" w:fill="auto"/>
            <w:noWrap/>
            <w:vAlign w:val="center"/>
            <w:hideMark/>
          </w:tcPr>
          <w:p w14:paraId="07899A9D" w14:textId="34C9DE34" w:rsidR="00631726" w:rsidRPr="003A115E" w:rsidRDefault="00631726" w:rsidP="009E7912">
            <w:pPr>
              <w:pStyle w:val="cuatexto"/>
              <w:jc w:val="right"/>
            </w:pPr>
            <w:r w:rsidRPr="003A115E">
              <w:t>-</w:t>
            </w:r>
          </w:p>
        </w:tc>
        <w:tc>
          <w:tcPr>
            <w:tcW w:w="328" w:type="pct"/>
            <w:tcBorders>
              <w:top w:val="single" w:sz="2" w:space="0" w:color="auto"/>
              <w:left w:val="single" w:sz="2" w:space="0" w:color="auto"/>
              <w:bottom w:val="single" w:sz="2" w:space="0" w:color="auto"/>
              <w:right w:val="nil"/>
            </w:tcBorders>
            <w:shd w:val="clear" w:color="auto" w:fill="auto"/>
            <w:noWrap/>
            <w:vAlign w:val="center"/>
            <w:hideMark/>
          </w:tcPr>
          <w:p w14:paraId="44FD3594" w14:textId="1C12DFE3" w:rsidR="00631726" w:rsidRPr="003A115E" w:rsidRDefault="00631726" w:rsidP="009E7912">
            <w:pPr>
              <w:pStyle w:val="cuatexto"/>
              <w:jc w:val="right"/>
            </w:pPr>
            <w:r w:rsidRPr="003A115E">
              <w:t>76</w:t>
            </w:r>
          </w:p>
        </w:tc>
        <w:tc>
          <w:tcPr>
            <w:tcW w:w="474" w:type="pct"/>
            <w:tcBorders>
              <w:top w:val="single" w:sz="2" w:space="0" w:color="auto"/>
              <w:left w:val="nil"/>
              <w:bottom w:val="single" w:sz="2" w:space="0" w:color="auto"/>
              <w:right w:val="nil"/>
            </w:tcBorders>
            <w:shd w:val="clear" w:color="auto" w:fill="auto"/>
            <w:noWrap/>
            <w:vAlign w:val="center"/>
            <w:hideMark/>
          </w:tcPr>
          <w:p w14:paraId="40FD3F9D" w14:textId="494B0D3C" w:rsidR="00631726" w:rsidRPr="003A115E" w:rsidRDefault="00631726" w:rsidP="009E7912">
            <w:pPr>
              <w:pStyle w:val="cuatexto"/>
              <w:jc w:val="right"/>
            </w:pPr>
            <w:r w:rsidRPr="003A115E">
              <w:t>29.835</w:t>
            </w:r>
          </w:p>
        </w:tc>
      </w:tr>
      <w:tr w:rsidR="000A742F" w:rsidRPr="003A115E" w14:paraId="362B6E41" w14:textId="77777777" w:rsidTr="00E80C67">
        <w:trPr>
          <w:trHeight w:val="198"/>
        </w:trPr>
        <w:tc>
          <w:tcPr>
            <w:tcW w:w="1296" w:type="pct"/>
            <w:tcBorders>
              <w:top w:val="single" w:sz="2" w:space="0" w:color="auto"/>
              <w:left w:val="nil"/>
              <w:bottom w:val="single" w:sz="2" w:space="0" w:color="auto"/>
              <w:right w:val="nil"/>
            </w:tcBorders>
            <w:shd w:val="clear" w:color="auto" w:fill="auto"/>
            <w:vAlign w:val="center"/>
            <w:hideMark/>
          </w:tcPr>
          <w:p w14:paraId="5CF05AB1" w14:textId="77777777" w:rsidR="00631726" w:rsidRPr="003A115E" w:rsidRDefault="00631726" w:rsidP="009E7912">
            <w:pPr>
              <w:pStyle w:val="cuatexto"/>
            </w:pPr>
            <w:r w:rsidRPr="003A115E">
              <w:t>Fundaciones</w:t>
            </w:r>
          </w:p>
        </w:tc>
        <w:tc>
          <w:tcPr>
            <w:tcW w:w="327" w:type="pct"/>
            <w:tcBorders>
              <w:top w:val="single" w:sz="2" w:space="0" w:color="auto"/>
              <w:left w:val="nil"/>
              <w:bottom w:val="single" w:sz="2" w:space="0" w:color="auto"/>
              <w:right w:val="nil"/>
            </w:tcBorders>
            <w:shd w:val="clear" w:color="auto" w:fill="auto"/>
            <w:noWrap/>
            <w:vAlign w:val="center"/>
            <w:hideMark/>
          </w:tcPr>
          <w:p w14:paraId="0BD4264D" w14:textId="56651BD1" w:rsidR="00631726" w:rsidRPr="003A115E" w:rsidRDefault="00631726" w:rsidP="009E7912">
            <w:pPr>
              <w:pStyle w:val="cuatexto"/>
              <w:jc w:val="right"/>
            </w:pPr>
            <w:r w:rsidRPr="003A115E">
              <w:t>-</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64CDFDF6" w14:textId="2C1C1282" w:rsidR="00631726" w:rsidRPr="003A115E" w:rsidRDefault="00631726" w:rsidP="009E7912">
            <w:pPr>
              <w:pStyle w:val="cuatexto"/>
              <w:jc w:val="right"/>
            </w:pPr>
            <w:r w:rsidRPr="003A115E">
              <w:t>-</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4D94A3BA" w14:textId="0AAC6D44" w:rsidR="00631726" w:rsidRPr="003A115E" w:rsidRDefault="00631726" w:rsidP="009E7912">
            <w:pPr>
              <w:pStyle w:val="cuatexto"/>
              <w:jc w:val="right"/>
            </w:pPr>
            <w:r w:rsidRPr="003A115E">
              <w:t>1</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5A59FCD9" w14:textId="5AD1CB77" w:rsidR="00631726" w:rsidRPr="003A115E" w:rsidRDefault="00631726" w:rsidP="009E7912">
            <w:pPr>
              <w:pStyle w:val="cuatexto"/>
              <w:jc w:val="right"/>
            </w:pPr>
            <w:r w:rsidRPr="003A115E">
              <w:t>181</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4945E859" w14:textId="2C55DCBA" w:rsidR="00631726" w:rsidRPr="003A115E" w:rsidRDefault="00631726" w:rsidP="009E7912">
            <w:pPr>
              <w:pStyle w:val="cuatexto"/>
              <w:jc w:val="right"/>
            </w:pPr>
            <w:r w:rsidRPr="003A115E">
              <w:t>-</w:t>
            </w:r>
          </w:p>
        </w:tc>
        <w:tc>
          <w:tcPr>
            <w:tcW w:w="364" w:type="pct"/>
            <w:tcBorders>
              <w:top w:val="single" w:sz="2" w:space="0" w:color="auto"/>
              <w:left w:val="nil"/>
              <w:bottom w:val="single" w:sz="2" w:space="0" w:color="auto"/>
              <w:right w:val="single" w:sz="2" w:space="0" w:color="auto"/>
            </w:tcBorders>
            <w:shd w:val="clear" w:color="auto" w:fill="auto"/>
            <w:noWrap/>
            <w:vAlign w:val="center"/>
            <w:hideMark/>
          </w:tcPr>
          <w:p w14:paraId="19EF7E2B" w14:textId="584DE02E" w:rsidR="00631726" w:rsidRPr="003A115E" w:rsidRDefault="00631726" w:rsidP="009E7912">
            <w:pPr>
              <w:pStyle w:val="cuatexto"/>
              <w:jc w:val="right"/>
            </w:pPr>
            <w:r w:rsidRPr="003A115E">
              <w:t>-</w:t>
            </w:r>
          </w:p>
        </w:tc>
        <w:tc>
          <w:tcPr>
            <w:tcW w:w="377" w:type="pct"/>
            <w:tcBorders>
              <w:top w:val="single" w:sz="2" w:space="0" w:color="auto"/>
              <w:left w:val="single" w:sz="2" w:space="0" w:color="auto"/>
              <w:bottom w:val="single" w:sz="2" w:space="0" w:color="auto"/>
              <w:right w:val="nil"/>
            </w:tcBorders>
            <w:shd w:val="clear" w:color="auto" w:fill="auto"/>
            <w:noWrap/>
            <w:vAlign w:val="center"/>
            <w:hideMark/>
          </w:tcPr>
          <w:p w14:paraId="13C7F750" w14:textId="5711AA56" w:rsidR="00631726" w:rsidRPr="003A115E" w:rsidRDefault="00631726" w:rsidP="009E7912">
            <w:pPr>
              <w:pStyle w:val="cuatexto"/>
              <w:jc w:val="right"/>
            </w:pPr>
            <w:r w:rsidRPr="003A115E">
              <w:t>-</w:t>
            </w:r>
          </w:p>
        </w:tc>
        <w:tc>
          <w:tcPr>
            <w:tcW w:w="353" w:type="pct"/>
            <w:tcBorders>
              <w:top w:val="single" w:sz="2" w:space="0" w:color="auto"/>
              <w:left w:val="nil"/>
              <w:bottom w:val="single" w:sz="2" w:space="0" w:color="auto"/>
              <w:right w:val="single" w:sz="2" w:space="0" w:color="auto"/>
            </w:tcBorders>
            <w:shd w:val="clear" w:color="auto" w:fill="auto"/>
            <w:noWrap/>
            <w:vAlign w:val="center"/>
            <w:hideMark/>
          </w:tcPr>
          <w:p w14:paraId="79677AAC" w14:textId="04A9C55B" w:rsidR="00631726" w:rsidRPr="003A115E" w:rsidRDefault="00631726" w:rsidP="009E7912">
            <w:pPr>
              <w:pStyle w:val="cuatexto"/>
              <w:jc w:val="right"/>
            </w:pPr>
            <w:r w:rsidRPr="003A115E">
              <w:t>-</w:t>
            </w:r>
          </w:p>
        </w:tc>
        <w:tc>
          <w:tcPr>
            <w:tcW w:w="328" w:type="pct"/>
            <w:tcBorders>
              <w:top w:val="single" w:sz="2" w:space="0" w:color="auto"/>
              <w:left w:val="single" w:sz="2" w:space="0" w:color="auto"/>
              <w:bottom w:val="single" w:sz="2" w:space="0" w:color="auto"/>
              <w:right w:val="nil"/>
            </w:tcBorders>
            <w:shd w:val="clear" w:color="auto" w:fill="auto"/>
            <w:noWrap/>
            <w:vAlign w:val="center"/>
            <w:hideMark/>
          </w:tcPr>
          <w:p w14:paraId="11DA04AF" w14:textId="54D1DFDC" w:rsidR="00631726" w:rsidRPr="003A115E" w:rsidRDefault="00631726" w:rsidP="009E7912">
            <w:pPr>
              <w:pStyle w:val="cuatexto"/>
              <w:jc w:val="right"/>
            </w:pPr>
            <w:r w:rsidRPr="003A115E">
              <w:t>1</w:t>
            </w:r>
          </w:p>
        </w:tc>
        <w:tc>
          <w:tcPr>
            <w:tcW w:w="474" w:type="pct"/>
            <w:tcBorders>
              <w:top w:val="single" w:sz="2" w:space="0" w:color="auto"/>
              <w:left w:val="nil"/>
              <w:bottom w:val="single" w:sz="2" w:space="0" w:color="auto"/>
              <w:right w:val="nil"/>
            </w:tcBorders>
            <w:shd w:val="clear" w:color="auto" w:fill="auto"/>
            <w:noWrap/>
            <w:vAlign w:val="center"/>
            <w:hideMark/>
          </w:tcPr>
          <w:p w14:paraId="73F26C23" w14:textId="31E16C27" w:rsidR="00631726" w:rsidRPr="003A115E" w:rsidRDefault="00631726" w:rsidP="009E7912">
            <w:pPr>
              <w:pStyle w:val="cuatexto"/>
              <w:jc w:val="right"/>
            </w:pPr>
            <w:r w:rsidRPr="003A115E">
              <w:t>181</w:t>
            </w:r>
          </w:p>
        </w:tc>
      </w:tr>
      <w:tr w:rsidR="000A742F" w:rsidRPr="003A115E" w14:paraId="36DCC625" w14:textId="77777777" w:rsidTr="00E80C67">
        <w:trPr>
          <w:trHeight w:val="198"/>
        </w:trPr>
        <w:tc>
          <w:tcPr>
            <w:tcW w:w="1296" w:type="pct"/>
            <w:tcBorders>
              <w:top w:val="single" w:sz="2" w:space="0" w:color="auto"/>
              <w:left w:val="nil"/>
              <w:bottom w:val="single" w:sz="2" w:space="0" w:color="auto"/>
              <w:right w:val="nil"/>
            </w:tcBorders>
            <w:shd w:val="clear" w:color="auto" w:fill="auto"/>
            <w:vAlign w:val="center"/>
            <w:hideMark/>
          </w:tcPr>
          <w:p w14:paraId="3B31910D" w14:textId="77777777" w:rsidR="00631726" w:rsidRPr="003A115E" w:rsidRDefault="00631726" w:rsidP="009E7912">
            <w:pPr>
              <w:pStyle w:val="cuatexto"/>
            </w:pPr>
            <w:r w:rsidRPr="003A115E">
              <w:t>Consorcios</w:t>
            </w:r>
          </w:p>
        </w:tc>
        <w:tc>
          <w:tcPr>
            <w:tcW w:w="327" w:type="pct"/>
            <w:tcBorders>
              <w:top w:val="single" w:sz="2" w:space="0" w:color="auto"/>
              <w:left w:val="nil"/>
              <w:bottom w:val="single" w:sz="2" w:space="0" w:color="auto"/>
              <w:right w:val="nil"/>
            </w:tcBorders>
            <w:shd w:val="clear" w:color="auto" w:fill="auto"/>
            <w:noWrap/>
            <w:vAlign w:val="center"/>
            <w:hideMark/>
          </w:tcPr>
          <w:p w14:paraId="7796669A" w14:textId="60400871" w:rsidR="00631726" w:rsidRPr="003A115E" w:rsidRDefault="00631726" w:rsidP="009E7912">
            <w:pPr>
              <w:pStyle w:val="cuatexto"/>
              <w:jc w:val="right"/>
            </w:pPr>
            <w:r w:rsidRPr="003A115E">
              <w:t>1</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5FEB1BB4" w14:textId="348AE236" w:rsidR="00631726" w:rsidRPr="003A115E" w:rsidRDefault="00631726" w:rsidP="009E7912">
            <w:pPr>
              <w:pStyle w:val="cuatexto"/>
              <w:jc w:val="right"/>
            </w:pPr>
            <w:r w:rsidRPr="003A115E">
              <w:t>39</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5992A8AC" w14:textId="7499425B" w:rsidR="00631726" w:rsidRPr="003A115E" w:rsidRDefault="00631726" w:rsidP="009E7912">
            <w:pPr>
              <w:pStyle w:val="cuatexto"/>
              <w:jc w:val="right"/>
            </w:pPr>
            <w:r w:rsidRPr="003A115E">
              <w:t>3</w:t>
            </w:r>
          </w:p>
        </w:tc>
        <w:tc>
          <w:tcPr>
            <w:tcW w:w="414" w:type="pct"/>
            <w:tcBorders>
              <w:top w:val="single" w:sz="2" w:space="0" w:color="auto"/>
              <w:left w:val="nil"/>
              <w:bottom w:val="single" w:sz="2" w:space="0" w:color="auto"/>
              <w:right w:val="single" w:sz="2" w:space="0" w:color="auto"/>
            </w:tcBorders>
            <w:shd w:val="clear" w:color="auto" w:fill="auto"/>
            <w:noWrap/>
            <w:vAlign w:val="center"/>
            <w:hideMark/>
          </w:tcPr>
          <w:p w14:paraId="6A5DB7FB" w14:textId="55CE9EA3" w:rsidR="00631726" w:rsidRPr="003A115E" w:rsidRDefault="00631726" w:rsidP="009E7912">
            <w:pPr>
              <w:pStyle w:val="cuatexto"/>
              <w:jc w:val="right"/>
            </w:pPr>
            <w:r w:rsidRPr="003A115E">
              <w:t>248</w:t>
            </w:r>
          </w:p>
        </w:tc>
        <w:tc>
          <w:tcPr>
            <w:tcW w:w="327" w:type="pct"/>
            <w:tcBorders>
              <w:top w:val="single" w:sz="2" w:space="0" w:color="auto"/>
              <w:left w:val="single" w:sz="2" w:space="0" w:color="auto"/>
              <w:bottom w:val="single" w:sz="2" w:space="0" w:color="auto"/>
              <w:right w:val="nil"/>
            </w:tcBorders>
            <w:shd w:val="clear" w:color="auto" w:fill="auto"/>
            <w:noWrap/>
            <w:vAlign w:val="center"/>
            <w:hideMark/>
          </w:tcPr>
          <w:p w14:paraId="28680ECC" w14:textId="4EF7C1BF" w:rsidR="00631726" w:rsidRPr="003A115E" w:rsidRDefault="00631726" w:rsidP="009E7912">
            <w:pPr>
              <w:pStyle w:val="cuatexto"/>
              <w:jc w:val="right"/>
            </w:pPr>
            <w:r w:rsidRPr="003A115E">
              <w:t>1</w:t>
            </w:r>
          </w:p>
        </w:tc>
        <w:tc>
          <w:tcPr>
            <w:tcW w:w="364" w:type="pct"/>
            <w:tcBorders>
              <w:top w:val="single" w:sz="2" w:space="0" w:color="auto"/>
              <w:left w:val="nil"/>
              <w:bottom w:val="single" w:sz="2" w:space="0" w:color="auto"/>
              <w:right w:val="single" w:sz="2" w:space="0" w:color="auto"/>
            </w:tcBorders>
            <w:shd w:val="clear" w:color="auto" w:fill="auto"/>
            <w:noWrap/>
            <w:vAlign w:val="center"/>
            <w:hideMark/>
          </w:tcPr>
          <w:p w14:paraId="3B0C7031" w14:textId="089ED213" w:rsidR="00631726" w:rsidRPr="003A115E" w:rsidRDefault="00631726" w:rsidP="009E7912">
            <w:pPr>
              <w:pStyle w:val="cuatexto"/>
              <w:jc w:val="right"/>
            </w:pPr>
            <w:r w:rsidRPr="003A115E">
              <w:t>26</w:t>
            </w:r>
          </w:p>
        </w:tc>
        <w:tc>
          <w:tcPr>
            <w:tcW w:w="377" w:type="pct"/>
            <w:tcBorders>
              <w:top w:val="single" w:sz="2" w:space="0" w:color="auto"/>
              <w:left w:val="single" w:sz="2" w:space="0" w:color="auto"/>
              <w:bottom w:val="single" w:sz="2" w:space="0" w:color="auto"/>
              <w:right w:val="nil"/>
            </w:tcBorders>
            <w:shd w:val="clear" w:color="auto" w:fill="auto"/>
            <w:noWrap/>
            <w:vAlign w:val="center"/>
            <w:hideMark/>
          </w:tcPr>
          <w:p w14:paraId="6738D799" w14:textId="74797F8F" w:rsidR="00631726" w:rsidRPr="003A115E" w:rsidRDefault="00631726" w:rsidP="009E7912">
            <w:pPr>
              <w:pStyle w:val="cuatexto"/>
              <w:jc w:val="right"/>
            </w:pPr>
            <w:r w:rsidRPr="003A115E">
              <w:t>-</w:t>
            </w:r>
          </w:p>
        </w:tc>
        <w:tc>
          <w:tcPr>
            <w:tcW w:w="353" w:type="pct"/>
            <w:tcBorders>
              <w:top w:val="single" w:sz="2" w:space="0" w:color="auto"/>
              <w:left w:val="nil"/>
              <w:bottom w:val="single" w:sz="2" w:space="0" w:color="auto"/>
              <w:right w:val="single" w:sz="2" w:space="0" w:color="auto"/>
            </w:tcBorders>
            <w:shd w:val="clear" w:color="auto" w:fill="auto"/>
            <w:noWrap/>
            <w:vAlign w:val="center"/>
            <w:hideMark/>
          </w:tcPr>
          <w:p w14:paraId="0AB3F395" w14:textId="79AE9B4F" w:rsidR="00631726" w:rsidRPr="003A115E" w:rsidRDefault="00631726" w:rsidP="009E7912">
            <w:pPr>
              <w:pStyle w:val="cuatexto"/>
              <w:jc w:val="right"/>
            </w:pPr>
            <w:r w:rsidRPr="003A115E">
              <w:t>-</w:t>
            </w:r>
          </w:p>
        </w:tc>
        <w:tc>
          <w:tcPr>
            <w:tcW w:w="328" w:type="pct"/>
            <w:tcBorders>
              <w:top w:val="single" w:sz="2" w:space="0" w:color="auto"/>
              <w:left w:val="single" w:sz="2" w:space="0" w:color="auto"/>
              <w:bottom w:val="single" w:sz="2" w:space="0" w:color="auto"/>
              <w:right w:val="nil"/>
            </w:tcBorders>
            <w:shd w:val="clear" w:color="auto" w:fill="auto"/>
            <w:noWrap/>
            <w:vAlign w:val="center"/>
            <w:hideMark/>
          </w:tcPr>
          <w:p w14:paraId="34945D4B" w14:textId="397D2C4E" w:rsidR="00631726" w:rsidRPr="003A115E" w:rsidRDefault="00631726" w:rsidP="009E7912">
            <w:pPr>
              <w:pStyle w:val="cuatexto"/>
              <w:jc w:val="right"/>
            </w:pPr>
            <w:r w:rsidRPr="003A115E">
              <w:t>5</w:t>
            </w:r>
          </w:p>
        </w:tc>
        <w:tc>
          <w:tcPr>
            <w:tcW w:w="474" w:type="pct"/>
            <w:tcBorders>
              <w:top w:val="single" w:sz="2" w:space="0" w:color="auto"/>
              <w:left w:val="nil"/>
              <w:bottom w:val="single" w:sz="2" w:space="0" w:color="auto"/>
              <w:right w:val="nil"/>
            </w:tcBorders>
            <w:shd w:val="clear" w:color="auto" w:fill="auto"/>
            <w:noWrap/>
            <w:vAlign w:val="center"/>
            <w:hideMark/>
          </w:tcPr>
          <w:p w14:paraId="3ACBC8A2" w14:textId="774EA8C0" w:rsidR="00631726" w:rsidRPr="003A115E" w:rsidRDefault="00631726" w:rsidP="009E7912">
            <w:pPr>
              <w:pStyle w:val="cuatexto"/>
              <w:jc w:val="right"/>
            </w:pPr>
            <w:r w:rsidRPr="003A115E">
              <w:t>313</w:t>
            </w:r>
          </w:p>
        </w:tc>
      </w:tr>
      <w:tr w:rsidR="000A742F" w:rsidRPr="003A115E" w14:paraId="75A08A37" w14:textId="77777777" w:rsidTr="009B06A9">
        <w:trPr>
          <w:trHeight w:val="366"/>
        </w:trPr>
        <w:tc>
          <w:tcPr>
            <w:tcW w:w="1296" w:type="pct"/>
            <w:tcBorders>
              <w:top w:val="single" w:sz="2" w:space="0" w:color="auto"/>
              <w:left w:val="nil"/>
              <w:bottom w:val="single" w:sz="4" w:space="0" w:color="auto"/>
              <w:right w:val="nil"/>
            </w:tcBorders>
            <w:shd w:val="clear" w:color="auto" w:fill="auto"/>
            <w:vAlign w:val="center"/>
            <w:hideMark/>
          </w:tcPr>
          <w:p w14:paraId="4EAA445E" w14:textId="77777777" w:rsidR="00631726" w:rsidRPr="003A115E" w:rsidRDefault="00631726" w:rsidP="0186A00D">
            <w:pPr>
              <w:pStyle w:val="cuatexto"/>
              <w:rPr>
                <w:b/>
                <w:bCs/>
                <w:i/>
                <w:iCs/>
                <w:lang w:val="es-ES"/>
              </w:rPr>
            </w:pPr>
            <w:r w:rsidRPr="003A115E">
              <w:rPr>
                <w:b/>
                <w:bCs/>
                <w:i/>
                <w:iCs/>
                <w:lang w:val="es-ES"/>
              </w:rPr>
              <w:t>Total entidades dependientes y consorcios</w:t>
            </w:r>
          </w:p>
        </w:tc>
        <w:tc>
          <w:tcPr>
            <w:tcW w:w="327" w:type="pct"/>
            <w:tcBorders>
              <w:top w:val="single" w:sz="2" w:space="0" w:color="auto"/>
              <w:left w:val="nil"/>
              <w:bottom w:val="single" w:sz="4" w:space="0" w:color="auto"/>
              <w:right w:val="nil"/>
            </w:tcBorders>
            <w:shd w:val="clear" w:color="auto" w:fill="auto"/>
            <w:noWrap/>
            <w:vAlign w:val="bottom"/>
            <w:hideMark/>
          </w:tcPr>
          <w:p w14:paraId="750DBC90" w14:textId="42D901CD" w:rsidR="00631726" w:rsidRPr="003A115E" w:rsidRDefault="00631726" w:rsidP="009B06A9">
            <w:pPr>
              <w:pStyle w:val="cuatexto"/>
              <w:jc w:val="right"/>
              <w:rPr>
                <w:b/>
                <w:bCs/>
                <w:i/>
                <w:iCs/>
              </w:rPr>
            </w:pPr>
            <w:r w:rsidRPr="003A115E">
              <w:rPr>
                <w:b/>
                <w:bCs/>
                <w:i/>
                <w:iCs/>
              </w:rPr>
              <w:t>16</w:t>
            </w:r>
          </w:p>
        </w:tc>
        <w:tc>
          <w:tcPr>
            <w:tcW w:w="414" w:type="pct"/>
            <w:tcBorders>
              <w:top w:val="single" w:sz="2" w:space="0" w:color="auto"/>
              <w:left w:val="nil"/>
              <w:bottom w:val="single" w:sz="4" w:space="0" w:color="auto"/>
              <w:right w:val="single" w:sz="2" w:space="0" w:color="auto"/>
            </w:tcBorders>
            <w:shd w:val="clear" w:color="auto" w:fill="auto"/>
            <w:noWrap/>
            <w:vAlign w:val="bottom"/>
            <w:hideMark/>
          </w:tcPr>
          <w:p w14:paraId="2B07C82A" w14:textId="60815B36" w:rsidR="00631726" w:rsidRPr="003A115E" w:rsidRDefault="00631726" w:rsidP="009B06A9">
            <w:pPr>
              <w:pStyle w:val="cuatexto"/>
              <w:jc w:val="right"/>
              <w:rPr>
                <w:b/>
                <w:bCs/>
                <w:i/>
                <w:iCs/>
              </w:rPr>
            </w:pPr>
            <w:r w:rsidRPr="003A115E">
              <w:rPr>
                <w:b/>
                <w:bCs/>
                <w:i/>
                <w:iCs/>
              </w:rPr>
              <w:t>14.573</w:t>
            </w:r>
          </w:p>
        </w:tc>
        <w:tc>
          <w:tcPr>
            <w:tcW w:w="327" w:type="pct"/>
            <w:tcBorders>
              <w:top w:val="single" w:sz="2" w:space="0" w:color="auto"/>
              <w:left w:val="single" w:sz="2" w:space="0" w:color="auto"/>
              <w:bottom w:val="single" w:sz="4" w:space="0" w:color="auto"/>
              <w:right w:val="nil"/>
            </w:tcBorders>
            <w:shd w:val="clear" w:color="auto" w:fill="auto"/>
            <w:noWrap/>
            <w:vAlign w:val="bottom"/>
            <w:hideMark/>
          </w:tcPr>
          <w:p w14:paraId="6496C3CE" w14:textId="391CB038" w:rsidR="00631726" w:rsidRPr="003A115E" w:rsidRDefault="00631726" w:rsidP="009B06A9">
            <w:pPr>
              <w:pStyle w:val="cuatexto"/>
              <w:jc w:val="right"/>
              <w:rPr>
                <w:b/>
                <w:bCs/>
                <w:i/>
                <w:iCs/>
              </w:rPr>
            </w:pPr>
            <w:r w:rsidRPr="003A115E">
              <w:rPr>
                <w:b/>
                <w:bCs/>
                <w:i/>
                <w:iCs/>
              </w:rPr>
              <w:t>42</w:t>
            </w:r>
          </w:p>
        </w:tc>
        <w:tc>
          <w:tcPr>
            <w:tcW w:w="414" w:type="pct"/>
            <w:tcBorders>
              <w:top w:val="single" w:sz="2" w:space="0" w:color="auto"/>
              <w:left w:val="nil"/>
              <w:bottom w:val="single" w:sz="4" w:space="0" w:color="auto"/>
              <w:right w:val="single" w:sz="2" w:space="0" w:color="auto"/>
            </w:tcBorders>
            <w:shd w:val="clear" w:color="auto" w:fill="auto"/>
            <w:noWrap/>
            <w:vAlign w:val="bottom"/>
            <w:hideMark/>
          </w:tcPr>
          <w:p w14:paraId="06E299CB" w14:textId="6CD4C57F" w:rsidR="00631726" w:rsidRPr="003A115E" w:rsidRDefault="00631726" w:rsidP="009B06A9">
            <w:pPr>
              <w:pStyle w:val="cuatexto"/>
              <w:jc w:val="right"/>
              <w:rPr>
                <w:b/>
                <w:bCs/>
                <w:i/>
                <w:iCs/>
              </w:rPr>
            </w:pPr>
            <w:r w:rsidRPr="003A115E">
              <w:rPr>
                <w:b/>
                <w:bCs/>
                <w:i/>
                <w:iCs/>
              </w:rPr>
              <w:t>6.815</w:t>
            </w:r>
          </w:p>
        </w:tc>
        <w:tc>
          <w:tcPr>
            <w:tcW w:w="327" w:type="pct"/>
            <w:tcBorders>
              <w:top w:val="single" w:sz="2" w:space="0" w:color="auto"/>
              <w:left w:val="single" w:sz="2" w:space="0" w:color="auto"/>
              <w:bottom w:val="single" w:sz="4" w:space="0" w:color="auto"/>
              <w:right w:val="nil"/>
            </w:tcBorders>
            <w:shd w:val="clear" w:color="auto" w:fill="auto"/>
            <w:noWrap/>
            <w:vAlign w:val="bottom"/>
            <w:hideMark/>
          </w:tcPr>
          <w:p w14:paraId="3E32C010" w14:textId="37EB6D1E" w:rsidR="00631726" w:rsidRPr="003A115E" w:rsidRDefault="00631726" w:rsidP="009B06A9">
            <w:pPr>
              <w:pStyle w:val="cuatexto"/>
              <w:jc w:val="right"/>
              <w:rPr>
                <w:b/>
                <w:bCs/>
                <w:i/>
                <w:iCs/>
              </w:rPr>
            </w:pPr>
            <w:r w:rsidRPr="003A115E">
              <w:rPr>
                <w:b/>
                <w:bCs/>
                <w:i/>
                <w:iCs/>
              </w:rPr>
              <w:t>28</w:t>
            </w:r>
          </w:p>
        </w:tc>
        <w:tc>
          <w:tcPr>
            <w:tcW w:w="364" w:type="pct"/>
            <w:tcBorders>
              <w:top w:val="single" w:sz="2" w:space="0" w:color="auto"/>
              <w:left w:val="nil"/>
              <w:bottom w:val="single" w:sz="4" w:space="0" w:color="auto"/>
              <w:right w:val="single" w:sz="2" w:space="0" w:color="auto"/>
            </w:tcBorders>
            <w:shd w:val="clear" w:color="auto" w:fill="auto"/>
            <w:noWrap/>
            <w:vAlign w:val="bottom"/>
            <w:hideMark/>
          </w:tcPr>
          <w:p w14:paraId="3BFEEBF2" w14:textId="0D845516" w:rsidR="00631726" w:rsidRPr="003A115E" w:rsidRDefault="00631726" w:rsidP="009B06A9">
            <w:pPr>
              <w:pStyle w:val="cuatexto"/>
              <w:jc w:val="right"/>
              <w:rPr>
                <w:b/>
                <w:bCs/>
                <w:i/>
                <w:iCs/>
              </w:rPr>
            </w:pPr>
            <w:r w:rsidRPr="003A115E">
              <w:rPr>
                <w:b/>
                <w:bCs/>
                <w:i/>
                <w:iCs/>
              </w:rPr>
              <w:t>9.085</w:t>
            </w:r>
          </w:p>
        </w:tc>
        <w:tc>
          <w:tcPr>
            <w:tcW w:w="377" w:type="pct"/>
            <w:tcBorders>
              <w:top w:val="single" w:sz="2" w:space="0" w:color="auto"/>
              <w:left w:val="single" w:sz="2" w:space="0" w:color="auto"/>
              <w:bottom w:val="single" w:sz="4" w:space="0" w:color="auto"/>
              <w:right w:val="nil"/>
            </w:tcBorders>
            <w:shd w:val="clear" w:color="auto" w:fill="auto"/>
            <w:noWrap/>
            <w:vAlign w:val="bottom"/>
            <w:hideMark/>
          </w:tcPr>
          <w:p w14:paraId="3DAE7D5A" w14:textId="0B08866A" w:rsidR="00631726" w:rsidRPr="003A115E" w:rsidRDefault="00631726" w:rsidP="009B06A9">
            <w:pPr>
              <w:pStyle w:val="cuatexto"/>
              <w:jc w:val="right"/>
              <w:rPr>
                <w:b/>
                <w:bCs/>
                <w:i/>
                <w:iCs/>
              </w:rPr>
            </w:pPr>
            <w:r w:rsidRPr="003A115E">
              <w:rPr>
                <w:b/>
                <w:bCs/>
                <w:i/>
                <w:iCs/>
              </w:rPr>
              <w:t>1</w:t>
            </w:r>
          </w:p>
        </w:tc>
        <w:tc>
          <w:tcPr>
            <w:tcW w:w="353" w:type="pct"/>
            <w:tcBorders>
              <w:top w:val="single" w:sz="2" w:space="0" w:color="auto"/>
              <w:left w:val="nil"/>
              <w:bottom w:val="single" w:sz="4" w:space="0" w:color="auto"/>
              <w:right w:val="single" w:sz="2" w:space="0" w:color="auto"/>
            </w:tcBorders>
            <w:shd w:val="clear" w:color="auto" w:fill="auto"/>
            <w:noWrap/>
            <w:vAlign w:val="bottom"/>
            <w:hideMark/>
          </w:tcPr>
          <w:p w14:paraId="6A0BC8C0" w14:textId="2303F8B1" w:rsidR="00631726" w:rsidRPr="003A115E" w:rsidRDefault="00631726" w:rsidP="009B06A9">
            <w:pPr>
              <w:pStyle w:val="cuatexto"/>
              <w:jc w:val="right"/>
              <w:rPr>
                <w:b/>
                <w:bCs/>
                <w:i/>
                <w:iCs/>
              </w:rPr>
            </w:pPr>
            <w:r w:rsidRPr="003A115E">
              <w:rPr>
                <w:b/>
                <w:bCs/>
                <w:i/>
                <w:iCs/>
              </w:rPr>
              <w:t>1</w:t>
            </w:r>
          </w:p>
        </w:tc>
        <w:tc>
          <w:tcPr>
            <w:tcW w:w="328" w:type="pct"/>
            <w:tcBorders>
              <w:top w:val="single" w:sz="2" w:space="0" w:color="auto"/>
              <w:left w:val="single" w:sz="2" w:space="0" w:color="auto"/>
              <w:bottom w:val="single" w:sz="4" w:space="0" w:color="auto"/>
              <w:right w:val="nil"/>
            </w:tcBorders>
            <w:shd w:val="clear" w:color="auto" w:fill="auto"/>
            <w:noWrap/>
            <w:vAlign w:val="bottom"/>
            <w:hideMark/>
          </w:tcPr>
          <w:p w14:paraId="61214C88" w14:textId="437FBE24" w:rsidR="00631726" w:rsidRPr="003A115E" w:rsidRDefault="00631726" w:rsidP="009B06A9">
            <w:pPr>
              <w:pStyle w:val="cuatexto"/>
              <w:jc w:val="right"/>
              <w:rPr>
                <w:b/>
                <w:bCs/>
                <w:i/>
                <w:iCs/>
              </w:rPr>
            </w:pPr>
            <w:r w:rsidRPr="003A115E">
              <w:rPr>
                <w:b/>
                <w:bCs/>
                <w:i/>
                <w:iCs/>
              </w:rPr>
              <w:t>87</w:t>
            </w:r>
          </w:p>
        </w:tc>
        <w:tc>
          <w:tcPr>
            <w:tcW w:w="474" w:type="pct"/>
            <w:tcBorders>
              <w:top w:val="single" w:sz="2" w:space="0" w:color="auto"/>
              <w:left w:val="nil"/>
              <w:bottom w:val="single" w:sz="4" w:space="0" w:color="auto"/>
              <w:right w:val="nil"/>
            </w:tcBorders>
            <w:shd w:val="clear" w:color="auto" w:fill="auto"/>
            <w:noWrap/>
            <w:vAlign w:val="bottom"/>
            <w:hideMark/>
          </w:tcPr>
          <w:p w14:paraId="5581F4FE" w14:textId="35466C2D" w:rsidR="00631726" w:rsidRPr="003A115E" w:rsidRDefault="00631726" w:rsidP="009B06A9">
            <w:pPr>
              <w:pStyle w:val="cuatexto"/>
              <w:jc w:val="right"/>
              <w:rPr>
                <w:b/>
                <w:bCs/>
                <w:i/>
                <w:iCs/>
              </w:rPr>
            </w:pPr>
            <w:r w:rsidRPr="003A115E">
              <w:rPr>
                <w:b/>
                <w:bCs/>
                <w:i/>
                <w:iCs/>
              </w:rPr>
              <w:t>30.474</w:t>
            </w:r>
          </w:p>
        </w:tc>
      </w:tr>
      <w:tr w:rsidR="000A742F" w:rsidRPr="003A115E" w14:paraId="05A1931D" w14:textId="77777777" w:rsidTr="005F3A0D">
        <w:trPr>
          <w:trHeight w:val="255"/>
        </w:trPr>
        <w:tc>
          <w:tcPr>
            <w:tcW w:w="1296" w:type="pct"/>
            <w:tcBorders>
              <w:top w:val="single" w:sz="4" w:space="0" w:color="auto"/>
              <w:left w:val="nil"/>
              <w:bottom w:val="single" w:sz="4" w:space="0" w:color="auto"/>
              <w:right w:val="nil"/>
            </w:tcBorders>
            <w:shd w:val="clear" w:color="auto" w:fill="FABF8F" w:themeFill="accent6" w:themeFillTint="99"/>
            <w:noWrap/>
            <w:vAlign w:val="center"/>
            <w:hideMark/>
          </w:tcPr>
          <w:p w14:paraId="2AE346EF" w14:textId="77777777" w:rsidR="00631726" w:rsidRPr="003A115E" w:rsidRDefault="00631726" w:rsidP="009E7912">
            <w:pPr>
              <w:pStyle w:val="cuadroCabe"/>
            </w:pPr>
            <w:r w:rsidRPr="003A115E">
              <w:rPr>
                <w:lang w:val="es-ES"/>
              </w:rPr>
              <w:t>Total sector público local</w:t>
            </w:r>
          </w:p>
        </w:tc>
        <w:tc>
          <w:tcPr>
            <w:tcW w:w="327" w:type="pct"/>
            <w:tcBorders>
              <w:top w:val="single" w:sz="4" w:space="0" w:color="auto"/>
              <w:left w:val="nil"/>
              <w:bottom w:val="single" w:sz="4" w:space="0" w:color="auto"/>
              <w:right w:val="nil"/>
            </w:tcBorders>
            <w:shd w:val="clear" w:color="auto" w:fill="FABF8F" w:themeFill="accent6" w:themeFillTint="99"/>
            <w:noWrap/>
            <w:vAlign w:val="center"/>
            <w:hideMark/>
          </w:tcPr>
          <w:p w14:paraId="6C25087A" w14:textId="3D3C8478" w:rsidR="00631726" w:rsidRPr="003A115E" w:rsidRDefault="00631726" w:rsidP="00E80C67">
            <w:pPr>
              <w:pStyle w:val="cuadroCabe"/>
              <w:jc w:val="right"/>
            </w:pPr>
            <w:r w:rsidRPr="003A115E">
              <w:t>341</w:t>
            </w:r>
          </w:p>
        </w:tc>
        <w:tc>
          <w:tcPr>
            <w:tcW w:w="41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3C31F5D" w14:textId="434BC283" w:rsidR="00631726" w:rsidRPr="003A115E" w:rsidRDefault="00631726" w:rsidP="009E7912">
            <w:pPr>
              <w:pStyle w:val="cuadroCabe"/>
            </w:pPr>
            <w:r w:rsidRPr="003A115E">
              <w:t>91.487</w:t>
            </w:r>
          </w:p>
        </w:tc>
        <w:tc>
          <w:tcPr>
            <w:tcW w:w="327"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4F97141E" w14:textId="47D651AE" w:rsidR="00631726" w:rsidRPr="003A115E" w:rsidRDefault="00631726" w:rsidP="00E80C67">
            <w:pPr>
              <w:pStyle w:val="cuadroCabe"/>
              <w:jc w:val="right"/>
            </w:pPr>
            <w:r w:rsidRPr="003A115E">
              <w:t>210</w:t>
            </w:r>
          </w:p>
        </w:tc>
        <w:tc>
          <w:tcPr>
            <w:tcW w:w="41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71EB9ADD" w14:textId="50060FCC" w:rsidR="00631726" w:rsidRPr="003A115E" w:rsidRDefault="00631726" w:rsidP="009E7912">
            <w:pPr>
              <w:pStyle w:val="cuadroCabe"/>
            </w:pPr>
            <w:r w:rsidRPr="003A115E">
              <w:t>37.134</w:t>
            </w:r>
          </w:p>
        </w:tc>
        <w:tc>
          <w:tcPr>
            <w:tcW w:w="327"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76A0F390" w14:textId="6D9C2031" w:rsidR="00631726" w:rsidRPr="003A115E" w:rsidRDefault="00631726" w:rsidP="00E80C67">
            <w:pPr>
              <w:pStyle w:val="cuadroCabe"/>
              <w:jc w:val="right"/>
            </w:pPr>
            <w:r w:rsidRPr="003A115E">
              <w:t>104</w:t>
            </w:r>
          </w:p>
        </w:tc>
        <w:tc>
          <w:tcPr>
            <w:tcW w:w="36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7ACCF14" w14:textId="296E336B" w:rsidR="00631726" w:rsidRPr="003A115E" w:rsidRDefault="00631726" w:rsidP="009E7912">
            <w:pPr>
              <w:pStyle w:val="cuadroCabe"/>
            </w:pPr>
            <w:r w:rsidRPr="003A115E">
              <w:t>13.733</w:t>
            </w:r>
          </w:p>
        </w:tc>
        <w:tc>
          <w:tcPr>
            <w:tcW w:w="377"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5B90FE2B" w14:textId="2E95DA55" w:rsidR="00631726" w:rsidRPr="003A115E" w:rsidRDefault="00631726" w:rsidP="00E80C67">
            <w:pPr>
              <w:pStyle w:val="cuadroCabe"/>
              <w:jc w:val="right"/>
            </w:pPr>
            <w:r w:rsidRPr="003A115E">
              <w:t>24</w:t>
            </w:r>
          </w:p>
        </w:tc>
        <w:tc>
          <w:tcPr>
            <w:tcW w:w="353"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4739188" w14:textId="1B047003" w:rsidR="00631726" w:rsidRPr="003A115E" w:rsidRDefault="00631726" w:rsidP="009E7912">
            <w:pPr>
              <w:pStyle w:val="cuadroCabe"/>
            </w:pPr>
            <w:r w:rsidRPr="003A115E">
              <w:t>3.628</w:t>
            </w:r>
          </w:p>
        </w:tc>
        <w:tc>
          <w:tcPr>
            <w:tcW w:w="328"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40A30D69" w14:textId="6F1571B7" w:rsidR="00631726" w:rsidRPr="003A115E" w:rsidRDefault="00631726" w:rsidP="00E80C67">
            <w:pPr>
              <w:pStyle w:val="cuadroCabe"/>
              <w:jc w:val="right"/>
            </w:pPr>
            <w:r w:rsidRPr="003A115E">
              <w:t>679</w:t>
            </w:r>
          </w:p>
        </w:tc>
        <w:tc>
          <w:tcPr>
            <w:tcW w:w="474" w:type="pct"/>
            <w:tcBorders>
              <w:top w:val="single" w:sz="4" w:space="0" w:color="auto"/>
              <w:left w:val="nil"/>
              <w:bottom w:val="single" w:sz="4" w:space="0" w:color="auto"/>
              <w:right w:val="nil"/>
            </w:tcBorders>
            <w:shd w:val="clear" w:color="auto" w:fill="FABF8F" w:themeFill="accent6" w:themeFillTint="99"/>
            <w:noWrap/>
            <w:vAlign w:val="center"/>
            <w:hideMark/>
          </w:tcPr>
          <w:p w14:paraId="4A464A6A" w14:textId="54C4D8E0" w:rsidR="00631726" w:rsidRPr="003A115E" w:rsidRDefault="00631726" w:rsidP="009E7912">
            <w:pPr>
              <w:pStyle w:val="cuadroCabe"/>
            </w:pPr>
            <w:r w:rsidRPr="003A115E">
              <w:t>145.982</w:t>
            </w:r>
          </w:p>
        </w:tc>
      </w:tr>
    </w:tbl>
    <w:p w14:paraId="2E4A6AD8" w14:textId="4EB0AC16" w:rsidR="0017101E" w:rsidRPr="003A115E" w:rsidRDefault="009D1EF7" w:rsidP="00664DE6">
      <w:pPr>
        <w:pStyle w:val="texto"/>
        <w:tabs>
          <w:tab w:val="left" w:pos="580"/>
        </w:tabs>
        <w:spacing w:before="240"/>
        <w:ind w:firstLine="0"/>
        <w:rPr>
          <w:w w:val="103"/>
        </w:rPr>
      </w:pPr>
      <w:r w:rsidRPr="003A115E">
        <w:rPr>
          <w:rFonts w:ascii="Arial Narrow" w:hAnsi="Arial Narrow"/>
          <w:sz w:val="20"/>
          <w:szCs w:val="20"/>
        </w:rPr>
        <w:tab/>
      </w:r>
      <w:r w:rsidR="0017101E" w:rsidRPr="003A115E">
        <w:rPr>
          <w:w w:val="103"/>
        </w:rPr>
        <w:t>En 202</w:t>
      </w:r>
      <w:r w:rsidR="00000A14" w:rsidRPr="003A115E">
        <w:rPr>
          <w:w w:val="103"/>
        </w:rPr>
        <w:t>2</w:t>
      </w:r>
      <w:r w:rsidR="0017101E" w:rsidRPr="003A115E">
        <w:rPr>
          <w:w w:val="103"/>
        </w:rPr>
        <w:t xml:space="preserve">, las entidades locales, los entes dependientes de las mismas y los consorcios adjudicaron </w:t>
      </w:r>
      <w:r w:rsidR="00000A14" w:rsidRPr="003A115E">
        <w:rPr>
          <w:w w:val="103"/>
        </w:rPr>
        <w:t>679</w:t>
      </w:r>
      <w:r w:rsidR="0017101E" w:rsidRPr="003A115E">
        <w:rPr>
          <w:w w:val="103"/>
        </w:rPr>
        <w:t xml:space="preserve"> contratos, con un importe total de adjudicación de </w:t>
      </w:r>
      <w:r w:rsidR="00000A14" w:rsidRPr="003A115E">
        <w:rPr>
          <w:w w:val="103"/>
        </w:rPr>
        <w:t>145,98</w:t>
      </w:r>
      <w:r w:rsidR="0017101E" w:rsidRPr="003A115E">
        <w:rPr>
          <w:w w:val="103"/>
        </w:rPr>
        <w:t xml:space="preserve"> millones.</w:t>
      </w:r>
      <w:r w:rsidR="009A56A6" w:rsidRPr="003A115E">
        <w:rPr>
          <w:w w:val="103"/>
        </w:rPr>
        <w:t xml:space="preserve"> </w:t>
      </w:r>
    </w:p>
    <w:p w14:paraId="6FBCADD0" w14:textId="0BA15BC9" w:rsidR="0017101E" w:rsidRPr="003A115E" w:rsidRDefault="0017101E" w:rsidP="00EF33ED">
      <w:pPr>
        <w:pStyle w:val="texto"/>
        <w:tabs>
          <w:tab w:val="left" w:pos="2977"/>
        </w:tabs>
        <w:rPr>
          <w:w w:val="103"/>
        </w:rPr>
      </w:pPr>
      <w:r w:rsidRPr="003A115E">
        <w:rPr>
          <w:w w:val="103"/>
        </w:rPr>
        <w:t>La actividad de contratación se concentra en los ayuntamientos y en las sociedades públicas. Los ay</w:t>
      </w:r>
      <w:r w:rsidR="00B46C09" w:rsidRPr="003A115E">
        <w:rPr>
          <w:w w:val="103"/>
        </w:rPr>
        <w:t>untamientos han adjudicado el 79</w:t>
      </w:r>
      <w:r w:rsidRPr="003A115E">
        <w:rPr>
          <w:w w:val="103"/>
        </w:rPr>
        <w:t xml:space="preserve"> por ciento de los contratos, que representan el </w:t>
      </w:r>
      <w:r w:rsidR="00B46C09" w:rsidRPr="003A115E">
        <w:rPr>
          <w:w w:val="103"/>
        </w:rPr>
        <w:t>73</w:t>
      </w:r>
      <w:r w:rsidRPr="003A115E">
        <w:rPr>
          <w:w w:val="103"/>
        </w:rPr>
        <w:t xml:space="preserve"> por ciento del importe de adjudicación total. De </w:t>
      </w:r>
      <w:r w:rsidR="0023276A" w:rsidRPr="003A115E">
        <w:rPr>
          <w:w w:val="103"/>
        </w:rPr>
        <w:t>los</w:t>
      </w:r>
      <w:r w:rsidRPr="003A115E">
        <w:rPr>
          <w:w w:val="103"/>
        </w:rPr>
        <w:t xml:space="preserve"> contratos</w:t>
      </w:r>
      <w:r w:rsidR="007F413F" w:rsidRPr="003A115E">
        <w:rPr>
          <w:w w:val="103"/>
        </w:rPr>
        <w:t xml:space="preserve"> de </w:t>
      </w:r>
      <w:r w:rsidR="00582C83" w:rsidRPr="003A115E">
        <w:rPr>
          <w:w w:val="103"/>
        </w:rPr>
        <w:t>estas entidades</w:t>
      </w:r>
      <w:r w:rsidR="007F413F" w:rsidRPr="003A115E">
        <w:rPr>
          <w:w w:val="103"/>
        </w:rPr>
        <w:t>, el</w:t>
      </w:r>
      <w:r w:rsidR="00B46C09" w:rsidRPr="003A115E">
        <w:rPr>
          <w:w w:val="103"/>
        </w:rPr>
        <w:t xml:space="preserve"> 56 por ciento</w:t>
      </w:r>
      <w:r w:rsidRPr="003A115E">
        <w:rPr>
          <w:w w:val="103"/>
        </w:rPr>
        <w:t xml:space="preserve"> son contratos de obras.</w:t>
      </w:r>
    </w:p>
    <w:p w14:paraId="6FF60EB8" w14:textId="7C51A224" w:rsidR="00BD6542" w:rsidRPr="003A115E" w:rsidRDefault="0017101E" w:rsidP="31020D79">
      <w:pPr>
        <w:pStyle w:val="texto"/>
        <w:tabs>
          <w:tab w:val="left" w:pos="2977"/>
        </w:tabs>
        <w:rPr>
          <w:w w:val="103"/>
          <w:lang w:val="es-ES"/>
        </w:rPr>
      </w:pPr>
      <w:r w:rsidRPr="003A115E">
        <w:rPr>
          <w:w w:val="103"/>
          <w:lang w:val="es-ES"/>
        </w:rPr>
        <w:t>Por su parte, las sociedades públicas han adjudicado el 1</w:t>
      </w:r>
      <w:r w:rsidR="00405911" w:rsidRPr="003A115E">
        <w:rPr>
          <w:w w:val="103"/>
          <w:lang w:val="es-ES"/>
        </w:rPr>
        <w:t>1</w:t>
      </w:r>
      <w:r w:rsidRPr="003A115E">
        <w:rPr>
          <w:w w:val="103"/>
          <w:lang w:val="es-ES"/>
        </w:rPr>
        <w:t xml:space="preserve"> p</w:t>
      </w:r>
      <w:r w:rsidR="005510FC" w:rsidRPr="003A115E">
        <w:rPr>
          <w:w w:val="103"/>
          <w:lang w:val="es-ES"/>
        </w:rPr>
        <w:t>or ciento de los contratos que representa</w:t>
      </w:r>
      <w:r w:rsidRPr="003A115E">
        <w:rPr>
          <w:w w:val="103"/>
          <w:lang w:val="es-ES"/>
        </w:rPr>
        <w:t xml:space="preserve"> el </w:t>
      </w:r>
      <w:r w:rsidR="005510FC" w:rsidRPr="003A115E">
        <w:rPr>
          <w:w w:val="103"/>
          <w:lang w:val="es-ES"/>
        </w:rPr>
        <w:t>20</w:t>
      </w:r>
      <w:r w:rsidRPr="003A115E">
        <w:rPr>
          <w:w w:val="103"/>
          <w:lang w:val="es-ES"/>
        </w:rPr>
        <w:t xml:space="preserve"> por ciento del volumen adjudic</w:t>
      </w:r>
      <w:r w:rsidR="005510FC" w:rsidRPr="003A115E">
        <w:rPr>
          <w:w w:val="103"/>
          <w:lang w:val="es-ES"/>
        </w:rPr>
        <w:t>ado por el sector público local</w:t>
      </w:r>
      <w:r w:rsidRPr="003A115E">
        <w:rPr>
          <w:w w:val="103"/>
          <w:lang w:val="es-ES"/>
        </w:rPr>
        <w:t>.</w:t>
      </w:r>
    </w:p>
    <w:p w14:paraId="3738393B" w14:textId="544CE33B" w:rsidR="0042557D" w:rsidRDefault="0017101E" w:rsidP="00EF33ED">
      <w:pPr>
        <w:pStyle w:val="texto"/>
        <w:tabs>
          <w:tab w:val="left" w:pos="2977"/>
        </w:tabs>
        <w:rPr>
          <w:w w:val="103"/>
        </w:rPr>
      </w:pPr>
      <w:r w:rsidRPr="003A115E">
        <w:rPr>
          <w:w w:val="103"/>
        </w:rPr>
        <w:t>La tabla siguiente presenta la actividad de contratación indicando el número de contratos e importe de adjudicación, en función del tipo de contrato y el procedimiento de adjudicación.</w:t>
      </w:r>
    </w:p>
    <w:p w14:paraId="24B63DEE" w14:textId="77777777" w:rsidR="0042557D" w:rsidRDefault="0042557D">
      <w:pPr>
        <w:rPr>
          <w:spacing w:val="6"/>
          <w:w w:val="103"/>
          <w:sz w:val="26"/>
          <w:lang w:val="es-ES_tradnl" w:eastAsia="en-US"/>
        </w:rPr>
      </w:pPr>
      <w:r>
        <w:rPr>
          <w:w w:val="103"/>
        </w:rPr>
        <w:br w:type="page"/>
      </w:r>
    </w:p>
    <w:p w14:paraId="7FC17160" w14:textId="1F5374E0" w:rsidR="006F66AB" w:rsidRPr="003A115E" w:rsidRDefault="006F66AB" w:rsidP="00812D02">
      <w:pPr>
        <w:pStyle w:val="texto"/>
        <w:spacing w:after="0"/>
        <w:ind w:right="-143"/>
        <w:jc w:val="right"/>
        <w:rPr>
          <w:rFonts w:ascii="Arial Narrow" w:hAnsi="Arial Narrow"/>
          <w:sz w:val="20"/>
          <w:szCs w:val="20"/>
        </w:rPr>
      </w:pPr>
      <w:r w:rsidRPr="003A115E">
        <w:rPr>
          <w:rFonts w:ascii="Arial Narrow" w:hAnsi="Arial Narrow"/>
          <w:sz w:val="20"/>
          <w:szCs w:val="20"/>
        </w:rPr>
        <w:lastRenderedPageBreak/>
        <w:t>(</w:t>
      </w:r>
      <w:r w:rsidR="00543EBD">
        <w:rPr>
          <w:rFonts w:ascii="Arial Narrow" w:hAnsi="Arial Narrow"/>
          <w:sz w:val="20"/>
          <w:szCs w:val="20"/>
        </w:rPr>
        <w:t>miles</w:t>
      </w:r>
      <w:r w:rsidRPr="003A115E">
        <w:rPr>
          <w:rFonts w:ascii="Arial Narrow" w:hAnsi="Arial Narrow"/>
          <w:sz w:val="20"/>
          <w:szCs w:val="20"/>
        </w:rPr>
        <w:t>)</w:t>
      </w:r>
    </w:p>
    <w:tbl>
      <w:tblPr>
        <w:tblW w:w="5162" w:type="pct"/>
        <w:jc w:val="center"/>
        <w:tblLayout w:type="fixed"/>
        <w:tblCellMar>
          <w:left w:w="70" w:type="dxa"/>
          <w:right w:w="70" w:type="dxa"/>
        </w:tblCellMar>
        <w:tblLook w:val="04A0" w:firstRow="1" w:lastRow="0" w:firstColumn="1" w:lastColumn="0" w:noHBand="0" w:noVBand="1"/>
      </w:tblPr>
      <w:tblGrid>
        <w:gridCol w:w="1209"/>
        <w:gridCol w:w="459"/>
        <w:gridCol w:w="833"/>
        <w:gridCol w:w="374"/>
        <w:gridCol w:w="441"/>
        <w:gridCol w:w="325"/>
        <w:gridCol w:w="475"/>
        <w:gridCol w:w="354"/>
        <w:gridCol w:w="622"/>
        <w:gridCol w:w="461"/>
        <w:gridCol w:w="691"/>
        <w:gridCol w:w="230"/>
        <w:gridCol w:w="461"/>
        <w:gridCol w:w="392"/>
        <w:gridCol w:w="461"/>
        <w:gridCol w:w="459"/>
        <w:gridCol w:w="826"/>
      </w:tblGrid>
      <w:tr w:rsidR="000A742F" w:rsidRPr="003A115E" w14:paraId="37E1CEEC" w14:textId="77777777" w:rsidTr="00FA749D">
        <w:trPr>
          <w:trHeight w:val="255"/>
          <w:jc w:val="center"/>
        </w:trPr>
        <w:tc>
          <w:tcPr>
            <w:tcW w:w="666" w:type="pct"/>
            <w:vMerge w:val="restart"/>
            <w:tcBorders>
              <w:top w:val="single" w:sz="4" w:space="0" w:color="auto"/>
              <w:left w:val="nil"/>
              <w:bottom w:val="single" w:sz="4" w:space="0" w:color="auto"/>
              <w:right w:val="nil"/>
            </w:tcBorders>
            <w:shd w:val="clear" w:color="auto" w:fill="FABF8F" w:themeFill="accent6" w:themeFillTint="99"/>
            <w:vAlign w:val="center"/>
            <w:hideMark/>
          </w:tcPr>
          <w:p w14:paraId="370A89D3" w14:textId="225E92D4" w:rsidR="0075499D" w:rsidRPr="003A115E" w:rsidRDefault="0075499D" w:rsidP="004A506D">
            <w:pPr>
              <w:pStyle w:val="cuadroCabe"/>
            </w:pPr>
          </w:p>
        </w:tc>
        <w:tc>
          <w:tcPr>
            <w:tcW w:w="712" w:type="pct"/>
            <w:gridSpan w:val="2"/>
            <w:tcBorders>
              <w:top w:val="single" w:sz="4" w:space="0" w:color="auto"/>
              <w:left w:val="nil"/>
              <w:bottom w:val="single" w:sz="2" w:space="0" w:color="auto"/>
              <w:right w:val="single" w:sz="2" w:space="0" w:color="auto"/>
            </w:tcBorders>
            <w:shd w:val="clear" w:color="auto" w:fill="FABF8F" w:themeFill="accent6" w:themeFillTint="99"/>
            <w:vAlign w:val="center"/>
            <w:hideMark/>
          </w:tcPr>
          <w:p w14:paraId="2A563E18" w14:textId="77777777" w:rsidR="0075499D" w:rsidRPr="003A115E" w:rsidRDefault="0075499D" w:rsidP="00373140">
            <w:pPr>
              <w:pStyle w:val="cuadroCabe"/>
              <w:jc w:val="center"/>
            </w:pPr>
            <w:r w:rsidRPr="003A115E">
              <w:t>Abierto</w:t>
            </w:r>
          </w:p>
        </w:tc>
        <w:tc>
          <w:tcPr>
            <w:tcW w:w="449"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4998DB69" w14:textId="77777777" w:rsidR="0075499D" w:rsidRPr="003A115E" w:rsidRDefault="0075499D" w:rsidP="00216809">
            <w:pPr>
              <w:pStyle w:val="cuadroCabe"/>
              <w:jc w:val="center"/>
            </w:pPr>
            <w:r w:rsidRPr="003A115E">
              <w:t>Concurso de proyectos</w:t>
            </w:r>
          </w:p>
        </w:tc>
        <w:tc>
          <w:tcPr>
            <w:tcW w:w="441"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082629EF" w14:textId="77777777" w:rsidR="0075499D" w:rsidRPr="003A115E" w:rsidRDefault="0075499D" w:rsidP="00216809">
            <w:pPr>
              <w:pStyle w:val="cuadroCabe"/>
              <w:jc w:val="center"/>
            </w:pPr>
            <w:r w:rsidRPr="003A115E">
              <w:t>Negociado</w:t>
            </w:r>
          </w:p>
        </w:tc>
        <w:tc>
          <w:tcPr>
            <w:tcW w:w="537"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3B2360AF" w14:textId="77777777" w:rsidR="0075499D" w:rsidRPr="003A115E" w:rsidRDefault="0075499D" w:rsidP="00216809">
            <w:pPr>
              <w:pStyle w:val="cuadroCabe"/>
              <w:jc w:val="center"/>
            </w:pPr>
            <w:r w:rsidRPr="003A115E">
              <w:t>Negociado sin convocatoria de licitación</w:t>
            </w:r>
          </w:p>
        </w:tc>
        <w:tc>
          <w:tcPr>
            <w:tcW w:w="634"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5740EF84" w14:textId="77777777" w:rsidR="0075499D" w:rsidRPr="003A115E" w:rsidRDefault="0075499D" w:rsidP="00216809">
            <w:pPr>
              <w:pStyle w:val="cuadroCabe"/>
              <w:jc w:val="center"/>
            </w:pPr>
            <w:r w:rsidRPr="003A115E">
              <w:t>Procedimiento simplificado</w:t>
            </w:r>
          </w:p>
        </w:tc>
        <w:tc>
          <w:tcPr>
            <w:tcW w:w="380"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713181E7" w14:textId="77777777" w:rsidR="0075499D" w:rsidRPr="003A115E" w:rsidRDefault="0075499D" w:rsidP="00216809">
            <w:pPr>
              <w:pStyle w:val="cuadroCabe"/>
              <w:jc w:val="center"/>
            </w:pPr>
            <w:r w:rsidRPr="003A115E">
              <w:t>Restringido</w:t>
            </w:r>
          </w:p>
        </w:tc>
        <w:tc>
          <w:tcPr>
            <w:tcW w:w="470"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13516ACA" w14:textId="6B299962" w:rsidR="0075499D" w:rsidRPr="003A115E" w:rsidRDefault="227C7E19" w:rsidP="00216809">
            <w:pPr>
              <w:pStyle w:val="cuadroCabe"/>
              <w:jc w:val="center"/>
            </w:pPr>
            <w:r w:rsidRPr="003A115E">
              <w:t>Sin procedimiento</w:t>
            </w:r>
            <w:r w:rsidR="0075499D" w:rsidRPr="003A115E">
              <w:rPr>
                <w:rStyle w:val="Refdenotaalpie"/>
              </w:rPr>
              <w:footnoteReference w:id="11"/>
            </w:r>
          </w:p>
        </w:tc>
        <w:tc>
          <w:tcPr>
            <w:tcW w:w="711" w:type="pct"/>
            <w:gridSpan w:val="2"/>
            <w:tcBorders>
              <w:top w:val="single" w:sz="4" w:space="0" w:color="auto"/>
              <w:left w:val="single" w:sz="2" w:space="0" w:color="auto"/>
              <w:bottom w:val="single" w:sz="2" w:space="0" w:color="auto"/>
              <w:right w:val="nil"/>
            </w:tcBorders>
            <w:shd w:val="clear" w:color="auto" w:fill="FABF8F" w:themeFill="accent6" w:themeFillTint="99"/>
            <w:vAlign w:val="center"/>
            <w:hideMark/>
          </w:tcPr>
          <w:p w14:paraId="357A8234" w14:textId="77777777" w:rsidR="0075499D" w:rsidRPr="003A115E" w:rsidRDefault="0075499D" w:rsidP="00216809">
            <w:pPr>
              <w:pStyle w:val="cuadroCabe"/>
              <w:jc w:val="center"/>
            </w:pPr>
            <w:r w:rsidRPr="003A115E">
              <w:t>Total</w:t>
            </w:r>
          </w:p>
        </w:tc>
      </w:tr>
      <w:tr w:rsidR="000A742F" w:rsidRPr="003A115E" w14:paraId="0EB217EE" w14:textId="77777777" w:rsidTr="00FA749D">
        <w:trPr>
          <w:trHeight w:val="255"/>
          <w:jc w:val="center"/>
        </w:trPr>
        <w:tc>
          <w:tcPr>
            <w:tcW w:w="666" w:type="pct"/>
            <w:vMerge/>
            <w:tcBorders>
              <w:top w:val="single" w:sz="4" w:space="0" w:color="auto"/>
              <w:bottom w:val="single" w:sz="4" w:space="0" w:color="auto"/>
            </w:tcBorders>
            <w:vAlign w:val="center"/>
            <w:hideMark/>
          </w:tcPr>
          <w:p w14:paraId="6CCBF8E4" w14:textId="77777777" w:rsidR="0075499D" w:rsidRPr="003A115E" w:rsidRDefault="0075499D" w:rsidP="0075499D">
            <w:pPr>
              <w:jc w:val="center"/>
              <w:rPr>
                <w:rFonts w:ascii="Arial Narrow" w:hAnsi="Arial Narrow" w:cs="Calibri"/>
                <w:sz w:val="16"/>
                <w:szCs w:val="16"/>
              </w:rPr>
            </w:pPr>
          </w:p>
        </w:tc>
        <w:tc>
          <w:tcPr>
            <w:tcW w:w="253" w:type="pct"/>
            <w:tcBorders>
              <w:top w:val="single" w:sz="2" w:space="0" w:color="auto"/>
              <w:left w:val="nil"/>
              <w:bottom w:val="nil"/>
              <w:right w:val="nil"/>
            </w:tcBorders>
            <w:shd w:val="clear" w:color="auto" w:fill="FABF8F" w:themeFill="accent6" w:themeFillTint="99"/>
            <w:vAlign w:val="center"/>
            <w:hideMark/>
          </w:tcPr>
          <w:p w14:paraId="681835C4" w14:textId="77777777" w:rsidR="0075499D" w:rsidRPr="003A115E" w:rsidRDefault="0075499D" w:rsidP="0075499D">
            <w:pPr>
              <w:jc w:val="center"/>
              <w:rPr>
                <w:rFonts w:ascii="Arial Narrow" w:hAnsi="Arial Narrow" w:cs="Calibri"/>
                <w:sz w:val="16"/>
                <w:szCs w:val="16"/>
              </w:rPr>
            </w:pPr>
            <w:r w:rsidRPr="003A115E">
              <w:rPr>
                <w:rFonts w:ascii="Arial Narrow" w:hAnsi="Arial Narrow" w:cs="Calibri"/>
                <w:sz w:val="16"/>
                <w:szCs w:val="16"/>
              </w:rPr>
              <w:t>Nº</w:t>
            </w:r>
          </w:p>
        </w:tc>
        <w:tc>
          <w:tcPr>
            <w:tcW w:w="459" w:type="pct"/>
            <w:tcBorders>
              <w:top w:val="single" w:sz="2" w:space="0" w:color="auto"/>
              <w:left w:val="nil"/>
              <w:bottom w:val="nil"/>
              <w:right w:val="single" w:sz="2" w:space="0" w:color="auto"/>
            </w:tcBorders>
            <w:shd w:val="clear" w:color="auto" w:fill="FABF8F" w:themeFill="accent6" w:themeFillTint="99"/>
            <w:vAlign w:val="center"/>
            <w:hideMark/>
          </w:tcPr>
          <w:p w14:paraId="03D3929F" w14:textId="77777777" w:rsidR="0075499D" w:rsidRPr="003A115E" w:rsidRDefault="0075499D" w:rsidP="0075499D">
            <w:pPr>
              <w:jc w:val="center"/>
              <w:rPr>
                <w:rFonts w:ascii="Arial Narrow" w:hAnsi="Arial Narrow" w:cs="Calibri"/>
                <w:sz w:val="16"/>
                <w:szCs w:val="16"/>
              </w:rPr>
            </w:pPr>
            <w:r w:rsidRPr="003A115E">
              <w:rPr>
                <w:rFonts w:ascii="Arial Narrow" w:hAnsi="Arial Narrow" w:cs="Calibri"/>
                <w:sz w:val="16"/>
                <w:szCs w:val="16"/>
              </w:rPr>
              <w:t>Importe</w:t>
            </w:r>
          </w:p>
        </w:tc>
        <w:tc>
          <w:tcPr>
            <w:tcW w:w="206" w:type="pct"/>
            <w:tcBorders>
              <w:top w:val="single" w:sz="2" w:space="0" w:color="auto"/>
              <w:left w:val="single" w:sz="2" w:space="0" w:color="auto"/>
              <w:bottom w:val="nil"/>
              <w:right w:val="nil"/>
            </w:tcBorders>
            <w:shd w:val="clear" w:color="auto" w:fill="FABF8F" w:themeFill="accent6" w:themeFillTint="99"/>
            <w:vAlign w:val="center"/>
            <w:hideMark/>
          </w:tcPr>
          <w:p w14:paraId="66AC9F3F" w14:textId="77777777" w:rsidR="0075499D" w:rsidRPr="003A115E" w:rsidRDefault="0075499D" w:rsidP="0075499D">
            <w:pPr>
              <w:jc w:val="center"/>
              <w:rPr>
                <w:rFonts w:ascii="Arial Narrow" w:hAnsi="Arial Narrow" w:cs="Calibri"/>
                <w:sz w:val="16"/>
                <w:szCs w:val="16"/>
              </w:rPr>
            </w:pPr>
            <w:r w:rsidRPr="003A115E">
              <w:rPr>
                <w:rFonts w:ascii="Arial Narrow" w:hAnsi="Arial Narrow" w:cs="Calibri"/>
                <w:sz w:val="16"/>
                <w:szCs w:val="16"/>
              </w:rPr>
              <w:t>Nº</w:t>
            </w:r>
          </w:p>
        </w:tc>
        <w:tc>
          <w:tcPr>
            <w:tcW w:w="243" w:type="pct"/>
            <w:tcBorders>
              <w:top w:val="single" w:sz="2" w:space="0" w:color="auto"/>
              <w:left w:val="nil"/>
              <w:bottom w:val="nil"/>
              <w:right w:val="single" w:sz="2" w:space="0" w:color="auto"/>
            </w:tcBorders>
            <w:shd w:val="clear" w:color="auto" w:fill="FABF8F" w:themeFill="accent6" w:themeFillTint="99"/>
            <w:vAlign w:val="center"/>
            <w:hideMark/>
          </w:tcPr>
          <w:p w14:paraId="07662AA7" w14:textId="77777777" w:rsidR="0075499D" w:rsidRPr="003A115E" w:rsidRDefault="0075499D" w:rsidP="0075499D">
            <w:pPr>
              <w:jc w:val="center"/>
              <w:rPr>
                <w:rFonts w:ascii="Arial Narrow" w:hAnsi="Arial Narrow" w:cs="Calibri"/>
                <w:sz w:val="16"/>
                <w:szCs w:val="16"/>
              </w:rPr>
            </w:pPr>
            <w:r w:rsidRPr="003A115E">
              <w:rPr>
                <w:rFonts w:ascii="Arial Narrow" w:hAnsi="Arial Narrow" w:cs="Calibri"/>
                <w:sz w:val="16"/>
                <w:szCs w:val="16"/>
              </w:rPr>
              <w:t>Importe</w:t>
            </w:r>
          </w:p>
        </w:tc>
        <w:tc>
          <w:tcPr>
            <w:tcW w:w="179" w:type="pct"/>
            <w:tcBorders>
              <w:top w:val="single" w:sz="2" w:space="0" w:color="auto"/>
              <w:left w:val="single" w:sz="2" w:space="0" w:color="auto"/>
              <w:bottom w:val="nil"/>
              <w:right w:val="nil"/>
            </w:tcBorders>
            <w:shd w:val="clear" w:color="auto" w:fill="FABF8F" w:themeFill="accent6" w:themeFillTint="99"/>
            <w:vAlign w:val="center"/>
            <w:hideMark/>
          </w:tcPr>
          <w:p w14:paraId="757EF852" w14:textId="77777777" w:rsidR="0075499D" w:rsidRPr="003A115E" w:rsidRDefault="0075499D" w:rsidP="0075499D">
            <w:pPr>
              <w:jc w:val="center"/>
              <w:rPr>
                <w:rFonts w:ascii="Arial Narrow" w:hAnsi="Arial Narrow" w:cs="Calibri"/>
                <w:sz w:val="16"/>
                <w:szCs w:val="16"/>
              </w:rPr>
            </w:pPr>
            <w:r w:rsidRPr="003A115E">
              <w:rPr>
                <w:rFonts w:ascii="Arial Narrow" w:hAnsi="Arial Narrow" w:cs="Calibri"/>
                <w:sz w:val="16"/>
                <w:szCs w:val="16"/>
              </w:rPr>
              <w:t>Nº</w:t>
            </w:r>
          </w:p>
        </w:tc>
        <w:tc>
          <w:tcPr>
            <w:tcW w:w="262" w:type="pct"/>
            <w:tcBorders>
              <w:top w:val="single" w:sz="2" w:space="0" w:color="auto"/>
              <w:left w:val="nil"/>
              <w:bottom w:val="nil"/>
              <w:right w:val="single" w:sz="2" w:space="0" w:color="auto"/>
            </w:tcBorders>
            <w:shd w:val="clear" w:color="auto" w:fill="FABF8F" w:themeFill="accent6" w:themeFillTint="99"/>
            <w:vAlign w:val="center"/>
            <w:hideMark/>
          </w:tcPr>
          <w:p w14:paraId="23094FB6" w14:textId="77777777" w:rsidR="0075499D" w:rsidRPr="003A115E" w:rsidRDefault="0075499D" w:rsidP="0075499D">
            <w:pPr>
              <w:jc w:val="center"/>
              <w:rPr>
                <w:rFonts w:ascii="Arial Narrow" w:hAnsi="Arial Narrow" w:cs="Calibri"/>
                <w:sz w:val="16"/>
                <w:szCs w:val="16"/>
              </w:rPr>
            </w:pPr>
            <w:r w:rsidRPr="003A115E">
              <w:rPr>
                <w:rFonts w:ascii="Arial Narrow" w:hAnsi="Arial Narrow" w:cs="Calibri"/>
                <w:sz w:val="16"/>
                <w:szCs w:val="16"/>
              </w:rPr>
              <w:t>Importe</w:t>
            </w:r>
          </w:p>
        </w:tc>
        <w:tc>
          <w:tcPr>
            <w:tcW w:w="195" w:type="pct"/>
            <w:tcBorders>
              <w:top w:val="single" w:sz="2" w:space="0" w:color="auto"/>
              <w:left w:val="single" w:sz="2" w:space="0" w:color="auto"/>
              <w:bottom w:val="nil"/>
              <w:right w:val="nil"/>
            </w:tcBorders>
            <w:shd w:val="clear" w:color="auto" w:fill="FABF8F" w:themeFill="accent6" w:themeFillTint="99"/>
            <w:vAlign w:val="center"/>
            <w:hideMark/>
          </w:tcPr>
          <w:p w14:paraId="3743BE94" w14:textId="77777777" w:rsidR="0075499D" w:rsidRPr="003A115E" w:rsidRDefault="0075499D" w:rsidP="0075499D">
            <w:pPr>
              <w:jc w:val="center"/>
              <w:rPr>
                <w:rFonts w:ascii="Arial Narrow" w:hAnsi="Arial Narrow" w:cs="Calibri"/>
                <w:sz w:val="16"/>
                <w:szCs w:val="16"/>
              </w:rPr>
            </w:pPr>
            <w:r w:rsidRPr="003A115E">
              <w:rPr>
                <w:rFonts w:ascii="Arial Narrow" w:hAnsi="Arial Narrow" w:cs="Calibri"/>
                <w:sz w:val="16"/>
                <w:szCs w:val="16"/>
              </w:rPr>
              <w:t>Nº</w:t>
            </w:r>
          </w:p>
        </w:tc>
        <w:tc>
          <w:tcPr>
            <w:tcW w:w="343" w:type="pct"/>
            <w:tcBorders>
              <w:top w:val="single" w:sz="2" w:space="0" w:color="auto"/>
              <w:left w:val="nil"/>
              <w:bottom w:val="nil"/>
              <w:right w:val="single" w:sz="2" w:space="0" w:color="auto"/>
            </w:tcBorders>
            <w:shd w:val="clear" w:color="auto" w:fill="FABF8F" w:themeFill="accent6" w:themeFillTint="99"/>
            <w:vAlign w:val="center"/>
            <w:hideMark/>
          </w:tcPr>
          <w:p w14:paraId="3CF2F5DA" w14:textId="77777777" w:rsidR="0075499D" w:rsidRPr="003A115E" w:rsidRDefault="0075499D" w:rsidP="0075499D">
            <w:pPr>
              <w:jc w:val="center"/>
              <w:rPr>
                <w:rFonts w:ascii="Arial Narrow" w:hAnsi="Arial Narrow" w:cs="Calibri"/>
                <w:sz w:val="16"/>
                <w:szCs w:val="16"/>
              </w:rPr>
            </w:pPr>
            <w:r w:rsidRPr="003A115E">
              <w:rPr>
                <w:rFonts w:ascii="Arial Narrow" w:hAnsi="Arial Narrow" w:cs="Calibri"/>
                <w:sz w:val="16"/>
                <w:szCs w:val="16"/>
              </w:rPr>
              <w:t>Importe</w:t>
            </w:r>
          </w:p>
        </w:tc>
        <w:tc>
          <w:tcPr>
            <w:tcW w:w="254" w:type="pct"/>
            <w:tcBorders>
              <w:top w:val="single" w:sz="2" w:space="0" w:color="auto"/>
              <w:left w:val="single" w:sz="2" w:space="0" w:color="auto"/>
              <w:bottom w:val="nil"/>
              <w:right w:val="nil"/>
            </w:tcBorders>
            <w:shd w:val="clear" w:color="auto" w:fill="FABF8F" w:themeFill="accent6" w:themeFillTint="99"/>
            <w:vAlign w:val="center"/>
            <w:hideMark/>
          </w:tcPr>
          <w:p w14:paraId="4FCE8DFA" w14:textId="77777777" w:rsidR="0075499D" w:rsidRPr="003A115E" w:rsidRDefault="0075499D" w:rsidP="004A506D">
            <w:pPr>
              <w:jc w:val="right"/>
              <w:rPr>
                <w:rFonts w:ascii="Arial Narrow" w:hAnsi="Arial Narrow" w:cs="Calibri"/>
                <w:sz w:val="16"/>
                <w:szCs w:val="16"/>
              </w:rPr>
            </w:pPr>
            <w:r w:rsidRPr="003A115E">
              <w:rPr>
                <w:rFonts w:ascii="Arial Narrow" w:hAnsi="Arial Narrow" w:cs="Calibri"/>
                <w:sz w:val="16"/>
                <w:szCs w:val="16"/>
              </w:rPr>
              <w:t>Nº</w:t>
            </w:r>
          </w:p>
        </w:tc>
        <w:tc>
          <w:tcPr>
            <w:tcW w:w="381" w:type="pct"/>
            <w:tcBorders>
              <w:top w:val="single" w:sz="2" w:space="0" w:color="auto"/>
              <w:left w:val="nil"/>
              <w:bottom w:val="nil"/>
              <w:right w:val="single" w:sz="2" w:space="0" w:color="auto"/>
            </w:tcBorders>
            <w:shd w:val="clear" w:color="auto" w:fill="FABF8F" w:themeFill="accent6" w:themeFillTint="99"/>
            <w:vAlign w:val="center"/>
            <w:hideMark/>
          </w:tcPr>
          <w:p w14:paraId="42298B3C" w14:textId="77777777" w:rsidR="0075499D" w:rsidRPr="003A115E" w:rsidRDefault="0075499D" w:rsidP="004A506D">
            <w:pPr>
              <w:jc w:val="right"/>
              <w:rPr>
                <w:rFonts w:ascii="Arial Narrow" w:hAnsi="Arial Narrow" w:cs="Calibri"/>
                <w:sz w:val="16"/>
                <w:szCs w:val="16"/>
              </w:rPr>
            </w:pPr>
            <w:r w:rsidRPr="003A115E">
              <w:rPr>
                <w:rFonts w:ascii="Arial Narrow" w:hAnsi="Arial Narrow" w:cs="Calibri"/>
                <w:sz w:val="16"/>
                <w:szCs w:val="16"/>
              </w:rPr>
              <w:t>Importe</w:t>
            </w:r>
          </w:p>
        </w:tc>
        <w:tc>
          <w:tcPr>
            <w:tcW w:w="127" w:type="pct"/>
            <w:tcBorders>
              <w:top w:val="single" w:sz="2" w:space="0" w:color="auto"/>
              <w:left w:val="single" w:sz="2" w:space="0" w:color="auto"/>
              <w:bottom w:val="nil"/>
            </w:tcBorders>
            <w:shd w:val="clear" w:color="auto" w:fill="FABF8F" w:themeFill="accent6" w:themeFillTint="99"/>
            <w:vAlign w:val="center"/>
            <w:hideMark/>
          </w:tcPr>
          <w:p w14:paraId="4ECF475A" w14:textId="77777777" w:rsidR="0075499D" w:rsidRPr="003A115E" w:rsidRDefault="0075499D" w:rsidP="004A506D">
            <w:pPr>
              <w:jc w:val="right"/>
              <w:rPr>
                <w:rFonts w:ascii="Arial Narrow" w:hAnsi="Arial Narrow" w:cs="Calibri"/>
                <w:sz w:val="16"/>
                <w:szCs w:val="16"/>
              </w:rPr>
            </w:pPr>
            <w:r w:rsidRPr="003A115E">
              <w:rPr>
                <w:rFonts w:ascii="Arial Narrow" w:hAnsi="Arial Narrow" w:cs="Calibri"/>
                <w:sz w:val="16"/>
                <w:szCs w:val="16"/>
              </w:rPr>
              <w:t>Nº</w:t>
            </w:r>
          </w:p>
        </w:tc>
        <w:tc>
          <w:tcPr>
            <w:tcW w:w="254" w:type="pct"/>
            <w:tcBorders>
              <w:top w:val="single" w:sz="2" w:space="0" w:color="auto"/>
              <w:left w:val="nil"/>
              <w:bottom w:val="nil"/>
              <w:right w:val="single" w:sz="2" w:space="0" w:color="auto"/>
            </w:tcBorders>
            <w:shd w:val="clear" w:color="auto" w:fill="FABF8F" w:themeFill="accent6" w:themeFillTint="99"/>
            <w:vAlign w:val="center"/>
            <w:hideMark/>
          </w:tcPr>
          <w:p w14:paraId="00F11746" w14:textId="77777777" w:rsidR="0075499D" w:rsidRPr="003A115E" w:rsidRDefault="0075499D" w:rsidP="004A506D">
            <w:pPr>
              <w:jc w:val="right"/>
              <w:rPr>
                <w:rFonts w:ascii="Arial Narrow" w:hAnsi="Arial Narrow" w:cs="Calibri"/>
                <w:sz w:val="16"/>
                <w:szCs w:val="16"/>
              </w:rPr>
            </w:pPr>
            <w:r w:rsidRPr="003A115E">
              <w:rPr>
                <w:rFonts w:ascii="Arial Narrow" w:hAnsi="Arial Narrow" w:cs="Calibri"/>
                <w:sz w:val="16"/>
                <w:szCs w:val="16"/>
              </w:rPr>
              <w:t>Importe</w:t>
            </w:r>
          </w:p>
        </w:tc>
        <w:tc>
          <w:tcPr>
            <w:tcW w:w="216" w:type="pct"/>
            <w:tcBorders>
              <w:top w:val="single" w:sz="2" w:space="0" w:color="auto"/>
              <w:left w:val="single" w:sz="2" w:space="0" w:color="auto"/>
              <w:bottom w:val="nil"/>
              <w:right w:val="nil"/>
            </w:tcBorders>
            <w:shd w:val="clear" w:color="auto" w:fill="FABF8F" w:themeFill="accent6" w:themeFillTint="99"/>
            <w:vAlign w:val="center"/>
            <w:hideMark/>
          </w:tcPr>
          <w:p w14:paraId="3C168829" w14:textId="77777777" w:rsidR="0075499D" w:rsidRPr="003A115E" w:rsidRDefault="0075499D" w:rsidP="004A506D">
            <w:pPr>
              <w:jc w:val="right"/>
              <w:rPr>
                <w:rFonts w:ascii="Arial Narrow" w:hAnsi="Arial Narrow" w:cs="Calibri"/>
                <w:sz w:val="16"/>
                <w:szCs w:val="16"/>
              </w:rPr>
            </w:pPr>
            <w:r w:rsidRPr="003A115E">
              <w:rPr>
                <w:rFonts w:ascii="Arial Narrow" w:hAnsi="Arial Narrow" w:cs="Calibri"/>
                <w:sz w:val="16"/>
                <w:szCs w:val="16"/>
              </w:rPr>
              <w:t>Nº</w:t>
            </w:r>
          </w:p>
        </w:tc>
        <w:tc>
          <w:tcPr>
            <w:tcW w:w="254" w:type="pct"/>
            <w:tcBorders>
              <w:top w:val="single" w:sz="2" w:space="0" w:color="auto"/>
              <w:left w:val="nil"/>
              <w:bottom w:val="nil"/>
              <w:right w:val="single" w:sz="2" w:space="0" w:color="auto"/>
            </w:tcBorders>
            <w:shd w:val="clear" w:color="auto" w:fill="FABF8F" w:themeFill="accent6" w:themeFillTint="99"/>
            <w:vAlign w:val="center"/>
            <w:hideMark/>
          </w:tcPr>
          <w:p w14:paraId="47725B6C" w14:textId="77777777" w:rsidR="0075499D" w:rsidRPr="003A115E" w:rsidRDefault="0075499D" w:rsidP="004A506D">
            <w:pPr>
              <w:jc w:val="right"/>
              <w:rPr>
                <w:rFonts w:ascii="Arial Narrow" w:hAnsi="Arial Narrow" w:cs="Calibri"/>
                <w:sz w:val="16"/>
                <w:szCs w:val="16"/>
              </w:rPr>
            </w:pPr>
            <w:r w:rsidRPr="003A115E">
              <w:rPr>
                <w:rFonts w:ascii="Arial Narrow" w:hAnsi="Arial Narrow" w:cs="Calibri"/>
                <w:sz w:val="16"/>
                <w:szCs w:val="16"/>
              </w:rPr>
              <w:t>Importe</w:t>
            </w:r>
          </w:p>
        </w:tc>
        <w:tc>
          <w:tcPr>
            <w:tcW w:w="253" w:type="pct"/>
            <w:tcBorders>
              <w:top w:val="single" w:sz="2" w:space="0" w:color="auto"/>
              <w:left w:val="single" w:sz="2" w:space="0" w:color="auto"/>
              <w:bottom w:val="nil"/>
              <w:right w:val="nil"/>
            </w:tcBorders>
            <w:shd w:val="clear" w:color="auto" w:fill="FABF8F" w:themeFill="accent6" w:themeFillTint="99"/>
            <w:vAlign w:val="center"/>
            <w:hideMark/>
          </w:tcPr>
          <w:p w14:paraId="092A0AF7" w14:textId="77777777" w:rsidR="0075499D" w:rsidRPr="003A115E" w:rsidRDefault="0075499D" w:rsidP="004A506D">
            <w:pPr>
              <w:jc w:val="right"/>
              <w:rPr>
                <w:rFonts w:ascii="Arial Narrow" w:hAnsi="Arial Narrow" w:cs="Calibri"/>
                <w:sz w:val="16"/>
                <w:szCs w:val="16"/>
              </w:rPr>
            </w:pPr>
            <w:r w:rsidRPr="003A115E">
              <w:rPr>
                <w:rFonts w:ascii="Arial Narrow" w:hAnsi="Arial Narrow" w:cs="Calibri"/>
                <w:sz w:val="16"/>
                <w:szCs w:val="16"/>
              </w:rPr>
              <w:t>Nº</w:t>
            </w:r>
          </w:p>
        </w:tc>
        <w:tc>
          <w:tcPr>
            <w:tcW w:w="458" w:type="pct"/>
            <w:tcBorders>
              <w:top w:val="single" w:sz="2" w:space="0" w:color="auto"/>
              <w:left w:val="nil"/>
              <w:bottom w:val="nil"/>
              <w:right w:val="nil"/>
            </w:tcBorders>
            <w:shd w:val="clear" w:color="auto" w:fill="FABF8F" w:themeFill="accent6" w:themeFillTint="99"/>
            <w:vAlign w:val="center"/>
            <w:hideMark/>
          </w:tcPr>
          <w:p w14:paraId="2CF35935" w14:textId="77777777" w:rsidR="0075499D" w:rsidRPr="003A115E" w:rsidRDefault="0075499D" w:rsidP="004A506D">
            <w:pPr>
              <w:jc w:val="right"/>
              <w:rPr>
                <w:rFonts w:ascii="Arial Narrow" w:hAnsi="Arial Narrow" w:cs="Calibri"/>
                <w:sz w:val="16"/>
                <w:szCs w:val="16"/>
              </w:rPr>
            </w:pPr>
            <w:r w:rsidRPr="003A115E">
              <w:rPr>
                <w:rFonts w:ascii="Arial Narrow" w:hAnsi="Arial Narrow" w:cs="Calibri"/>
                <w:sz w:val="16"/>
                <w:szCs w:val="16"/>
              </w:rPr>
              <w:t>Importe</w:t>
            </w:r>
          </w:p>
        </w:tc>
      </w:tr>
      <w:tr w:rsidR="000A742F" w:rsidRPr="003A115E" w14:paraId="40B1B931" w14:textId="77777777" w:rsidTr="00FA749D">
        <w:trPr>
          <w:trHeight w:val="198"/>
          <w:jc w:val="center"/>
        </w:trPr>
        <w:tc>
          <w:tcPr>
            <w:tcW w:w="666" w:type="pct"/>
            <w:tcBorders>
              <w:top w:val="single" w:sz="4" w:space="0" w:color="auto"/>
              <w:left w:val="nil"/>
              <w:bottom w:val="single" w:sz="2" w:space="0" w:color="auto"/>
              <w:right w:val="nil"/>
            </w:tcBorders>
            <w:shd w:val="clear" w:color="auto" w:fill="auto"/>
            <w:vAlign w:val="center"/>
            <w:hideMark/>
          </w:tcPr>
          <w:p w14:paraId="614CB87C" w14:textId="77777777" w:rsidR="0075499D" w:rsidRPr="003A115E" w:rsidRDefault="0075499D" w:rsidP="00FA045A">
            <w:pPr>
              <w:pStyle w:val="cuatexto"/>
            </w:pPr>
            <w:r w:rsidRPr="003A115E">
              <w:t>Obras</w:t>
            </w:r>
          </w:p>
        </w:tc>
        <w:tc>
          <w:tcPr>
            <w:tcW w:w="253" w:type="pct"/>
            <w:tcBorders>
              <w:top w:val="single" w:sz="4" w:space="0" w:color="auto"/>
              <w:left w:val="nil"/>
              <w:bottom w:val="single" w:sz="2" w:space="0" w:color="auto"/>
              <w:right w:val="nil"/>
            </w:tcBorders>
            <w:shd w:val="clear" w:color="auto" w:fill="auto"/>
            <w:noWrap/>
            <w:vAlign w:val="center"/>
            <w:hideMark/>
          </w:tcPr>
          <w:p w14:paraId="574E61A2" w14:textId="5346C93C" w:rsidR="0075499D" w:rsidRPr="003A115E" w:rsidRDefault="0075499D" w:rsidP="00472474">
            <w:pPr>
              <w:pStyle w:val="cuatexto"/>
              <w:jc w:val="right"/>
            </w:pPr>
            <w:r w:rsidRPr="003A115E">
              <w:t>218</w:t>
            </w:r>
          </w:p>
        </w:tc>
        <w:tc>
          <w:tcPr>
            <w:tcW w:w="459" w:type="pct"/>
            <w:tcBorders>
              <w:top w:val="single" w:sz="4" w:space="0" w:color="auto"/>
              <w:left w:val="nil"/>
              <w:bottom w:val="single" w:sz="2" w:space="0" w:color="auto"/>
              <w:right w:val="single" w:sz="2" w:space="0" w:color="auto"/>
            </w:tcBorders>
            <w:shd w:val="clear" w:color="auto" w:fill="auto"/>
            <w:noWrap/>
            <w:vAlign w:val="center"/>
            <w:hideMark/>
          </w:tcPr>
          <w:p w14:paraId="750475F7" w14:textId="4B72F0D6" w:rsidR="0075499D" w:rsidRPr="003A115E" w:rsidRDefault="0075499D" w:rsidP="00472474">
            <w:pPr>
              <w:pStyle w:val="cuatexto"/>
              <w:jc w:val="right"/>
            </w:pPr>
            <w:r w:rsidRPr="003A115E">
              <w:t>81.992</w:t>
            </w:r>
          </w:p>
        </w:tc>
        <w:tc>
          <w:tcPr>
            <w:tcW w:w="206" w:type="pct"/>
            <w:tcBorders>
              <w:top w:val="single" w:sz="4" w:space="0" w:color="auto"/>
              <w:left w:val="single" w:sz="2" w:space="0" w:color="auto"/>
              <w:bottom w:val="single" w:sz="2" w:space="0" w:color="auto"/>
              <w:right w:val="nil"/>
            </w:tcBorders>
            <w:shd w:val="clear" w:color="auto" w:fill="auto"/>
            <w:noWrap/>
            <w:vAlign w:val="center"/>
            <w:hideMark/>
          </w:tcPr>
          <w:p w14:paraId="472E7712" w14:textId="4D5D7975" w:rsidR="0075499D" w:rsidRPr="003A115E" w:rsidRDefault="0075499D" w:rsidP="00472474">
            <w:pPr>
              <w:pStyle w:val="cuatexto"/>
              <w:jc w:val="right"/>
            </w:pPr>
            <w:r w:rsidRPr="003A115E">
              <w:t>-</w:t>
            </w:r>
          </w:p>
        </w:tc>
        <w:tc>
          <w:tcPr>
            <w:tcW w:w="243" w:type="pct"/>
            <w:tcBorders>
              <w:top w:val="single" w:sz="4" w:space="0" w:color="auto"/>
              <w:left w:val="nil"/>
              <w:bottom w:val="single" w:sz="2" w:space="0" w:color="auto"/>
              <w:right w:val="single" w:sz="2" w:space="0" w:color="auto"/>
            </w:tcBorders>
            <w:shd w:val="clear" w:color="auto" w:fill="auto"/>
            <w:noWrap/>
            <w:vAlign w:val="center"/>
            <w:hideMark/>
          </w:tcPr>
          <w:p w14:paraId="5C9ACE92" w14:textId="7E93E635" w:rsidR="0075499D" w:rsidRPr="003A115E" w:rsidRDefault="0075499D" w:rsidP="00472474">
            <w:pPr>
              <w:pStyle w:val="cuatexto"/>
              <w:jc w:val="right"/>
            </w:pPr>
            <w:r w:rsidRPr="003A115E">
              <w:t>-</w:t>
            </w:r>
          </w:p>
        </w:tc>
        <w:tc>
          <w:tcPr>
            <w:tcW w:w="179" w:type="pct"/>
            <w:tcBorders>
              <w:top w:val="single" w:sz="4" w:space="0" w:color="auto"/>
              <w:left w:val="single" w:sz="2" w:space="0" w:color="auto"/>
              <w:bottom w:val="single" w:sz="2" w:space="0" w:color="auto"/>
              <w:right w:val="nil"/>
            </w:tcBorders>
            <w:shd w:val="clear" w:color="auto" w:fill="auto"/>
            <w:noWrap/>
            <w:vAlign w:val="center"/>
            <w:hideMark/>
          </w:tcPr>
          <w:p w14:paraId="39F3997F" w14:textId="3A118164" w:rsidR="0075499D" w:rsidRPr="003A115E" w:rsidRDefault="0075499D" w:rsidP="00472474">
            <w:pPr>
              <w:pStyle w:val="cuatexto"/>
              <w:jc w:val="right"/>
            </w:pPr>
            <w:r w:rsidRPr="003A115E">
              <w:t>1</w:t>
            </w:r>
          </w:p>
        </w:tc>
        <w:tc>
          <w:tcPr>
            <w:tcW w:w="262" w:type="pct"/>
            <w:tcBorders>
              <w:top w:val="single" w:sz="4" w:space="0" w:color="auto"/>
              <w:left w:val="nil"/>
              <w:bottom w:val="single" w:sz="2" w:space="0" w:color="auto"/>
              <w:right w:val="single" w:sz="2" w:space="0" w:color="auto"/>
            </w:tcBorders>
            <w:shd w:val="clear" w:color="auto" w:fill="auto"/>
            <w:noWrap/>
            <w:vAlign w:val="center"/>
            <w:hideMark/>
          </w:tcPr>
          <w:p w14:paraId="51546A89" w14:textId="56AD8449" w:rsidR="0075499D" w:rsidRPr="003A115E" w:rsidRDefault="0075499D" w:rsidP="00472474">
            <w:pPr>
              <w:pStyle w:val="cuatexto"/>
              <w:jc w:val="right"/>
            </w:pPr>
            <w:r w:rsidRPr="003A115E">
              <w:t>66</w:t>
            </w:r>
          </w:p>
        </w:tc>
        <w:tc>
          <w:tcPr>
            <w:tcW w:w="195" w:type="pct"/>
            <w:tcBorders>
              <w:top w:val="single" w:sz="4" w:space="0" w:color="auto"/>
              <w:left w:val="single" w:sz="2" w:space="0" w:color="auto"/>
              <w:bottom w:val="single" w:sz="2" w:space="0" w:color="auto"/>
              <w:right w:val="nil"/>
            </w:tcBorders>
            <w:shd w:val="clear" w:color="auto" w:fill="auto"/>
            <w:noWrap/>
            <w:vAlign w:val="center"/>
            <w:hideMark/>
          </w:tcPr>
          <w:p w14:paraId="2E87FBF6" w14:textId="22C15AB0" w:rsidR="0075499D" w:rsidRPr="003A115E" w:rsidRDefault="0075499D" w:rsidP="00472474">
            <w:pPr>
              <w:pStyle w:val="cuatexto"/>
              <w:jc w:val="right"/>
            </w:pPr>
            <w:r w:rsidRPr="003A115E">
              <w:t>13</w:t>
            </w:r>
          </w:p>
        </w:tc>
        <w:tc>
          <w:tcPr>
            <w:tcW w:w="343" w:type="pct"/>
            <w:tcBorders>
              <w:top w:val="single" w:sz="4" w:space="0" w:color="auto"/>
              <w:left w:val="nil"/>
              <w:bottom w:val="single" w:sz="2" w:space="0" w:color="auto"/>
              <w:right w:val="single" w:sz="2" w:space="0" w:color="auto"/>
            </w:tcBorders>
            <w:shd w:val="clear" w:color="auto" w:fill="auto"/>
            <w:noWrap/>
            <w:vAlign w:val="center"/>
            <w:hideMark/>
          </w:tcPr>
          <w:p w14:paraId="31D9DF50" w14:textId="74DDDF9E" w:rsidR="0075499D" w:rsidRPr="003A115E" w:rsidRDefault="0075499D" w:rsidP="00472474">
            <w:pPr>
              <w:pStyle w:val="cuatexto"/>
              <w:jc w:val="right"/>
            </w:pPr>
            <w:r w:rsidRPr="003A115E">
              <w:t>1.674</w:t>
            </w:r>
          </w:p>
        </w:tc>
        <w:tc>
          <w:tcPr>
            <w:tcW w:w="254" w:type="pct"/>
            <w:tcBorders>
              <w:top w:val="single" w:sz="4" w:space="0" w:color="auto"/>
              <w:left w:val="single" w:sz="2" w:space="0" w:color="auto"/>
              <w:bottom w:val="single" w:sz="2" w:space="0" w:color="auto"/>
              <w:right w:val="nil"/>
            </w:tcBorders>
            <w:shd w:val="clear" w:color="auto" w:fill="auto"/>
            <w:noWrap/>
            <w:vAlign w:val="center"/>
            <w:hideMark/>
          </w:tcPr>
          <w:p w14:paraId="0E58DCD4" w14:textId="565E3F55" w:rsidR="0075499D" w:rsidRPr="003A115E" w:rsidRDefault="0075499D" w:rsidP="00472474">
            <w:pPr>
              <w:pStyle w:val="cuatexto"/>
              <w:jc w:val="right"/>
            </w:pPr>
            <w:r w:rsidRPr="003A115E">
              <w:t>86</w:t>
            </w:r>
          </w:p>
        </w:tc>
        <w:tc>
          <w:tcPr>
            <w:tcW w:w="381" w:type="pct"/>
            <w:tcBorders>
              <w:top w:val="single" w:sz="4" w:space="0" w:color="auto"/>
              <w:left w:val="nil"/>
              <w:bottom w:val="single" w:sz="2" w:space="0" w:color="auto"/>
              <w:right w:val="single" w:sz="2" w:space="0" w:color="auto"/>
            </w:tcBorders>
            <w:shd w:val="clear" w:color="auto" w:fill="auto"/>
            <w:noWrap/>
            <w:vAlign w:val="center"/>
            <w:hideMark/>
          </w:tcPr>
          <w:p w14:paraId="021C5F8D" w14:textId="299B6715" w:rsidR="0075499D" w:rsidRPr="003A115E" w:rsidRDefault="0075499D" w:rsidP="00472474">
            <w:pPr>
              <w:pStyle w:val="cuatexto"/>
              <w:jc w:val="right"/>
            </w:pPr>
            <w:r w:rsidRPr="003A115E">
              <w:t>6.814</w:t>
            </w:r>
          </w:p>
        </w:tc>
        <w:tc>
          <w:tcPr>
            <w:tcW w:w="127" w:type="pct"/>
            <w:tcBorders>
              <w:top w:val="single" w:sz="4" w:space="0" w:color="auto"/>
              <w:left w:val="single" w:sz="2" w:space="0" w:color="auto"/>
              <w:bottom w:val="single" w:sz="2" w:space="0" w:color="auto"/>
            </w:tcBorders>
            <w:shd w:val="clear" w:color="auto" w:fill="auto"/>
            <w:noWrap/>
            <w:vAlign w:val="center"/>
            <w:hideMark/>
          </w:tcPr>
          <w:p w14:paraId="158A4FFC" w14:textId="09A18B47" w:rsidR="0075499D" w:rsidRPr="003A115E" w:rsidRDefault="0075499D" w:rsidP="00472474">
            <w:pPr>
              <w:pStyle w:val="cuatexto"/>
              <w:jc w:val="right"/>
            </w:pPr>
            <w:r w:rsidRPr="003A115E">
              <w:t>2</w:t>
            </w:r>
          </w:p>
        </w:tc>
        <w:tc>
          <w:tcPr>
            <w:tcW w:w="254" w:type="pct"/>
            <w:tcBorders>
              <w:top w:val="single" w:sz="4" w:space="0" w:color="auto"/>
              <w:left w:val="nil"/>
              <w:bottom w:val="single" w:sz="2" w:space="0" w:color="auto"/>
              <w:right w:val="single" w:sz="2" w:space="0" w:color="auto"/>
            </w:tcBorders>
            <w:shd w:val="clear" w:color="auto" w:fill="auto"/>
            <w:noWrap/>
            <w:vAlign w:val="center"/>
            <w:hideMark/>
          </w:tcPr>
          <w:p w14:paraId="762B2D05" w14:textId="70F9B1DC" w:rsidR="0075499D" w:rsidRPr="003A115E" w:rsidRDefault="0075499D" w:rsidP="00472474">
            <w:pPr>
              <w:pStyle w:val="cuatexto"/>
              <w:jc w:val="right"/>
            </w:pPr>
            <w:r w:rsidRPr="003A115E">
              <w:t>269</w:t>
            </w:r>
          </w:p>
        </w:tc>
        <w:tc>
          <w:tcPr>
            <w:tcW w:w="216" w:type="pct"/>
            <w:tcBorders>
              <w:top w:val="single" w:sz="4" w:space="0" w:color="auto"/>
              <w:left w:val="single" w:sz="2" w:space="0" w:color="auto"/>
              <w:bottom w:val="single" w:sz="2" w:space="0" w:color="auto"/>
              <w:right w:val="nil"/>
            </w:tcBorders>
            <w:shd w:val="clear" w:color="auto" w:fill="auto"/>
            <w:noWrap/>
            <w:vAlign w:val="center"/>
            <w:hideMark/>
          </w:tcPr>
          <w:p w14:paraId="716B0BAE" w14:textId="63DB6195" w:rsidR="0075499D" w:rsidRPr="003A115E" w:rsidRDefault="0075499D" w:rsidP="00472474">
            <w:pPr>
              <w:pStyle w:val="cuatexto"/>
              <w:jc w:val="right"/>
            </w:pPr>
            <w:r w:rsidRPr="003A115E">
              <w:t>21</w:t>
            </w:r>
          </w:p>
        </w:tc>
        <w:tc>
          <w:tcPr>
            <w:tcW w:w="254" w:type="pct"/>
            <w:tcBorders>
              <w:top w:val="single" w:sz="4" w:space="0" w:color="auto"/>
              <w:left w:val="nil"/>
              <w:bottom w:val="single" w:sz="2" w:space="0" w:color="auto"/>
              <w:right w:val="single" w:sz="2" w:space="0" w:color="auto"/>
            </w:tcBorders>
            <w:shd w:val="clear" w:color="auto" w:fill="auto"/>
            <w:noWrap/>
            <w:vAlign w:val="center"/>
            <w:hideMark/>
          </w:tcPr>
          <w:p w14:paraId="32ABFD96" w14:textId="7096EED1" w:rsidR="0075499D" w:rsidRPr="003A115E" w:rsidRDefault="0075499D" w:rsidP="00472474">
            <w:pPr>
              <w:pStyle w:val="cuatexto"/>
              <w:jc w:val="right"/>
            </w:pPr>
            <w:r w:rsidRPr="003A115E">
              <w:t>671</w:t>
            </w:r>
          </w:p>
        </w:tc>
        <w:tc>
          <w:tcPr>
            <w:tcW w:w="253" w:type="pct"/>
            <w:tcBorders>
              <w:top w:val="single" w:sz="4" w:space="0" w:color="auto"/>
              <w:left w:val="single" w:sz="2" w:space="0" w:color="auto"/>
              <w:bottom w:val="single" w:sz="2" w:space="0" w:color="auto"/>
              <w:right w:val="nil"/>
            </w:tcBorders>
            <w:shd w:val="clear" w:color="auto" w:fill="auto"/>
            <w:noWrap/>
            <w:vAlign w:val="center"/>
            <w:hideMark/>
          </w:tcPr>
          <w:p w14:paraId="0B2C2236" w14:textId="7488ABFE" w:rsidR="0075499D" w:rsidRPr="003A115E" w:rsidRDefault="0075499D" w:rsidP="00472474">
            <w:pPr>
              <w:pStyle w:val="cuatexto"/>
              <w:jc w:val="right"/>
            </w:pPr>
            <w:r w:rsidRPr="003A115E">
              <w:t>341</w:t>
            </w:r>
          </w:p>
        </w:tc>
        <w:tc>
          <w:tcPr>
            <w:tcW w:w="458" w:type="pct"/>
            <w:tcBorders>
              <w:top w:val="single" w:sz="4" w:space="0" w:color="auto"/>
              <w:left w:val="nil"/>
              <w:bottom w:val="single" w:sz="2" w:space="0" w:color="auto"/>
              <w:right w:val="nil"/>
            </w:tcBorders>
            <w:shd w:val="clear" w:color="auto" w:fill="auto"/>
            <w:noWrap/>
            <w:vAlign w:val="center"/>
            <w:hideMark/>
          </w:tcPr>
          <w:p w14:paraId="3729265E" w14:textId="080FB5BC" w:rsidR="0075499D" w:rsidRPr="003A115E" w:rsidRDefault="0075499D" w:rsidP="00472474">
            <w:pPr>
              <w:pStyle w:val="cuatexto"/>
              <w:jc w:val="right"/>
            </w:pPr>
            <w:r w:rsidRPr="003A115E">
              <w:t>91.487</w:t>
            </w:r>
          </w:p>
        </w:tc>
      </w:tr>
      <w:tr w:rsidR="000A742F" w:rsidRPr="003A115E" w14:paraId="26419DDB" w14:textId="77777777" w:rsidTr="00FA749D">
        <w:trPr>
          <w:trHeight w:val="198"/>
          <w:jc w:val="center"/>
        </w:trPr>
        <w:tc>
          <w:tcPr>
            <w:tcW w:w="666" w:type="pct"/>
            <w:tcBorders>
              <w:top w:val="single" w:sz="2" w:space="0" w:color="auto"/>
              <w:left w:val="nil"/>
              <w:bottom w:val="single" w:sz="2" w:space="0" w:color="auto"/>
              <w:right w:val="nil"/>
            </w:tcBorders>
            <w:shd w:val="clear" w:color="auto" w:fill="auto"/>
            <w:vAlign w:val="center"/>
            <w:hideMark/>
          </w:tcPr>
          <w:p w14:paraId="7D1A6CDB" w14:textId="77777777" w:rsidR="0075499D" w:rsidRPr="003A115E" w:rsidRDefault="0075499D" w:rsidP="00FA045A">
            <w:pPr>
              <w:pStyle w:val="cuatexto"/>
            </w:pPr>
            <w:r w:rsidRPr="003A115E">
              <w:t>Servicios</w:t>
            </w:r>
          </w:p>
        </w:tc>
        <w:tc>
          <w:tcPr>
            <w:tcW w:w="253" w:type="pct"/>
            <w:tcBorders>
              <w:top w:val="single" w:sz="2" w:space="0" w:color="auto"/>
              <w:left w:val="nil"/>
              <w:bottom w:val="single" w:sz="2" w:space="0" w:color="auto"/>
              <w:right w:val="nil"/>
            </w:tcBorders>
            <w:shd w:val="clear" w:color="auto" w:fill="auto"/>
            <w:noWrap/>
            <w:vAlign w:val="center"/>
            <w:hideMark/>
          </w:tcPr>
          <w:p w14:paraId="79CF0883" w14:textId="0113C91E" w:rsidR="0075499D" w:rsidRPr="003A115E" w:rsidRDefault="0075499D" w:rsidP="00472474">
            <w:pPr>
              <w:pStyle w:val="cuatexto"/>
              <w:jc w:val="right"/>
            </w:pPr>
            <w:r w:rsidRPr="003A115E">
              <w:t>160</w:t>
            </w:r>
          </w:p>
        </w:tc>
        <w:tc>
          <w:tcPr>
            <w:tcW w:w="459" w:type="pct"/>
            <w:tcBorders>
              <w:top w:val="single" w:sz="2" w:space="0" w:color="auto"/>
              <w:left w:val="nil"/>
              <w:bottom w:val="single" w:sz="2" w:space="0" w:color="auto"/>
              <w:right w:val="single" w:sz="2" w:space="0" w:color="auto"/>
            </w:tcBorders>
            <w:shd w:val="clear" w:color="auto" w:fill="auto"/>
            <w:noWrap/>
            <w:vAlign w:val="center"/>
            <w:hideMark/>
          </w:tcPr>
          <w:p w14:paraId="16868CA4" w14:textId="661C2D6C" w:rsidR="0075499D" w:rsidRPr="003A115E" w:rsidRDefault="0075499D" w:rsidP="00472474">
            <w:pPr>
              <w:pStyle w:val="cuatexto"/>
              <w:jc w:val="right"/>
            </w:pPr>
            <w:r w:rsidRPr="003A115E">
              <w:t>35.112</w:t>
            </w:r>
          </w:p>
        </w:tc>
        <w:tc>
          <w:tcPr>
            <w:tcW w:w="206" w:type="pct"/>
            <w:tcBorders>
              <w:top w:val="single" w:sz="2" w:space="0" w:color="auto"/>
              <w:left w:val="single" w:sz="2" w:space="0" w:color="auto"/>
              <w:bottom w:val="single" w:sz="2" w:space="0" w:color="auto"/>
              <w:right w:val="nil"/>
            </w:tcBorders>
            <w:shd w:val="clear" w:color="auto" w:fill="auto"/>
            <w:noWrap/>
            <w:vAlign w:val="center"/>
            <w:hideMark/>
          </w:tcPr>
          <w:p w14:paraId="42CE3D94" w14:textId="50E57D97" w:rsidR="0075499D" w:rsidRPr="003A115E" w:rsidRDefault="0075499D" w:rsidP="00472474">
            <w:pPr>
              <w:pStyle w:val="cuatexto"/>
              <w:jc w:val="right"/>
            </w:pPr>
            <w:r w:rsidRPr="003A115E">
              <w:t>2</w:t>
            </w:r>
          </w:p>
        </w:tc>
        <w:tc>
          <w:tcPr>
            <w:tcW w:w="243" w:type="pct"/>
            <w:tcBorders>
              <w:top w:val="single" w:sz="2" w:space="0" w:color="auto"/>
              <w:left w:val="nil"/>
              <w:bottom w:val="single" w:sz="2" w:space="0" w:color="auto"/>
              <w:right w:val="single" w:sz="2" w:space="0" w:color="auto"/>
            </w:tcBorders>
            <w:shd w:val="clear" w:color="auto" w:fill="auto"/>
            <w:noWrap/>
            <w:vAlign w:val="center"/>
            <w:hideMark/>
          </w:tcPr>
          <w:p w14:paraId="7D1D33F9" w14:textId="70B2E8EB" w:rsidR="0075499D" w:rsidRPr="003A115E" w:rsidRDefault="0075499D" w:rsidP="00472474">
            <w:pPr>
              <w:pStyle w:val="cuatexto"/>
              <w:jc w:val="right"/>
            </w:pPr>
            <w:r w:rsidRPr="003A115E">
              <w:t>42</w:t>
            </w:r>
          </w:p>
        </w:tc>
        <w:tc>
          <w:tcPr>
            <w:tcW w:w="179" w:type="pct"/>
            <w:tcBorders>
              <w:top w:val="single" w:sz="2" w:space="0" w:color="auto"/>
              <w:left w:val="single" w:sz="2" w:space="0" w:color="auto"/>
              <w:bottom w:val="single" w:sz="2" w:space="0" w:color="auto"/>
              <w:right w:val="nil"/>
            </w:tcBorders>
            <w:shd w:val="clear" w:color="auto" w:fill="auto"/>
            <w:noWrap/>
            <w:vAlign w:val="center"/>
            <w:hideMark/>
          </w:tcPr>
          <w:p w14:paraId="645FD629" w14:textId="4BB3D19E" w:rsidR="0075499D" w:rsidRPr="003A115E" w:rsidRDefault="0075499D" w:rsidP="00472474">
            <w:pPr>
              <w:pStyle w:val="cuatexto"/>
              <w:jc w:val="right"/>
            </w:pPr>
            <w:r w:rsidRPr="003A115E">
              <w:t>-</w:t>
            </w:r>
          </w:p>
        </w:tc>
        <w:tc>
          <w:tcPr>
            <w:tcW w:w="262" w:type="pct"/>
            <w:tcBorders>
              <w:top w:val="single" w:sz="2" w:space="0" w:color="auto"/>
              <w:left w:val="nil"/>
              <w:bottom w:val="single" w:sz="2" w:space="0" w:color="auto"/>
              <w:right w:val="single" w:sz="2" w:space="0" w:color="auto"/>
            </w:tcBorders>
            <w:shd w:val="clear" w:color="auto" w:fill="auto"/>
            <w:noWrap/>
            <w:vAlign w:val="center"/>
            <w:hideMark/>
          </w:tcPr>
          <w:p w14:paraId="4BA7C2BA" w14:textId="03E3F9B5" w:rsidR="0075499D" w:rsidRPr="003A115E" w:rsidRDefault="0075499D" w:rsidP="00472474">
            <w:pPr>
              <w:pStyle w:val="cuatexto"/>
              <w:jc w:val="right"/>
            </w:pPr>
            <w:r w:rsidRPr="003A115E">
              <w:t>-</w:t>
            </w:r>
          </w:p>
        </w:tc>
        <w:tc>
          <w:tcPr>
            <w:tcW w:w="195" w:type="pct"/>
            <w:tcBorders>
              <w:top w:val="single" w:sz="2" w:space="0" w:color="auto"/>
              <w:left w:val="single" w:sz="2" w:space="0" w:color="auto"/>
              <w:bottom w:val="single" w:sz="2" w:space="0" w:color="auto"/>
              <w:right w:val="nil"/>
            </w:tcBorders>
            <w:shd w:val="clear" w:color="auto" w:fill="auto"/>
            <w:noWrap/>
            <w:vAlign w:val="center"/>
            <w:hideMark/>
          </w:tcPr>
          <w:p w14:paraId="7DE63F9F" w14:textId="05037900" w:rsidR="0075499D" w:rsidRPr="003A115E" w:rsidRDefault="0075499D" w:rsidP="00472474">
            <w:pPr>
              <w:pStyle w:val="cuatexto"/>
              <w:jc w:val="right"/>
            </w:pPr>
            <w:r w:rsidRPr="003A115E">
              <w:t>14</w:t>
            </w:r>
          </w:p>
        </w:tc>
        <w:tc>
          <w:tcPr>
            <w:tcW w:w="343" w:type="pct"/>
            <w:tcBorders>
              <w:top w:val="single" w:sz="2" w:space="0" w:color="auto"/>
              <w:left w:val="nil"/>
              <w:bottom w:val="single" w:sz="2" w:space="0" w:color="auto"/>
              <w:right w:val="single" w:sz="2" w:space="0" w:color="auto"/>
            </w:tcBorders>
            <w:shd w:val="clear" w:color="auto" w:fill="auto"/>
            <w:noWrap/>
            <w:vAlign w:val="center"/>
            <w:hideMark/>
          </w:tcPr>
          <w:p w14:paraId="05239FBD" w14:textId="15B9A063" w:rsidR="0075499D" w:rsidRPr="003A115E" w:rsidRDefault="0075499D" w:rsidP="00472474">
            <w:pPr>
              <w:pStyle w:val="cuatexto"/>
              <w:jc w:val="right"/>
            </w:pPr>
            <w:r w:rsidRPr="003A115E">
              <w:t>857</w:t>
            </w:r>
          </w:p>
        </w:tc>
        <w:tc>
          <w:tcPr>
            <w:tcW w:w="254" w:type="pct"/>
            <w:tcBorders>
              <w:top w:val="single" w:sz="2" w:space="0" w:color="auto"/>
              <w:left w:val="single" w:sz="2" w:space="0" w:color="auto"/>
              <w:bottom w:val="single" w:sz="2" w:space="0" w:color="auto"/>
              <w:right w:val="nil"/>
            </w:tcBorders>
            <w:shd w:val="clear" w:color="auto" w:fill="auto"/>
            <w:noWrap/>
            <w:vAlign w:val="center"/>
            <w:hideMark/>
          </w:tcPr>
          <w:p w14:paraId="42B3DB92" w14:textId="05AC1635" w:rsidR="0075499D" w:rsidRPr="003A115E" w:rsidRDefault="0075499D" w:rsidP="00472474">
            <w:pPr>
              <w:pStyle w:val="cuatexto"/>
              <w:jc w:val="right"/>
            </w:pPr>
            <w:r w:rsidRPr="003A115E">
              <w:t>34</w:t>
            </w:r>
          </w:p>
        </w:tc>
        <w:tc>
          <w:tcPr>
            <w:tcW w:w="381" w:type="pct"/>
            <w:tcBorders>
              <w:top w:val="single" w:sz="2" w:space="0" w:color="auto"/>
              <w:left w:val="nil"/>
              <w:bottom w:val="single" w:sz="2" w:space="0" w:color="auto"/>
              <w:right w:val="single" w:sz="2" w:space="0" w:color="auto"/>
            </w:tcBorders>
            <w:shd w:val="clear" w:color="auto" w:fill="auto"/>
            <w:noWrap/>
            <w:vAlign w:val="center"/>
            <w:hideMark/>
          </w:tcPr>
          <w:p w14:paraId="08FB3594" w14:textId="6CEB6B23" w:rsidR="0075499D" w:rsidRPr="003A115E" w:rsidRDefault="0075499D" w:rsidP="00472474">
            <w:pPr>
              <w:pStyle w:val="cuatexto"/>
              <w:jc w:val="right"/>
            </w:pPr>
            <w:r w:rsidRPr="003A115E">
              <w:t>1.123</w:t>
            </w:r>
          </w:p>
        </w:tc>
        <w:tc>
          <w:tcPr>
            <w:tcW w:w="127" w:type="pct"/>
            <w:tcBorders>
              <w:top w:val="single" w:sz="2" w:space="0" w:color="auto"/>
              <w:left w:val="single" w:sz="2" w:space="0" w:color="auto"/>
              <w:bottom w:val="single" w:sz="2" w:space="0" w:color="auto"/>
            </w:tcBorders>
            <w:shd w:val="clear" w:color="auto" w:fill="auto"/>
            <w:noWrap/>
            <w:vAlign w:val="center"/>
            <w:hideMark/>
          </w:tcPr>
          <w:p w14:paraId="28431176" w14:textId="4BA72B77" w:rsidR="0075499D" w:rsidRPr="003A115E" w:rsidRDefault="0075499D" w:rsidP="00472474">
            <w:pPr>
              <w:pStyle w:val="cuatexto"/>
              <w:jc w:val="right"/>
            </w:pPr>
            <w:r w:rsidRPr="003A115E">
              <w:t>-</w:t>
            </w:r>
          </w:p>
        </w:tc>
        <w:tc>
          <w:tcPr>
            <w:tcW w:w="254" w:type="pct"/>
            <w:tcBorders>
              <w:top w:val="single" w:sz="2" w:space="0" w:color="auto"/>
              <w:left w:val="nil"/>
              <w:bottom w:val="single" w:sz="2" w:space="0" w:color="auto"/>
              <w:right w:val="single" w:sz="2" w:space="0" w:color="auto"/>
            </w:tcBorders>
            <w:shd w:val="clear" w:color="auto" w:fill="auto"/>
            <w:noWrap/>
            <w:vAlign w:val="center"/>
            <w:hideMark/>
          </w:tcPr>
          <w:p w14:paraId="3001932A" w14:textId="6A796B56" w:rsidR="0075499D" w:rsidRPr="003A115E" w:rsidRDefault="0075499D" w:rsidP="00472474">
            <w:pPr>
              <w:pStyle w:val="cuatexto"/>
              <w:jc w:val="right"/>
            </w:pPr>
            <w:r w:rsidRPr="003A115E">
              <w:t>-</w:t>
            </w:r>
          </w:p>
        </w:tc>
        <w:tc>
          <w:tcPr>
            <w:tcW w:w="216" w:type="pct"/>
            <w:tcBorders>
              <w:top w:val="single" w:sz="2" w:space="0" w:color="auto"/>
              <w:left w:val="single" w:sz="2" w:space="0" w:color="auto"/>
              <w:bottom w:val="single" w:sz="2" w:space="0" w:color="auto"/>
              <w:right w:val="nil"/>
            </w:tcBorders>
            <w:shd w:val="clear" w:color="auto" w:fill="auto"/>
            <w:noWrap/>
            <w:vAlign w:val="center"/>
            <w:hideMark/>
          </w:tcPr>
          <w:p w14:paraId="47778E0B" w14:textId="5B71D945" w:rsidR="0075499D" w:rsidRPr="003A115E" w:rsidRDefault="0075499D" w:rsidP="00472474">
            <w:pPr>
              <w:pStyle w:val="cuatexto"/>
              <w:jc w:val="right"/>
            </w:pPr>
            <w:r w:rsidRPr="003A115E">
              <w:t>-</w:t>
            </w:r>
          </w:p>
        </w:tc>
        <w:tc>
          <w:tcPr>
            <w:tcW w:w="254" w:type="pct"/>
            <w:tcBorders>
              <w:top w:val="single" w:sz="2" w:space="0" w:color="auto"/>
              <w:left w:val="nil"/>
              <w:bottom w:val="single" w:sz="2" w:space="0" w:color="auto"/>
              <w:right w:val="single" w:sz="2" w:space="0" w:color="auto"/>
            </w:tcBorders>
            <w:shd w:val="clear" w:color="auto" w:fill="auto"/>
            <w:noWrap/>
            <w:vAlign w:val="center"/>
            <w:hideMark/>
          </w:tcPr>
          <w:p w14:paraId="50912964" w14:textId="24C481E9" w:rsidR="0075499D" w:rsidRPr="003A115E" w:rsidRDefault="0075499D" w:rsidP="00472474">
            <w:pPr>
              <w:pStyle w:val="cuatexto"/>
              <w:jc w:val="right"/>
            </w:pPr>
            <w:r w:rsidRPr="003A115E">
              <w:t>-</w:t>
            </w:r>
          </w:p>
        </w:tc>
        <w:tc>
          <w:tcPr>
            <w:tcW w:w="253" w:type="pct"/>
            <w:tcBorders>
              <w:top w:val="single" w:sz="2" w:space="0" w:color="auto"/>
              <w:left w:val="single" w:sz="2" w:space="0" w:color="auto"/>
              <w:bottom w:val="single" w:sz="2" w:space="0" w:color="auto"/>
              <w:right w:val="nil"/>
            </w:tcBorders>
            <w:shd w:val="clear" w:color="auto" w:fill="auto"/>
            <w:noWrap/>
            <w:vAlign w:val="center"/>
            <w:hideMark/>
          </w:tcPr>
          <w:p w14:paraId="6BEDC2A8" w14:textId="41EFD10A" w:rsidR="0075499D" w:rsidRPr="003A115E" w:rsidRDefault="0075499D" w:rsidP="00472474">
            <w:pPr>
              <w:pStyle w:val="cuatexto"/>
              <w:jc w:val="right"/>
            </w:pPr>
            <w:r w:rsidRPr="003A115E">
              <w:t>210</w:t>
            </w:r>
          </w:p>
        </w:tc>
        <w:tc>
          <w:tcPr>
            <w:tcW w:w="458" w:type="pct"/>
            <w:tcBorders>
              <w:top w:val="single" w:sz="2" w:space="0" w:color="auto"/>
              <w:left w:val="nil"/>
              <w:bottom w:val="single" w:sz="2" w:space="0" w:color="auto"/>
              <w:right w:val="nil"/>
            </w:tcBorders>
            <w:shd w:val="clear" w:color="auto" w:fill="auto"/>
            <w:noWrap/>
            <w:vAlign w:val="center"/>
            <w:hideMark/>
          </w:tcPr>
          <w:p w14:paraId="1B51A55D" w14:textId="5270FE23" w:rsidR="0075499D" w:rsidRPr="003A115E" w:rsidRDefault="0075499D" w:rsidP="00472474">
            <w:pPr>
              <w:pStyle w:val="cuatexto"/>
              <w:jc w:val="right"/>
            </w:pPr>
            <w:r w:rsidRPr="003A115E">
              <w:t>37.134</w:t>
            </w:r>
          </w:p>
        </w:tc>
      </w:tr>
      <w:tr w:rsidR="000A742F" w:rsidRPr="003A115E" w14:paraId="562BF8B2" w14:textId="77777777" w:rsidTr="00FA749D">
        <w:trPr>
          <w:trHeight w:val="198"/>
          <w:jc w:val="center"/>
        </w:trPr>
        <w:tc>
          <w:tcPr>
            <w:tcW w:w="666" w:type="pct"/>
            <w:tcBorders>
              <w:top w:val="single" w:sz="2" w:space="0" w:color="auto"/>
              <w:left w:val="nil"/>
              <w:bottom w:val="single" w:sz="2" w:space="0" w:color="auto"/>
              <w:right w:val="nil"/>
            </w:tcBorders>
            <w:shd w:val="clear" w:color="auto" w:fill="auto"/>
            <w:vAlign w:val="center"/>
            <w:hideMark/>
          </w:tcPr>
          <w:p w14:paraId="3E518F75" w14:textId="77777777" w:rsidR="0075499D" w:rsidRPr="003A115E" w:rsidRDefault="0075499D" w:rsidP="00FA045A">
            <w:pPr>
              <w:pStyle w:val="cuatexto"/>
            </w:pPr>
            <w:r w:rsidRPr="003A115E">
              <w:t>Suministro</w:t>
            </w:r>
          </w:p>
        </w:tc>
        <w:tc>
          <w:tcPr>
            <w:tcW w:w="253" w:type="pct"/>
            <w:tcBorders>
              <w:top w:val="single" w:sz="2" w:space="0" w:color="auto"/>
              <w:left w:val="nil"/>
              <w:bottom w:val="single" w:sz="2" w:space="0" w:color="auto"/>
              <w:right w:val="nil"/>
            </w:tcBorders>
            <w:shd w:val="clear" w:color="auto" w:fill="auto"/>
            <w:noWrap/>
            <w:vAlign w:val="center"/>
            <w:hideMark/>
          </w:tcPr>
          <w:p w14:paraId="59F95E7C" w14:textId="49039970" w:rsidR="0075499D" w:rsidRPr="003A115E" w:rsidRDefault="0075499D" w:rsidP="00472474">
            <w:pPr>
              <w:pStyle w:val="cuatexto"/>
              <w:jc w:val="right"/>
            </w:pPr>
            <w:r w:rsidRPr="003A115E">
              <w:t>83</w:t>
            </w:r>
          </w:p>
        </w:tc>
        <w:tc>
          <w:tcPr>
            <w:tcW w:w="459" w:type="pct"/>
            <w:tcBorders>
              <w:top w:val="single" w:sz="2" w:space="0" w:color="auto"/>
              <w:left w:val="nil"/>
              <w:bottom w:val="single" w:sz="2" w:space="0" w:color="auto"/>
              <w:right w:val="single" w:sz="2" w:space="0" w:color="auto"/>
            </w:tcBorders>
            <w:shd w:val="clear" w:color="auto" w:fill="auto"/>
            <w:noWrap/>
            <w:vAlign w:val="center"/>
            <w:hideMark/>
          </w:tcPr>
          <w:p w14:paraId="4EAA92DD" w14:textId="7E9C1D7F" w:rsidR="0075499D" w:rsidRPr="003A115E" w:rsidRDefault="0075499D" w:rsidP="00472474">
            <w:pPr>
              <w:pStyle w:val="cuatexto"/>
              <w:jc w:val="right"/>
            </w:pPr>
            <w:r w:rsidRPr="003A115E">
              <w:t>12.813</w:t>
            </w:r>
          </w:p>
        </w:tc>
        <w:tc>
          <w:tcPr>
            <w:tcW w:w="206" w:type="pct"/>
            <w:tcBorders>
              <w:top w:val="single" w:sz="2" w:space="0" w:color="auto"/>
              <w:left w:val="single" w:sz="2" w:space="0" w:color="auto"/>
              <w:bottom w:val="single" w:sz="2" w:space="0" w:color="auto"/>
              <w:right w:val="nil"/>
            </w:tcBorders>
            <w:shd w:val="clear" w:color="auto" w:fill="auto"/>
            <w:noWrap/>
            <w:vAlign w:val="center"/>
            <w:hideMark/>
          </w:tcPr>
          <w:p w14:paraId="00D0FDA2" w14:textId="010B8942" w:rsidR="0075499D" w:rsidRPr="003A115E" w:rsidRDefault="0075499D" w:rsidP="00472474">
            <w:pPr>
              <w:pStyle w:val="cuatexto"/>
              <w:jc w:val="right"/>
            </w:pPr>
            <w:r w:rsidRPr="003A115E">
              <w:t>-</w:t>
            </w:r>
          </w:p>
        </w:tc>
        <w:tc>
          <w:tcPr>
            <w:tcW w:w="243" w:type="pct"/>
            <w:tcBorders>
              <w:top w:val="single" w:sz="2" w:space="0" w:color="auto"/>
              <w:left w:val="nil"/>
              <w:bottom w:val="single" w:sz="2" w:space="0" w:color="auto"/>
              <w:right w:val="single" w:sz="2" w:space="0" w:color="auto"/>
            </w:tcBorders>
            <w:shd w:val="clear" w:color="auto" w:fill="auto"/>
            <w:noWrap/>
            <w:vAlign w:val="center"/>
            <w:hideMark/>
          </w:tcPr>
          <w:p w14:paraId="6C9EDF0E" w14:textId="5C212698" w:rsidR="0075499D" w:rsidRPr="003A115E" w:rsidRDefault="0075499D" w:rsidP="00472474">
            <w:pPr>
              <w:pStyle w:val="cuatexto"/>
              <w:jc w:val="right"/>
            </w:pPr>
            <w:r w:rsidRPr="003A115E">
              <w:t>-</w:t>
            </w:r>
          </w:p>
        </w:tc>
        <w:tc>
          <w:tcPr>
            <w:tcW w:w="179" w:type="pct"/>
            <w:tcBorders>
              <w:top w:val="single" w:sz="2" w:space="0" w:color="auto"/>
              <w:left w:val="single" w:sz="2" w:space="0" w:color="auto"/>
              <w:bottom w:val="single" w:sz="2" w:space="0" w:color="auto"/>
              <w:right w:val="nil"/>
            </w:tcBorders>
            <w:shd w:val="clear" w:color="auto" w:fill="auto"/>
            <w:noWrap/>
            <w:vAlign w:val="center"/>
            <w:hideMark/>
          </w:tcPr>
          <w:p w14:paraId="25E00690" w14:textId="6BF0FD84" w:rsidR="0075499D" w:rsidRPr="003A115E" w:rsidRDefault="0075499D" w:rsidP="00472474">
            <w:pPr>
              <w:pStyle w:val="cuatexto"/>
              <w:jc w:val="right"/>
            </w:pPr>
            <w:r w:rsidRPr="003A115E">
              <w:t>-</w:t>
            </w:r>
          </w:p>
        </w:tc>
        <w:tc>
          <w:tcPr>
            <w:tcW w:w="262" w:type="pct"/>
            <w:tcBorders>
              <w:top w:val="single" w:sz="2" w:space="0" w:color="auto"/>
              <w:left w:val="nil"/>
              <w:bottom w:val="single" w:sz="2" w:space="0" w:color="auto"/>
              <w:right w:val="single" w:sz="2" w:space="0" w:color="auto"/>
            </w:tcBorders>
            <w:shd w:val="clear" w:color="auto" w:fill="auto"/>
            <w:noWrap/>
            <w:vAlign w:val="center"/>
            <w:hideMark/>
          </w:tcPr>
          <w:p w14:paraId="1E6885AD" w14:textId="3CD15526" w:rsidR="0075499D" w:rsidRPr="003A115E" w:rsidRDefault="0075499D" w:rsidP="00472474">
            <w:pPr>
              <w:pStyle w:val="cuatexto"/>
              <w:jc w:val="right"/>
            </w:pPr>
            <w:r w:rsidRPr="003A115E">
              <w:t>-</w:t>
            </w:r>
          </w:p>
        </w:tc>
        <w:tc>
          <w:tcPr>
            <w:tcW w:w="195" w:type="pct"/>
            <w:tcBorders>
              <w:top w:val="single" w:sz="2" w:space="0" w:color="auto"/>
              <w:left w:val="single" w:sz="2" w:space="0" w:color="auto"/>
              <w:bottom w:val="single" w:sz="2" w:space="0" w:color="auto"/>
              <w:right w:val="nil"/>
            </w:tcBorders>
            <w:shd w:val="clear" w:color="auto" w:fill="auto"/>
            <w:noWrap/>
            <w:vAlign w:val="center"/>
            <w:hideMark/>
          </w:tcPr>
          <w:p w14:paraId="2ADCFCA4" w14:textId="663103AD" w:rsidR="0075499D" w:rsidRPr="003A115E" w:rsidRDefault="0075499D" w:rsidP="00472474">
            <w:pPr>
              <w:pStyle w:val="cuatexto"/>
              <w:jc w:val="right"/>
            </w:pPr>
            <w:r w:rsidRPr="003A115E">
              <w:t>6</w:t>
            </w:r>
          </w:p>
        </w:tc>
        <w:tc>
          <w:tcPr>
            <w:tcW w:w="343" w:type="pct"/>
            <w:tcBorders>
              <w:top w:val="single" w:sz="2" w:space="0" w:color="auto"/>
              <w:left w:val="nil"/>
              <w:bottom w:val="single" w:sz="2" w:space="0" w:color="auto"/>
              <w:right w:val="single" w:sz="2" w:space="0" w:color="auto"/>
            </w:tcBorders>
            <w:shd w:val="clear" w:color="auto" w:fill="auto"/>
            <w:noWrap/>
            <w:vAlign w:val="center"/>
            <w:hideMark/>
          </w:tcPr>
          <w:p w14:paraId="7AD4DB4B" w14:textId="640B46D2" w:rsidR="0075499D" w:rsidRPr="003A115E" w:rsidRDefault="0075499D" w:rsidP="00472474">
            <w:pPr>
              <w:pStyle w:val="cuatexto"/>
              <w:jc w:val="right"/>
            </w:pPr>
            <w:r w:rsidRPr="003A115E">
              <w:t>345</w:t>
            </w:r>
          </w:p>
        </w:tc>
        <w:tc>
          <w:tcPr>
            <w:tcW w:w="254" w:type="pct"/>
            <w:tcBorders>
              <w:top w:val="single" w:sz="2" w:space="0" w:color="auto"/>
              <w:left w:val="single" w:sz="2" w:space="0" w:color="auto"/>
              <w:bottom w:val="single" w:sz="2" w:space="0" w:color="auto"/>
              <w:right w:val="nil"/>
            </w:tcBorders>
            <w:shd w:val="clear" w:color="auto" w:fill="auto"/>
            <w:noWrap/>
            <w:vAlign w:val="center"/>
            <w:hideMark/>
          </w:tcPr>
          <w:p w14:paraId="52EDC388" w14:textId="2B0D0A87" w:rsidR="0075499D" w:rsidRPr="003A115E" w:rsidRDefault="0075499D" w:rsidP="00472474">
            <w:pPr>
              <w:pStyle w:val="cuatexto"/>
              <w:jc w:val="right"/>
            </w:pPr>
            <w:r w:rsidRPr="003A115E">
              <w:t>15</w:t>
            </w:r>
          </w:p>
        </w:tc>
        <w:tc>
          <w:tcPr>
            <w:tcW w:w="381" w:type="pct"/>
            <w:tcBorders>
              <w:top w:val="single" w:sz="2" w:space="0" w:color="auto"/>
              <w:left w:val="nil"/>
              <w:bottom w:val="single" w:sz="2" w:space="0" w:color="auto"/>
              <w:right w:val="single" w:sz="2" w:space="0" w:color="auto"/>
            </w:tcBorders>
            <w:shd w:val="clear" w:color="auto" w:fill="auto"/>
            <w:noWrap/>
            <w:vAlign w:val="center"/>
            <w:hideMark/>
          </w:tcPr>
          <w:p w14:paraId="067318D8" w14:textId="3F37B6E6" w:rsidR="0075499D" w:rsidRPr="003A115E" w:rsidRDefault="0075499D" w:rsidP="00472474">
            <w:pPr>
              <w:pStyle w:val="cuatexto"/>
              <w:jc w:val="right"/>
            </w:pPr>
            <w:r w:rsidRPr="003A115E">
              <w:t>575</w:t>
            </w:r>
          </w:p>
        </w:tc>
        <w:tc>
          <w:tcPr>
            <w:tcW w:w="127" w:type="pct"/>
            <w:tcBorders>
              <w:top w:val="single" w:sz="2" w:space="0" w:color="auto"/>
              <w:left w:val="single" w:sz="2" w:space="0" w:color="auto"/>
              <w:bottom w:val="single" w:sz="2" w:space="0" w:color="auto"/>
            </w:tcBorders>
            <w:shd w:val="clear" w:color="auto" w:fill="auto"/>
            <w:noWrap/>
            <w:vAlign w:val="center"/>
            <w:hideMark/>
          </w:tcPr>
          <w:p w14:paraId="088CC12E" w14:textId="1048BD8A" w:rsidR="0075499D" w:rsidRPr="003A115E" w:rsidRDefault="0075499D" w:rsidP="00472474">
            <w:pPr>
              <w:pStyle w:val="cuatexto"/>
              <w:jc w:val="right"/>
            </w:pPr>
            <w:r w:rsidRPr="003A115E">
              <w:t>-</w:t>
            </w:r>
          </w:p>
        </w:tc>
        <w:tc>
          <w:tcPr>
            <w:tcW w:w="254" w:type="pct"/>
            <w:tcBorders>
              <w:top w:val="single" w:sz="2" w:space="0" w:color="auto"/>
              <w:left w:val="nil"/>
              <w:bottom w:val="single" w:sz="2" w:space="0" w:color="auto"/>
              <w:right w:val="single" w:sz="2" w:space="0" w:color="auto"/>
            </w:tcBorders>
            <w:shd w:val="clear" w:color="auto" w:fill="auto"/>
            <w:noWrap/>
            <w:vAlign w:val="center"/>
            <w:hideMark/>
          </w:tcPr>
          <w:p w14:paraId="1ADBC9B8" w14:textId="694D1FFB" w:rsidR="0075499D" w:rsidRPr="003A115E" w:rsidRDefault="0075499D" w:rsidP="00472474">
            <w:pPr>
              <w:pStyle w:val="cuatexto"/>
              <w:jc w:val="right"/>
            </w:pPr>
            <w:r w:rsidRPr="003A115E">
              <w:t>-</w:t>
            </w:r>
          </w:p>
        </w:tc>
        <w:tc>
          <w:tcPr>
            <w:tcW w:w="216" w:type="pct"/>
            <w:tcBorders>
              <w:top w:val="single" w:sz="2" w:space="0" w:color="auto"/>
              <w:left w:val="single" w:sz="2" w:space="0" w:color="auto"/>
              <w:bottom w:val="single" w:sz="2" w:space="0" w:color="auto"/>
              <w:right w:val="nil"/>
            </w:tcBorders>
            <w:shd w:val="clear" w:color="auto" w:fill="auto"/>
            <w:noWrap/>
            <w:vAlign w:val="center"/>
            <w:hideMark/>
          </w:tcPr>
          <w:p w14:paraId="7CD660AC" w14:textId="3C431E66" w:rsidR="0075499D" w:rsidRPr="003A115E" w:rsidRDefault="0075499D" w:rsidP="00472474">
            <w:pPr>
              <w:pStyle w:val="cuatexto"/>
              <w:jc w:val="right"/>
            </w:pPr>
            <w:r w:rsidRPr="003A115E">
              <w:t>-</w:t>
            </w:r>
          </w:p>
        </w:tc>
        <w:tc>
          <w:tcPr>
            <w:tcW w:w="254" w:type="pct"/>
            <w:tcBorders>
              <w:top w:val="single" w:sz="2" w:space="0" w:color="auto"/>
              <w:left w:val="nil"/>
              <w:bottom w:val="single" w:sz="2" w:space="0" w:color="auto"/>
              <w:right w:val="single" w:sz="2" w:space="0" w:color="auto"/>
            </w:tcBorders>
            <w:shd w:val="clear" w:color="auto" w:fill="auto"/>
            <w:noWrap/>
            <w:vAlign w:val="center"/>
            <w:hideMark/>
          </w:tcPr>
          <w:p w14:paraId="4747959A" w14:textId="60B0D1D8" w:rsidR="0075499D" w:rsidRPr="003A115E" w:rsidRDefault="0075499D" w:rsidP="00472474">
            <w:pPr>
              <w:pStyle w:val="cuatexto"/>
              <w:jc w:val="right"/>
            </w:pPr>
            <w:r w:rsidRPr="003A115E">
              <w:t>-</w:t>
            </w:r>
          </w:p>
        </w:tc>
        <w:tc>
          <w:tcPr>
            <w:tcW w:w="253" w:type="pct"/>
            <w:tcBorders>
              <w:top w:val="single" w:sz="2" w:space="0" w:color="auto"/>
              <w:left w:val="single" w:sz="2" w:space="0" w:color="auto"/>
              <w:bottom w:val="single" w:sz="2" w:space="0" w:color="auto"/>
              <w:right w:val="nil"/>
            </w:tcBorders>
            <w:shd w:val="clear" w:color="auto" w:fill="auto"/>
            <w:noWrap/>
            <w:vAlign w:val="center"/>
            <w:hideMark/>
          </w:tcPr>
          <w:p w14:paraId="20431D2C" w14:textId="19806520" w:rsidR="0075499D" w:rsidRPr="003A115E" w:rsidRDefault="0075499D" w:rsidP="00472474">
            <w:pPr>
              <w:pStyle w:val="cuatexto"/>
              <w:jc w:val="right"/>
            </w:pPr>
            <w:r w:rsidRPr="003A115E">
              <w:t>104</w:t>
            </w:r>
          </w:p>
        </w:tc>
        <w:tc>
          <w:tcPr>
            <w:tcW w:w="458" w:type="pct"/>
            <w:tcBorders>
              <w:top w:val="single" w:sz="2" w:space="0" w:color="auto"/>
              <w:left w:val="nil"/>
              <w:bottom w:val="single" w:sz="2" w:space="0" w:color="auto"/>
              <w:right w:val="nil"/>
            </w:tcBorders>
            <w:shd w:val="clear" w:color="auto" w:fill="auto"/>
            <w:noWrap/>
            <w:vAlign w:val="center"/>
            <w:hideMark/>
          </w:tcPr>
          <w:p w14:paraId="49C2EDDC" w14:textId="380FFFCE" w:rsidR="0075499D" w:rsidRPr="003A115E" w:rsidRDefault="0075499D" w:rsidP="00472474">
            <w:pPr>
              <w:pStyle w:val="cuatexto"/>
              <w:jc w:val="right"/>
            </w:pPr>
            <w:r w:rsidRPr="003A115E">
              <w:t>13.733</w:t>
            </w:r>
          </w:p>
        </w:tc>
      </w:tr>
      <w:tr w:rsidR="000A742F" w:rsidRPr="003A115E" w14:paraId="0E97E343" w14:textId="77777777" w:rsidTr="00FA749D">
        <w:trPr>
          <w:trHeight w:val="198"/>
          <w:jc w:val="center"/>
        </w:trPr>
        <w:tc>
          <w:tcPr>
            <w:tcW w:w="666" w:type="pct"/>
            <w:tcBorders>
              <w:top w:val="single" w:sz="2" w:space="0" w:color="auto"/>
              <w:left w:val="nil"/>
              <w:bottom w:val="single" w:sz="2" w:space="0" w:color="auto"/>
              <w:right w:val="nil"/>
            </w:tcBorders>
            <w:shd w:val="clear" w:color="auto" w:fill="auto"/>
            <w:vAlign w:val="center"/>
            <w:hideMark/>
          </w:tcPr>
          <w:p w14:paraId="6FF0B474" w14:textId="77777777" w:rsidR="0075499D" w:rsidRPr="003A115E" w:rsidRDefault="0075499D" w:rsidP="00FA045A">
            <w:pPr>
              <w:pStyle w:val="cuatexto"/>
            </w:pPr>
            <w:r w:rsidRPr="003A115E">
              <w:t>Concesión de obra pública</w:t>
            </w:r>
          </w:p>
        </w:tc>
        <w:tc>
          <w:tcPr>
            <w:tcW w:w="253" w:type="pct"/>
            <w:tcBorders>
              <w:top w:val="single" w:sz="2" w:space="0" w:color="auto"/>
              <w:left w:val="nil"/>
              <w:bottom w:val="single" w:sz="2" w:space="0" w:color="auto"/>
              <w:right w:val="nil"/>
            </w:tcBorders>
            <w:shd w:val="clear" w:color="auto" w:fill="auto"/>
            <w:noWrap/>
            <w:vAlign w:val="center"/>
            <w:hideMark/>
          </w:tcPr>
          <w:p w14:paraId="0047C6A6" w14:textId="0859797E" w:rsidR="0075499D" w:rsidRPr="003A115E" w:rsidRDefault="0075499D" w:rsidP="00472474">
            <w:pPr>
              <w:pStyle w:val="cuatexto"/>
              <w:jc w:val="right"/>
            </w:pPr>
            <w:r w:rsidRPr="003A115E">
              <w:t>1</w:t>
            </w:r>
          </w:p>
        </w:tc>
        <w:tc>
          <w:tcPr>
            <w:tcW w:w="459" w:type="pct"/>
            <w:tcBorders>
              <w:top w:val="single" w:sz="2" w:space="0" w:color="auto"/>
              <w:left w:val="nil"/>
              <w:bottom w:val="single" w:sz="2" w:space="0" w:color="auto"/>
              <w:right w:val="single" w:sz="2" w:space="0" w:color="auto"/>
            </w:tcBorders>
            <w:shd w:val="clear" w:color="auto" w:fill="auto"/>
            <w:noWrap/>
            <w:vAlign w:val="center"/>
            <w:hideMark/>
          </w:tcPr>
          <w:p w14:paraId="5C9C6F32" w14:textId="0C33A90B" w:rsidR="0075499D" w:rsidRPr="003A115E" w:rsidRDefault="0075499D" w:rsidP="00472474">
            <w:pPr>
              <w:pStyle w:val="cuatexto"/>
              <w:jc w:val="right"/>
            </w:pPr>
            <w:r w:rsidRPr="003A115E">
              <w:t>2.415</w:t>
            </w:r>
          </w:p>
        </w:tc>
        <w:tc>
          <w:tcPr>
            <w:tcW w:w="206" w:type="pct"/>
            <w:tcBorders>
              <w:top w:val="single" w:sz="2" w:space="0" w:color="auto"/>
              <w:left w:val="single" w:sz="2" w:space="0" w:color="auto"/>
              <w:bottom w:val="single" w:sz="2" w:space="0" w:color="auto"/>
              <w:right w:val="nil"/>
            </w:tcBorders>
            <w:shd w:val="clear" w:color="auto" w:fill="auto"/>
            <w:noWrap/>
            <w:vAlign w:val="center"/>
            <w:hideMark/>
          </w:tcPr>
          <w:p w14:paraId="7862C766" w14:textId="5EFA03F9" w:rsidR="0075499D" w:rsidRPr="003A115E" w:rsidRDefault="0075499D" w:rsidP="00472474">
            <w:pPr>
              <w:pStyle w:val="cuatexto"/>
              <w:jc w:val="right"/>
            </w:pPr>
            <w:r w:rsidRPr="003A115E">
              <w:t>-</w:t>
            </w:r>
          </w:p>
        </w:tc>
        <w:tc>
          <w:tcPr>
            <w:tcW w:w="243" w:type="pct"/>
            <w:tcBorders>
              <w:top w:val="single" w:sz="2" w:space="0" w:color="auto"/>
              <w:left w:val="nil"/>
              <w:bottom w:val="single" w:sz="2" w:space="0" w:color="auto"/>
              <w:right w:val="single" w:sz="2" w:space="0" w:color="auto"/>
            </w:tcBorders>
            <w:shd w:val="clear" w:color="auto" w:fill="auto"/>
            <w:noWrap/>
            <w:vAlign w:val="center"/>
            <w:hideMark/>
          </w:tcPr>
          <w:p w14:paraId="00889469" w14:textId="55696BBE" w:rsidR="0075499D" w:rsidRPr="003A115E" w:rsidRDefault="0075499D" w:rsidP="00472474">
            <w:pPr>
              <w:pStyle w:val="cuatexto"/>
              <w:jc w:val="right"/>
            </w:pPr>
            <w:r w:rsidRPr="003A115E">
              <w:t>-</w:t>
            </w:r>
          </w:p>
        </w:tc>
        <w:tc>
          <w:tcPr>
            <w:tcW w:w="179" w:type="pct"/>
            <w:tcBorders>
              <w:top w:val="single" w:sz="2" w:space="0" w:color="auto"/>
              <w:left w:val="single" w:sz="2" w:space="0" w:color="auto"/>
              <w:bottom w:val="single" w:sz="2" w:space="0" w:color="auto"/>
              <w:right w:val="nil"/>
            </w:tcBorders>
            <w:shd w:val="clear" w:color="auto" w:fill="auto"/>
            <w:noWrap/>
            <w:vAlign w:val="center"/>
            <w:hideMark/>
          </w:tcPr>
          <w:p w14:paraId="12B23978" w14:textId="53FE3E82" w:rsidR="0075499D" w:rsidRPr="003A115E" w:rsidRDefault="0075499D" w:rsidP="00472474">
            <w:pPr>
              <w:pStyle w:val="cuatexto"/>
              <w:jc w:val="right"/>
            </w:pPr>
            <w:r w:rsidRPr="003A115E">
              <w:t>-</w:t>
            </w:r>
          </w:p>
        </w:tc>
        <w:tc>
          <w:tcPr>
            <w:tcW w:w="262" w:type="pct"/>
            <w:tcBorders>
              <w:top w:val="single" w:sz="2" w:space="0" w:color="auto"/>
              <w:left w:val="nil"/>
              <w:bottom w:val="single" w:sz="2" w:space="0" w:color="auto"/>
              <w:right w:val="single" w:sz="2" w:space="0" w:color="auto"/>
            </w:tcBorders>
            <w:shd w:val="clear" w:color="auto" w:fill="auto"/>
            <w:noWrap/>
            <w:vAlign w:val="center"/>
            <w:hideMark/>
          </w:tcPr>
          <w:p w14:paraId="5A536259" w14:textId="2C691A7C" w:rsidR="0075499D" w:rsidRPr="003A115E" w:rsidRDefault="0075499D" w:rsidP="00472474">
            <w:pPr>
              <w:pStyle w:val="cuatexto"/>
              <w:jc w:val="right"/>
            </w:pPr>
            <w:r w:rsidRPr="003A115E">
              <w:t>-</w:t>
            </w:r>
          </w:p>
        </w:tc>
        <w:tc>
          <w:tcPr>
            <w:tcW w:w="195" w:type="pct"/>
            <w:tcBorders>
              <w:top w:val="single" w:sz="2" w:space="0" w:color="auto"/>
              <w:left w:val="single" w:sz="2" w:space="0" w:color="auto"/>
              <w:bottom w:val="single" w:sz="2" w:space="0" w:color="auto"/>
              <w:right w:val="nil"/>
            </w:tcBorders>
            <w:shd w:val="clear" w:color="auto" w:fill="auto"/>
            <w:noWrap/>
            <w:vAlign w:val="center"/>
            <w:hideMark/>
          </w:tcPr>
          <w:p w14:paraId="4BF0C6B0" w14:textId="7B1E47B9" w:rsidR="0075499D" w:rsidRPr="003A115E" w:rsidRDefault="0075499D" w:rsidP="00472474">
            <w:pPr>
              <w:pStyle w:val="cuatexto"/>
              <w:jc w:val="right"/>
            </w:pPr>
            <w:r w:rsidRPr="003A115E">
              <w:t>-</w:t>
            </w:r>
          </w:p>
        </w:tc>
        <w:tc>
          <w:tcPr>
            <w:tcW w:w="343" w:type="pct"/>
            <w:tcBorders>
              <w:top w:val="single" w:sz="2" w:space="0" w:color="auto"/>
              <w:left w:val="nil"/>
              <w:bottom w:val="single" w:sz="2" w:space="0" w:color="auto"/>
              <w:right w:val="single" w:sz="2" w:space="0" w:color="auto"/>
            </w:tcBorders>
            <w:shd w:val="clear" w:color="auto" w:fill="auto"/>
            <w:noWrap/>
            <w:vAlign w:val="center"/>
            <w:hideMark/>
          </w:tcPr>
          <w:p w14:paraId="6F0321B4" w14:textId="003E5C89" w:rsidR="0075499D" w:rsidRPr="003A115E" w:rsidRDefault="0075499D" w:rsidP="00472474">
            <w:pPr>
              <w:pStyle w:val="cuatexto"/>
              <w:jc w:val="right"/>
            </w:pPr>
            <w:r w:rsidRPr="003A115E">
              <w:t>-</w:t>
            </w:r>
          </w:p>
        </w:tc>
        <w:tc>
          <w:tcPr>
            <w:tcW w:w="254" w:type="pct"/>
            <w:tcBorders>
              <w:top w:val="single" w:sz="2" w:space="0" w:color="auto"/>
              <w:left w:val="single" w:sz="2" w:space="0" w:color="auto"/>
              <w:bottom w:val="single" w:sz="2" w:space="0" w:color="auto"/>
              <w:right w:val="nil"/>
            </w:tcBorders>
            <w:shd w:val="clear" w:color="auto" w:fill="auto"/>
            <w:noWrap/>
            <w:vAlign w:val="center"/>
            <w:hideMark/>
          </w:tcPr>
          <w:p w14:paraId="6630F970" w14:textId="4584B9C6" w:rsidR="0075499D" w:rsidRPr="003A115E" w:rsidRDefault="0075499D" w:rsidP="00472474">
            <w:pPr>
              <w:pStyle w:val="cuatexto"/>
              <w:jc w:val="right"/>
            </w:pPr>
            <w:r w:rsidRPr="003A115E">
              <w:t>-</w:t>
            </w:r>
          </w:p>
        </w:tc>
        <w:tc>
          <w:tcPr>
            <w:tcW w:w="381" w:type="pct"/>
            <w:tcBorders>
              <w:top w:val="single" w:sz="2" w:space="0" w:color="auto"/>
              <w:left w:val="nil"/>
              <w:bottom w:val="single" w:sz="2" w:space="0" w:color="auto"/>
              <w:right w:val="single" w:sz="2" w:space="0" w:color="auto"/>
            </w:tcBorders>
            <w:shd w:val="clear" w:color="auto" w:fill="auto"/>
            <w:noWrap/>
            <w:vAlign w:val="center"/>
            <w:hideMark/>
          </w:tcPr>
          <w:p w14:paraId="7FDE320C" w14:textId="61BD6DE4" w:rsidR="0075499D" w:rsidRPr="003A115E" w:rsidRDefault="0075499D" w:rsidP="00472474">
            <w:pPr>
              <w:pStyle w:val="cuatexto"/>
              <w:jc w:val="right"/>
            </w:pPr>
            <w:r w:rsidRPr="003A115E">
              <w:t>-</w:t>
            </w:r>
          </w:p>
        </w:tc>
        <w:tc>
          <w:tcPr>
            <w:tcW w:w="127" w:type="pct"/>
            <w:tcBorders>
              <w:top w:val="single" w:sz="2" w:space="0" w:color="auto"/>
              <w:left w:val="single" w:sz="2" w:space="0" w:color="auto"/>
              <w:bottom w:val="single" w:sz="2" w:space="0" w:color="auto"/>
            </w:tcBorders>
            <w:shd w:val="clear" w:color="auto" w:fill="auto"/>
            <w:noWrap/>
            <w:vAlign w:val="center"/>
            <w:hideMark/>
          </w:tcPr>
          <w:p w14:paraId="0A32F9F0" w14:textId="64F18225" w:rsidR="0075499D" w:rsidRPr="003A115E" w:rsidRDefault="0075499D" w:rsidP="00472474">
            <w:pPr>
              <w:pStyle w:val="cuatexto"/>
              <w:jc w:val="right"/>
            </w:pPr>
            <w:r w:rsidRPr="003A115E">
              <w:t>-</w:t>
            </w:r>
          </w:p>
        </w:tc>
        <w:tc>
          <w:tcPr>
            <w:tcW w:w="254" w:type="pct"/>
            <w:tcBorders>
              <w:top w:val="single" w:sz="2" w:space="0" w:color="auto"/>
              <w:left w:val="nil"/>
              <w:bottom w:val="single" w:sz="2" w:space="0" w:color="auto"/>
              <w:right w:val="single" w:sz="2" w:space="0" w:color="auto"/>
            </w:tcBorders>
            <w:shd w:val="clear" w:color="auto" w:fill="auto"/>
            <w:noWrap/>
            <w:vAlign w:val="center"/>
            <w:hideMark/>
          </w:tcPr>
          <w:p w14:paraId="60AB1E2A" w14:textId="3DC120C1" w:rsidR="0075499D" w:rsidRPr="003A115E" w:rsidRDefault="0075499D" w:rsidP="00472474">
            <w:pPr>
              <w:pStyle w:val="cuatexto"/>
              <w:jc w:val="right"/>
            </w:pPr>
            <w:r w:rsidRPr="003A115E">
              <w:t>-</w:t>
            </w:r>
          </w:p>
        </w:tc>
        <w:tc>
          <w:tcPr>
            <w:tcW w:w="216" w:type="pct"/>
            <w:tcBorders>
              <w:top w:val="single" w:sz="2" w:space="0" w:color="auto"/>
              <w:left w:val="single" w:sz="2" w:space="0" w:color="auto"/>
              <w:bottom w:val="single" w:sz="2" w:space="0" w:color="auto"/>
              <w:right w:val="nil"/>
            </w:tcBorders>
            <w:shd w:val="clear" w:color="auto" w:fill="auto"/>
            <w:noWrap/>
            <w:vAlign w:val="center"/>
            <w:hideMark/>
          </w:tcPr>
          <w:p w14:paraId="1FB11105" w14:textId="1A90F956" w:rsidR="0075499D" w:rsidRPr="003A115E" w:rsidRDefault="0075499D" w:rsidP="00472474">
            <w:pPr>
              <w:pStyle w:val="cuatexto"/>
              <w:jc w:val="right"/>
            </w:pPr>
            <w:r w:rsidRPr="003A115E">
              <w:t>-</w:t>
            </w:r>
          </w:p>
        </w:tc>
        <w:tc>
          <w:tcPr>
            <w:tcW w:w="254" w:type="pct"/>
            <w:tcBorders>
              <w:top w:val="single" w:sz="2" w:space="0" w:color="auto"/>
              <w:left w:val="nil"/>
              <w:bottom w:val="single" w:sz="2" w:space="0" w:color="auto"/>
              <w:right w:val="single" w:sz="2" w:space="0" w:color="auto"/>
            </w:tcBorders>
            <w:shd w:val="clear" w:color="auto" w:fill="auto"/>
            <w:noWrap/>
            <w:vAlign w:val="center"/>
            <w:hideMark/>
          </w:tcPr>
          <w:p w14:paraId="66E6A589" w14:textId="6DA7BDC0" w:rsidR="0075499D" w:rsidRPr="003A115E" w:rsidRDefault="0075499D" w:rsidP="00472474">
            <w:pPr>
              <w:pStyle w:val="cuatexto"/>
              <w:jc w:val="right"/>
            </w:pPr>
            <w:r w:rsidRPr="003A115E">
              <w:t>-</w:t>
            </w:r>
          </w:p>
        </w:tc>
        <w:tc>
          <w:tcPr>
            <w:tcW w:w="253" w:type="pct"/>
            <w:tcBorders>
              <w:top w:val="single" w:sz="2" w:space="0" w:color="auto"/>
              <w:left w:val="single" w:sz="2" w:space="0" w:color="auto"/>
              <w:bottom w:val="single" w:sz="2" w:space="0" w:color="auto"/>
              <w:right w:val="nil"/>
            </w:tcBorders>
            <w:shd w:val="clear" w:color="auto" w:fill="auto"/>
            <w:noWrap/>
            <w:vAlign w:val="center"/>
            <w:hideMark/>
          </w:tcPr>
          <w:p w14:paraId="396965DE" w14:textId="1CAAB17B" w:rsidR="0075499D" w:rsidRPr="003A115E" w:rsidRDefault="0075499D" w:rsidP="00472474">
            <w:pPr>
              <w:pStyle w:val="cuatexto"/>
              <w:jc w:val="right"/>
            </w:pPr>
            <w:r w:rsidRPr="003A115E">
              <w:t>1</w:t>
            </w:r>
          </w:p>
        </w:tc>
        <w:tc>
          <w:tcPr>
            <w:tcW w:w="458" w:type="pct"/>
            <w:tcBorders>
              <w:top w:val="single" w:sz="2" w:space="0" w:color="auto"/>
              <w:left w:val="nil"/>
              <w:bottom w:val="single" w:sz="2" w:space="0" w:color="auto"/>
              <w:right w:val="nil"/>
            </w:tcBorders>
            <w:shd w:val="clear" w:color="auto" w:fill="auto"/>
            <w:noWrap/>
            <w:vAlign w:val="center"/>
            <w:hideMark/>
          </w:tcPr>
          <w:p w14:paraId="1B75BB1C" w14:textId="2A2EA8EC" w:rsidR="0075499D" w:rsidRPr="003A115E" w:rsidRDefault="0075499D" w:rsidP="00472474">
            <w:pPr>
              <w:pStyle w:val="cuatexto"/>
              <w:jc w:val="right"/>
            </w:pPr>
            <w:r w:rsidRPr="003A115E">
              <w:t>2.415</w:t>
            </w:r>
          </w:p>
        </w:tc>
      </w:tr>
      <w:tr w:rsidR="000A742F" w:rsidRPr="003A115E" w14:paraId="6BC71D2B" w14:textId="77777777" w:rsidTr="00FA749D">
        <w:trPr>
          <w:trHeight w:val="198"/>
          <w:jc w:val="center"/>
        </w:trPr>
        <w:tc>
          <w:tcPr>
            <w:tcW w:w="666" w:type="pct"/>
            <w:tcBorders>
              <w:top w:val="single" w:sz="2" w:space="0" w:color="auto"/>
              <w:left w:val="nil"/>
              <w:bottom w:val="single" w:sz="4" w:space="0" w:color="auto"/>
              <w:right w:val="nil"/>
            </w:tcBorders>
            <w:shd w:val="clear" w:color="auto" w:fill="auto"/>
            <w:vAlign w:val="center"/>
            <w:hideMark/>
          </w:tcPr>
          <w:p w14:paraId="73F63CC1" w14:textId="77777777" w:rsidR="0075499D" w:rsidRPr="003A115E" w:rsidRDefault="0075499D" w:rsidP="00FA045A">
            <w:pPr>
              <w:pStyle w:val="cuatexto"/>
            </w:pPr>
            <w:r w:rsidRPr="003A115E">
              <w:t>Concesión de servicios</w:t>
            </w:r>
          </w:p>
        </w:tc>
        <w:tc>
          <w:tcPr>
            <w:tcW w:w="253" w:type="pct"/>
            <w:tcBorders>
              <w:top w:val="single" w:sz="2" w:space="0" w:color="auto"/>
              <w:left w:val="nil"/>
              <w:bottom w:val="single" w:sz="4" w:space="0" w:color="auto"/>
              <w:right w:val="nil"/>
            </w:tcBorders>
            <w:shd w:val="clear" w:color="auto" w:fill="auto"/>
            <w:noWrap/>
            <w:vAlign w:val="center"/>
            <w:hideMark/>
          </w:tcPr>
          <w:p w14:paraId="4885B9E4" w14:textId="0953006B" w:rsidR="0075499D" w:rsidRPr="003A115E" w:rsidRDefault="0075499D" w:rsidP="00472474">
            <w:pPr>
              <w:pStyle w:val="cuatexto"/>
              <w:jc w:val="right"/>
            </w:pPr>
            <w:r w:rsidRPr="003A115E">
              <w:t>23</w:t>
            </w:r>
          </w:p>
        </w:tc>
        <w:tc>
          <w:tcPr>
            <w:tcW w:w="459" w:type="pct"/>
            <w:tcBorders>
              <w:top w:val="single" w:sz="2" w:space="0" w:color="auto"/>
              <w:left w:val="nil"/>
              <w:bottom w:val="single" w:sz="4" w:space="0" w:color="auto"/>
              <w:right w:val="single" w:sz="2" w:space="0" w:color="auto"/>
            </w:tcBorders>
            <w:shd w:val="clear" w:color="auto" w:fill="auto"/>
            <w:noWrap/>
            <w:vAlign w:val="center"/>
            <w:hideMark/>
          </w:tcPr>
          <w:p w14:paraId="4D392A62" w14:textId="529D487E" w:rsidR="0075499D" w:rsidRPr="003A115E" w:rsidRDefault="0075499D" w:rsidP="00472474">
            <w:pPr>
              <w:pStyle w:val="cuatexto"/>
              <w:jc w:val="right"/>
            </w:pPr>
            <w:r w:rsidRPr="003A115E">
              <w:t>1.213</w:t>
            </w:r>
          </w:p>
        </w:tc>
        <w:tc>
          <w:tcPr>
            <w:tcW w:w="206" w:type="pct"/>
            <w:tcBorders>
              <w:top w:val="single" w:sz="2" w:space="0" w:color="auto"/>
              <w:left w:val="single" w:sz="2" w:space="0" w:color="auto"/>
              <w:bottom w:val="single" w:sz="4" w:space="0" w:color="auto"/>
              <w:right w:val="nil"/>
            </w:tcBorders>
            <w:shd w:val="clear" w:color="auto" w:fill="auto"/>
            <w:noWrap/>
            <w:vAlign w:val="center"/>
            <w:hideMark/>
          </w:tcPr>
          <w:p w14:paraId="251BC12D" w14:textId="61885362" w:rsidR="0075499D" w:rsidRPr="003A115E" w:rsidRDefault="0075499D" w:rsidP="00472474">
            <w:pPr>
              <w:pStyle w:val="cuatexto"/>
              <w:jc w:val="right"/>
            </w:pPr>
            <w:r w:rsidRPr="003A115E">
              <w:t>-</w:t>
            </w:r>
          </w:p>
        </w:tc>
        <w:tc>
          <w:tcPr>
            <w:tcW w:w="243" w:type="pct"/>
            <w:tcBorders>
              <w:top w:val="single" w:sz="2" w:space="0" w:color="auto"/>
              <w:left w:val="nil"/>
              <w:bottom w:val="single" w:sz="4" w:space="0" w:color="auto"/>
              <w:right w:val="single" w:sz="2" w:space="0" w:color="auto"/>
            </w:tcBorders>
            <w:shd w:val="clear" w:color="auto" w:fill="auto"/>
            <w:noWrap/>
            <w:vAlign w:val="center"/>
            <w:hideMark/>
          </w:tcPr>
          <w:p w14:paraId="34CEB171" w14:textId="3370D1F2" w:rsidR="0075499D" w:rsidRPr="003A115E" w:rsidRDefault="0075499D" w:rsidP="00472474">
            <w:pPr>
              <w:pStyle w:val="cuatexto"/>
              <w:jc w:val="right"/>
            </w:pPr>
            <w:r w:rsidRPr="003A115E">
              <w:t>-</w:t>
            </w:r>
          </w:p>
        </w:tc>
        <w:tc>
          <w:tcPr>
            <w:tcW w:w="179" w:type="pct"/>
            <w:tcBorders>
              <w:top w:val="single" w:sz="2" w:space="0" w:color="auto"/>
              <w:left w:val="single" w:sz="2" w:space="0" w:color="auto"/>
              <w:bottom w:val="single" w:sz="4" w:space="0" w:color="auto"/>
              <w:right w:val="nil"/>
            </w:tcBorders>
            <w:shd w:val="clear" w:color="auto" w:fill="auto"/>
            <w:noWrap/>
            <w:vAlign w:val="center"/>
            <w:hideMark/>
          </w:tcPr>
          <w:p w14:paraId="787A0A93" w14:textId="5FDD8610" w:rsidR="0075499D" w:rsidRPr="003A115E" w:rsidRDefault="0075499D" w:rsidP="00472474">
            <w:pPr>
              <w:pStyle w:val="cuatexto"/>
              <w:jc w:val="right"/>
            </w:pPr>
            <w:r w:rsidRPr="003A115E">
              <w:t>-</w:t>
            </w:r>
          </w:p>
        </w:tc>
        <w:tc>
          <w:tcPr>
            <w:tcW w:w="262" w:type="pct"/>
            <w:tcBorders>
              <w:top w:val="single" w:sz="2" w:space="0" w:color="auto"/>
              <w:left w:val="nil"/>
              <w:bottom w:val="single" w:sz="4" w:space="0" w:color="auto"/>
              <w:right w:val="single" w:sz="2" w:space="0" w:color="auto"/>
            </w:tcBorders>
            <w:shd w:val="clear" w:color="auto" w:fill="auto"/>
            <w:noWrap/>
            <w:vAlign w:val="center"/>
            <w:hideMark/>
          </w:tcPr>
          <w:p w14:paraId="7CF49106" w14:textId="02697D5B" w:rsidR="0075499D" w:rsidRPr="003A115E" w:rsidRDefault="0075499D" w:rsidP="00472474">
            <w:pPr>
              <w:pStyle w:val="cuatexto"/>
              <w:jc w:val="right"/>
            </w:pPr>
            <w:r w:rsidRPr="003A115E">
              <w:t>-</w:t>
            </w:r>
          </w:p>
        </w:tc>
        <w:tc>
          <w:tcPr>
            <w:tcW w:w="195" w:type="pct"/>
            <w:tcBorders>
              <w:top w:val="single" w:sz="2" w:space="0" w:color="auto"/>
              <w:left w:val="single" w:sz="2" w:space="0" w:color="auto"/>
              <w:bottom w:val="single" w:sz="4" w:space="0" w:color="auto"/>
              <w:right w:val="nil"/>
            </w:tcBorders>
            <w:shd w:val="clear" w:color="auto" w:fill="auto"/>
            <w:noWrap/>
            <w:vAlign w:val="center"/>
            <w:hideMark/>
          </w:tcPr>
          <w:p w14:paraId="4D6C9B79" w14:textId="64734960" w:rsidR="0075499D" w:rsidRPr="003A115E" w:rsidRDefault="0075499D" w:rsidP="00472474">
            <w:pPr>
              <w:pStyle w:val="cuatexto"/>
              <w:jc w:val="right"/>
            </w:pPr>
            <w:r w:rsidRPr="003A115E">
              <w:t>-</w:t>
            </w:r>
          </w:p>
        </w:tc>
        <w:tc>
          <w:tcPr>
            <w:tcW w:w="343" w:type="pct"/>
            <w:tcBorders>
              <w:top w:val="single" w:sz="2" w:space="0" w:color="auto"/>
              <w:left w:val="nil"/>
              <w:bottom w:val="single" w:sz="4" w:space="0" w:color="auto"/>
              <w:right w:val="single" w:sz="2" w:space="0" w:color="auto"/>
            </w:tcBorders>
            <w:shd w:val="clear" w:color="auto" w:fill="auto"/>
            <w:noWrap/>
            <w:vAlign w:val="center"/>
            <w:hideMark/>
          </w:tcPr>
          <w:p w14:paraId="5A955A61" w14:textId="7344254B" w:rsidR="0075499D" w:rsidRPr="003A115E" w:rsidRDefault="0075499D" w:rsidP="00472474">
            <w:pPr>
              <w:pStyle w:val="cuatexto"/>
              <w:jc w:val="right"/>
            </w:pPr>
            <w:r w:rsidRPr="003A115E">
              <w:t>-</w:t>
            </w:r>
          </w:p>
        </w:tc>
        <w:tc>
          <w:tcPr>
            <w:tcW w:w="254" w:type="pct"/>
            <w:tcBorders>
              <w:top w:val="single" w:sz="2" w:space="0" w:color="auto"/>
              <w:left w:val="single" w:sz="2" w:space="0" w:color="auto"/>
              <w:bottom w:val="single" w:sz="4" w:space="0" w:color="auto"/>
              <w:right w:val="nil"/>
            </w:tcBorders>
            <w:shd w:val="clear" w:color="auto" w:fill="auto"/>
            <w:noWrap/>
            <w:vAlign w:val="center"/>
            <w:hideMark/>
          </w:tcPr>
          <w:p w14:paraId="2EB92AE2" w14:textId="75D7EE97" w:rsidR="0075499D" w:rsidRPr="003A115E" w:rsidRDefault="0075499D" w:rsidP="00472474">
            <w:pPr>
              <w:pStyle w:val="cuatexto"/>
              <w:jc w:val="right"/>
            </w:pPr>
            <w:r w:rsidRPr="003A115E">
              <w:t>-</w:t>
            </w:r>
          </w:p>
        </w:tc>
        <w:tc>
          <w:tcPr>
            <w:tcW w:w="381" w:type="pct"/>
            <w:tcBorders>
              <w:top w:val="single" w:sz="2" w:space="0" w:color="auto"/>
              <w:left w:val="nil"/>
              <w:bottom w:val="single" w:sz="4" w:space="0" w:color="auto"/>
              <w:right w:val="single" w:sz="2" w:space="0" w:color="auto"/>
            </w:tcBorders>
            <w:shd w:val="clear" w:color="auto" w:fill="auto"/>
            <w:noWrap/>
            <w:vAlign w:val="center"/>
            <w:hideMark/>
          </w:tcPr>
          <w:p w14:paraId="10AEEC4F" w14:textId="412CAE8B" w:rsidR="0075499D" w:rsidRPr="003A115E" w:rsidRDefault="0075499D" w:rsidP="00472474">
            <w:pPr>
              <w:pStyle w:val="cuatexto"/>
              <w:jc w:val="right"/>
            </w:pPr>
            <w:r w:rsidRPr="003A115E">
              <w:t>-</w:t>
            </w:r>
          </w:p>
        </w:tc>
        <w:tc>
          <w:tcPr>
            <w:tcW w:w="127" w:type="pct"/>
            <w:tcBorders>
              <w:top w:val="single" w:sz="2" w:space="0" w:color="auto"/>
              <w:left w:val="single" w:sz="2" w:space="0" w:color="auto"/>
              <w:bottom w:val="single" w:sz="4" w:space="0" w:color="auto"/>
            </w:tcBorders>
            <w:shd w:val="clear" w:color="auto" w:fill="auto"/>
            <w:noWrap/>
            <w:vAlign w:val="center"/>
            <w:hideMark/>
          </w:tcPr>
          <w:p w14:paraId="21AC3BC3" w14:textId="6FAC14CF" w:rsidR="0075499D" w:rsidRPr="003A115E" w:rsidRDefault="0075499D" w:rsidP="00472474">
            <w:pPr>
              <w:pStyle w:val="cuatexto"/>
              <w:jc w:val="right"/>
            </w:pPr>
            <w:r w:rsidRPr="003A115E">
              <w:t>-</w:t>
            </w:r>
          </w:p>
        </w:tc>
        <w:tc>
          <w:tcPr>
            <w:tcW w:w="254" w:type="pct"/>
            <w:tcBorders>
              <w:top w:val="single" w:sz="2" w:space="0" w:color="auto"/>
              <w:left w:val="nil"/>
              <w:bottom w:val="single" w:sz="4" w:space="0" w:color="auto"/>
              <w:right w:val="single" w:sz="2" w:space="0" w:color="auto"/>
            </w:tcBorders>
            <w:shd w:val="clear" w:color="auto" w:fill="auto"/>
            <w:noWrap/>
            <w:vAlign w:val="center"/>
            <w:hideMark/>
          </w:tcPr>
          <w:p w14:paraId="677D6FFE" w14:textId="26FA0EB4" w:rsidR="0075499D" w:rsidRPr="003A115E" w:rsidRDefault="0075499D" w:rsidP="00472474">
            <w:pPr>
              <w:pStyle w:val="cuatexto"/>
              <w:jc w:val="right"/>
            </w:pPr>
            <w:r w:rsidRPr="003A115E">
              <w:t>-</w:t>
            </w:r>
          </w:p>
        </w:tc>
        <w:tc>
          <w:tcPr>
            <w:tcW w:w="216" w:type="pct"/>
            <w:tcBorders>
              <w:top w:val="single" w:sz="2" w:space="0" w:color="auto"/>
              <w:left w:val="single" w:sz="2" w:space="0" w:color="auto"/>
              <w:bottom w:val="single" w:sz="4" w:space="0" w:color="auto"/>
              <w:right w:val="nil"/>
            </w:tcBorders>
            <w:shd w:val="clear" w:color="auto" w:fill="auto"/>
            <w:noWrap/>
            <w:vAlign w:val="center"/>
            <w:hideMark/>
          </w:tcPr>
          <w:p w14:paraId="523E6067" w14:textId="0648DF20" w:rsidR="0075499D" w:rsidRPr="003A115E" w:rsidRDefault="0075499D" w:rsidP="00472474">
            <w:pPr>
              <w:pStyle w:val="cuatexto"/>
              <w:jc w:val="right"/>
            </w:pPr>
            <w:r w:rsidRPr="003A115E">
              <w:t>-</w:t>
            </w:r>
          </w:p>
        </w:tc>
        <w:tc>
          <w:tcPr>
            <w:tcW w:w="254" w:type="pct"/>
            <w:tcBorders>
              <w:top w:val="single" w:sz="2" w:space="0" w:color="auto"/>
              <w:left w:val="nil"/>
              <w:bottom w:val="single" w:sz="4" w:space="0" w:color="auto"/>
              <w:right w:val="single" w:sz="2" w:space="0" w:color="auto"/>
            </w:tcBorders>
            <w:shd w:val="clear" w:color="auto" w:fill="auto"/>
            <w:noWrap/>
            <w:vAlign w:val="center"/>
            <w:hideMark/>
          </w:tcPr>
          <w:p w14:paraId="3E05364C" w14:textId="246824E8" w:rsidR="0075499D" w:rsidRPr="003A115E" w:rsidRDefault="0075499D" w:rsidP="00472474">
            <w:pPr>
              <w:pStyle w:val="cuatexto"/>
              <w:jc w:val="right"/>
            </w:pPr>
            <w:r w:rsidRPr="003A115E">
              <w:t>-</w:t>
            </w:r>
          </w:p>
        </w:tc>
        <w:tc>
          <w:tcPr>
            <w:tcW w:w="253" w:type="pct"/>
            <w:tcBorders>
              <w:top w:val="single" w:sz="2" w:space="0" w:color="auto"/>
              <w:left w:val="single" w:sz="2" w:space="0" w:color="auto"/>
              <w:bottom w:val="single" w:sz="4" w:space="0" w:color="auto"/>
              <w:right w:val="nil"/>
            </w:tcBorders>
            <w:shd w:val="clear" w:color="auto" w:fill="auto"/>
            <w:noWrap/>
            <w:vAlign w:val="center"/>
            <w:hideMark/>
          </w:tcPr>
          <w:p w14:paraId="6900C425" w14:textId="5DDA2715" w:rsidR="0075499D" w:rsidRPr="003A115E" w:rsidRDefault="0075499D" w:rsidP="00472474">
            <w:pPr>
              <w:pStyle w:val="cuatexto"/>
              <w:jc w:val="right"/>
            </w:pPr>
            <w:r w:rsidRPr="003A115E">
              <w:t>23</w:t>
            </w:r>
          </w:p>
        </w:tc>
        <w:tc>
          <w:tcPr>
            <w:tcW w:w="458" w:type="pct"/>
            <w:tcBorders>
              <w:top w:val="single" w:sz="2" w:space="0" w:color="auto"/>
              <w:left w:val="nil"/>
              <w:bottom w:val="single" w:sz="4" w:space="0" w:color="auto"/>
              <w:right w:val="nil"/>
            </w:tcBorders>
            <w:shd w:val="clear" w:color="auto" w:fill="auto"/>
            <w:noWrap/>
            <w:vAlign w:val="center"/>
            <w:hideMark/>
          </w:tcPr>
          <w:p w14:paraId="5D71A4AB" w14:textId="2BC18264" w:rsidR="0075499D" w:rsidRPr="003A115E" w:rsidRDefault="0075499D" w:rsidP="00472474">
            <w:pPr>
              <w:pStyle w:val="cuatexto"/>
              <w:jc w:val="right"/>
            </w:pPr>
            <w:r w:rsidRPr="003A115E">
              <w:t>1.213</w:t>
            </w:r>
          </w:p>
        </w:tc>
      </w:tr>
      <w:tr w:rsidR="000A742F" w:rsidRPr="003A115E" w14:paraId="590E00F8" w14:textId="77777777" w:rsidTr="00FA749D">
        <w:trPr>
          <w:trHeight w:val="255"/>
          <w:jc w:val="center"/>
        </w:trPr>
        <w:tc>
          <w:tcPr>
            <w:tcW w:w="666" w:type="pct"/>
            <w:tcBorders>
              <w:top w:val="nil"/>
              <w:left w:val="nil"/>
              <w:bottom w:val="single" w:sz="4" w:space="0" w:color="auto"/>
              <w:right w:val="nil"/>
            </w:tcBorders>
            <w:shd w:val="clear" w:color="auto" w:fill="FABF8F" w:themeFill="accent6" w:themeFillTint="99"/>
            <w:noWrap/>
            <w:vAlign w:val="center"/>
            <w:hideMark/>
          </w:tcPr>
          <w:p w14:paraId="50B6EDC9" w14:textId="39B40527" w:rsidR="0075499D" w:rsidRPr="003A115E" w:rsidRDefault="0075499D" w:rsidP="00FA045A">
            <w:pPr>
              <w:pStyle w:val="cuadroCabe"/>
              <w:rPr>
                <w:rFonts w:cs="Arial"/>
                <w:szCs w:val="18"/>
              </w:rPr>
            </w:pPr>
          </w:p>
        </w:tc>
        <w:tc>
          <w:tcPr>
            <w:tcW w:w="253" w:type="pct"/>
            <w:tcBorders>
              <w:top w:val="nil"/>
              <w:left w:val="nil"/>
              <w:bottom w:val="single" w:sz="4" w:space="0" w:color="auto"/>
              <w:right w:val="nil"/>
            </w:tcBorders>
            <w:shd w:val="clear" w:color="auto" w:fill="FABF8F" w:themeFill="accent6" w:themeFillTint="99"/>
            <w:noWrap/>
            <w:tcMar>
              <w:left w:w="0" w:type="dxa"/>
              <w:right w:w="0" w:type="dxa"/>
            </w:tcMar>
            <w:vAlign w:val="center"/>
            <w:hideMark/>
          </w:tcPr>
          <w:p w14:paraId="14CD18E8" w14:textId="28CB2FB6" w:rsidR="0075499D" w:rsidRPr="003A115E" w:rsidRDefault="0075499D" w:rsidP="00CC28BD">
            <w:pPr>
              <w:pStyle w:val="cuadroCabe"/>
              <w:jc w:val="right"/>
              <w:rPr>
                <w:rFonts w:cs="Arial"/>
                <w:szCs w:val="18"/>
              </w:rPr>
            </w:pPr>
            <w:r w:rsidRPr="003A115E">
              <w:rPr>
                <w:rFonts w:cs="Arial"/>
                <w:szCs w:val="18"/>
              </w:rPr>
              <w:t>485</w:t>
            </w:r>
          </w:p>
        </w:tc>
        <w:tc>
          <w:tcPr>
            <w:tcW w:w="459" w:type="pct"/>
            <w:tcBorders>
              <w:top w:val="nil"/>
              <w:left w:val="nil"/>
              <w:bottom w:val="single" w:sz="4" w:space="0" w:color="auto"/>
              <w:right w:val="single" w:sz="2" w:space="0" w:color="auto"/>
            </w:tcBorders>
            <w:shd w:val="clear" w:color="auto" w:fill="FABF8F" w:themeFill="accent6" w:themeFillTint="99"/>
            <w:noWrap/>
            <w:tcMar>
              <w:left w:w="0" w:type="dxa"/>
              <w:right w:w="0" w:type="dxa"/>
            </w:tcMar>
            <w:vAlign w:val="center"/>
            <w:hideMark/>
          </w:tcPr>
          <w:p w14:paraId="1B412A71" w14:textId="035B2391" w:rsidR="0075499D" w:rsidRPr="003A115E" w:rsidRDefault="0075499D" w:rsidP="00CC28BD">
            <w:pPr>
              <w:pStyle w:val="cuadroCabe"/>
              <w:jc w:val="right"/>
              <w:rPr>
                <w:rFonts w:cs="Arial"/>
                <w:szCs w:val="18"/>
              </w:rPr>
            </w:pPr>
            <w:r w:rsidRPr="003A115E">
              <w:rPr>
                <w:rFonts w:cs="Arial"/>
                <w:szCs w:val="18"/>
              </w:rPr>
              <w:t>133.545</w:t>
            </w:r>
          </w:p>
        </w:tc>
        <w:tc>
          <w:tcPr>
            <w:tcW w:w="206" w:type="pct"/>
            <w:tcBorders>
              <w:top w:val="nil"/>
              <w:left w:val="single" w:sz="2" w:space="0" w:color="auto"/>
              <w:bottom w:val="single" w:sz="4" w:space="0" w:color="auto"/>
              <w:right w:val="nil"/>
            </w:tcBorders>
            <w:shd w:val="clear" w:color="auto" w:fill="FABF8F" w:themeFill="accent6" w:themeFillTint="99"/>
            <w:noWrap/>
            <w:tcMar>
              <w:left w:w="0" w:type="dxa"/>
              <w:right w:w="0" w:type="dxa"/>
            </w:tcMar>
            <w:vAlign w:val="center"/>
            <w:hideMark/>
          </w:tcPr>
          <w:p w14:paraId="2E05E055" w14:textId="18F835BE" w:rsidR="0075499D" w:rsidRPr="003A115E" w:rsidRDefault="0075499D" w:rsidP="00CC28BD">
            <w:pPr>
              <w:pStyle w:val="cuadroCabe"/>
              <w:jc w:val="right"/>
              <w:rPr>
                <w:rFonts w:cs="Arial"/>
                <w:szCs w:val="18"/>
              </w:rPr>
            </w:pPr>
            <w:r w:rsidRPr="003A115E">
              <w:rPr>
                <w:rFonts w:cs="Arial"/>
                <w:szCs w:val="18"/>
              </w:rPr>
              <w:t>2</w:t>
            </w:r>
          </w:p>
        </w:tc>
        <w:tc>
          <w:tcPr>
            <w:tcW w:w="243" w:type="pct"/>
            <w:tcBorders>
              <w:top w:val="nil"/>
              <w:left w:val="nil"/>
              <w:bottom w:val="single" w:sz="4" w:space="0" w:color="auto"/>
              <w:right w:val="single" w:sz="2" w:space="0" w:color="auto"/>
            </w:tcBorders>
            <w:shd w:val="clear" w:color="auto" w:fill="FABF8F" w:themeFill="accent6" w:themeFillTint="99"/>
            <w:noWrap/>
            <w:tcMar>
              <w:left w:w="0" w:type="dxa"/>
              <w:right w:w="0" w:type="dxa"/>
            </w:tcMar>
            <w:vAlign w:val="center"/>
            <w:hideMark/>
          </w:tcPr>
          <w:p w14:paraId="327BE7F5" w14:textId="7C88432F" w:rsidR="0075499D" w:rsidRPr="003A115E" w:rsidRDefault="0075499D" w:rsidP="00CC28BD">
            <w:pPr>
              <w:pStyle w:val="cuadroCabe"/>
              <w:jc w:val="right"/>
              <w:rPr>
                <w:rFonts w:cs="Arial"/>
                <w:szCs w:val="18"/>
              </w:rPr>
            </w:pPr>
            <w:r w:rsidRPr="003A115E">
              <w:rPr>
                <w:rFonts w:cs="Arial"/>
                <w:szCs w:val="18"/>
              </w:rPr>
              <w:t>42</w:t>
            </w:r>
          </w:p>
        </w:tc>
        <w:tc>
          <w:tcPr>
            <w:tcW w:w="179" w:type="pct"/>
            <w:tcBorders>
              <w:top w:val="nil"/>
              <w:left w:val="single" w:sz="2" w:space="0" w:color="auto"/>
              <w:bottom w:val="single" w:sz="4" w:space="0" w:color="auto"/>
              <w:right w:val="nil"/>
            </w:tcBorders>
            <w:shd w:val="clear" w:color="auto" w:fill="FABF8F" w:themeFill="accent6" w:themeFillTint="99"/>
            <w:noWrap/>
            <w:tcMar>
              <w:left w:w="0" w:type="dxa"/>
              <w:right w:w="0" w:type="dxa"/>
            </w:tcMar>
            <w:vAlign w:val="center"/>
            <w:hideMark/>
          </w:tcPr>
          <w:p w14:paraId="567E7BFE" w14:textId="46E2A1A5" w:rsidR="0075499D" w:rsidRPr="003A115E" w:rsidRDefault="0075499D" w:rsidP="00CC28BD">
            <w:pPr>
              <w:pStyle w:val="cuadroCabe"/>
              <w:jc w:val="right"/>
              <w:rPr>
                <w:rFonts w:cs="Arial"/>
                <w:szCs w:val="18"/>
              </w:rPr>
            </w:pPr>
            <w:r w:rsidRPr="003A115E">
              <w:rPr>
                <w:rFonts w:cs="Arial"/>
                <w:szCs w:val="18"/>
              </w:rPr>
              <w:t>1</w:t>
            </w:r>
          </w:p>
        </w:tc>
        <w:tc>
          <w:tcPr>
            <w:tcW w:w="262" w:type="pct"/>
            <w:tcBorders>
              <w:top w:val="nil"/>
              <w:left w:val="nil"/>
              <w:bottom w:val="single" w:sz="4" w:space="0" w:color="auto"/>
              <w:right w:val="single" w:sz="2" w:space="0" w:color="auto"/>
            </w:tcBorders>
            <w:shd w:val="clear" w:color="auto" w:fill="FABF8F" w:themeFill="accent6" w:themeFillTint="99"/>
            <w:noWrap/>
            <w:tcMar>
              <w:left w:w="0" w:type="dxa"/>
              <w:right w:w="0" w:type="dxa"/>
            </w:tcMar>
            <w:vAlign w:val="center"/>
            <w:hideMark/>
          </w:tcPr>
          <w:p w14:paraId="4D679EE2" w14:textId="24A42C7E" w:rsidR="0075499D" w:rsidRPr="003A115E" w:rsidRDefault="0075499D" w:rsidP="00CC28BD">
            <w:pPr>
              <w:pStyle w:val="cuadroCabe"/>
              <w:jc w:val="right"/>
              <w:rPr>
                <w:rFonts w:cs="Arial"/>
                <w:szCs w:val="18"/>
              </w:rPr>
            </w:pPr>
            <w:r w:rsidRPr="003A115E">
              <w:rPr>
                <w:rFonts w:cs="Arial"/>
                <w:szCs w:val="18"/>
              </w:rPr>
              <w:t>66</w:t>
            </w:r>
          </w:p>
        </w:tc>
        <w:tc>
          <w:tcPr>
            <w:tcW w:w="195" w:type="pct"/>
            <w:tcBorders>
              <w:top w:val="nil"/>
              <w:left w:val="single" w:sz="2" w:space="0" w:color="auto"/>
              <w:bottom w:val="single" w:sz="4" w:space="0" w:color="auto"/>
              <w:right w:val="nil"/>
            </w:tcBorders>
            <w:shd w:val="clear" w:color="auto" w:fill="FABF8F" w:themeFill="accent6" w:themeFillTint="99"/>
            <w:noWrap/>
            <w:tcMar>
              <w:left w:w="0" w:type="dxa"/>
              <w:right w:w="0" w:type="dxa"/>
            </w:tcMar>
            <w:vAlign w:val="center"/>
            <w:hideMark/>
          </w:tcPr>
          <w:p w14:paraId="1B471540" w14:textId="75EA3512" w:rsidR="0075499D" w:rsidRPr="003A115E" w:rsidRDefault="0075499D" w:rsidP="00CC28BD">
            <w:pPr>
              <w:pStyle w:val="cuadroCabe"/>
              <w:jc w:val="right"/>
              <w:rPr>
                <w:rFonts w:cs="Arial"/>
                <w:szCs w:val="18"/>
              </w:rPr>
            </w:pPr>
            <w:r w:rsidRPr="003A115E">
              <w:rPr>
                <w:rFonts w:cs="Arial"/>
                <w:szCs w:val="18"/>
              </w:rPr>
              <w:t>33</w:t>
            </w:r>
          </w:p>
        </w:tc>
        <w:tc>
          <w:tcPr>
            <w:tcW w:w="343" w:type="pct"/>
            <w:tcBorders>
              <w:top w:val="nil"/>
              <w:left w:val="nil"/>
              <w:bottom w:val="single" w:sz="4" w:space="0" w:color="auto"/>
              <w:right w:val="single" w:sz="2" w:space="0" w:color="auto"/>
            </w:tcBorders>
            <w:shd w:val="clear" w:color="auto" w:fill="FABF8F" w:themeFill="accent6" w:themeFillTint="99"/>
            <w:noWrap/>
            <w:tcMar>
              <w:left w:w="0" w:type="dxa"/>
              <w:right w:w="0" w:type="dxa"/>
            </w:tcMar>
            <w:vAlign w:val="center"/>
            <w:hideMark/>
          </w:tcPr>
          <w:p w14:paraId="1107073A" w14:textId="4B98A56D" w:rsidR="0075499D" w:rsidRPr="003A115E" w:rsidRDefault="0075499D" w:rsidP="00CC28BD">
            <w:pPr>
              <w:pStyle w:val="cuadroCabe"/>
              <w:jc w:val="right"/>
              <w:rPr>
                <w:rFonts w:cs="Arial"/>
                <w:szCs w:val="18"/>
              </w:rPr>
            </w:pPr>
            <w:r w:rsidRPr="003A115E">
              <w:rPr>
                <w:rFonts w:cs="Arial"/>
                <w:szCs w:val="18"/>
              </w:rPr>
              <w:t>2.876</w:t>
            </w:r>
          </w:p>
        </w:tc>
        <w:tc>
          <w:tcPr>
            <w:tcW w:w="254" w:type="pct"/>
            <w:tcBorders>
              <w:top w:val="nil"/>
              <w:left w:val="single" w:sz="2" w:space="0" w:color="auto"/>
              <w:bottom w:val="single" w:sz="4" w:space="0" w:color="auto"/>
              <w:right w:val="nil"/>
            </w:tcBorders>
            <w:shd w:val="clear" w:color="auto" w:fill="FABF8F" w:themeFill="accent6" w:themeFillTint="99"/>
            <w:noWrap/>
            <w:tcMar>
              <w:left w:w="0" w:type="dxa"/>
              <w:right w:w="0" w:type="dxa"/>
            </w:tcMar>
            <w:vAlign w:val="center"/>
            <w:hideMark/>
          </w:tcPr>
          <w:p w14:paraId="55AD00C7" w14:textId="74393961" w:rsidR="0075499D" w:rsidRPr="003A115E" w:rsidRDefault="0075499D" w:rsidP="00CC28BD">
            <w:pPr>
              <w:pStyle w:val="cuadroCabe"/>
              <w:jc w:val="right"/>
              <w:rPr>
                <w:rFonts w:cs="Arial"/>
                <w:szCs w:val="18"/>
              </w:rPr>
            </w:pPr>
            <w:r w:rsidRPr="003A115E">
              <w:rPr>
                <w:rFonts w:cs="Arial"/>
                <w:szCs w:val="18"/>
              </w:rPr>
              <w:t>135</w:t>
            </w:r>
          </w:p>
        </w:tc>
        <w:tc>
          <w:tcPr>
            <w:tcW w:w="381" w:type="pct"/>
            <w:tcBorders>
              <w:top w:val="nil"/>
              <w:left w:val="nil"/>
              <w:bottom w:val="single" w:sz="4" w:space="0" w:color="auto"/>
              <w:right w:val="single" w:sz="2" w:space="0" w:color="auto"/>
            </w:tcBorders>
            <w:shd w:val="clear" w:color="auto" w:fill="FABF8F" w:themeFill="accent6" w:themeFillTint="99"/>
            <w:noWrap/>
            <w:tcMar>
              <w:left w:w="0" w:type="dxa"/>
              <w:right w:w="0" w:type="dxa"/>
            </w:tcMar>
            <w:vAlign w:val="center"/>
            <w:hideMark/>
          </w:tcPr>
          <w:p w14:paraId="6903C1C9" w14:textId="0F24417F" w:rsidR="0075499D" w:rsidRPr="003A115E" w:rsidRDefault="0075499D" w:rsidP="00CC28BD">
            <w:pPr>
              <w:pStyle w:val="cuadroCabe"/>
              <w:jc w:val="right"/>
              <w:rPr>
                <w:rFonts w:cs="Arial"/>
                <w:szCs w:val="18"/>
              </w:rPr>
            </w:pPr>
            <w:r w:rsidRPr="003A115E">
              <w:rPr>
                <w:rFonts w:cs="Arial"/>
                <w:szCs w:val="18"/>
              </w:rPr>
              <w:t>8.512</w:t>
            </w:r>
          </w:p>
        </w:tc>
        <w:tc>
          <w:tcPr>
            <w:tcW w:w="127" w:type="pct"/>
            <w:tcBorders>
              <w:top w:val="nil"/>
              <w:left w:val="single" w:sz="2" w:space="0" w:color="auto"/>
              <w:bottom w:val="single" w:sz="4" w:space="0" w:color="auto"/>
            </w:tcBorders>
            <w:shd w:val="clear" w:color="auto" w:fill="FABF8F" w:themeFill="accent6" w:themeFillTint="99"/>
            <w:noWrap/>
            <w:tcMar>
              <w:left w:w="0" w:type="dxa"/>
              <w:right w:w="0" w:type="dxa"/>
            </w:tcMar>
            <w:vAlign w:val="center"/>
            <w:hideMark/>
          </w:tcPr>
          <w:p w14:paraId="502E20A6" w14:textId="532BE1D5" w:rsidR="0075499D" w:rsidRPr="003A115E" w:rsidRDefault="0075499D" w:rsidP="00CC28BD">
            <w:pPr>
              <w:pStyle w:val="cuadroCabe"/>
              <w:jc w:val="right"/>
              <w:rPr>
                <w:rFonts w:cs="Arial"/>
                <w:szCs w:val="18"/>
              </w:rPr>
            </w:pPr>
            <w:r w:rsidRPr="003A115E">
              <w:rPr>
                <w:rFonts w:cs="Arial"/>
                <w:szCs w:val="18"/>
              </w:rPr>
              <w:t>2</w:t>
            </w:r>
          </w:p>
        </w:tc>
        <w:tc>
          <w:tcPr>
            <w:tcW w:w="254" w:type="pct"/>
            <w:tcBorders>
              <w:top w:val="nil"/>
              <w:left w:val="nil"/>
              <w:bottom w:val="single" w:sz="4" w:space="0" w:color="auto"/>
              <w:right w:val="single" w:sz="2" w:space="0" w:color="auto"/>
            </w:tcBorders>
            <w:shd w:val="clear" w:color="auto" w:fill="FABF8F" w:themeFill="accent6" w:themeFillTint="99"/>
            <w:noWrap/>
            <w:tcMar>
              <w:left w:w="0" w:type="dxa"/>
              <w:right w:w="0" w:type="dxa"/>
            </w:tcMar>
            <w:vAlign w:val="center"/>
            <w:hideMark/>
          </w:tcPr>
          <w:p w14:paraId="14A757F9" w14:textId="34D085DB" w:rsidR="0075499D" w:rsidRPr="003A115E" w:rsidRDefault="0075499D" w:rsidP="00CC28BD">
            <w:pPr>
              <w:pStyle w:val="cuadroCabe"/>
              <w:jc w:val="right"/>
              <w:rPr>
                <w:rFonts w:cs="Arial"/>
                <w:szCs w:val="18"/>
              </w:rPr>
            </w:pPr>
            <w:r w:rsidRPr="003A115E">
              <w:rPr>
                <w:rFonts w:cs="Arial"/>
                <w:szCs w:val="18"/>
              </w:rPr>
              <w:t>269</w:t>
            </w:r>
          </w:p>
        </w:tc>
        <w:tc>
          <w:tcPr>
            <w:tcW w:w="216" w:type="pct"/>
            <w:tcBorders>
              <w:top w:val="nil"/>
              <w:left w:val="single" w:sz="2" w:space="0" w:color="auto"/>
              <w:bottom w:val="single" w:sz="4" w:space="0" w:color="auto"/>
              <w:right w:val="nil"/>
            </w:tcBorders>
            <w:shd w:val="clear" w:color="auto" w:fill="FABF8F" w:themeFill="accent6" w:themeFillTint="99"/>
            <w:noWrap/>
            <w:tcMar>
              <w:left w:w="0" w:type="dxa"/>
              <w:right w:w="0" w:type="dxa"/>
            </w:tcMar>
            <w:vAlign w:val="center"/>
            <w:hideMark/>
          </w:tcPr>
          <w:p w14:paraId="72E6B2DC" w14:textId="66D0A8CB" w:rsidR="0075499D" w:rsidRPr="003A115E" w:rsidRDefault="0075499D" w:rsidP="00CC28BD">
            <w:pPr>
              <w:pStyle w:val="cuadroCabe"/>
              <w:jc w:val="right"/>
              <w:rPr>
                <w:rFonts w:cs="Arial"/>
                <w:szCs w:val="18"/>
              </w:rPr>
            </w:pPr>
            <w:r w:rsidRPr="003A115E">
              <w:rPr>
                <w:rFonts w:cs="Arial"/>
                <w:szCs w:val="18"/>
              </w:rPr>
              <w:t>21</w:t>
            </w:r>
          </w:p>
        </w:tc>
        <w:tc>
          <w:tcPr>
            <w:tcW w:w="254" w:type="pct"/>
            <w:tcBorders>
              <w:top w:val="nil"/>
              <w:left w:val="nil"/>
              <w:bottom w:val="single" w:sz="4" w:space="0" w:color="auto"/>
              <w:right w:val="single" w:sz="2" w:space="0" w:color="auto"/>
            </w:tcBorders>
            <w:shd w:val="clear" w:color="auto" w:fill="FABF8F" w:themeFill="accent6" w:themeFillTint="99"/>
            <w:noWrap/>
            <w:tcMar>
              <w:left w:w="0" w:type="dxa"/>
              <w:right w:w="0" w:type="dxa"/>
            </w:tcMar>
            <w:vAlign w:val="center"/>
            <w:hideMark/>
          </w:tcPr>
          <w:p w14:paraId="1768A619" w14:textId="0805D65A" w:rsidR="0075499D" w:rsidRPr="003A115E" w:rsidRDefault="0075499D" w:rsidP="00CC28BD">
            <w:pPr>
              <w:pStyle w:val="cuadroCabe"/>
              <w:jc w:val="right"/>
              <w:rPr>
                <w:rFonts w:cs="Arial"/>
                <w:szCs w:val="18"/>
              </w:rPr>
            </w:pPr>
            <w:r w:rsidRPr="003A115E">
              <w:rPr>
                <w:rFonts w:cs="Arial"/>
                <w:szCs w:val="18"/>
              </w:rPr>
              <w:t>671</w:t>
            </w:r>
          </w:p>
        </w:tc>
        <w:tc>
          <w:tcPr>
            <w:tcW w:w="253" w:type="pct"/>
            <w:tcBorders>
              <w:top w:val="nil"/>
              <w:left w:val="single" w:sz="2" w:space="0" w:color="auto"/>
              <w:bottom w:val="single" w:sz="4" w:space="0" w:color="auto"/>
              <w:right w:val="nil"/>
            </w:tcBorders>
            <w:shd w:val="clear" w:color="auto" w:fill="FABF8F" w:themeFill="accent6" w:themeFillTint="99"/>
            <w:noWrap/>
            <w:tcMar>
              <w:left w:w="0" w:type="dxa"/>
              <w:right w:w="0" w:type="dxa"/>
            </w:tcMar>
            <w:vAlign w:val="center"/>
            <w:hideMark/>
          </w:tcPr>
          <w:p w14:paraId="24B8D072" w14:textId="1CDF58EF" w:rsidR="0075499D" w:rsidRPr="003A115E" w:rsidRDefault="0075499D" w:rsidP="00CC28BD">
            <w:pPr>
              <w:pStyle w:val="cuadroCabe"/>
              <w:jc w:val="right"/>
              <w:rPr>
                <w:rFonts w:cs="Arial"/>
                <w:szCs w:val="18"/>
              </w:rPr>
            </w:pPr>
            <w:r w:rsidRPr="003A115E">
              <w:rPr>
                <w:rFonts w:cs="Arial"/>
                <w:szCs w:val="18"/>
              </w:rPr>
              <w:t>679</w:t>
            </w:r>
          </w:p>
        </w:tc>
        <w:tc>
          <w:tcPr>
            <w:tcW w:w="458" w:type="pct"/>
            <w:tcBorders>
              <w:top w:val="nil"/>
              <w:left w:val="nil"/>
              <w:bottom w:val="single" w:sz="4" w:space="0" w:color="auto"/>
              <w:right w:val="nil"/>
            </w:tcBorders>
            <w:shd w:val="clear" w:color="auto" w:fill="FABF8F" w:themeFill="accent6" w:themeFillTint="99"/>
            <w:noWrap/>
            <w:tcMar>
              <w:left w:w="0" w:type="dxa"/>
              <w:right w:w="0" w:type="dxa"/>
            </w:tcMar>
            <w:vAlign w:val="center"/>
            <w:hideMark/>
          </w:tcPr>
          <w:p w14:paraId="61216434" w14:textId="14823724" w:rsidR="0075499D" w:rsidRPr="003A115E" w:rsidRDefault="0075499D" w:rsidP="00CC28BD">
            <w:pPr>
              <w:pStyle w:val="cuadroCabe"/>
              <w:jc w:val="right"/>
              <w:rPr>
                <w:rFonts w:cs="Arial"/>
                <w:szCs w:val="18"/>
              </w:rPr>
            </w:pPr>
            <w:r w:rsidRPr="003A115E">
              <w:rPr>
                <w:rFonts w:cs="Arial"/>
                <w:szCs w:val="18"/>
              </w:rPr>
              <w:t>145.982</w:t>
            </w:r>
          </w:p>
        </w:tc>
      </w:tr>
    </w:tbl>
    <w:p w14:paraId="3D38BF84" w14:textId="116602A4" w:rsidR="0017101E" w:rsidRPr="003A115E" w:rsidRDefault="00D5352D" w:rsidP="00CC28BD">
      <w:pPr>
        <w:pStyle w:val="texto"/>
        <w:tabs>
          <w:tab w:val="left" w:pos="2977"/>
        </w:tabs>
        <w:spacing w:before="240"/>
        <w:rPr>
          <w:w w:val="103"/>
        </w:rPr>
      </w:pPr>
      <w:r w:rsidRPr="003A115E">
        <w:rPr>
          <w:w w:val="103"/>
        </w:rPr>
        <w:t>Destacan l</w:t>
      </w:r>
      <w:r w:rsidR="0017101E" w:rsidRPr="003A115E">
        <w:rPr>
          <w:w w:val="103"/>
        </w:rPr>
        <w:t>os cont</w:t>
      </w:r>
      <w:r w:rsidR="002A4C32" w:rsidRPr="003A115E">
        <w:rPr>
          <w:w w:val="103"/>
        </w:rPr>
        <w:t>ratos de obras</w:t>
      </w:r>
      <w:r w:rsidRPr="003A115E">
        <w:rPr>
          <w:w w:val="103"/>
        </w:rPr>
        <w:t xml:space="preserve"> y de servicios, </w:t>
      </w:r>
      <w:r w:rsidR="00162B53" w:rsidRPr="003A115E">
        <w:rPr>
          <w:w w:val="103"/>
        </w:rPr>
        <w:t>que representan</w:t>
      </w:r>
      <w:r w:rsidR="002A4C32" w:rsidRPr="003A115E">
        <w:rPr>
          <w:w w:val="103"/>
        </w:rPr>
        <w:t xml:space="preserve"> el 63</w:t>
      </w:r>
      <w:r w:rsidR="0017101E" w:rsidRPr="003A115E">
        <w:rPr>
          <w:w w:val="103"/>
        </w:rPr>
        <w:t xml:space="preserve"> </w:t>
      </w:r>
      <w:r w:rsidRPr="003A115E">
        <w:rPr>
          <w:w w:val="103"/>
        </w:rPr>
        <w:t xml:space="preserve">y el 25 por ciento del importe total </w:t>
      </w:r>
      <w:r w:rsidR="008F6A48" w:rsidRPr="003A115E">
        <w:rPr>
          <w:w w:val="103"/>
        </w:rPr>
        <w:t xml:space="preserve">adjudicado </w:t>
      </w:r>
      <w:r w:rsidRPr="003A115E">
        <w:rPr>
          <w:w w:val="103"/>
        </w:rPr>
        <w:t>respectivamente.</w:t>
      </w:r>
    </w:p>
    <w:p w14:paraId="100E09AD" w14:textId="0D3DD6C6" w:rsidR="00BD6542" w:rsidRPr="003A115E" w:rsidRDefault="0017101E" w:rsidP="00CC28BD">
      <w:pPr>
        <w:pStyle w:val="texto"/>
        <w:tabs>
          <w:tab w:val="left" w:pos="2977"/>
        </w:tabs>
        <w:rPr>
          <w:w w:val="103"/>
        </w:rPr>
      </w:pPr>
      <w:r w:rsidRPr="003A115E">
        <w:rPr>
          <w:w w:val="103"/>
        </w:rPr>
        <w:t xml:space="preserve">El procedimiento de contratación más utilizado </w:t>
      </w:r>
      <w:r w:rsidR="00A60902" w:rsidRPr="003A115E">
        <w:rPr>
          <w:w w:val="103"/>
        </w:rPr>
        <w:t>es el abierto, aplicado en el 71</w:t>
      </w:r>
      <w:r w:rsidRPr="003A115E">
        <w:rPr>
          <w:w w:val="103"/>
        </w:rPr>
        <w:t xml:space="preserve"> por cien</w:t>
      </w:r>
      <w:r w:rsidR="00F924E1" w:rsidRPr="003A115E">
        <w:rPr>
          <w:w w:val="103"/>
        </w:rPr>
        <w:t xml:space="preserve">to </w:t>
      </w:r>
      <w:r w:rsidR="007C2180" w:rsidRPr="003A115E">
        <w:rPr>
          <w:w w:val="103"/>
        </w:rPr>
        <w:t xml:space="preserve">de los contratos adjudicados que representan </w:t>
      </w:r>
      <w:r w:rsidR="00F924E1" w:rsidRPr="003A115E">
        <w:rPr>
          <w:w w:val="103"/>
        </w:rPr>
        <w:t>el 91</w:t>
      </w:r>
      <w:r w:rsidR="00F924E1" w:rsidRPr="003A115E">
        <w:rPr>
          <w:w w:val="103"/>
        </w:rPr>
        <w:tab/>
      </w:r>
      <w:r w:rsidR="007C2180" w:rsidRPr="003A115E">
        <w:rPr>
          <w:w w:val="103"/>
        </w:rPr>
        <w:t xml:space="preserve"> </w:t>
      </w:r>
      <w:proofErr w:type="spellStart"/>
      <w:r w:rsidR="007C2180" w:rsidRPr="003A115E">
        <w:rPr>
          <w:w w:val="103"/>
        </w:rPr>
        <w:t>por</w:t>
      </w:r>
      <w:r w:rsidRPr="003A115E">
        <w:rPr>
          <w:w w:val="103"/>
        </w:rPr>
        <w:t>ciento</w:t>
      </w:r>
      <w:proofErr w:type="spellEnd"/>
      <w:r w:rsidRPr="003A115E">
        <w:rPr>
          <w:w w:val="103"/>
        </w:rPr>
        <w:t xml:space="preserve"> del importe total adjudicado. Le sigue el procedimiento simplificado, utilizado en el 2</w:t>
      </w:r>
      <w:r w:rsidR="00F924E1" w:rsidRPr="003A115E">
        <w:rPr>
          <w:w w:val="103"/>
        </w:rPr>
        <w:t>0</w:t>
      </w:r>
      <w:r w:rsidRPr="003A115E">
        <w:rPr>
          <w:w w:val="103"/>
        </w:rPr>
        <w:t xml:space="preserve"> por ciento de los contratos y </w:t>
      </w:r>
      <w:r w:rsidR="00095DCA" w:rsidRPr="003A115E">
        <w:rPr>
          <w:w w:val="103"/>
        </w:rPr>
        <w:t xml:space="preserve">en </w:t>
      </w:r>
      <w:r w:rsidRPr="003A115E">
        <w:rPr>
          <w:w w:val="103"/>
        </w:rPr>
        <w:t xml:space="preserve">el </w:t>
      </w:r>
      <w:r w:rsidR="00F924E1" w:rsidRPr="003A115E">
        <w:rPr>
          <w:w w:val="103"/>
        </w:rPr>
        <w:t>seis</w:t>
      </w:r>
      <w:r w:rsidRPr="003A115E">
        <w:rPr>
          <w:w w:val="103"/>
        </w:rPr>
        <w:t xml:space="preserve"> por ciento del importe</w:t>
      </w:r>
      <w:r w:rsidR="00095DCA" w:rsidRPr="003A115E">
        <w:rPr>
          <w:w w:val="103"/>
        </w:rPr>
        <w:t xml:space="preserve"> adjudicado</w:t>
      </w:r>
      <w:r w:rsidRPr="003A115E">
        <w:rPr>
          <w:w w:val="103"/>
        </w:rPr>
        <w:t>. Estas cifras son similares a las de 202</w:t>
      </w:r>
      <w:r w:rsidR="00D630B9" w:rsidRPr="003A115E">
        <w:rPr>
          <w:w w:val="103"/>
        </w:rPr>
        <w:t>1 y 2020</w:t>
      </w:r>
      <w:r w:rsidRPr="003A115E">
        <w:rPr>
          <w:w w:val="103"/>
        </w:rPr>
        <w:t>.</w:t>
      </w:r>
    </w:p>
    <w:p w14:paraId="09417B34" w14:textId="6571799D" w:rsidR="00BD6542" w:rsidRPr="003A115E" w:rsidRDefault="00BD6542" w:rsidP="00CC28BD">
      <w:pPr>
        <w:pStyle w:val="texto"/>
        <w:tabs>
          <w:tab w:val="left" w:pos="2977"/>
        </w:tabs>
        <w:spacing w:after="240"/>
        <w:rPr>
          <w:w w:val="103"/>
        </w:rPr>
      </w:pPr>
      <w:r w:rsidRPr="003A115E">
        <w:rPr>
          <w:w w:val="103"/>
        </w:rPr>
        <w:t xml:space="preserve">La contratación se concentra en un número reducido de contratos, según </w:t>
      </w:r>
      <w:r w:rsidR="008A52D9" w:rsidRPr="003A115E">
        <w:rPr>
          <w:w w:val="103"/>
        </w:rPr>
        <w:t>puede observarse</w:t>
      </w:r>
      <w:r w:rsidRPr="003A115E">
        <w:rPr>
          <w:w w:val="103"/>
        </w:rPr>
        <w:t xml:space="preserve"> </w:t>
      </w:r>
      <w:r w:rsidR="00344721" w:rsidRPr="003A115E">
        <w:rPr>
          <w:w w:val="103"/>
        </w:rPr>
        <w:t xml:space="preserve">en </w:t>
      </w:r>
      <w:r w:rsidRPr="003A115E">
        <w:rPr>
          <w:w w:val="103"/>
        </w:rPr>
        <w:t>la tabla siguiente:</w:t>
      </w:r>
    </w:p>
    <w:p w14:paraId="40B6957B" w14:textId="120402DC" w:rsidR="00D57C95" w:rsidRPr="003A115E" w:rsidRDefault="00216809" w:rsidP="00D57C95">
      <w:pPr>
        <w:pStyle w:val="texto"/>
        <w:spacing w:after="0"/>
        <w:jc w:val="right"/>
        <w:rPr>
          <w:rFonts w:ascii="Arial Narrow" w:hAnsi="Arial Narrow"/>
          <w:sz w:val="20"/>
          <w:szCs w:val="20"/>
        </w:rPr>
      </w:pPr>
      <w:r>
        <w:rPr>
          <w:rFonts w:ascii="Arial Narrow" w:hAnsi="Arial Narrow"/>
          <w:sz w:val="20"/>
          <w:szCs w:val="20"/>
        </w:rPr>
        <w:t>(</w:t>
      </w:r>
      <w:r w:rsidR="00543EBD">
        <w:rPr>
          <w:rFonts w:ascii="Arial Narrow" w:hAnsi="Arial Narrow"/>
          <w:sz w:val="20"/>
          <w:szCs w:val="20"/>
        </w:rPr>
        <w:t>miles</w:t>
      </w:r>
      <w:r w:rsidR="00D57C95" w:rsidRPr="003A115E">
        <w:rPr>
          <w:rFonts w:ascii="Arial Narrow" w:hAnsi="Arial Narrow"/>
          <w:sz w:val="20"/>
          <w:szCs w:val="20"/>
        </w:rPr>
        <w:t>)</w:t>
      </w:r>
    </w:p>
    <w:tbl>
      <w:tblPr>
        <w:tblW w:w="5000" w:type="pct"/>
        <w:tblCellMar>
          <w:left w:w="70" w:type="dxa"/>
          <w:right w:w="70" w:type="dxa"/>
        </w:tblCellMar>
        <w:tblLook w:val="04A0" w:firstRow="1" w:lastRow="0" w:firstColumn="1" w:lastColumn="0" w:noHBand="0" w:noVBand="1"/>
      </w:tblPr>
      <w:tblGrid>
        <w:gridCol w:w="2690"/>
        <w:gridCol w:w="459"/>
        <w:gridCol w:w="727"/>
        <w:gridCol w:w="459"/>
        <w:gridCol w:w="727"/>
        <w:gridCol w:w="459"/>
        <w:gridCol w:w="727"/>
        <w:gridCol w:w="494"/>
        <w:gridCol w:w="754"/>
        <w:gridCol w:w="459"/>
        <w:gridCol w:w="833"/>
      </w:tblGrid>
      <w:tr w:rsidR="000A742F" w:rsidRPr="003A115E" w14:paraId="0B14633B" w14:textId="77777777" w:rsidTr="0087568B">
        <w:trPr>
          <w:trHeight w:val="255"/>
        </w:trPr>
        <w:tc>
          <w:tcPr>
            <w:tcW w:w="1546" w:type="pct"/>
            <w:vMerge w:val="restart"/>
            <w:tcBorders>
              <w:top w:val="single" w:sz="4" w:space="0" w:color="auto"/>
              <w:left w:val="nil"/>
              <w:bottom w:val="single" w:sz="4" w:space="0" w:color="auto"/>
              <w:right w:val="nil"/>
            </w:tcBorders>
            <w:shd w:val="clear" w:color="auto" w:fill="FABF8F" w:themeFill="accent6" w:themeFillTint="99"/>
            <w:vAlign w:val="center"/>
            <w:hideMark/>
          </w:tcPr>
          <w:p w14:paraId="2E452B2E" w14:textId="5F2A5A3C" w:rsidR="00162B53" w:rsidRPr="003A115E" w:rsidRDefault="00162B53" w:rsidP="005D487C">
            <w:pPr>
              <w:pStyle w:val="cuadroCabe"/>
            </w:pPr>
          </w:p>
        </w:tc>
        <w:tc>
          <w:tcPr>
            <w:tcW w:w="675" w:type="pct"/>
            <w:gridSpan w:val="2"/>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2E9644FA" w14:textId="77777777" w:rsidR="00162B53" w:rsidRPr="003A115E" w:rsidRDefault="00162B53" w:rsidP="005D487C">
            <w:pPr>
              <w:pStyle w:val="cuadroCabe"/>
              <w:jc w:val="right"/>
            </w:pPr>
            <w:r w:rsidRPr="003A115E">
              <w:t>Obras</w:t>
            </w:r>
          </w:p>
        </w:tc>
        <w:tc>
          <w:tcPr>
            <w:tcW w:w="678"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55E0E650" w14:textId="77777777" w:rsidR="00162B53" w:rsidRPr="003A115E" w:rsidRDefault="00162B53" w:rsidP="005D487C">
            <w:pPr>
              <w:pStyle w:val="cuadroCabe"/>
              <w:jc w:val="right"/>
            </w:pPr>
            <w:r w:rsidRPr="003A115E">
              <w:t>Servicios</w:t>
            </w:r>
          </w:p>
        </w:tc>
        <w:tc>
          <w:tcPr>
            <w:tcW w:w="677"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2FF06D72" w14:textId="77777777" w:rsidR="00162B53" w:rsidRPr="003A115E" w:rsidRDefault="00162B53" w:rsidP="005D487C">
            <w:pPr>
              <w:pStyle w:val="cuadroCabe"/>
              <w:jc w:val="right"/>
            </w:pPr>
            <w:r w:rsidRPr="003A115E">
              <w:t>Suministros</w:t>
            </w:r>
          </w:p>
        </w:tc>
        <w:tc>
          <w:tcPr>
            <w:tcW w:w="780" w:type="pct"/>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12594CA8" w14:textId="77777777" w:rsidR="00216809" w:rsidRDefault="00162B53" w:rsidP="00216809">
            <w:pPr>
              <w:pStyle w:val="cuadroCabe"/>
              <w:jc w:val="right"/>
            </w:pPr>
            <w:r w:rsidRPr="003A115E">
              <w:t>Concesión de obras</w:t>
            </w:r>
          </w:p>
          <w:p w14:paraId="089B62AF" w14:textId="7BAF6241" w:rsidR="00216809" w:rsidRDefault="00162B53" w:rsidP="00216809">
            <w:pPr>
              <w:pStyle w:val="cuadroCabe"/>
              <w:jc w:val="right"/>
            </w:pPr>
            <w:r w:rsidRPr="003A115E">
              <w:t xml:space="preserve"> públicas/</w:t>
            </w:r>
          </w:p>
          <w:p w14:paraId="35A374D9" w14:textId="55611625" w:rsidR="00162B53" w:rsidRPr="003A115E" w:rsidRDefault="00162B53" w:rsidP="00216809">
            <w:pPr>
              <w:pStyle w:val="cuadroCabe"/>
              <w:jc w:val="right"/>
            </w:pPr>
            <w:r w:rsidRPr="003A115E">
              <w:t>servicios</w:t>
            </w:r>
          </w:p>
        </w:tc>
        <w:tc>
          <w:tcPr>
            <w:tcW w:w="645" w:type="pct"/>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5AC678C7" w14:textId="77777777" w:rsidR="00162B53" w:rsidRPr="003A115E" w:rsidRDefault="00162B53" w:rsidP="00CC28BD">
            <w:pPr>
              <w:pStyle w:val="cuadroCabe"/>
              <w:jc w:val="center"/>
            </w:pPr>
            <w:r w:rsidRPr="003A115E">
              <w:t>Total</w:t>
            </w:r>
          </w:p>
        </w:tc>
      </w:tr>
      <w:tr w:rsidR="000A742F" w:rsidRPr="003A115E" w14:paraId="4F6E8028" w14:textId="77777777" w:rsidTr="0087568B">
        <w:trPr>
          <w:trHeight w:val="255"/>
        </w:trPr>
        <w:tc>
          <w:tcPr>
            <w:tcW w:w="1546" w:type="pct"/>
            <w:vMerge/>
            <w:tcBorders>
              <w:top w:val="single" w:sz="4" w:space="0" w:color="auto"/>
              <w:left w:val="nil"/>
              <w:bottom w:val="single" w:sz="4" w:space="0" w:color="000000"/>
              <w:right w:val="nil"/>
            </w:tcBorders>
            <w:shd w:val="clear" w:color="auto" w:fill="FABF8F" w:themeFill="accent6" w:themeFillTint="99"/>
            <w:vAlign w:val="center"/>
            <w:hideMark/>
          </w:tcPr>
          <w:p w14:paraId="282F885B" w14:textId="77777777" w:rsidR="00162B53" w:rsidRPr="003A115E" w:rsidRDefault="00162B53" w:rsidP="00162B53">
            <w:pPr>
              <w:jc w:val="center"/>
              <w:rPr>
                <w:rFonts w:ascii="Arial Narrow" w:hAnsi="Arial Narrow" w:cs="Calibri"/>
                <w:sz w:val="16"/>
                <w:szCs w:val="16"/>
              </w:rPr>
            </w:pPr>
          </w:p>
        </w:tc>
        <w:tc>
          <w:tcPr>
            <w:tcW w:w="261" w:type="pct"/>
            <w:tcBorders>
              <w:top w:val="single" w:sz="4" w:space="0" w:color="auto"/>
              <w:left w:val="nil"/>
              <w:bottom w:val="nil"/>
              <w:right w:val="nil"/>
            </w:tcBorders>
            <w:shd w:val="clear" w:color="auto" w:fill="FABF8F" w:themeFill="accent6" w:themeFillTint="99"/>
            <w:vAlign w:val="center"/>
            <w:hideMark/>
          </w:tcPr>
          <w:p w14:paraId="428ECE32" w14:textId="77777777" w:rsidR="00162B53" w:rsidRPr="003A115E" w:rsidRDefault="00162B53" w:rsidP="005D487C">
            <w:pPr>
              <w:jc w:val="right"/>
              <w:rPr>
                <w:rFonts w:ascii="Arial Narrow" w:hAnsi="Arial Narrow" w:cs="Calibri"/>
                <w:sz w:val="16"/>
                <w:szCs w:val="16"/>
              </w:rPr>
            </w:pPr>
            <w:r w:rsidRPr="003A115E">
              <w:rPr>
                <w:rFonts w:ascii="Arial Narrow" w:hAnsi="Arial Narrow" w:cs="Calibri"/>
                <w:sz w:val="16"/>
                <w:szCs w:val="16"/>
              </w:rPr>
              <w:t>Nº</w:t>
            </w:r>
          </w:p>
        </w:tc>
        <w:tc>
          <w:tcPr>
            <w:tcW w:w="414" w:type="pct"/>
            <w:tcBorders>
              <w:top w:val="single" w:sz="4" w:space="0" w:color="auto"/>
              <w:left w:val="nil"/>
              <w:bottom w:val="nil"/>
              <w:right w:val="single" w:sz="2" w:space="0" w:color="auto"/>
            </w:tcBorders>
            <w:shd w:val="clear" w:color="auto" w:fill="FABF8F" w:themeFill="accent6" w:themeFillTint="99"/>
            <w:vAlign w:val="center"/>
            <w:hideMark/>
          </w:tcPr>
          <w:p w14:paraId="7B892469" w14:textId="77777777" w:rsidR="00162B53" w:rsidRPr="003A115E" w:rsidRDefault="00162B53" w:rsidP="005D487C">
            <w:pPr>
              <w:jc w:val="right"/>
              <w:rPr>
                <w:rFonts w:ascii="Arial Narrow" w:hAnsi="Arial Narrow" w:cs="Calibri"/>
                <w:sz w:val="16"/>
                <w:szCs w:val="16"/>
              </w:rPr>
            </w:pPr>
            <w:r w:rsidRPr="003A115E">
              <w:rPr>
                <w:rFonts w:ascii="Arial Narrow" w:hAnsi="Arial Narrow" w:cs="Calibri"/>
                <w:sz w:val="16"/>
                <w:szCs w:val="16"/>
              </w:rPr>
              <w:t>Importe</w:t>
            </w:r>
          </w:p>
        </w:tc>
        <w:tc>
          <w:tcPr>
            <w:tcW w:w="261" w:type="pct"/>
            <w:tcBorders>
              <w:top w:val="single" w:sz="4" w:space="0" w:color="auto"/>
              <w:left w:val="single" w:sz="2" w:space="0" w:color="auto"/>
              <w:bottom w:val="nil"/>
              <w:right w:val="nil"/>
            </w:tcBorders>
            <w:shd w:val="clear" w:color="auto" w:fill="FABF8F" w:themeFill="accent6" w:themeFillTint="99"/>
            <w:vAlign w:val="center"/>
            <w:hideMark/>
          </w:tcPr>
          <w:p w14:paraId="5746BE96" w14:textId="77777777" w:rsidR="00162B53" w:rsidRPr="003A115E" w:rsidRDefault="00162B53" w:rsidP="005D487C">
            <w:pPr>
              <w:jc w:val="right"/>
              <w:rPr>
                <w:rFonts w:ascii="Arial Narrow" w:hAnsi="Arial Narrow" w:cs="Calibri"/>
                <w:sz w:val="16"/>
                <w:szCs w:val="16"/>
              </w:rPr>
            </w:pPr>
            <w:r w:rsidRPr="003A115E">
              <w:rPr>
                <w:rFonts w:ascii="Arial Narrow" w:hAnsi="Arial Narrow" w:cs="Calibri"/>
                <w:sz w:val="16"/>
                <w:szCs w:val="16"/>
              </w:rPr>
              <w:t>Nº</w:t>
            </w:r>
          </w:p>
        </w:tc>
        <w:tc>
          <w:tcPr>
            <w:tcW w:w="416" w:type="pct"/>
            <w:tcBorders>
              <w:top w:val="single" w:sz="4" w:space="0" w:color="auto"/>
              <w:left w:val="nil"/>
              <w:bottom w:val="nil"/>
              <w:right w:val="single" w:sz="2" w:space="0" w:color="auto"/>
            </w:tcBorders>
            <w:shd w:val="clear" w:color="auto" w:fill="FABF8F" w:themeFill="accent6" w:themeFillTint="99"/>
            <w:vAlign w:val="center"/>
            <w:hideMark/>
          </w:tcPr>
          <w:p w14:paraId="500A76CE" w14:textId="77777777" w:rsidR="00162B53" w:rsidRPr="003A115E" w:rsidRDefault="00162B53" w:rsidP="005D487C">
            <w:pPr>
              <w:jc w:val="right"/>
              <w:rPr>
                <w:rFonts w:ascii="Arial Narrow" w:hAnsi="Arial Narrow" w:cs="Calibri"/>
                <w:sz w:val="16"/>
                <w:szCs w:val="16"/>
              </w:rPr>
            </w:pPr>
            <w:r w:rsidRPr="003A115E">
              <w:rPr>
                <w:rFonts w:ascii="Arial Narrow" w:hAnsi="Arial Narrow" w:cs="Calibri"/>
                <w:sz w:val="16"/>
                <w:szCs w:val="16"/>
              </w:rPr>
              <w:t>Importe</w:t>
            </w:r>
          </w:p>
        </w:tc>
        <w:tc>
          <w:tcPr>
            <w:tcW w:w="261" w:type="pct"/>
            <w:tcBorders>
              <w:top w:val="single" w:sz="4" w:space="0" w:color="auto"/>
              <w:left w:val="single" w:sz="2" w:space="0" w:color="auto"/>
              <w:bottom w:val="nil"/>
              <w:right w:val="nil"/>
            </w:tcBorders>
            <w:shd w:val="clear" w:color="auto" w:fill="FABF8F" w:themeFill="accent6" w:themeFillTint="99"/>
            <w:vAlign w:val="center"/>
            <w:hideMark/>
          </w:tcPr>
          <w:p w14:paraId="3C7C8F68" w14:textId="77777777" w:rsidR="00162B53" w:rsidRPr="003A115E" w:rsidRDefault="00162B53" w:rsidP="005D487C">
            <w:pPr>
              <w:jc w:val="right"/>
              <w:rPr>
                <w:rFonts w:ascii="Arial Narrow" w:hAnsi="Arial Narrow" w:cs="Calibri"/>
                <w:sz w:val="16"/>
                <w:szCs w:val="16"/>
              </w:rPr>
            </w:pPr>
            <w:r w:rsidRPr="003A115E">
              <w:rPr>
                <w:rFonts w:ascii="Arial Narrow" w:hAnsi="Arial Narrow" w:cs="Calibri"/>
                <w:sz w:val="16"/>
                <w:szCs w:val="16"/>
              </w:rPr>
              <w:t>Nº</w:t>
            </w:r>
          </w:p>
        </w:tc>
        <w:tc>
          <w:tcPr>
            <w:tcW w:w="416" w:type="pct"/>
            <w:tcBorders>
              <w:top w:val="single" w:sz="4" w:space="0" w:color="auto"/>
              <w:left w:val="nil"/>
              <w:bottom w:val="nil"/>
              <w:right w:val="single" w:sz="2" w:space="0" w:color="auto"/>
            </w:tcBorders>
            <w:shd w:val="clear" w:color="auto" w:fill="FABF8F" w:themeFill="accent6" w:themeFillTint="99"/>
            <w:vAlign w:val="center"/>
            <w:hideMark/>
          </w:tcPr>
          <w:p w14:paraId="11966911" w14:textId="77777777" w:rsidR="00162B53" w:rsidRPr="003A115E" w:rsidRDefault="00162B53" w:rsidP="005D487C">
            <w:pPr>
              <w:jc w:val="right"/>
              <w:rPr>
                <w:rFonts w:ascii="Arial Narrow" w:hAnsi="Arial Narrow" w:cs="Calibri"/>
                <w:sz w:val="16"/>
                <w:szCs w:val="16"/>
              </w:rPr>
            </w:pPr>
            <w:r w:rsidRPr="003A115E">
              <w:rPr>
                <w:rFonts w:ascii="Arial Narrow" w:hAnsi="Arial Narrow" w:cs="Calibri"/>
                <w:sz w:val="16"/>
                <w:szCs w:val="16"/>
              </w:rPr>
              <w:t>Importe</w:t>
            </w:r>
          </w:p>
        </w:tc>
        <w:tc>
          <w:tcPr>
            <w:tcW w:w="336" w:type="pct"/>
            <w:tcBorders>
              <w:top w:val="single" w:sz="4" w:space="0" w:color="auto"/>
              <w:left w:val="single" w:sz="2" w:space="0" w:color="auto"/>
              <w:bottom w:val="nil"/>
              <w:right w:val="nil"/>
            </w:tcBorders>
            <w:shd w:val="clear" w:color="auto" w:fill="FABF8F" w:themeFill="accent6" w:themeFillTint="99"/>
            <w:vAlign w:val="center"/>
            <w:hideMark/>
          </w:tcPr>
          <w:p w14:paraId="52497450" w14:textId="77777777" w:rsidR="00162B53" w:rsidRPr="003A115E" w:rsidRDefault="00162B53" w:rsidP="005D487C">
            <w:pPr>
              <w:jc w:val="right"/>
              <w:rPr>
                <w:rFonts w:ascii="Arial Narrow" w:hAnsi="Arial Narrow" w:cs="Calibri"/>
                <w:sz w:val="16"/>
                <w:szCs w:val="16"/>
              </w:rPr>
            </w:pPr>
            <w:r w:rsidRPr="003A115E">
              <w:rPr>
                <w:rFonts w:ascii="Arial Narrow" w:hAnsi="Arial Narrow" w:cs="Calibri"/>
                <w:sz w:val="16"/>
                <w:szCs w:val="16"/>
              </w:rPr>
              <w:t>Nº</w:t>
            </w:r>
          </w:p>
        </w:tc>
        <w:tc>
          <w:tcPr>
            <w:tcW w:w="444" w:type="pct"/>
            <w:tcBorders>
              <w:top w:val="single" w:sz="4" w:space="0" w:color="auto"/>
              <w:left w:val="nil"/>
              <w:bottom w:val="nil"/>
              <w:right w:val="single" w:sz="2" w:space="0" w:color="auto"/>
            </w:tcBorders>
            <w:shd w:val="clear" w:color="auto" w:fill="FABF8F" w:themeFill="accent6" w:themeFillTint="99"/>
            <w:vAlign w:val="center"/>
            <w:hideMark/>
          </w:tcPr>
          <w:p w14:paraId="66FFF14F" w14:textId="77777777" w:rsidR="00162B53" w:rsidRPr="003A115E" w:rsidRDefault="00162B53" w:rsidP="005D487C">
            <w:pPr>
              <w:jc w:val="right"/>
              <w:rPr>
                <w:rFonts w:ascii="Arial Narrow" w:hAnsi="Arial Narrow" w:cs="Calibri"/>
                <w:sz w:val="16"/>
                <w:szCs w:val="16"/>
              </w:rPr>
            </w:pPr>
            <w:r w:rsidRPr="003A115E">
              <w:rPr>
                <w:rFonts w:ascii="Arial Narrow" w:hAnsi="Arial Narrow" w:cs="Calibri"/>
                <w:sz w:val="16"/>
                <w:szCs w:val="16"/>
              </w:rPr>
              <w:t>Importe</w:t>
            </w:r>
          </w:p>
        </w:tc>
        <w:tc>
          <w:tcPr>
            <w:tcW w:w="171" w:type="pct"/>
            <w:tcBorders>
              <w:top w:val="single" w:sz="4" w:space="0" w:color="auto"/>
              <w:left w:val="single" w:sz="2" w:space="0" w:color="auto"/>
              <w:bottom w:val="nil"/>
              <w:right w:val="nil"/>
            </w:tcBorders>
            <w:shd w:val="clear" w:color="auto" w:fill="FABF8F" w:themeFill="accent6" w:themeFillTint="99"/>
            <w:vAlign w:val="center"/>
            <w:hideMark/>
          </w:tcPr>
          <w:p w14:paraId="03D95226" w14:textId="77777777" w:rsidR="00162B53" w:rsidRPr="003A115E" w:rsidRDefault="00162B53" w:rsidP="005D487C">
            <w:pPr>
              <w:jc w:val="right"/>
              <w:rPr>
                <w:rFonts w:ascii="Arial Narrow" w:hAnsi="Arial Narrow" w:cs="Calibri"/>
                <w:sz w:val="16"/>
                <w:szCs w:val="16"/>
              </w:rPr>
            </w:pPr>
            <w:r w:rsidRPr="003A115E">
              <w:rPr>
                <w:rFonts w:ascii="Arial Narrow" w:hAnsi="Arial Narrow" w:cs="Calibri"/>
                <w:sz w:val="16"/>
                <w:szCs w:val="16"/>
              </w:rPr>
              <w:t>Nº</w:t>
            </w:r>
          </w:p>
        </w:tc>
        <w:tc>
          <w:tcPr>
            <w:tcW w:w="474" w:type="pct"/>
            <w:tcBorders>
              <w:top w:val="single" w:sz="4" w:space="0" w:color="auto"/>
              <w:left w:val="nil"/>
              <w:bottom w:val="nil"/>
              <w:right w:val="nil"/>
            </w:tcBorders>
            <w:shd w:val="clear" w:color="auto" w:fill="FABF8F" w:themeFill="accent6" w:themeFillTint="99"/>
            <w:vAlign w:val="center"/>
            <w:hideMark/>
          </w:tcPr>
          <w:p w14:paraId="4331253D" w14:textId="77777777" w:rsidR="00162B53" w:rsidRPr="003A115E" w:rsidRDefault="00162B53" w:rsidP="005D487C">
            <w:pPr>
              <w:jc w:val="right"/>
              <w:rPr>
                <w:rFonts w:ascii="Arial Narrow" w:hAnsi="Arial Narrow" w:cs="Calibri"/>
                <w:sz w:val="16"/>
                <w:szCs w:val="16"/>
              </w:rPr>
            </w:pPr>
            <w:r w:rsidRPr="003A115E">
              <w:rPr>
                <w:rFonts w:ascii="Arial Narrow" w:hAnsi="Arial Narrow" w:cs="Calibri"/>
                <w:sz w:val="16"/>
                <w:szCs w:val="16"/>
              </w:rPr>
              <w:t>Importe</w:t>
            </w:r>
          </w:p>
        </w:tc>
      </w:tr>
      <w:tr w:rsidR="000A742F" w:rsidRPr="003A115E" w14:paraId="0AD5CFA3" w14:textId="77777777" w:rsidTr="0087568B">
        <w:trPr>
          <w:trHeight w:val="198"/>
        </w:trPr>
        <w:tc>
          <w:tcPr>
            <w:tcW w:w="1546" w:type="pct"/>
            <w:tcBorders>
              <w:top w:val="nil"/>
              <w:left w:val="nil"/>
              <w:bottom w:val="single" w:sz="2" w:space="0" w:color="auto"/>
              <w:right w:val="nil"/>
            </w:tcBorders>
            <w:shd w:val="clear" w:color="000000" w:fill="FFFFFF"/>
            <w:vAlign w:val="center"/>
            <w:hideMark/>
          </w:tcPr>
          <w:p w14:paraId="5D37670E" w14:textId="77777777" w:rsidR="00162B53" w:rsidRPr="003A115E" w:rsidRDefault="00162B53" w:rsidP="005D487C">
            <w:pPr>
              <w:pStyle w:val="cuatexto"/>
            </w:pPr>
            <w:r w:rsidRPr="003A115E">
              <w:t>&gt; 600.000 €</w:t>
            </w:r>
          </w:p>
        </w:tc>
        <w:tc>
          <w:tcPr>
            <w:tcW w:w="261" w:type="pct"/>
            <w:tcBorders>
              <w:top w:val="single" w:sz="4" w:space="0" w:color="auto"/>
              <w:left w:val="nil"/>
              <w:bottom w:val="single" w:sz="2" w:space="0" w:color="auto"/>
              <w:right w:val="nil"/>
            </w:tcBorders>
            <w:shd w:val="clear" w:color="000000" w:fill="FFFFFF"/>
            <w:noWrap/>
            <w:vAlign w:val="center"/>
            <w:hideMark/>
          </w:tcPr>
          <w:p w14:paraId="31796CD6" w14:textId="54F889A2" w:rsidR="00162B53" w:rsidRPr="003A115E" w:rsidRDefault="00162B53" w:rsidP="005D487C">
            <w:pPr>
              <w:pStyle w:val="cuatexto"/>
              <w:jc w:val="right"/>
            </w:pPr>
            <w:r w:rsidRPr="003A115E">
              <w:t>25</w:t>
            </w:r>
          </w:p>
        </w:tc>
        <w:tc>
          <w:tcPr>
            <w:tcW w:w="414" w:type="pct"/>
            <w:tcBorders>
              <w:top w:val="single" w:sz="4" w:space="0" w:color="auto"/>
              <w:left w:val="nil"/>
              <w:bottom w:val="single" w:sz="2" w:space="0" w:color="auto"/>
              <w:right w:val="single" w:sz="2" w:space="0" w:color="auto"/>
            </w:tcBorders>
            <w:shd w:val="clear" w:color="000000" w:fill="FFFFFF"/>
            <w:noWrap/>
            <w:vAlign w:val="center"/>
            <w:hideMark/>
          </w:tcPr>
          <w:p w14:paraId="1A512509" w14:textId="66BABCD0" w:rsidR="00162B53" w:rsidRPr="003A115E" w:rsidRDefault="00162B53" w:rsidP="005D487C">
            <w:pPr>
              <w:pStyle w:val="cuatexto"/>
              <w:jc w:val="right"/>
            </w:pPr>
            <w:r w:rsidRPr="003A115E">
              <w:t>51.271</w:t>
            </w:r>
          </w:p>
        </w:tc>
        <w:tc>
          <w:tcPr>
            <w:tcW w:w="261" w:type="pct"/>
            <w:tcBorders>
              <w:top w:val="single" w:sz="4" w:space="0" w:color="auto"/>
              <w:left w:val="single" w:sz="2" w:space="0" w:color="auto"/>
              <w:bottom w:val="single" w:sz="2" w:space="0" w:color="auto"/>
              <w:right w:val="nil"/>
            </w:tcBorders>
            <w:shd w:val="clear" w:color="000000" w:fill="FFFFFF"/>
            <w:noWrap/>
            <w:vAlign w:val="center"/>
            <w:hideMark/>
          </w:tcPr>
          <w:p w14:paraId="36069533" w14:textId="5160731E" w:rsidR="00162B53" w:rsidRPr="003A115E" w:rsidRDefault="00162B53" w:rsidP="005D487C">
            <w:pPr>
              <w:pStyle w:val="cuatexto"/>
              <w:jc w:val="right"/>
            </w:pPr>
            <w:r w:rsidRPr="003A115E">
              <w:t>5</w:t>
            </w:r>
          </w:p>
        </w:tc>
        <w:tc>
          <w:tcPr>
            <w:tcW w:w="416" w:type="pct"/>
            <w:tcBorders>
              <w:top w:val="single" w:sz="4" w:space="0" w:color="auto"/>
              <w:left w:val="nil"/>
              <w:bottom w:val="single" w:sz="2" w:space="0" w:color="auto"/>
              <w:right w:val="single" w:sz="2" w:space="0" w:color="auto"/>
            </w:tcBorders>
            <w:shd w:val="clear" w:color="000000" w:fill="FFFFFF"/>
            <w:noWrap/>
            <w:vAlign w:val="center"/>
            <w:hideMark/>
          </w:tcPr>
          <w:p w14:paraId="35969195" w14:textId="6A2D2712" w:rsidR="00162B53" w:rsidRPr="003A115E" w:rsidRDefault="00162B53" w:rsidP="005D487C">
            <w:pPr>
              <w:pStyle w:val="cuatexto"/>
              <w:jc w:val="right"/>
            </w:pPr>
            <w:r w:rsidRPr="003A115E">
              <w:t>23.180</w:t>
            </w:r>
          </w:p>
        </w:tc>
        <w:tc>
          <w:tcPr>
            <w:tcW w:w="261" w:type="pct"/>
            <w:tcBorders>
              <w:top w:val="single" w:sz="4" w:space="0" w:color="auto"/>
              <w:left w:val="single" w:sz="2" w:space="0" w:color="auto"/>
              <w:bottom w:val="single" w:sz="2" w:space="0" w:color="auto"/>
              <w:right w:val="nil"/>
            </w:tcBorders>
            <w:shd w:val="clear" w:color="000000" w:fill="FFFFFF"/>
            <w:noWrap/>
            <w:vAlign w:val="center"/>
            <w:hideMark/>
          </w:tcPr>
          <w:p w14:paraId="6C5BC29D" w14:textId="0F3A22B3" w:rsidR="00162B53" w:rsidRPr="003A115E" w:rsidRDefault="00162B53" w:rsidP="005D487C">
            <w:pPr>
              <w:pStyle w:val="cuatexto"/>
              <w:jc w:val="right"/>
            </w:pPr>
            <w:r w:rsidRPr="003A115E">
              <w:t>5</w:t>
            </w:r>
          </w:p>
        </w:tc>
        <w:tc>
          <w:tcPr>
            <w:tcW w:w="416" w:type="pct"/>
            <w:tcBorders>
              <w:top w:val="single" w:sz="4" w:space="0" w:color="auto"/>
              <w:left w:val="nil"/>
              <w:bottom w:val="single" w:sz="2" w:space="0" w:color="auto"/>
              <w:right w:val="single" w:sz="2" w:space="0" w:color="auto"/>
            </w:tcBorders>
            <w:shd w:val="clear" w:color="000000" w:fill="FFFFFF"/>
            <w:noWrap/>
            <w:vAlign w:val="center"/>
            <w:hideMark/>
          </w:tcPr>
          <w:p w14:paraId="1745F7CD" w14:textId="16B3A8CB" w:rsidR="00162B53" w:rsidRPr="003A115E" w:rsidRDefault="00162B53" w:rsidP="005D487C">
            <w:pPr>
              <w:pStyle w:val="cuatexto"/>
              <w:jc w:val="right"/>
            </w:pPr>
            <w:r w:rsidRPr="003A115E">
              <w:t>7.124</w:t>
            </w:r>
          </w:p>
        </w:tc>
        <w:tc>
          <w:tcPr>
            <w:tcW w:w="336" w:type="pct"/>
            <w:tcBorders>
              <w:top w:val="single" w:sz="4" w:space="0" w:color="auto"/>
              <w:left w:val="single" w:sz="2" w:space="0" w:color="auto"/>
              <w:bottom w:val="single" w:sz="2" w:space="0" w:color="auto"/>
              <w:right w:val="nil"/>
            </w:tcBorders>
            <w:shd w:val="clear" w:color="000000" w:fill="FFFFFF"/>
            <w:noWrap/>
            <w:vAlign w:val="center"/>
            <w:hideMark/>
          </w:tcPr>
          <w:p w14:paraId="72402333" w14:textId="300E74C2" w:rsidR="00162B53" w:rsidRPr="003A115E" w:rsidRDefault="00162B53" w:rsidP="005D487C">
            <w:pPr>
              <w:pStyle w:val="cuatexto"/>
              <w:jc w:val="right"/>
            </w:pPr>
            <w:r w:rsidRPr="003A115E">
              <w:t>2</w:t>
            </w:r>
          </w:p>
        </w:tc>
        <w:tc>
          <w:tcPr>
            <w:tcW w:w="444" w:type="pct"/>
            <w:tcBorders>
              <w:top w:val="single" w:sz="4" w:space="0" w:color="auto"/>
              <w:left w:val="nil"/>
              <w:bottom w:val="single" w:sz="2" w:space="0" w:color="auto"/>
              <w:right w:val="single" w:sz="2" w:space="0" w:color="auto"/>
            </w:tcBorders>
            <w:shd w:val="clear" w:color="000000" w:fill="FFFFFF"/>
            <w:noWrap/>
            <w:vAlign w:val="center"/>
            <w:hideMark/>
          </w:tcPr>
          <w:p w14:paraId="2193506B" w14:textId="2295A4EA" w:rsidR="00162B53" w:rsidRPr="003A115E" w:rsidRDefault="00162B53" w:rsidP="005D487C">
            <w:pPr>
              <w:pStyle w:val="cuatexto"/>
              <w:jc w:val="right"/>
            </w:pPr>
            <w:r w:rsidRPr="003A115E">
              <w:t>3.247</w:t>
            </w:r>
          </w:p>
        </w:tc>
        <w:tc>
          <w:tcPr>
            <w:tcW w:w="171" w:type="pct"/>
            <w:tcBorders>
              <w:top w:val="single" w:sz="4" w:space="0" w:color="auto"/>
              <w:left w:val="single" w:sz="2" w:space="0" w:color="auto"/>
              <w:bottom w:val="single" w:sz="2" w:space="0" w:color="auto"/>
              <w:right w:val="nil"/>
            </w:tcBorders>
            <w:shd w:val="clear" w:color="000000" w:fill="FFFFFF"/>
            <w:noWrap/>
            <w:vAlign w:val="center"/>
            <w:hideMark/>
          </w:tcPr>
          <w:p w14:paraId="2B80DA23" w14:textId="1284C34E" w:rsidR="00162B53" w:rsidRPr="003A115E" w:rsidRDefault="00162B53" w:rsidP="005D487C">
            <w:pPr>
              <w:pStyle w:val="cuatexto"/>
              <w:jc w:val="right"/>
            </w:pPr>
            <w:r w:rsidRPr="003A115E">
              <w:t>37</w:t>
            </w:r>
          </w:p>
        </w:tc>
        <w:tc>
          <w:tcPr>
            <w:tcW w:w="474" w:type="pct"/>
            <w:tcBorders>
              <w:top w:val="single" w:sz="4" w:space="0" w:color="auto"/>
              <w:left w:val="nil"/>
              <w:bottom w:val="single" w:sz="2" w:space="0" w:color="auto"/>
              <w:right w:val="nil"/>
            </w:tcBorders>
            <w:shd w:val="clear" w:color="000000" w:fill="FFFFFF"/>
            <w:noWrap/>
            <w:vAlign w:val="center"/>
            <w:hideMark/>
          </w:tcPr>
          <w:p w14:paraId="093D2C36" w14:textId="1E2A4103" w:rsidR="00162B53" w:rsidRPr="003A115E" w:rsidRDefault="00162B53" w:rsidP="005D487C">
            <w:pPr>
              <w:pStyle w:val="cuatexto"/>
              <w:jc w:val="right"/>
            </w:pPr>
            <w:r w:rsidRPr="003A115E">
              <w:t>84.822</w:t>
            </w:r>
          </w:p>
        </w:tc>
      </w:tr>
      <w:tr w:rsidR="000A742F" w:rsidRPr="003A115E" w14:paraId="76A39C33" w14:textId="77777777" w:rsidTr="0087568B">
        <w:trPr>
          <w:trHeight w:val="198"/>
        </w:trPr>
        <w:tc>
          <w:tcPr>
            <w:tcW w:w="1546" w:type="pct"/>
            <w:tcBorders>
              <w:top w:val="single" w:sz="2" w:space="0" w:color="auto"/>
              <w:left w:val="nil"/>
              <w:bottom w:val="single" w:sz="2" w:space="0" w:color="auto"/>
              <w:right w:val="nil"/>
            </w:tcBorders>
            <w:shd w:val="clear" w:color="000000" w:fill="FFFFFF"/>
            <w:vAlign w:val="center"/>
            <w:hideMark/>
          </w:tcPr>
          <w:p w14:paraId="478B66A6" w14:textId="77777777" w:rsidR="00162B53" w:rsidRPr="003A115E" w:rsidRDefault="00162B53" w:rsidP="005D487C">
            <w:pPr>
              <w:pStyle w:val="cuatexto"/>
            </w:pPr>
            <w:r w:rsidRPr="003A115E">
              <w:t>&gt; 400.000 € y &lt;= 600.000 €</w:t>
            </w:r>
          </w:p>
        </w:tc>
        <w:tc>
          <w:tcPr>
            <w:tcW w:w="261" w:type="pct"/>
            <w:tcBorders>
              <w:top w:val="single" w:sz="2" w:space="0" w:color="auto"/>
              <w:left w:val="nil"/>
              <w:bottom w:val="single" w:sz="2" w:space="0" w:color="auto"/>
              <w:right w:val="nil"/>
            </w:tcBorders>
            <w:shd w:val="clear" w:color="000000" w:fill="FFFFFF"/>
            <w:noWrap/>
            <w:vAlign w:val="center"/>
            <w:hideMark/>
          </w:tcPr>
          <w:p w14:paraId="49EDBE41" w14:textId="43B457F8" w:rsidR="00162B53" w:rsidRPr="003A115E" w:rsidRDefault="00162B53" w:rsidP="005D487C">
            <w:pPr>
              <w:pStyle w:val="cuatexto"/>
              <w:jc w:val="right"/>
            </w:pPr>
            <w:r w:rsidRPr="003A115E">
              <w:t>11</w:t>
            </w:r>
          </w:p>
        </w:tc>
        <w:tc>
          <w:tcPr>
            <w:tcW w:w="414" w:type="pct"/>
            <w:tcBorders>
              <w:top w:val="single" w:sz="2" w:space="0" w:color="auto"/>
              <w:left w:val="nil"/>
              <w:bottom w:val="single" w:sz="2" w:space="0" w:color="auto"/>
              <w:right w:val="single" w:sz="2" w:space="0" w:color="auto"/>
            </w:tcBorders>
            <w:shd w:val="clear" w:color="000000" w:fill="FFFFFF"/>
            <w:noWrap/>
            <w:vAlign w:val="center"/>
            <w:hideMark/>
          </w:tcPr>
          <w:p w14:paraId="40A8962F" w14:textId="1BF4E747" w:rsidR="00162B53" w:rsidRPr="003A115E" w:rsidRDefault="00162B53" w:rsidP="005D487C">
            <w:pPr>
              <w:pStyle w:val="cuatexto"/>
              <w:jc w:val="right"/>
            </w:pPr>
            <w:r w:rsidRPr="003A115E">
              <w:t>5.319</w:t>
            </w:r>
          </w:p>
        </w:tc>
        <w:tc>
          <w:tcPr>
            <w:tcW w:w="261" w:type="pct"/>
            <w:tcBorders>
              <w:top w:val="single" w:sz="2" w:space="0" w:color="auto"/>
              <w:left w:val="single" w:sz="2" w:space="0" w:color="auto"/>
              <w:bottom w:val="single" w:sz="2" w:space="0" w:color="auto"/>
              <w:right w:val="nil"/>
            </w:tcBorders>
            <w:shd w:val="clear" w:color="000000" w:fill="FFFFFF"/>
            <w:noWrap/>
            <w:vAlign w:val="center"/>
            <w:hideMark/>
          </w:tcPr>
          <w:p w14:paraId="1E96695C" w14:textId="07807E03" w:rsidR="00162B53" w:rsidRPr="003A115E" w:rsidRDefault="00162B53" w:rsidP="005D487C">
            <w:pPr>
              <w:pStyle w:val="cuatexto"/>
              <w:jc w:val="right"/>
            </w:pPr>
            <w:r w:rsidRPr="003A115E">
              <w:t>3</w:t>
            </w:r>
          </w:p>
        </w:tc>
        <w:tc>
          <w:tcPr>
            <w:tcW w:w="416" w:type="pct"/>
            <w:tcBorders>
              <w:top w:val="single" w:sz="2" w:space="0" w:color="auto"/>
              <w:left w:val="nil"/>
              <w:bottom w:val="single" w:sz="2" w:space="0" w:color="auto"/>
              <w:right w:val="single" w:sz="2" w:space="0" w:color="auto"/>
            </w:tcBorders>
            <w:shd w:val="clear" w:color="000000" w:fill="FFFFFF"/>
            <w:noWrap/>
            <w:vAlign w:val="center"/>
            <w:hideMark/>
          </w:tcPr>
          <w:p w14:paraId="0B54B190" w14:textId="28396889" w:rsidR="00162B53" w:rsidRPr="003A115E" w:rsidRDefault="00162B53" w:rsidP="005D487C">
            <w:pPr>
              <w:pStyle w:val="cuatexto"/>
              <w:jc w:val="right"/>
            </w:pPr>
            <w:r w:rsidRPr="003A115E">
              <w:t>1.695</w:t>
            </w:r>
          </w:p>
        </w:tc>
        <w:tc>
          <w:tcPr>
            <w:tcW w:w="261" w:type="pct"/>
            <w:tcBorders>
              <w:top w:val="single" w:sz="2" w:space="0" w:color="auto"/>
              <w:left w:val="single" w:sz="2" w:space="0" w:color="auto"/>
              <w:bottom w:val="single" w:sz="2" w:space="0" w:color="auto"/>
              <w:right w:val="nil"/>
            </w:tcBorders>
            <w:shd w:val="clear" w:color="000000" w:fill="FFFFFF"/>
            <w:noWrap/>
            <w:vAlign w:val="center"/>
            <w:hideMark/>
          </w:tcPr>
          <w:p w14:paraId="4B2C8B32" w14:textId="7701344F" w:rsidR="00162B53" w:rsidRPr="003A115E" w:rsidRDefault="00162B53" w:rsidP="005D487C">
            <w:pPr>
              <w:pStyle w:val="cuatexto"/>
              <w:jc w:val="right"/>
            </w:pPr>
            <w:r w:rsidRPr="003A115E">
              <w:t>1</w:t>
            </w:r>
          </w:p>
        </w:tc>
        <w:tc>
          <w:tcPr>
            <w:tcW w:w="416" w:type="pct"/>
            <w:tcBorders>
              <w:top w:val="single" w:sz="2" w:space="0" w:color="auto"/>
              <w:left w:val="nil"/>
              <w:bottom w:val="single" w:sz="2" w:space="0" w:color="auto"/>
              <w:right w:val="single" w:sz="2" w:space="0" w:color="auto"/>
            </w:tcBorders>
            <w:shd w:val="clear" w:color="000000" w:fill="FFFFFF"/>
            <w:noWrap/>
            <w:vAlign w:val="center"/>
            <w:hideMark/>
          </w:tcPr>
          <w:p w14:paraId="06E4EB9D" w14:textId="4299BE4D" w:rsidR="00162B53" w:rsidRPr="003A115E" w:rsidRDefault="00162B53" w:rsidP="005D487C">
            <w:pPr>
              <w:pStyle w:val="cuatexto"/>
              <w:jc w:val="right"/>
            </w:pPr>
            <w:r w:rsidRPr="003A115E">
              <w:t>417</w:t>
            </w:r>
          </w:p>
        </w:tc>
        <w:tc>
          <w:tcPr>
            <w:tcW w:w="336" w:type="pct"/>
            <w:tcBorders>
              <w:top w:val="single" w:sz="2" w:space="0" w:color="auto"/>
              <w:left w:val="single" w:sz="2" w:space="0" w:color="auto"/>
              <w:bottom w:val="single" w:sz="2" w:space="0" w:color="auto"/>
              <w:right w:val="nil"/>
            </w:tcBorders>
            <w:shd w:val="clear" w:color="000000" w:fill="FFFFFF"/>
            <w:noWrap/>
            <w:vAlign w:val="center"/>
            <w:hideMark/>
          </w:tcPr>
          <w:p w14:paraId="172F8F79" w14:textId="21E0E947" w:rsidR="00162B53" w:rsidRPr="003A115E" w:rsidRDefault="00162B53" w:rsidP="005D487C">
            <w:pPr>
              <w:pStyle w:val="cuatexto"/>
              <w:jc w:val="right"/>
            </w:pPr>
            <w:r w:rsidRPr="003A115E">
              <w:t>-</w:t>
            </w:r>
          </w:p>
        </w:tc>
        <w:tc>
          <w:tcPr>
            <w:tcW w:w="444" w:type="pct"/>
            <w:tcBorders>
              <w:top w:val="single" w:sz="2" w:space="0" w:color="auto"/>
              <w:left w:val="nil"/>
              <w:bottom w:val="single" w:sz="2" w:space="0" w:color="auto"/>
              <w:right w:val="single" w:sz="2" w:space="0" w:color="auto"/>
            </w:tcBorders>
            <w:shd w:val="clear" w:color="000000" w:fill="FFFFFF"/>
            <w:noWrap/>
            <w:vAlign w:val="center"/>
            <w:hideMark/>
          </w:tcPr>
          <w:p w14:paraId="169FD998" w14:textId="679043CB" w:rsidR="00162B53" w:rsidRPr="003A115E" w:rsidRDefault="00162B53" w:rsidP="005D487C">
            <w:pPr>
              <w:pStyle w:val="cuatexto"/>
              <w:jc w:val="right"/>
            </w:pPr>
            <w:r w:rsidRPr="003A115E">
              <w:t>-</w:t>
            </w:r>
          </w:p>
        </w:tc>
        <w:tc>
          <w:tcPr>
            <w:tcW w:w="171" w:type="pct"/>
            <w:tcBorders>
              <w:top w:val="single" w:sz="2" w:space="0" w:color="auto"/>
              <w:left w:val="single" w:sz="2" w:space="0" w:color="auto"/>
              <w:bottom w:val="single" w:sz="2" w:space="0" w:color="auto"/>
              <w:right w:val="nil"/>
            </w:tcBorders>
            <w:shd w:val="clear" w:color="000000" w:fill="FFFFFF"/>
            <w:noWrap/>
            <w:vAlign w:val="center"/>
            <w:hideMark/>
          </w:tcPr>
          <w:p w14:paraId="0D6B5E62" w14:textId="3A191B83" w:rsidR="00162B53" w:rsidRPr="003A115E" w:rsidRDefault="00162B53" w:rsidP="005D487C">
            <w:pPr>
              <w:pStyle w:val="cuatexto"/>
              <w:jc w:val="right"/>
            </w:pPr>
            <w:r w:rsidRPr="003A115E">
              <w:t>15</w:t>
            </w:r>
          </w:p>
        </w:tc>
        <w:tc>
          <w:tcPr>
            <w:tcW w:w="474" w:type="pct"/>
            <w:tcBorders>
              <w:top w:val="single" w:sz="2" w:space="0" w:color="auto"/>
              <w:left w:val="nil"/>
              <w:bottom w:val="single" w:sz="2" w:space="0" w:color="auto"/>
              <w:right w:val="nil"/>
            </w:tcBorders>
            <w:shd w:val="clear" w:color="000000" w:fill="FFFFFF"/>
            <w:noWrap/>
            <w:vAlign w:val="center"/>
            <w:hideMark/>
          </w:tcPr>
          <w:p w14:paraId="6B1097FC" w14:textId="118F69A1" w:rsidR="00162B53" w:rsidRPr="003A115E" w:rsidRDefault="00162B53" w:rsidP="005D487C">
            <w:pPr>
              <w:pStyle w:val="cuatexto"/>
              <w:jc w:val="right"/>
            </w:pPr>
            <w:r w:rsidRPr="003A115E">
              <w:t>7.432</w:t>
            </w:r>
          </w:p>
        </w:tc>
      </w:tr>
      <w:tr w:rsidR="000A742F" w:rsidRPr="003A115E" w14:paraId="4A112FC8" w14:textId="77777777" w:rsidTr="0087568B">
        <w:trPr>
          <w:trHeight w:val="198"/>
        </w:trPr>
        <w:tc>
          <w:tcPr>
            <w:tcW w:w="1546" w:type="pct"/>
            <w:tcBorders>
              <w:top w:val="single" w:sz="2" w:space="0" w:color="auto"/>
              <w:left w:val="nil"/>
              <w:bottom w:val="single" w:sz="2" w:space="0" w:color="auto"/>
              <w:right w:val="nil"/>
            </w:tcBorders>
            <w:shd w:val="clear" w:color="000000" w:fill="FFFFFF"/>
            <w:vAlign w:val="center"/>
            <w:hideMark/>
          </w:tcPr>
          <w:p w14:paraId="7DAC41E4" w14:textId="77777777" w:rsidR="00162B53" w:rsidRPr="003A115E" w:rsidRDefault="00162B53" w:rsidP="005D487C">
            <w:pPr>
              <w:pStyle w:val="cuatexto"/>
            </w:pPr>
            <w:r w:rsidRPr="003A115E">
              <w:t>&gt; 150.000 y &lt;= 400.000 €</w:t>
            </w:r>
          </w:p>
        </w:tc>
        <w:tc>
          <w:tcPr>
            <w:tcW w:w="261" w:type="pct"/>
            <w:tcBorders>
              <w:top w:val="single" w:sz="2" w:space="0" w:color="auto"/>
              <w:left w:val="nil"/>
              <w:bottom w:val="single" w:sz="2" w:space="0" w:color="auto"/>
              <w:right w:val="nil"/>
            </w:tcBorders>
            <w:shd w:val="clear" w:color="000000" w:fill="FFFFFF"/>
            <w:noWrap/>
            <w:vAlign w:val="center"/>
            <w:hideMark/>
          </w:tcPr>
          <w:p w14:paraId="5468C149" w14:textId="735B86DC" w:rsidR="00162B53" w:rsidRPr="003A115E" w:rsidRDefault="00162B53" w:rsidP="005D487C">
            <w:pPr>
              <w:pStyle w:val="cuatexto"/>
              <w:jc w:val="right"/>
            </w:pPr>
            <w:r w:rsidRPr="003A115E">
              <w:t>70</w:t>
            </w:r>
          </w:p>
        </w:tc>
        <w:tc>
          <w:tcPr>
            <w:tcW w:w="414" w:type="pct"/>
            <w:tcBorders>
              <w:top w:val="single" w:sz="2" w:space="0" w:color="auto"/>
              <w:left w:val="nil"/>
              <w:bottom w:val="single" w:sz="2" w:space="0" w:color="auto"/>
              <w:right w:val="single" w:sz="2" w:space="0" w:color="auto"/>
            </w:tcBorders>
            <w:shd w:val="clear" w:color="000000" w:fill="FFFFFF"/>
            <w:noWrap/>
            <w:vAlign w:val="center"/>
            <w:hideMark/>
          </w:tcPr>
          <w:p w14:paraId="51CBF84B" w14:textId="6C3C6CEC" w:rsidR="00162B53" w:rsidRPr="003A115E" w:rsidRDefault="00162B53" w:rsidP="005D487C">
            <w:pPr>
              <w:pStyle w:val="cuatexto"/>
              <w:jc w:val="right"/>
            </w:pPr>
            <w:r w:rsidRPr="003A115E">
              <w:t>18.008</w:t>
            </w:r>
          </w:p>
        </w:tc>
        <w:tc>
          <w:tcPr>
            <w:tcW w:w="261" w:type="pct"/>
            <w:tcBorders>
              <w:top w:val="single" w:sz="2" w:space="0" w:color="auto"/>
              <w:left w:val="single" w:sz="2" w:space="0" w:color="auto"/>
              <w:bottom w:val="single" w:sz="2" w:space="0" w:color="auto"/>
              <w:right w:val="nil"/>
            </w:tcBorders>
            <w:shd w:val="clear" w:color="000000" w:fill="FFFFFF"/>
            <w:noWrap/>
            <w:vAlign w:val="center"/>
            <w:hideMark/>
          </w:tcPr>
          <w:p w14:paraId="190128DE" w14:textId="51A121D5" w:rsidR="00162B53" w:rsidRPr="003A115E" w:rsidRDefault="00162B53" w:rsidP="005D487C">
            <w:pPr>
              <w:pStyle w:val="cuatexto"/>
              <w:jc w:val="right"/>
            </w:pPr>
            <w:r w:rsidRPr="003A115E">
              <w:t>23</w:t>
            </w:r>
          </w:p>
        </w:tc>
        <w:tc>
          <w:tcPr>
            <w:tcW w:w="416" w:type="pct"/>
            <w:tcBorders>
              <w:top w:val="single" w:sz="2" w:space="0" w:color="auto"/>
              <w:left w:val="nil"/>
              <w:bottom w:val="single" w:sz="2" w:space="0" w:color="auto"/>
              <w:right w:val="single" w:sz="2" w:space="0" w:color="auto"/>
            </w:tcBorders>
            <w:shd w:val="clear" w:color="000000" w:fill="FFFFFF"/>
            <w:noWrap/>
            <w:vAlign w:val="center"/>
            <w:hideMark/>
          </w:tcPr>
          <w:p w14:paraId="5C899B66" w14:textId="4C14C8E7" w:rsidR="00162B53" w:rsidRPr="003A115E" w:rsidRDefault="00162B53" w:rsidP="005D487C">
            <w:pPr>
              <w:pStyle w:val="cuatexto"/>
              <w:jc w:val="right"/>
            </w:pPr>
            <w:r w:rsidRPr="003A115E">
              <w:t>4.939</w:t>
            </w:r>
          </w:p>
        </w:tc>
        <w:tc>
          <w:tcPr>
            <w:tcW w:w="261" w:type="pct"/>
            <w:tcBorders>
              <w:top w:val="single" w:sz="2" w:space="0" w:color="auto"/>
              <w:left w:val="single" w:sz="2" w:space="0" w:color="auto"/>
              <w:bottom w:val="single" w:sz="2" w:space="0" w:color="auto"/>
              <w:right w:val="nil"/>
            </w:tcBorders>
            <w:shd w:val="clear" w:color="000000" w:fill="FFFFFF"/>
            <w:noWrap/>
            <w:vAlign w:val="center"/>
            <w:hideMark/>
          </w:tcPr>
          <w:p w14:paraId="261B6E39" w14:textId="538101D8" w:rsidR="00162B53" w:rsidRPr="003A115E" w:rsidRDefault="00162B53" w:rsidP="005D487C">
            <w:pPr>
              <w:pStyle w:val="cuatexto"/>
              <w:jc w:val="right"/>
            </w:pPr>
            <w:r w:rsidRPr="003A115E">
              <w:t>11</w:t>
            </w:r>
          </w:p>
        </w:tc>
        <w:tc>
          <w:tcPr>
            <w:tcW w:w="416" w:type="pct"/>
            <w:tcBorders>
              <w:top w:val="single" w:sz="2" w:space="0" w:color="auto"/>
              <w:left w:val="nil"/>
              <w:bottom w:val="single" w:sz="2" w:space="0" w:color="auto"/>
              <w:right w:val="single" w:sz="2" w:space="0" w:color="auto"/>
            </w:tcBorders>
            <w:shd w:val="clear" w:color="000000" w:fill="FFFFFF"/>
            <w:noWrap/>
            <w:vAlign w:val="center"/>
            <w:hideMark/>
          </w:tcPr>
          <w:p w14:paraId="05605634" w14:textId="413842B4" w:rsidR="00162B53" w:rsidRPr="003A115E" w:rsidRDefault="00162B53" w:rsidP="005D487C">
            <w:pPr>
              <w:pStyle w:val="cuatexto"/>
              <w:jc w:val="right"/>
            </w:pPr>
            <w:r w:rsidRPr="003A115E">
              <w:t>2.154</w:t>
            </w:r>
          </w:p>
        </w:tc>
        <w:tc>
          <w:tcPr>
            <w:tcW w:w="336" w:type="pct"/>
            <w:tcBorders>
              <w:top w:val="single" w:sz="2" w:space="0" w:color="auto"/>
              <w:left w:val="single" w:sz="2" w:space="0" w:color="auto"/>
              <w:bottom w:val="single" w:sz="2" w:space="0" w:color="auto"/>
              <w:right w:val="nil"/>
            </w:tcBorders>
            <w:shd w:val="clear" w:color="000000" w:fill="FFFFFF"/>
            <w:noWrap/>
            <w:vAlign w:val="center"/>
            <w:hideMark/>
          </w:tcPr>
          <w:p w14:paraId="5BD7C608" w14:textId="5D048AC5" w:rsidR="00162B53" w:rsidRPr="003A115E" w:rsidRDefault="00162B53" w:rsidP="005D487C">
            <w:pPr>
              <w:pStyle w:val="cuatexto"/>
              <w:jc w:val="right"/>
            </w:pPr>
            <w:r w:rsidRPr="003A115E">
              <w:t>-</w:t>
            </w:r>
          </w:p>
        </w:tc>
        <w:tc>
          <w:tcPr>
            <w:tcW w:w="444" w:type="pct"/>
            <w:tcBorders>
              <w:top w:val="single" w:sz="2" w:space="0" w:color="auto"/>
              <w:left w:val="nil"/>
              <w:bottom w:val="single" w:sz="2" w:space="0" w:color="auto"/>
              <w:right w:val="single" w:sz="2" w:space="0" w:color="auto"/>
            </w:tcBorders>
            <w:shd w:val="clear" w:color="000000" w:fill="FFFFFF"/>
            <w:noWrap/>
            <w:vAlign w:val="center"/>
            <w:hideMark/>
          </w:tcPr>
          <w:p w14:paraId="7FD50322" w14:textId="1D1E582B" w:rsidR="00162B53" w:rsidRPr="003A115E" w:rsidRDefault="00162B53" w:rsidP="005D487C">
            <w:pPr>
              <w:pStyle w:val="cuatexto"/>
              <w:jc w:val="right"/>
            </w:pPr>
            <w:r w:rsidRPr="003A115E">
              <w:t>-</w:t>
            </w:r>
          </w:p>
        </w:tc>
        <w:tc>
          <w:tcPr>
            <w:tcW w:w="171" w:type="pct"/>
            <w:tcBorders>
              <w:top w:val="single" w:sz="2" w:space="0" w:color="auto"/>
              <w:left w:val="single" w:sz="2" w:space="0" w:color="auto"/>
              <w:bottom w:val="single" w:sz="2" w:space="0" w:color="auto"/>
              <w:right w:val="nil"/>
            </w:tcBorders>
            <w:shd w:val="clear" w:color="000000" w:fill="FFFFFF"/>
            <w:noWrap/>
            <w:vAlign w:val="center"/>
            <w:hideMark/>
          </w:tcPr>
          <w:p w14:paraId="29E63493" w14:textId="38CEC5E5" w:rsidR="00162B53" w:rsidRPr="003A115E" w:rsidRDefault="00162B53" w:rsidP="005D487C">
            <w:pPr>
              <w:pStyle w:val="cuatexto"/>
              <w:jc w:val="right"/>
            </w:pPr>
            <w:r w:rsidRPr="003A115E">
              <w:t>104</w:t>
            </w:r>
          </w:p>
        </w:tc>
        <w:tc>
          <w:tcPr>
            <w:tcW w:w="474" w:type="pct"/>
            <w:tcBorders>
              <w:top w:val="single" w:sz="2" w:space="0" w:color="auto"/>
              <w:left w:val="nil"/>
              <w:bottom w:val="single" w:sz="2" w:space="0" w:color="auto"/>
              <w:right w:val="nil"/>
            </w:tcBorders>
            <w:shd w:val="clear" w:color="000000" w:fill="FFFFFF"/>
            <w:noWrap/>
            <w:vAlign w:val="center"/>
            <w:hideMark/>
          </w:tcPr>
          <w:p w14:paraId="7F7BC3BD" w14:textId="37DAF666" w:rsidR="00162B53" w:rsidRPr="003A115E" w:rsidRDefault="00162B53" w:rsidP="005D487C">
            <w:pPr>
              <w:pStyle w:val="cuatexto"/>
              <w:jc w:val="right"/>
            </w:pPr>
            <w:r w:rsidRPr="003A115E">
              <w:t>25.102</w:t>
            </w:r>
          </w:p>
        </w:tc>
      </w:tr>
      <w:tr w:rsidR="000A742F" w:rsidRPr="003A115E" w14:paraId="1665BE0C" w14:textId="77777777" w:rsidTr="0087568B">
        <w:trPr>
          <w:trHeight w:val="198"/>
        </w:trPr>
        <w:tc>
          <w:tcPr>
            <w:tcW w:w="1546" w:type="pct"/>
            <w:tcBorders>
              <w:top w:val="single" w:sz="2" w:space="0" w:color="auto"/>
              <w:left w:val="nil"/>
              <w:bottom w:val="single" w:sz="4" w:space="0" w:color="auto"/>
              <w:right w:val="nil"/>
            </w:tcBorders>
            <w:shd w:val="clear" w:color="000000" w:fill="FFFFFF"/>
            <w:vAlign w:val="center"/>
            <w:hideMark/>
          </w:tcPr>
          <w:p w14:paraId="1062EAE5" w14:textId="77777777" w:rsidR="00162B53" w:rsidRPr="003A115E" w:rsidRDefault="00162B53" w:rsidP="005D487C">
            <w:pPr>
              <w:pStyle w:val="cuatexto"/>
            </w:pPr>
            <w:r w:rsidRPr="003A115E">
              <w:t>&lt; 150.000 €</w:t>
            </w:r>
          </w:p>
        </w:tc>
        <w:tc>
          <w:tcPr>
            <w:tcW w:w="261" w:type="pct"/>
            <w:tcBorders>
              <w:top w:val="single" w:sz="2" w:space="0" w:color="auto"/>
              <w:left w:val="nil"/>
              <w:bottom w:val="single" w:sz="4" w:space="0" w:color="auto"/>
              <w:right w:val="nil"/>
            </w:tcBorders>
            <w:shd w:val="clear" w:color="000000" w:fill="FFFFFF"/>
            <w:noWrap/>
            <w:vAlign w:val="center"/>
            <w:hideMark/>
          </w:tcPr>
          <w:p w14:paraId="3DDA017F" w14:textId="2CF9EE81" w:rsidR="00162B53" w:rsidRPr="003A115E" w:rsidRDefault="00162B53" w:rsidP="005D487C">
            <w:pPr>
              <w:pStyle w:val="cuatexto"/>
              <w:jc w:val="right"/>
            </w:pPr>
            <w:r w:rsidRPr="003A115E">
              <w:t>235</w:t>
            </w:r>
          </w:p>
        </w:tc>
        <w:tc>
          <w:tcPr>
            <w:tcW w:w="414" w:type="pct"/>
            <w:tcBorders>
              <w:top w:val="single" w:sz="2" w:space="0" w:color="auto"/>
              <w:left w:val="nil"/>
              <w:bottom w:val="single" w:sz="4" w:space="0" w:color="auto"/>
              <w:right w:val="single" w:sz="2" w:space="0" w:color="auto"/>
            </w:tcBorders>
            <w:shd w:val="clear" w:color="000000" w:fill="FFFFFF"/>
            <w:noWrap/>
            <w:vAlign w:val="center"/>
            <w:hideMark/>
          </w:tcPr>
          <w:p w14:paraId="6F7848B7" w14:textId="21A475D3" w:rsidR="00162B53" w:rsidRPr="003A115E" w:rsidRDefault="00162B53" w:rsidP="005D487C">
            <w:pPr>
              <w:pStyle w:val="cuatexto"/>
              <w:jc w:val="right"/>
            </w:pPr>
            <w:r w:rsidRPr="003A115E">
              <w:t>16.889</w:t>
            </w:r>
          </w:p>
        </w:tc>
        <w:tc>
          <w:tcPr>
            <w:tcW w:w="261" w:type="pct"/>
            <w:tcBorders>
              <w:top w:val="single" w:sz="2" w:space="0" w:color="auto"/>
              <w:left w:val="single" w:sz="2" w:space="0" w:color="auto"/>
              <w:bottom w:val="single" w:sz="4" w:space="0" w:color="auto"/>
              <w:right w:val="nil"/>
            </w:tcBorders>
            <w:shd w:val="clear" w:color="000000" w:fill="FFFFFF"/>
            <w:noWrap/>
            <w:vAlign w:val="center"/>
            <w:hideMark/>
          </w:tcPr>
          <w:p w14:paraId="748A7DAD" w14:textId="32FCEF6E" w:rsidR="00162B53" w:rsidRPr="003A115E" w:rsidRDefault="00162B53" w:rsidP="005D487C">
            <w:pPr>
              <w:pStyle w:val="cuatexto"/>
              <w:jc w:val="right"/>
            </w:pPr>
            <w:r w:rsidRPr="003A115E">
              <w:t>179</w:t>
            </w:r>
          </w:p>
        </w:tc>
        <w:tc>
          <w:tcPr>
            <w:tcW w:w="416" w:type="pct"/>
            <w:tcBorders>
              <w:top w:val="single" w:sz="2" w:space="0" w:color="auto"/>
              <w:left w:val="nil"/>
              <w:bottom w:val="single" w:sz="4" w:space="0" w:color="auto"/>
              <w:right w:val="single" w:sz="2" w:space="0" w:color="auto"/>
            </w:tcBorders>
            <w:shd w:val="clear" w:color="000000" w:fill="FFFFFF"/>
            <w:noWrap/>
            <w:vAlign w:val="center"/>
            <w:hideMark/>
          </w:tcPr>
          <w:p w14:paraId="000456F4" w14:textId="6445A01C" w:rsidR="00162B53" w:rsidRPr="003A115E" w:rsidRDefault="00162B53" w:rsidP="005D487C">
            <w:pPr>
              <w:pStyle w:val="cuatexto"/>
              <w:jc w:val="right"/>
            </w:pPr>
            <w:r w:rsidRPr="003A115E">
              <w:t>7.320</w:t>
            </w:r>
          </w:p>
        </w:tc>
        <w:tc>
          <w:tcPr>
            <w:tcW w:w="261" w:type="pct"/>
            <w:tcBorders>
              <w:top w:val="single" w:sz="2" w:space="0" w:color="auto"/>
              <w:left w:val="single" w:sz="2" w:space="0" w:color="auto"/>
              <w:bottom w:val="single" w:sz="4" w:space="0" w:color="auto"/>
              <w:right w:val="nil"/>
            </w:tcBorders>
            <w:shd w:val="clear" w:color="000000" w:fill="FFFFFF"/>
            <w:noWrap/>
            <w:vAlign w:val="center"/>
            <w:hideMark/>
          </w:tcPr>
          <w:p w14:paraId="418880EB" w14:textId="7D3559B4" w:rsidR="00162B53" w:rsidRPr="003A115E" w:rsidRDefault="00162B53" w:rsidP="005D487C">
            <w:pPr>
              <w:pStyle w:val="cuatexto"/>
              <w:jc w:val="right"/>
            </w:pPr>
            <w:r w:rsidRPr="003A115E">
              <w:t>87</w:t>
            </w:r>
          </w:p>
        </w:tc>
        <w:tc>
          <w:tcPr>
            <w:tcW w:w="416" w:type="pct"/>
            <w:tcBorders>
              <w:top w:val="single" w:sz="2" w:space="0" w:color="auto"/>
              <w:left w:val="nil"/>
              <w:bottom w:val="single" w:sz="4" w:space="0" w:color="auto"/>
              <w:right w:val="single" w:sz="2" w:space="0" w:color="auto"/>
            </w:tcBorders>
            <w:shd w:val="clear" w:color="000000" w:fill="FFFFFF"/>
            <w:noWrap/>
            <w:vAlign w:val="center"/>
            <w:hideMark/>
          </w:tcPr>
          <w:p w14:paraId="2CC68CA4" w14:textId="7D9C0CF7" w:rsidR="00162B53" w:rsidRPr="003A115E" w:rsidRDefault="00162B53" w:rsidP="005D487C">
            <w:pPr>
              <w:pStyle w:val="cuatexto"/>
              <w:jc w:val="right"/>
            </w:pPr>
            <w:r w:rsidRPr="003A115E">
              <w:t>4.038</w:t>
            </w:r>
          </w:p>
        </w:tc>
        <w:tc>
          <w:tcPr>
            <w:tcW w:w="336" w:type="pct"/>
            <w:tcBorders>
              <w:top w:val="single" w:sz="2" w:space="0" w:color="auto"/>
              <w:left w:val="single" w:sz="2" w:space="0" w:color="auto"/>
              <w:bottom w:val="single" w:sz="4" w:space="0" w:color="auto"/>
              <w:right w:val="nil"/>
            </w:tcBorders>
            <w:shd w:val="clear" w:color="000000" w:fill="FFFFFF"/>
            <w:noWrap/>
            <w:vAlign w:val="center"/>
            <w:hideMark/>
          </w:tcPr>
          <w:p w14:paraId="580E4C0A" w14:textId="31B6567F" w:rsidR="00162B53" w:rsidRPr="003A115E" w:rsidRDefault="00162B53" w:rsidP="005D487C">
            <w:pPr>
              <w:pStyle w:val="cuatexto"/>
              <w:jc w:val="right"/>
            </w:pPr>
            <w:r w:rsidRPr="003A115E">
              <w:t>22</w:t>
            </w:r>
          </w:p>
        </w:tc>
        <w:tc>
          <w:tcPr>
            <w:tcW w:w="444" w:type="pct"/>
            <w:tcBorders>
              <w:top w:val="single" w:sz="2" w:space="0" w:color="auto"/>
              <w:left w:val="nil"/>
              <w:bottom w:val="single" w:sz="4" w:space="0" w:color="auto"/>
              <w:right w:val="single" w:sz="2" w:space="0" w:color="auto"/>
            </w:tcBorders>
            <w:shd w:val="clear" w:color="000000" w:fill="FFFFFF"/>
            <w:noWrap/>
            <w:vAlign w:val="center"/>
            <w:hideMark/>
          </w:tcPr>
          <w:p w14:paraId="3787FB04" w14:textId="002AF320" w:rsidR="00162B53" w:rsidRPr="003A115E" w:rsidRDefault="00162B53" w:rsidP="005D487C">
            <w:pPr>
              <w:pStyle w:val="cuatexto"/>
              <w:jc w:val="right"/>
            </w:pPr>
            <w:r w:rsidRPr="003A115E">
              <w:t>381</w:t>
            </w:r>
          </w:p>
        </w:tc>
        <w:tc>
          <w:tcPr>
            <w:tcW w:w="171" w:type="pct"/>
            <w:tcBorders>
              <w:top w:val="single" w:sz="2" w:space="0" w:color="auto"/>
              <w:left w:val="single" w:sz="2" w:space="0" w:color="auto"/>
              <w:bottom w:val="single" w:sz="4" w:space="0" w:color="auto"/>
              <w:right w:val="nil"/>
            </w:tcBorders>
            <w:shd w:val="clear" w:color="000000" w:fill="FFFFFF"/>
            <w:noWrap/>
            <w:vAlign w:val="center"/>
            <w:hideMark/>
          </w:tcPr>
          <w:p w14:paraId="76B5AB0E" w14:textId="2F45AF86" w:rsidR="00162B53" w:rsidRPr="003A115E" w:rsidRDefault="00162B53" w:rsidP="005D487C">
            <w:pPr>
              <w:pStyle w:val="cuatexto"/>
              <w:jc w:val="right"/>
            </w:pPr>
            <w:r w:rsidRPr="003A115E">
              <w:t>523</w:t>
            </w:r>
          </w:p>
        </w:tc>
        <w:tc>
          <w:tcPr>
            <w:tcW w:w="474" w:type="pct"/>
            <w:tcBorders>
              <w:top w:val="single" w:sz="2" w:space="0" w:color="auto"/>
              <w:left w:val="nil"/>
              <w:bottom w:val="single" w:sz="4" w:space="0" w:color="auto"/>
              <w:right w:val="nil"/>
            </w:tcBorders>
            <w:shd w:val="clear" w:color="000000" w:fill="FFFFFF"/>
            <w:noWrap/>
            <w:vAlign w:val="center"/>
            <w:hideMark/>
          </w:tcPr>
          <w:p w14:paraId="327039CA" w14:textId="77044729" w:rsidR="00162B53" w:rsidRPr="003A115E" w:rsidRDefault="00162B53" w:rsidP="005D487C">
            <w:pPr>
              <w:pStyle w:val="cuatexto"/>
              <w:jc w:val="right"/>
            </w:pPr>
            <w:r w:rsidRPr="003A115E">
              <w:t>28.627</w:t>
            </w:r>
          </w:p>
        </w:tc>
      </w:tr>
      <w:tr w:rsidR="000A742F" w:rsidRPr="003A115E" w14:paraId="1615BF8E" w14:textId="77777777" w:rsidTr="0087568B">
        <w:trPr>
          <w:trHeight w:val="255"/>
        </w:trPr>
        <w:tc>
          <w:tcPr>
            <w:tcW w:w="1546" w:type="pct"/>
            <w:tcBorders>
              <w:top w:val="single" w:sz="4" w:space="0" w:color="auto"/>
              <w:left w:val="nil"/>
              <w:bottom w:val="single" w:sz="4" w:space="0" w:color="auto"/>
              <w:right w:val="nil"/>
            </w:tcBorders>
            <w:shd w:val="clear" w:color="auto" w:fill="FABF8F" w:themeFill="accent6" w:themeFillTint="99"/>
            <w:noWrap/>
            <w:vAlign w:val="center"/>
            <w:hideMark/>
          </w:tcPr>
          <w:p w14:paraId="583886A8" w14:textId="7A2AF84C" w:rsidR="00162B53" w:rsidRPr="003A115E" w:rsidRDefault="00162B53" w:rsidP="005D487C">
            <w:pPr>
              <w:pStyle w:val="cuadroCabe"/>
            </w:pPr>
          </w:p>
        </w:tc>
        <w:tc>
          <w:tcPr>
            <w:tcW w:w="261" w:type="pct"/>
            <w:tcBorders>
              <w:top w:val="single" w:sz="4" w:space="0" w:color="auto"/>
              <w:left w:val="nil"/>
              <w:bottom w:val="single" w:sz="4" w:space="0" w:color="auto"/>
              <w:right w:val="nil"/>
            </w:tcBorders>
            <w:shd w:val="clear" w:color="auto" w:fill="FABF8F" w:themeFill="accent6" w:themeFillTint="99"/>
            <w:noWrap/>
            <w:vAlign w:val="center"/>
            <w:hideMark/>
          </w:tcPr>
          <w:p w14:paraId="0B92D2FF" w14:textId="3F972069" w:rsidR="00162B53" w:rsidRPr="003A115E" w:rsidRDefault="00162B53" w:rsidP="005D487C">
            <w:pPr>
              <w:pStyle w:val="cuadroCabe"/>
              <w:jc w:val="right"/>
            </w:pPr>
            <w:r w:rsidRPr="003A115E">
              <w:t>341</w:t>
            </w:r>
          </w:p>
        </w:tc>
        <w:tc>
          <w:tcPr>
            <w:tcW w:w="41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AB52CB2" w14:textId="14A16336" w:rsidR="00162B53" w:rsidRPr="003A115E" w:rsidRDefault="00162B53" w:rsidP="005D487C">
            <w:pPr>
              <w:pStyle w:val="cuadroCabe"/>
              <w:jc w:val="right"/>
            </w:pPr>
            <w:r w:rsidRPr="003A115E">
              <w:t>91.487</w:t>
            </w:r>
          </w:p>
        </w:tc>
        <w:tc>
          <w:tcPr>
            <w:tcW w:w="26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33807B03" w14:textId="3EB03754" w:rsidR="00162B53" w:rsidRPr="003A115E" w:rsidRDefault="00162B53" w:rsidP="005D487C">
            <w:pPr>
              <w:pStyle w:val="cuadroCabe"/>
              <w:jc w:val="right"/>
            </w:pPr>
            <w:r w:rsidRPr="003A115E">
              <w:t>210</w:t>
            </w:r>
          </w:p>
        </w:tc>
        <w:tc>
          <w:tcPr>
            <w:tcW w:w="416"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2FBED77" w14:textId="14BA6A8D" w:rsidR="00162B53" w:rsidRPr="003A115E" w:rsidRDefault="00162B53" w:rsidP="005D487C">
            <w:pPr>
              <w:pStyle w:val="cuadroCabe"/>
              <w:jc w:val="right"/>
            </w:pPr>
            <w:r w:rsidRPr="003A115E">
              <w:t>37.134</w:t>
            </w:r>
          </w:p>
        </w:tc>
        <w:tc>
          <w:tcPr>
            <w:tcW w:w="26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75D1E417" w14:textId="7A9CAAC5" w:rsidR="00162B53" w:rsidRPr="003A115E" w:rsidRDefault="00162B53" w:rsidP="005D487C">
            <w:pPr>
              <w:pStyle w:val="cuadroCabe"/>
              <w:jc w:val="right"/>
            </w:pPr>
            <w:r w:rsidRPr="003A115E">
              <w:t>104</w:t>
            </w:r>
          </w:p>
        </w:tc>
        <w:tc>
          <w:tcPr>
            <w:tcW w:w="416"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0283BD9" w14:textId="0E87BAC3" w:rsidR="00162B53" w:rsidRPr="003A115E" w:rsidRDefault="00162B53" w:rsidP="005D487C">
            <w:pPr>
              <w:pStyle w:val="cuadroCabe"/>
              <w:jc w:val="right"/>
            </w:pPr>
            <w:r w:rsidRPr="003A115E">
              <w:t>13.733</w:t>
            </w:r>
          </w:p>
        </w:tc>
        <w:tc>
          <w:tcPr>
            <w:tcW w:w="336"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728CA01D" w14:textId="1552DA32" w:rsidR="00162B53" w:rsidRPr="003A115E" w:rsidRDefault="00162B53" w:rsidP="005D487C">
            <w:pPr>
              <w:pStyle w:val="cuadroCabe"/>
              <w:jc w:val="right"/>
            </w:pPr>
            <w:r w:rsidRPr="003A115E">
              <w:t>24</w:t>
            </w:r>
          </w:p>
        </w:tc>
        <w:tc>
          <w:tcPr>
            <w:tcW w:w="44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7E75FCA" w14:textId="011C2C9B" w:rsidR="00162B53" w:rsidRPr="003A115E" w:rsidRDefault="00162B53" w:rsidP="005D487C">
            <w:pPr>
              <w:pStyle w:val="cuadroCabe"/>
              <w:jc w:val="right"/>
            </w:pPr>
            <w:r w:rsidRPr="003A115E">
              <w:t>3.628</w:t>
            </w:r>
          </w:p>
        </w:tc>
        <w:tc>
          <w:tcPr>
            <w:tcW w:w="17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2252878D" w14:textId="4BF23657" w:rsidR="00162B53" w:rsidRPr="003A115E" w:rsidRDefault="00162B53" w:rsidP="005D487C">
            <w:pPr>
              <w:pStyle w:val="cuadroCabe"/>
              <w:jc w:val="right"/>
            </w:pPr>
            <w:r w:rsidRPr="003A115E">
              <w:t>679</w:t>
            </w:r>
          </w:p>
        </w:tc>
        <w:tc>
          <w:tcPr>
            <w:tcW w:w="474" w:type="pct"/>
            <w:tcBorders>
              <w:top w:val="single" w:sz="4" w:space="0" w:color="auto"/>
              <w:left w:val="nil"/>
              <w:bottom w:val="single" w:sz="4" w:space="0" w:color="auto"/>
              <w:right w:val="nil"/>
            </w:tcBorders>
            <w:shd w:val="clear" w:color="auto" w:fill="FABF8F" w:themeFill="accent6" w:themeFillTint="99"/>
            <w:noWrap/>
            <w:vAlign w:val="center"/>
            <w:hideMark/>
          </w:tcPr>
          <w:p w14:paraId="5326E46B" w14:textId="07407FA0" w:rsidR="00162B53" w:rsidRPr="003A115E" w:rsidRDefault="00162B53" w:rsidP="005D487C">
            <w:pPr>
              <w:pStyle w:val="cuadroCabe"/>
              <w:jc w:val="right"/>
            </w:pPr>
            <w:r w:rsidRPr="003A115E">
              <w:t>145.982</w:t>
            </w:r>
          </w:p>
        </w:tc>
      </w:tr>
    </w:tbl>
    <w:p w14:paraId="115173AF" w14:textId="07C23F39" w:rsidR="00EC4C05" w:rsidRPr="003A115E" w:rsidRDefault="20CA59C9" w:rsidP="001D196E">
      <w:pPr>
        <w:pStyle w:val="texto"/>
        <w:tabs>
          <w:tab w:val="left" w:pos="2977"/>
        </w:tabs>
        <w:spacing w:before="240"/>
        <w:rPr>
          <w:w w:val="103"/>
        </w:rPr>
      </w:pPr>
      <w:r w:rsidRPr="003A115E">
        <w:rPr>
          <w:w w:val="103"/>
        </w:rPr>
        <w:t xml:space="preserve">Los contratos cuyo importe de adjudicación supera los 600.000 euros son 37 y representan el </w:t>
      </w:r>
      <w:r w:rsidR="00514465" w:rsidRPr="003A115E">
        <w:rPr>
          <w:w w:val="103"/>
        </w:rPr>
        <w:t>58</w:t>
      </w:r>
      <w:r w:rsidRPr="003A115E">
        <w:rPr>
          <w:w w:val="103"/>
        </w:rPr>
        <w:t xml:space="preserve"> por ciento del importe de adjudicación. </w:t>
      </w:r>
    </w:p>
    <w:p w14:paraId="4FA7BA50" w14:textId="11C8D1CD" w:rsidR="00245F5B" w:rsidRPr="003A115E" w:rsidRDefault="005217D5" w:rsidP="0042264C">
      <w:pPr>
        <w:pStyle w:val="texto"/>
        <w:tabs>
          <w:tab w:val="left" w:pos="2977"/>
        </w:tabs>
        <w:spacing w:before="120" w:after="240"/>
      </w:pPr>
      <w:r>
        <w:t>S</w:t>
      </w:r>
      <w:r w:rsidR="000B2C14" w:rsidRPr="003A115E">
        <w:t xml:space="preserve">egún la información del registro de contratos, </w:t>
      </w:r>
      <w:r>
        <w:t xml:space="preserve">las adjudicaciones se han incrementado un 11 por ciento respecto a 2021, </w:t>
      </w:r>
      <w:r w:rsidR="00021065" w:rsidRPr="003A115E">
        <w:t>mientras que</w:t>
      </w:r>
      <w:r w:rsidR="00810121" w:rsidRPr="003A115E">
        <w:t xml:space="preserve"> se ha reducido un </w:t>
      </w:r>
      <w:r w:rsidR="000D384A" w:rsidRPr="003A115E">
        <w:t>19</w:t>
      </w:r>
      <w:r w:rsidR="00810121" w:rsidRPr="003A115E">
        <w:t xml:space="preserve"> por ciento </w:t>
      </w:r>
      <w:r w:rsidR="00271D48" w:rsidRPr="003A115E">
        <w:t>el</w:t>
      </w:r>
      <w:r w:rsidR="00810121" w:rsidRPr="003A115E">
        <w:t xml:space="preserve"> importe</w:t>
      </w:r>
      <w:r w:rsidR="00E02013" w:rsidRPr="003A115E">
        <w:t xml:space="preserve"> adjudicado</w:t>
      </w:r>
      <w:r w:rsidR="00810121" w:rsidRPr="003A115E">
        <w:t>.</w:t>
      </w:r>
    </w:p>
    <w:p w14:paraId="1D308C32" w14:textId="0EFFDE1D" w:rsidR="00683931" w:rsidRPr="003A115E" w:rsidRDefault="00683931" w:rsidP="00345C6C">
      <w:pPr>
        <w:pStyle w:val="atitulo1"/>
        <w:rPr>
          <w:color w:val="auto"/>
        </w:rPr>
      </w:pPr>
      <w:bookmarkStart w:id="87" w:name="_Toc183679754"/>
      <w:r w:rsidRPr="003A115E">
        <w:rPr>
          <w:color w:val="auto"/>
        </w:rPr>
        <w:lastRenderedPageBreak/>
        <w:t>VIII. Rendición de cuentas y aprobación de presupuestos</w:t>
      </w:r>
      <w:bookmarkEnd w:id="87"/>
      <w:r w:rsidR="00EF1DAC" w:rsidRPr="003A115E">
        <w:rPr>
          <w:color w:val="auto"/>
        </w:rPr>
        <w:t xml:space="preserve"> </w:t>
      </w:r>
    </w:p>
    <w:p w14:paraId="3B6EDD1C" w14:textId="2CC33DF5" w:rsidR="00C84D07" w:rsidRPr="003A115E" w:rsidRDefault="00C84D07" w:rsidP="00DA0A16">
      <w:pPr>
        <w:pStyle w:val="atitulo2"/>
        <w:rPr>
          <w:color w:val="auto"/>
        </w:rPr>
      </w:pPr>
      <w:bookmarkStart w:id="88" w:name="_Toc183679755"/>
      <w:r w:rsidRPr="003A115E">
        <w:rPr>
          <w:color w:val="auto"/>
        </w:rPr>
        <w:t>VIII.1 Cumplimiento de la obligación de rendición de cuentas</w:t>
      </w:r>
      <w:bookmarkEnd w:id="88"/>
    </w:p>
    <w:p w14:paraId="52347DFC" w14:textId="77777777" w:rsidR="00C84D07" w:rsidRPr="003A115E" w:rsidRDefault="00C84D07" w:rsidP="31020D79">
      <w:pPr>
        <w:pStyle w:val="texto"/>
        <w:spacing w:before="120" w:after="120"/>
        <w:rPr>
          <w:rFonts w:cs="Arial"/>
          <w:lang w:val="es-ES"/>
        </w:rPr>
      </w:pPr>
      <w:r w:rsidRPr="003A115E">
        <w:rPr>
          <w:rFonts w:cs="Arial"/>
          <w:lang w:val="es-ES"/>
        </w:rPr>
        <w:t xml:space="preserve">La LFHL establece que el presidente de la entidad local debe aprobar la liquidación del presupuesto de la misma y de sus </w:t>
      </w:r>
      <w:r w:rsidR="00E72E7F" w:rsidRPr="003A115E">
        <w:rPr>
          <w:rFonts w:cs="Arial"/>
          <w:lang w:val="es-ES"/>
        </w:rPr>
        <w:t>OO.AA.</w:t>
      </w:r>
      <w:r w:rsidRPr="003A115E">
        <w:rPr>
          <w:rFonts w:cs="Arial"/>
          <w:lang w:val="es-ES"/>
        </w:rPr>
        <w:t xml:space="preserve"> antes del 31 de marzo. Por su parte, la cuenta general de la entidad local debe someterse al pleno de la corporación de modo que pueda aprobarla antes del 1 de septiembre del ejercicio siguiente. Las entidades locales deben remitir a la ACFN ambos documentos dentro de los 15 días siguientes a sus respectivas aprobaciones.</w:t>
      </w:r>
    </w:p>
    <w:p w14:paraId="2F31FFFF" w14:textId="72841DD2" w:rsidR="00C84D07" w:rsidRPr="003A115E" w:rsidRDefault="00C84D07" w:rsidP="7A999140">
      <w:pPr>
        <w:pStyle w:val="texto"/>
        <w:spacing w:before="120" w:after="240"/>
        <w:rPr>
          <w:rFonts w:cs="Arial"/>
          <w:lang w:val="es-ES"/>
        </w:rPr>
      </w:pPr>
      <w:r w:rsidRPr="003A115E">
        <w:rPr>
          <w:rFonts w:cs="Arial"/>
          <w:lang w:val="es-ES"/>
        </w:rPr>
        <w:t>La tabla siguiente muestra el detalle</w:t>
      </w:r>
      <w:r w:rsidR="00722C6C" w:rsidRPr="003A115E">
        <w:rPr>
          <w:rFonts w:cs="Arial"/>
          <w:lang w:val="es-ES"/>
        </w:rPr>
        <w:t>, en base a los datos de IDECAL</w:t>
      </w:r>
      <w:r w:rsidR="001C752A" w:rsidRPr="003A115E">
        <w:rPr>
          <w:rStyle w:val="Refdenotaalpie"/>
          <w:rFonts w:cs="Arial"/>
          <w:lang w:val="es-ES"/>
        </w:rPr>
        <w:footnoteReference w:id="12"/>
      </w:r>
      <w:r w:rsidR="00722C6C" w:rsidRPr="003A115E">
        <w:rPr>
          <w:rFonts w:cs="Arial"/>
          <w:lang w:val="es-ES"/>
        </w:rPr>
        <w:t>,</w:t>
      </w:r>
      <w:r w:rsidRPr="003A115E">
        <w:rPr>
          <w:rFonts w:cs="Arial"/>
          <w:lang w:val="es-ES"/>
        </w:rPr>
        <w:t xml:space="preserve"> </w:t>
      </w:r>
      <w:r w:rsidR="0038463B" w:rsidRPr="003A115E">
        <w:rPr>
          <w:rFonts w:cs="Arial"/>
          <w:lang w:val="es-ES"/>
        </w:rPr>
        <w:t xml:space="preserve">del cumplimiento </w:t>
      </w:r>
      <w:r w:rsidRPr="003A115E">
        <w:rPr>
          <w:rFonts w:cs="Arial"/>
          <w:lang w:val="es-ES"/>
        </w:rPr>
        <w:t>de los plazos de aprobación y rendición de las cuentas</w:t>
      </w:r>
      <w:r w:rsidR="00EC4C05" w:rsidRPr="003A115E">
        <w:rPr>
          <w:rFonts w:cs="Arial"/>
          <w:lang w:val="es-ES"/>
        </w:rPr>
        <w:t xml:space="preserve"> generales</w:t>
      </w:r>
      <w:r w:rsidR="00B753E6" w:rsidRPr="003A115E">
        <w:rPr>
          <w:rFonts w:cs="Arial"/>
          <w:lang w:val="es-ES"/>
        </w:rPr>
        <w:t xml:space="preserve"> del ejercicio 2022</w:t>
      </w:r>
      <w:r w:rsidRPr="003A115E">
        <w:rPr>
          <w:rFonts w:cs="Arial"/>
          <w:lang w:val="es-ES"/>
        </w:rPr>
        <w:t>:</w:t>
      </w:r>
    </w:p>
    <w:p w14:paraId="1DA16F42" w14:textId="529A7FDB" w:rsidR="00C84D07" w:rsidRPr="003A115E" w:rsidRDefault="000C3C49" w:rsidP="00C84D07">
      <w:pPr>
        <w:pStyle w:val="texto"/>
        <w:spacing w:after="40"/>
        <w:jc w:val="right"/>
        <w:rPr>
          <w:rFonts w:ascii="Arial Narrow" w:hAnsi="Arial Narrow"/>
          <w:sz w:val="18"/>
          <w:szCs w:val="18"/>
        </w:rPr>
      </w:pPr>
      <w:r w:rsidRPr="003A115E">
        <w:rPr>
          <w:rFonts w:ascii="Arial Narrow" w:hAnsi="Arial Narrow"/>
          <w:sz w:val="18"/>
          <w:szCs w:val="18"/>
        </w:rPr>
        <w:t>(</w:t>
      </w:r>
      <w:r w:rsidR="00C84D07" w:rsidRPr="003A115E">
        <w:rPr>
          <w:rFonts w:ascii="Arial Narrow" w:hAnsi="Arial Narrow"/>
          <w:sz w:val="18"/>
          <w:szCs w:val="18"/>
        </w:rPr>
        <w:t>Porcentaje de entidades locales</w:t>
      </w:r>
      <w:r w:rsidRPr="003A115E">
        <w:rPr>
          <w:rFonts w:ascii="Arial Narrow" w:hAnsi="Arial Narrow"/>
          <w:sz w:val="18"/>
          <w:szCs w:val="18"/>
        </w:rPr>
        <w:t>)</w:t>
      </w:r>
    </w:p>
    <w:tbl>
      <w:tblPr>
        <w:tblW w:w="5000" w:type="pct"/>
        <w:tblCellMar>
          <w:left w:w="70" w:type="dxa"/>
          <w:right w:w="70" w:type="dxa"/>
        </w:tblCellMar>
        <w:tblLook w:val="04A0" w:firstRow="1" w:lastRow="0" w:firstColumn="1" w:lastColumn="0" w:noHBand="0" w:noVBand="1"/>
      </w:tblPr>
      <w:tblGrid>
        <w:gridCol w:w="2270"/>
        <w:gridCol w:w="1599"/>
        <w:gridCol w:w="640"/>
        <w:gridCol w:w="896"/>
        <w:gridCol w:w="1128"/>
        <w:gridCol w:w="1125"/>
        <w:gridCol w:w="1130"/>
      </w:tblGrid>
      <w:tr w:rsidR="000A742F" w:rsidRPr="003A115E" w14:paraId="615818E9" w14:textId="77777777" w:rsidTr="00CC28BD">
        <w:trPr>
          <w:trHeight w:val="255"/>
        </w:trPr>
        <w:tc>
          <w:tcPr>
            <w:tcW w:w="1291" w:type="pct"/>
            <w:vMerge w:val="restart"/>
            <w:tcBorders>
              <w:top w:val="single" w:sz="4" w:space="0" w:color="auto"/>
              <w:left w:val="nil"/>
              <w:bottom w:val="single" w:sz="4" w:space="0" w:color="auto"/>
              <w:right w:val="nil"/>
            </w:tcBorders>
            <w:shd w:val="clear" w:color="auto" w:fill="FABF8F" w:themeFill="accent6" w:themeFillTint="99"/>
            <w:noWrap/>
            <w:vAlign w:val="center"/>
            <w:hideMark/>
          </w:tcPr>
          <w:p w14:paraId="037E6F54" w14:textId="77777777" w:rsidR="000258EC" w:rsidRPr="003A115E" w:rsidRDefault="000258EC" w:rsidP="0080058B">
            <w:pPr>
              <w:pStyle w:val="cuadroCabe"/>
              <w:spacing w:after="40"/>
              <w:rPr>
                <w:szCs w:val="18"/>
              </w:rPr>
            </w:pPr>
            <w:r w:rsidRPr="003A115E">
              <w:rPr>
                <w:szCs w:val="18"/>
              </w:rPr>
              <w:t>Tipo de entidad</w:t>
            </w:r>
          </w:p>
        </w:tc>
        <w:tc>
          <w:tcPr>
            <w:tcW w:w="1274"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24819BA5" w14:textId="77777777" w:rsidR="000258EC" w:rsidRPr="003A115E" w:rsidRDefault="000258EC" w:rsidP="0080058B">
            <w:pPr>
              <w:pStyle w:val="cuadroCabe"/>
              <w:spacing w:after="40"/>
              <w:jc w:val="right"/>
              <w:rPr>
                <w:szCs w:val="18"/>
              </w:rPr>
            </w:pPr>
            <w:r w:rsidRPr="003A115E">
              <w:rPr>
                <w:szCs w:val="18"/>
              </w:rPr>
              <w:t>Aprobado en plazo</w:t>
            </w:r>
          </w:p>
        </w:tc>
        <w:tc>
          <w:tcPr>
            <w:tcW w:w="1152"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1B3CD047" w14:textId="1757ED2B" w:rsidR="000258EC" w:rsidRPr="003A115E" w:rsidRDefault="000258EC" w:rsidP="0080058B">
            <w:pPr>
              <w:pStyle w:val="cuadroCabe"/>
              <w:spacing w:after="40"/>
              <w:jc w:val="right"/>
              <w:rPr>
                <w:szCs w:val="18"/>
              </w:rPr>
            </w:pPr>
            <w:r w:rsidRPr="003A115E">
              <w:rPr>
                <w:szCs w:val="18"/>
              </w:rPr>
              <w:t>Enviado en plazo</w:t>
            </w:r>
          </w:p>
        </w:tc>
        <w:tc>
          <w:tcPr>
            <w:tcW w:w="1283"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070EE446" w14:textId="77777777" w:rsidR="000258EC" w:rsidRPr="003A115E" w:rsidRDefault="000258EC" w:rsidP="0080058B">
            <w:pPr>
              <w:pStyle w:val="cuadroCabe"/>
              <w:spacing w:after="40"/>
              <w:jc w:val="right"/>
              <w:rPr>
                <w:szCs w:val="18"/>
              </w:rPr>
            </w:pPr>
            <w:r w:rsidRPr="003A115E">
              <w:rPr>
                <w:szCs w:val="18"/>
              </w:rPr>
              <w:t>Enviado hasta 31.12.X+1</w:t>
            </w:r>
          </w:p>
        </w:tc>
      </w:tr>
      <w:tr w:rsidR="000A742F" w:rsidRPr="003A115E" w14:paraId="26B61DB9" w14:textId="77777777" w:rsidTr="00CC28BD">
        <w:trPr>
          <w:trHeight w:val="255"/>
        </w:trPr>
        <w:tc>
          <w:tcPr>
            <w:tcW w:w="1291" w:type="pct"/>
            <w:vMerge/>
            <w:tcBorders>
              <w:top w:val="single" w:sz="4" w:space="0" w:color="auto"/>
              <w:bottom w:val="single" w:sz="4" w:space="0" w:color="auto"/>
            </w:tcBorders>
            <w:vAlign w:val="center"/>
            <w:hideMark/>
          </w:tcPr>
          <w:p w14:paraId="0BC0876D" w14:textId="77777777" w:rsidR="000258EC" w:rsidRPr="003A115E" w:rsidRDefault="000258EC" w:rsidP="0080058B">
            <w:pPr>
              <w:pStyle w:val="cuadroCabe"/>
              <w:spacing w:after="40"/>
              <w:rPr>
                <w:rFonts w:cs="Arial"/>
                <w:szCs w:val="18"/>
              </w:rPr>
            </w:pPr>
          </w:p>
        </w:tc>
        <w:tc>
          <w:tcPr>
            <w:tcW w:w="910" w:type="pct"/>
            <w:tcBorders>
              <w:top w:val="single" w:sz="4" w:space="0" w:color="auto"/>
              <w:left w:val="nil"/>
              <w:bottom w:val="single" w:sz="4" w:space="0" w:color="auto"/>
              <w:right w:val="nil"/>
            </w:tcBorders>
            <w:shd w:val="clear" w:color="auto" w:fill="FABF8F" w:themeFill="accent6" w:themeFillTint="99"/>
            <w:vAlign w:val="center"/>
            <w:hideMark/>
          </w:tcPr>
          <w:p w14:paraId="74181FD6" w14:textId="77777777" w:rsidR="000258EC" w:rsidRPr="003A115E" w:rsidRDefault="000258EC" w:rsidP="0080058B">
            <w:pPr>
              <w:pStyle w:val="cuadroCabe"/>
              <w:spacing w:after="40"/>
              <w:jc w:val="right"/>
              <w:rPr>
                <w:rFonts w:cs="Arial"/>
                <w:szCs w:val="18"/>
              </w:rPr>
            </w:pPr>
            <w:r w:rsidRPr="003A115E">
              <w:rPr>
                <w:rFonts w:cs="Arial"/>
                <w:szCs w:val="18"/>
              </w:rPr>
              <w:t>2021</w:t>
            </w:r>
          </w:p>
        </w:tc>
        <w:tc>
          <w:tcPr>
            <w:tcW w:w="364" w:type="pct"/>
            <w:tcBorders>
              <w:top w:val="single" w:sz="4" w:space="0" w:color="auto"/>
              <w:left w:val="nil"/>
              <w:bottom w:val="single" w:sz="4" w:space="0" w:color="auto"/>
              <w:right w:val="nil"/>
            </w:tcBorders>
            <w:shd w:val="clear" w:color="auto" w:fill="FABF8F" w:themeFill="accent6" w:themeFillTint="99"/>
            <w:vAlign w:val="center"/>
            <w:hideMark/>
          </w:tcPr>
          <w:p w14:paraId="5C8A3A45" w14:textId="77777777" w:rsidR="000258EC" w:rsidRPr="003A115E" w:rsidRDefault="000258EC" w:rsidP="0080058B">
            <w:pPr>
              <w:pStyle w:val="cuadroCabe"/>
              <w:spacing w:after="40"/>
              <w:jc w:val="right"/>
              <w:rPr>
                <w:rFonts w:cs="Arial"/>
                <w:szCs w:val="18"/>
              </w:rPr>
            </w:pPr>
            <w:r w:rsidRPr="003A115E">
              <w:rPr>
                <w:rFonts w:cs="Arial"/>
                <w:szCs w:val="18"/>
              </w:rPr>
              <w:t>2022</w:t>
            </w:r>
          </w:p>
        </w:tc>
        <w:tc>
          <w:tcPr>
            <w:tcW w:w="510" w:type="pct"/>
            <w:tcBorders>
              <w:top w:val="single" w:sz="4" w:space="0" w:color="auto"/>
              <w:left w:val="nil"/>
              <w:bottom w:val="single" w:sz="4" w:space="0" w:color="auto"/>
              <w:right w:val="nil"/>
            </w:tcBorders>
            <w:shd w:val="clear" w:color="auto" w:fill="FABF8F" w:themeFill="accent6" w:themeFillTint="99"/>
            <w:vAlign w:val="center"/>
            <w:hideMark/>
          </w:tcPr>
          <w:p w14:paraId="3DEA47B4" w14:textId="77777777" w:rsidR="000258EC" w:rsidRPr="003A115E" w:rsidRDefault="000258EC" w:rsidP="0080058B">
            <w:pPr>
              <w:pStyle w:val="cuadroCabe"/>
              <w:spacing w:after="40"/>
              <w:jc w:val="right"/>
              <w:rPr>
                <w:rFonts w:cs="Arial"/>
                <w:szCs w:val="18"/>
              </w:rPr>
            </w:pPr>
            <w:r w:rsidRPr="003A115E">
              <w:rPr>
                <w:rFonts w:cs="Arial"/>
                <w:szCs w:val="18"/>
              </w:rPr>
              <w:t>2021</w:t>
            </w:r>
          </w:p>
        </w:tc>
        <w:tc>
          <w:tcPr>
            <w:tcW w:w="642" w:type="pct"/>
            <w:tcBorders>
              <w:top w:val="single" w:sz="4" w:space="0" w:color="auto"/>
              <w:left w:val="nil"/>
              <w:bottom w:val="single" w:sz="4" w:space="0" w:color="auto"/>
              <w:right w:val="nil"/>
            </w:tcBorders>
            <w:shd w:val="clear" w:color="auto" w:fill="FABF8F" w:themeFill="accent6" w:themeFillTint="99"/>
            <w:vAlign w:val="center"/>
            <w:hideMark/>
          </w:tcPr>
          <w:p w14:paraId="5FCD87AD" w14:textId="77777777" w:rsidR="000258EC" w:rsidRPr="003A115E" w:rsidRDefault="000258EC" w:rsidP="0080058B">
            <w:pPr>
              <w:pStyle w:val="cuadroCabe"/>
              <w:spacing w:after="40"/>
              <w:jc w:val="right"/>
              <w:rPr>
                <w:rFonts w:cs="Arial"/>
                <w:szCs w:val="18"/>
              </w:rPr>
            </w:pPr>
            <w:r w:rsidRPr="003A115E">
              <w:rPr>
                <w:rFonts w:cs="Arial"/>
                <w:szCs w:val="18"/>
              </w:rPr>
              <w:t>2022</w:t>
            </w:r>
          </w:p>
        </w:tc>
        <w:tc>
          <w:tcPr>
            <w:tcW w:w="640" w:type="pct"/>
            <w:tcBorders>
              <w:top w:val="single" w:sz="4" w:space="0" w:color="auto"/>
              <w:left w:val="nil"/>
              <w:bottom w:val="single" w:sz="4" w:space="0" w:color="auto"/>
              <w:right w:val="nil"/>
            </w:tcBorders>
            <w:shd w:val="clear" w:color="auto" w:fill="FABF8F" w:themeFill="accent6" w:themeFillTint="99"/>
            <w:vAlign w:val="center"/>
            <w:hideMark/>
          </w:tcPr>
          <w:p w14:paraId="6ADAD608" w14:textId="77777777" w:rsidR="000258EC" w:rsidRPr="003A115E" w:rsidRDefault="000258EC" w:rsidP="0080058B">
            <w:pPr>
              <w:pStyle w:val="cuadroCabe"/>
              <w:spacing w:after="40"/>
              <w:jc w:val="right"/>
              <w:rPr>
                <w:rFonts w:cs="Arial"/>
                <w:szCs w:val="18"/>
              </w:rPr>
            </w:pPr>
            <w:r w:rsidRPr="003A115E">
              <w:rPr>
                <w:rFonts w:cs="Arial"/>
                <w:szCs w:val="18"/>
              </w:rPr>
              <w:t>2021</w:t>
            </w:r>
          </w:p>
        </w:tc>
        <w:tc>
          <w:tcPr>
            <w:tcW w:w="642" w:type="pct"/>
            <w:tcBorders>
              <w:top w:val="single" w:sz="4" w:space="0" w:color="auto"/>
              <w:left w:val="nil"/>
              <w:bottom w:val="single" w:sz="4" w:space="0" w:color="auto"/>
              <w:right w:val="nil"/>
            </w:tcBorders>
            <w:shd w:val="clear" w:color="auto" w:fill="FABF8F" w:themeFill="accent6" w:themeFillTint="99"/>
            <w:vAlign w:val="center"/>
            <w:hideMark/>
          </w:tcPr>
          <w:p w14:paraId="6851D71B" w14:textId="77777777" w:rsidR="000258EC" w:rsidRPr="003A115E" w:rsidRDefault="000258EC" w:rsidP="0080058B">
            <w:pPr>
              <w:pStyle w:val="cuadroCabe"/>
              <w:spacing w:after="40"/>
              <w:jc w:val="right"/>
              <w:rPr>
                <w:rFonts w:cs="Arial"/>
                <w:szCs w:val="18"/>
              </w:rPr>
            </w:pPr>
            <w:r w:rsidRPr="003A115E">
              <w:rPr>
                <w:rFonts w:cs="Arial"/>
                <w:szCs w:val="18"/>
              </w:rPr>
              <w:t>2022</w:t>
            </w:r>
          </w:p>
        </w:tc>
      </w:tr>
      <w:tr w:rsidR="000A742F" w:rsidRPr="003A115E" w14:paraId="741C5A4F" w14:textId="77777777" w:rsidTr="00CC28BD">
        <w:trPr>
          <w:trHeight w:val="198"/>
        </w:trPr>
        <w:tc>
          <w:tcPr>
            <w:tcW w:w="1291" w:type="pct"/>
            <w:tcBorders>
              <w:top w:val="single" w:sz="4" w:space="0" w:color="auto"/>
              <w:left w:val="nil"/>
              <w:bottom w:val="single" w:sz="2" w:space="0" w:color="auto"/>
              <w:right w:val="nil"/>
            </w:tcBorders>
            <w:shd w:val="clear" w:color="auto" w:fill="auto"/>
            <w:noWrap/>
            <w:vAlign w:val="center"/>
            <w:hideMark/>
          </w:tcPr>
          <w:p w14:paraId="339EFFCD" w14:textId="77777777" w:rsidR="000258EC" w:rsidRPr="003A115E" w:rsidRDefault="000258EC" w:rsidP="00C56BF0">
            <w:pPr>
              <w:pStyle w:val="cuatexto"/>
              <w:rPr>
                <w:sz w:val="18"/>
                <w:szCs w:val="18"/>
              </w:rPr>
            </w:pPr>
            <w:r w:rsidRPr="003A115E">
              <w:rPr>
                <w:sz w:val="18"/>
                <w:szCs w:val="18"/>
              </w:rPr>
              <w:t>Municipios</w:t>
            </w:r>
          </w:p>
        </w:tc>
        <w:tc>
          <w:tcPr>
            <w:tcW w:w="910" w:type="pct"/>
            <w:tcBorders>
              <w:top w:val="single" w:sz="4" w:space="0" w:color="auto"/>
              <w:left w:val="nil"/>
              <w:bottom w:val="single" w:sz="2" w:space="0" w:color="auto"/>
              <w:right w:val="nil"/>
            </w:tcBorders>
            <w:shd w:val="clear" w:color="auto" w:fill="auto"/>
            <w:noWrap/>
            <w:vAlign w:val="center"/>
            <w:hideMark/>
          </w:tcPr>
          <w:p w14:paraId="75C81AC9" w14:textId="77777777" w:rsidR="000258EC" w:rsidRPr="003A115E" w:rsidRDefault="000258EC" w:rsidP="00C56BF0">
            <w:pPr>
              <w:pStyle w:val="cuatexto"/>
              <w:jc w:val="right"/>
              <w:rPr>
                <w:sz w:val="18"/>
                <w:szCs w:val="18"/>
              </w:rPr>
            </w:pPr>
            <w:r w:rsidRPr="003A115E">
              <w:rPr>
                <w:sz w:val="18"/>
                <w:szCs w:val="18"/>
              </w:rPr>
              <w:t>67</w:t>
            </w:r>
          </w:p>
        </w:tc>
        <w:tc>
          <w:tcPr>
            <w:tcW w:w="364" w:type="pct"/>
            <w:tcBorders>
              <w:top w:val="single" w:sz="4" w:space="0" w:color="auto"/>
              <w:left w:val="nil"/>
              <w:bottom w:val="single" w:sz="2" w:space="0" w:color="auto"/>
              <w:right w:val="nil"/>
            </w:tcBorders>
            <w:shd w:val="clear" w:color="auto" w:fill="auto"/>
            <w:noWrap/>
            <w:vAlign w:val="center"/>
            <w:hideMark/>
          </w:tcPr>
          <w:p w14:paraId="18B87D85" w14:textId="5A5BF516" w:rsidR="000258EC" w:rsidRPr="003A115E" w:rsidRDefault="000258EC" w:rsidP="00C56BF0">
            <w:pPr>
              <w:pStyle w:val="cuatexto"/>
              <w:jc w:val="right"/>
              <w:rPr>
                <w:sz w:val="18"/>
                <w:szCs w:val="18"/>
              </w:rPr>
            </w:pPr>
            <w:r w:rsidRPr="003A115E">
              <w:rPr>
                <w:sz w:val="18"/>
                <w:szCs w:val="18"/>
              </w:rPr>
              <w:t>65</w:t>
            </w:r>
          </w:p>
        </w:tc>
        <w:tc>
          <w:tcPr>
            <w:tcW w:w="510" w:type="pct"/>
            <w:tcBorders>
              <w:top w:val="single" w:sz="4" w:space="0" w:color="auto"/>
              <w:left w:val="nil"/>
              <w:bottom w:val="single" w:sz="2" w:space="0" w:color="auto"/>
              <w:right w:val="nil"/>
            </w:tcBorders>
            <w:shd w:val="clear" w:color="auto" w:fill="auto"/>
            <w:noWrap/>
            <w:vAlign w:val="center"/>
            <w:hideMark/>
          </w:tcPr>
          <w:p w14:paraId="78B40B63" w14:textId="77777777" w:rsidR="000258EC" w:rsidRPr="003A115E" w:rsidRDefault="000258EC" w:rsidP="00C56BF0">
            <w:pPr>
              <w:pStyle w:val="cuatexto"/>
              <w:jc w:val="right"/>
              <w:rPr>
                <w:sz w:val="18"/>
                <w:szCs w:val="18"/>
              </w:rPr>
            </w:pPr>
            <w:r w:rsidRPr="003A115E">
              <w:rPr>
                <w:sz w:val="18"/>
                <w:szCs w:val="18"/>
              </w:rPr>
              <w:t>51</w:t>
            </w:r>
          </w:p>
        </w:tc>
        <w:tc>
          <w:tcPr>
            <w:tcW w:w="642" w:type="pct"/>
            <w:tcBorders>
              <w:top w:val="single" w:sz="4" w:space="0" w:color="auto"/>
              <w:left w:val="nil"/>
              <w:bottom w:val="single" w:sz="2" w:space="0" w:color="auto"/>
              <w:right w:val="nil"/>
            </w:tcBorders>
            <w:shd w:val="clear" w:color="auto" w:fill="auto"/>
            <w:noWrap/>
            <w:vAlign w:val="center"/>
            <w:hideMark/>
          </w:tcPr>
          <w:p w14:paraId="2E25DE62" w14:textId="77D01D36" w:rsidR="000258EC" w:rsidRPr="003A115E" w:rsidRDefault="000258EC" w:rsidP="00C56BF0">
            <w:pPr>
              <w:pStyle w:val="cuatexto"/>
              <w:jc w:val="right"/>
              <w:rPr>
                <w:sz w:val="18"/>
                <w:szCs w:val="18"/>
              </w:rPr>
            </w:pPr>
            <w:r w:rsidRPr="003A115E">
              <w:rPr>
                <w:sz w:val="18"/>
                <w:szCs w:val="18"/>
              </w:rPr>
              <w:t>56</w:t>
            </w:r>
          </w:p>
        </w:tc>
        <w:tc>
          <w:tcPr>
            <w:tcW w:w="640" w:type="pct"/>
            <w:tcBorders>
              <w:top w:val="single" w:sz="4" w:space="0" w:color="auto"/>
              <w:left w:val="nil"/>
              <w:bottom w:val="single" w:sz="2" w:space="0" w:color="auto"/>
              <w:right w:val="nil"/>
            </w:tcBorders>
            <w:shd w:val="clear" w:color="auto" w:fill="auto"/>
            <w:noWrap/>
            <w:vAlign w:val="center"/>
            <w:hideMark/>
          </w:tcPr>
          <w:p w14:paraId="7DD13488" w14:textId="77777777" w:rsidR="000258EC" w:rsidRPr="003A115E" w:rsidRDefault="000258EC" w:rsidP="00C56BF0">
            <w:pPr>
              <w:pStyle w:val="cuatexto"/>
              <w:jc w:val="right"/>
              <w:rPr>
                <w:sz w:val="18"/>
                <w:szCs w:val="18"/>
              </w:rPr>
            </w:pPr>
            <w:r w:rsidRPr="003A115E">
              <w:rPr>
                <w:sz w:val="18"/>
                <w:szCs w:val="18"/>
              </w:rPr>
              <w:t>80</w:t>
            </w:r>
          </w:p>
        </w:tc>
        <w:tc>
          <w:tcPr>
            <w:tcW w:w="642" w:type="pct"/>
            <w:tcBorders>
              <w:top w:val="single" w:sz="4" w:space="0" w:color="auto"/>
              <w:left w:val="nil"/>
              <w:bottom w:val="single" w:sz="2" w:space="0" w:color="auto"/>
              <w:right w:val="nil"/>
            </w:tcBorders>
            <w:shd w:val="clear" w:color="auto" w:fill="auto"/>
            <w:noWrap/>
            <w:vAlign w:val="center"/>
            <w:hideMark/>
          </w:tcPr>
          <w:p w14:paraId="5DD94AED" w14:textId="6B26EB74" w:rsidR="000258EC" w:rsidRPr="003A115E" w:rsidRDefault="000258EC" w:rsidP="00C56BF0">
            <w:pPr>
              <w:pStyle w:val="cuatexto"/>
              <w:jc w:val="right"/>
              <w:rPr>
                <w:sz w:val="18"/>
                <w:szCs w:val="18"/>
              </w:rPr>
            </w:pPr>
            <w:r w:rsidRPr="003A115E">
              <w:rPr>
                <w:sz w:val="18"/>
                <w:szCs w:val="18"/>
              </w:rPr>
              <w:t>70</w:t>
            </w:r>
          </w:p>
        </w:tc>
      </w:tr>
      <w:tr w:rsidR="000A742F" w:rsidRPr="003A115E" w14:paraId="527D41E0" w14:textId="77777777" w:rsidTr="00CC28BD">
        <w:trPr>
          <w:trHeight w:val="198"/>
        </w:trPr>
        <w:tc>
          <w:tcPr>
            <w:tcW w:w="1291" w:type="pct"/>
            <w:tcBorders>
              <w:top w:val="single" w:sz="2" w:space="0" w:color="auto"/>
              <w:left w:val="nil"/>
              <w:bottom w:val="single" w:sz="2" w:space="0" w:color="auto"/>
              <w:right w:val="nil"/>
            </w:tcBorders>
            <w:shd w:val="clear" w:color="auto" w:fill="auto"/>
            <w:noWrap/>
            <w:vAlign w:val="center"/>
            <w:hideMark/>
          </w:tcPr>
          <w:p w14:paraId="7EC17E55" w14:textId="77777777" w:rsidR="000258EC" w:rsidRPr="003A115E" w:rsidRDefault="000258EC" w:rsidP="00C56BF0">
            <w:pPr>
              <w:pStyle w:val="cuatexto"/>
              <w:rPr>
                <w:sz w:val="18"/>
                <w:szCs w:val="18"/>
              </w:rPr>
            </w:pPr>
            <w:r w:rsidRPr="003A115E">
              <w:rPr>
                <w:sz w:val="18"/>
                <w:szCs w:val="18"/>
              </w:rPr>
              <w:t>Concejos</w:t>
            </w:r>
          </w:p>
        </w:tc>
        <w:tc>
          <w:tcPr>
            <w:tcW w:w="910" w:type="pct"/>
            <w:tcBorders>
              <w:top w:val="single" w:sz="2" w:space="0" w:color="auto"/>
              <w:left w:val="nil"/>
              <w:bottom w:val="single" w:sz="2" w:space="0" w:color="auto"/>
              <w:right w:val="nil"/>
            </w:tcBorders>
            <w:shd w:val="clear" w:color="auto" w:fill="auto"/>
            <w:noWrap/>
            <w:vAlign w:val="center"/>
            <w:hideMark/>
          </w:tcPr>
          <w:p w14:paraId="601889F9" w14:textId="77777777" w:rsidR="000258EC" w:rsidRPr="003A115E" w:rsidRDefault="000258EC" w:rsidP="00C56BF0">
            <w:pPr>
              <w:pStyle w:val="cuatexto"/>
              <w:jc w:val="right"/>
              <w:rPr>
                <w:sz w:val="18"/>
                <w:szCs w:val="18"/>
              </w:rPr>
            </w:pPr>
            <w:r w:rsidRPr="003A115E">
              <w:rPr>
                <w:sz w:val="18"/>
                <w:szCs w:val="18"/>
              </w:rPr>
              <w:t>60</w:t>
            </w:r>
          </w:p>
        </w:tc>
        <w:tc>
          <w:tcPr>
            <w:tcW w:w="364" w:type="pct"/>
            <w:tcBorders>
              <w:top w:val="single" w:sz="2" w:space="0" w:color="auto"/>
              <w:left w:val="nil"/>
              <w:bottom w:val="single" w:sz="2" w:space="0" w:color="auto"/>
              <w:right w:val="nil"/>
            </w:tcBorders>
            <w:shd w:val="clear" w:color="auto" w:fill="auto"/>
            <w:noWrap/>
            <w:vAlign w:val="center"/>
            <w:hideMark/>
          </w:tcPr>
          <w:p w14:paraId="2872027B" w14:textId="16CBFB87" w:rsidR="000258EC" w:rsidRPr="003A115E" w:rsidRDefault="00382588" w:rsidP="00C56BF0">
            <w:pPr>
              <w:pStyle w:val="cuatexto"/>
              <w:jc w:val="right"/>
              <w:rPr>
                <w:sz w:val="18"/>
                <w:szCs w:val="18"/>
              </w:rPr>
            </w:pPr>
            <w:r w:rsidRPr="003A115E">
              <w:rPr>
                <w:sz w:val="18"/>
                <w:szCs w:val="18"/>
              </w:rPr>
              <w:t>60</w:t>
            </w:r>
          </w:p>
        </w:tc>
        <w:tc>
          <w:tcPr>
            <w:tcW w:w="510" w:type="pct"/>
            <w:tcBorders>
              <w:top w:val="single" w:sz="2" w:space="0" w:color="auto"/>
              <w:left w:val="nil"/>
              <w:bottom w:val="single" w:sz="2" w:space="0" w:color="auto"/>
              <w:right w:val="nil"/>
            </w:tcBorders>
            <w:shd w:val="clear" w:color="auto" w:fill="auto"/>
            <w:noWrap/>
            <w:vAlign w:val="center"/>
            <w:hideMark/>
          </w:tcPr>
          <w:p w14:paraId="38D5E72D" w14:textId="77777777" w:rsidR="000258EC" w:rsidRPr="003A115E" w:rsidRDefault="000258EC" w:rsidP="00C56BF0">
            <w:pPr>
              <w:pStyle w:val="cuatexto"/>
              <w:jc w:val="right"/>
              <w:rPr>
                <w:sz w:val="18"/>
                <w:szCs w:val="18"/>
              </w:rPr>
            </w:pPr>
            <w:r w:rsidRPr="003A115E">
              <w:rPr>
                <w:sz w:val="18"/>
                <w:szCs w:val="18"/>
              </w:rPr>
              <w:t>39</w:t>
            </w:r>
          </w:p>
        </w:tc>
        <w:tc>
          <w:tcPr>
            <w:tcW w:w="642" w:type="pct"/>
            <w:tcBorders>
              <w:top w:val="single" w:sz="2" w:space="0" w:color="auto"/>
              <w:left w:val="nil"/>
              <w:bottom w:val="single" w:sz="2" w:space="0" w:color="auto"/>
              <w:right w:val="nil"/>
            </w:tcBorders>
            <w:shd w:val="clear" w:color="auto" w:fill="auto"/>
            <w:noWrap/>
            <w:vAlign w:val="center"/>
            <w:hideMark/>
          </w:tcPr>
          <w:p w14:paraId="01126F8F" w14:textId="5FE01D44" w:rsidR="000258EC" w:rsidRPr="003A115E" w:rsidRDefault="00D04DE5" w:rsidP="00C56BF0">
            <w:pPr>
              <w:pStyle w:val="cuatexto"/>
              <w:jc w:val="right"/>
              <w:rPr>
                <w:sz w:val="18"/>
                <w:szCs w:val="18"/>
              </w:rPr>
            </w:pPr>
            <w:r w:rsidRPr="003A115E">
              <w:rPr>
                <w:sz w:val="18"/>
                <w:szCs w:val="18"/>
              </w:rPr>
              <w:t>47</w:t>
            </w:r>
          </w:p>
        </w:tc>
        <w:tc>
          <w:tcPr>
            <w:tcW w:w="640" w:type="pct"/>
            <w:tcBorders>
              <w:top w:val="single" w:sz="2" w:space="0" w:color="auto"/>
              <w:left w:val="nil"/>
              <w:bottom w:val="single" w:sz="2" w:space="0" w:color="auto"/>
              <w:right w:val="nil"/>
            </w:tcBorders>
            <w:shd w:val="clear" w:color="auto" w:fill="auto"/>
            <w:noWrap/>
            <w:vAlign w:val="center"/>
            <w:hideMark/>
          </w:tcPr>
          <w:p w14:paraId="3B4E7BFE" w14:textId="77777777" w:rsidR="000258EC" w:rsidRPr="003A115E" w:rsidRDefault="000258EC" w:rsidP="00C56BF0">
            <w:pPr>
              <w:pStyle w:val="cuatexto"/>
              <w:jc w:val="right"/>
              <w:rPr>
                <w:sz w:val="18"/>
                <w:szCs w:val="18"/>
              </w:rPr>
            </w:pPr>
            <w:r w:rsidRPr="003A115E">
              <w:rPr>
                <w:sz w:val="18"/>
                <w:szCs w:val="18"/>
              </w:rPr>
              <w:t>74</w:t>
            </w:r>
          </w:p>
        </w:tc>
        <w:tc>
          <w:tcPr>
            <w:tcW w:w="642" w:type="pct"/>
            <w:tcBorders>
              <w:top w:val="single" w:sz="2" w:space="0" w:color="auto"/>
              <w:left w:val="nil"/>
              <w:bottom w:val="single" w:sz="2" w:space="0" w:color="auto"/>
              <w:right w:val="nil"/>
            </w:tcBorders>
            <w:shd w:val="clear" w:color="auto" w:fill="auto"/>
            <w:noWrap/>
            <w:vAlign w:val="center"/>
            <w:hideMark/>
          </w:tcPr>
          <w:p w14:paraId="4CF79E35" w14:textId="43C4E849" w:rsidR="000258EC" w:rsidRPr="003A115E" w:rsidRDefault="000258EC" w:rsidP="00C56BF0">
            <w:pPr>
              <w:pStyle w:val="cuatexto"/>
              <w:jc w:val="right"/>
              <w:rPr>
                <w:sz w:val="18"/>
                <w:szCs w:val="18"/>
              </w:rPr>
            </w:pPr>
            <w:r w:rsidRPr="003A115E">
              <w:rPr>
                <w:sz w:val="18"/>
                <w:szCs w:val="18"/>
              </w:rPr>
              <w:t>61</w:t>
            </w:r>
          </w:p>
        </w:tc>
      </w:tr>
      <w:tr w:rsidR="000A742F" w:rsidRPr="003A115E" w14:paraId="3AD6D71A" w14:textId="77777777" w:rsidTr="00CC28BD">
        <w:trPr>
          <w:trHeight w:val="198"/>
        </w:trPr>
        <w:tc>
          <w:tcPr>
            <w:tcW w:w="1291" w:type="pct"/>
            <w:tcBorders>
              <w:top w:val="single" w:sz="2" w:space="0" w:color="auto"/>
              <w:left w:val="nil"/>
              <w:bottom w:val="single" w:sz="2" w:space="0" w:color="auto"/>
              <w:right w:val="nil"/>
            </w:tcBorders>
            <w:shd w:val="clear" w:color="auto" w:fill="auto"/>
            <w:noWrap/>
            <w:vAlign w:val="center"/>
            <w:hideMark/>
          </w:tcPr>
          <w:p w14:paraId="2A551A6C" w14:textId="77777777" w:rsidR="000258EC" w:rsidRPr="003A115E" w:rsidRDefault="000258EC" w:rsidP="00C56BF0">
            <w:pPr>
              <w:pStyle w:val="cuatexto"/>
              <w:rPr>
                <w:sz w:val="18"/>
                <w:szCs w:val="18"/>
              </w:rPr>
            </w:pPr>
            <w:r w:rsidRPr="003A115E">
              <w:rPr>
                <w:sz w:val="18"/>
                <w:szCs w:val="18"/>
              </w:rPr>
              <w:t>Mancomunidades</w:t>
            </w:r>
          </w:p>
        </w:tc>
        <w:tc>
          <w:tcPr>
            <w:tcW w:w="910" w:type="pct"/>
            <w:tcBorders>
              <w:top w:val="single" w:sz="2" w:space="0" w:color="auto"/>
              <w:left w:val="nil"/>
              <w:bottom w:val="single" w:sz="2" w:space="0" w:color="auto"/>
              <w:right w:val="nil"/>
            </w:tcBorders>
            <w:shd w:val="clear" w:color="auto" w:fill="auto"/>
            <w:noWrap/>
            <w:vAlign w:val="center"/>
            <w:hideMark/>
          </w:tcPr>
          <w:p w14:paraId="1DE3783B" w14:textId="77777777" w:rsidR="000258EC" w:rsidRPr="003A115E" w:rsidRDefault="000258EC" w:rsidP="00C56BF0">
            <w:pPr>
              <w:pStyle w:val="cuatexto"/>
              <w:jc w:val="right"/>
              <w:rPr>
                <w:sz w:val="18"/>
                <w:szCs w:val="18"/>
              </w:rPr>
            </w:pPr>
            <w:r w:rsidRPr="003A115E">
              <w:rPr>
                <w:sz w:val="18"/>
                <w:szCs w:val="18"/>
              </w:rPr>
              <w:t>66</w:t>
            </w:r>
          </w:p>
        </w:tc>
        <w:tc>
          <w:tcPr>
            <w:tcW w:w="364" w:type="pct"/>
            <w:tcBorders>
              <w:top w:val="single" w:sz="2" w:space="0" w:color="auto"/>
              <w:left w:val="nil"/>
              <w:bottom w:val="single" w:sz="2" w:space="0" w:color="auto"/>
              <w:right w:val="nil"/>
            </w:tcBorders>
            <w:shd w:val="clear" w:color="auto" w:fill="auto"/>
            <w:noWrap/>
            <w:vAlign w:val="center"/>
            <w:hideMark/>
          </w:tcPr>
          <w:p w14:paraId="3A881E7D" w14:textId="29C22C65" w:rsidR="000258EC" w:rsidRPr="003A115E" w:rsidRDefault="000258EC" w:rsidP="00C56BF0">
            <w:pPr>
              <w:pStyle w:val="cuatexto"/>
              <w:jc w:val="right"/>
              <w:rPr>
                <w:sz w:val="18"/>
                <w:szCs w:val="18"/>
              </w:rPr>
            </w:pPr>
            <w:r w:rsidRPr="003A115E">
              <w:rPr>
                <w:sz w:val="18"/>
                <w:szCs w:val="18"/>
              </w:rPr>
              <w:t>58</w:t>
            </w:r>
          </w:p>
        </w:tc>
        <w:tc>
          <w:tcPr>
            <w:tcW w:w="510" w:type="pct"/>
            <w:tcBorders>
              <w:top w:val="single" w:sz="2" w:space="0" w:color="auto"/>
              <w:left w:val="nil"/>
              <w:bottom w:val="single" w:sz="2" w:space="0" w:color="auto"/>
              <w:right w:val="nil"/>
            </w:tcBorders>
            <w:shd w:val="clear" w:color="auto" w:fill="auto"/>
            <w:noWrap/>
            <w:vAlign w:val="center"/>
            <w:hideMark/>
          </w:tcPr>
          <w:p w14:paraId="13067DF3" w14:textId="77777777" w:rsidR="000258EC" w:rsidRPr="003A115E" w:rsidRDefault="000258EC" w:rsidP="00C56BF0">
            <w:pPr>
              <w:pStyle w:val="cuatexto"/>
              <w:jc w:val="right"/>
              <w:rPr>
                <w:sz w:val="18"/>
                <w:szCs w:val="18"/>
              </w:rPr>
            </w:pPr>
            <w:r w:rsidRPr="003A115E">
              <w:rPr>
                <w:sz w:val="18"/>
                <w:szCs w:val="18"/>
              </w:rPr>
              <w:t>45</w:t>
            </w:r>
          </w:p>
        </w:tc>
        <w:tc>
          <w:tcPr>
            <w:tcW w:w="642" w:type="pct"/>
            <w:tcBorders>
              <w:top w:val="single" w:sz="2" w:space="0" w:color="auto"/>
              <w:left w:val="nil"/>
              <w:bottom w:val="single" w:sz="2" w:space="0" w:color="auto"/>
              <w:right w:val="nil"/>
            </w:tcBorders>
            <w:shd w:val="clear" w:color="auto" w:fill="auto"/>
            <w:noWrap/>
            <w:vAlign w:val="center"/>
            <w:hideMark/>
          </w:tcPr>
          <w:p w14:paraId="7B1A9343" w14:textId="109C2E00" w:rsidR="000258EC" w:rsidRPr="003A115E" w:rsidRDefault="000258EC" w:rsidP="00C56BF0">
            <w:pPr>
              <w:pStyle w:val="cuatexto"/>
              <w:jc w:val="right"/>
              <w:rPr>
                <w:sz w:val="18"/>
                <w:szCs w:val="18"/>
              </w:rPr>
            </w:pPr>
            <w:r w:rsidRPr="003A115E">
              <w:rPr>
                <w:sz w:val="18"/>
                <w:szCs w:val="18"/>
              </w:rPr>
              <w:t>52</w:t>
            </w:r>
          </w:p>
        </w:tc>
        <w:tc>
          <w:tcPr>
            <w:tcW w:w="640" w:type="pct"/>
            <w:tcBorders>
              <w:top w:val="single" w:sz="2" w:space="0" w:color="auto"/>
              <w:left w:val="nil"/>
              <w:bottom w:val="single" w:sz="2" w:space="0" w:color="auto"/>
              <w:right w:val="nil"/>
            </w:tcBorders>
            <w:shd w:val="clear" w:color="auto" w:fill="auto"/>
            <w:noWrap/>
            <w:vAlign w:val="center"/>
            <w:hideMark/>
          </w:tcPr>
          <w:p w14:paraId="45907630" w14:textId="77777777" w:rsidR="000258EC" w:rsidRPr="003A115E" w:rsidRDefault="000258EC" w:rsidP="00C56BF0">
            <w:pPr>
              <w:pStyle w:val="cuatexto"/>
              <w:jc w:val="right"/>
              <w:rPr>
                <w:sz w:val="18"/>
                <w:szCs w:val="18"/>
              </w:rPr>
            </w:pPr>
            <w:r w:rsidRPr="003A115E">
              <w:rPr>
                <w:sz w:val="18"/>
                <w:szCs w:val="18"/>
              </w:rPr>
              <w:t>77</w:t>
            </w:r>
          </w:p>
        </w:tc>
        <w:tc>
          <w:tcPr>
            <w:tcW w:w="642" w:type="pct"/>
            <w:tcBorders>
              <w:top w:val="single" w:sz="2" w:space="0" w:color="auto"/>
              <w:left w:val="nil"/>
              <w:bottom w:val="single" w:sz="2" w:space="0" w:color="auto"/>
              <w:right w:val="nil"/>
            </w:tcBorders>
            <w:shd w:val="clear" w:color="auto" w:fill="auto"/>
            <w:noWrap/>
            <w:vAlign w:val="center"/>
            <w:hideMark/>
          </w:tcPr>
          <w:p w14:paraId="5212EB39" w14:textId="7BD8BF82" w:rsidR="000258EC" w:rsidRPr="003A115E" w:rsidRDefault="000258EC" w:rsidP="00C56BF0">
            <w:pPr>
              <w:pStyle w:val="cuatexto"/>
              <w:jc w:val="right"/>
              <w:rPr>
                <w:sz w:val="18"/>
                <w:szCs w:val="18"/>
              </w:rPr>
            </w:pPr>
            <w:r w:rsidRPr="003A115E">
              <w:rPr>
                <w:sz w:val="18"/>
                <w:szCs w:val="18"/>
              </w:rPr>
              <w:t>61</w:t>
            </w:r>
          </w:p>
        </w:tc>
      </w:tr>
      <w:tr w:rsidR="000A742F" w:rsidRPr="003A115E" w14:paraId="6A7C28B4" w14:textId="77777777" w:rsidTr="00CC28BD">
        <w:trPr>
          <w:trHeight w:val="198"/>
        </w:trPr>
        <w:tc>
          <w:tcPr>
            <w:tcW w:w="1291" w:type="pct"/>
            <w:tcBorders>
              <w:top w:val="single" w:sz="2" w:space="0" w:color="auto"/>
              <w:left w:val="nil"/>
              <w:bottom w:val="single" w:sz="4" w:space="0" w:color="auto"/>
              <w:right w:val="nil"/>
            </w:tcBorders>
            <w:shd w:val="clear" w:color="auto" w:fill="auto"/>
            <w:noWrap/>
            <w:vAlign w:val="center"/>
            <w:hideMark/>
          </w:tcPr>
          <w:p w14:paraId="5F06E1C7" w14:textId="77777777" w:rsidR="000258EC" w:rsidRPr="003A115E" w:rsidRDefault="000258EC" w:rsidP="00C56BF0">
            <w:pPr>
              <w:pStyle w:val="cuatexto"/>
              <w:rPr>
                <w:sz w:val="18"/>
                <w:szCs w:val="18"/>
              </w:rPr>
            </w:pPr>
            <w:r w:rsidRPr="003A115E">
              <w:rPr>
                <w:sz w:val="18"/>
                <w:szCs w:val="18"/>
              </w:rPr>
              <w:t>Agrupaciones</w:t>
            </w:r>
          </w:p>
        </w:tc>
        <w:tc>
          <w:tcPr>
            <w:tcW w:w="910" w:type="pct"/>
            <w:tcBorders>
              <w:top w:val="single" w:sz="2" w:space="0" w:color="auto"/>
              <w:left w:val="nil"/>
              <w:bottom w:val="single" w:sz="4" w:space="0" w:color="auto"/>
              <w:right w:val="nil"/>
            </w:tcBorders>
            <w:shd w:val="clear" w:color="auto" w:fill="auto"/>
            <w:noWrap/>
            <w:vAlign w:val="center"/>
            <w:hideMark/>
          </w:tcPr>
          <w:p w14:paraId="26106743" w14:textId="77777777" w:rsidR="000258EC" w:rsidRPr="003A115E" w:rsidRDefault="000258EC" w:rsidP="00C56BF0">
            <w:pPr>
              <w:pStyle w:val="cuatexto"/>
              <w:jc w:val="right"/>
              <w:rPr>
                <w:sz w:val="18"/>
                <w:szCs w:val="18"/>
              </w:rPr>
            </w:pPr>
            <w:r w:rsidRPr="003A115E">
              <w:rPr>
                <w:sz w:val="18"/>
                <w:szCs w:val="18"/>
              </w:rPr>
              <w:t>55</w:t>
            </w:r>
          </w:p>
        </w:tc>
        <w:tc>
          <w:tcPr>
            <w:tcW w:w="364" w:type="pct"/>
            <w:tcBorders>
              <w:top w:val="single" w:sz="2" w:space="0" w:color="auto"/>
              <w:left w:val="nil"/>
              <w:bottom w:val="single" w:sz="4" w:space="0" w:color="auto"/>
              <w:right w:val="nil"/>
            </w:tcBorders>
            <w:shd w:val="clear" w:color="auto" w:fill="auto"/>
            <w:noWrap/>
            <w:vAlign w:val="center"/>
            <w:hideMark/>
          </w:tcPr>
          <w:p w14:paraId="5E563241" w14:textId="08045A40" w:rsidR="000258EC" w:rsidRPr="003A115E" w:rsidRDefault="000258EC" w:rsidP="00C56BF0">
            <w:pPr>
              <w:pStyle w:val="cuatexto"/>
              <w:jc w:val="right"/>
              <w:rPr>
                <w:sz w:val="18"/>
                <w:szCs w:val="18"/>
              </w:rPr>
            </w:pPr>
            <w:r w:rsidRPr="003A115E">
              <w:rPr>
                <w:sz w:val="18"/>
                <w:szCs w:val="18"/>
              </w:rPr>
              <w:t>41</w:t>
            </w:r>
          </w:p>
        </w:tc>
        <w:tc>
          <w:tcPr>
            <w:tcW w:w="510" w:type="pct"/>
            <w:tcBorders>
              <w:top w:val="single" w:sz="2" w:space="0" w:color="auto"/>
              <w:left w:val="nil"/>
              <w:bottom w:val="single" w:sz="4" w:space="0" w:color="auto"/>
              <w:right w:val="nil"/>
            </w:tcBorders>
            <w:shd w:val="clear" w:color="auto" w:fill="auto"/>
            <w:noWrap/>
            <w:vAlign w:val="center"/>
            <w:hideMark/>
          </w:tcPr>
          <w:p w14:paraId="2BD2DB4E" w14:textId="77777777" w:rsidR="000258EC" w:rsidRPr="003A115E" w:rsidRDefault="000258EC" w:rsidP="00C56BF0">
            <w:pPr>
              <w:pStyle w:val="cuatexto"/>
              <w:jc w:val="right"/>
              <w:rPr>
                <w:sz w:val="18"/>
                <w:szCs w:val="18"/>
              </w:rPr>
            </w:pPr>
            <w:r w:rsidRPr="003A115E">
              <w:rPr>
                <w:sz w:val="18"/>
                <w:szCs w:val="18"/>
              </w:rPr>
              <w:t>45</w:t>
            </w:r>
          </w:p>
        </w:tc>
        <w:tc>
          <w:tcPr>
            <w:tcW w:w="642" w:type="pct"/>
            <w:tcBorders>
              <w:top w:val="single" w:sz="2" w:space="0" w:color="auto"/>
              <w:left w:val="nil"/>
              <w:bottom w:val="single" w:sz="4" w:space="0" w:color="auto"/>
              <w:right w:val="nil"/>
            </w:tcBorders>
            <w:shd w:val="clear" w:color="auto" w:fill="auto"/>
            <w:noWrap/>
            <w:vAlign w:val="center"/>
            <w:hideMark/>
          </w:tcPr>
          <w:p w14:paraId="53340432" w14:textId="6A259136" w:rsidR="000258EC" w:rsidRPr="003A115E" w:rsidRDefault="000258EC" w:rsidP="00C56BF0">
            <w:pPr>
              <w:pStyle w:val="cuatexto"/>
              <w:jc w:val="right"/>
              <w:rPr>
                <w:sz w:val="18"/>
                <w:szCs w:val="18"/>
              </w:rPr>
            </w:pPr>
            <w:r w:rsidRPr="003A115E">
              <w:rPr>
                <w:sz w:val="18"/>
                <w:szCs w:val="18"/>
              </w:rPr>
              <w:t>27</w:t>
            </w:r>
          </w:p>
        </w:tc>
        <w:tc>
          <w:tcPr>
            <w:tcW w:w="640" w:type="pct"/>
            <w:tcBorders>
              <w:top w:val="single" w:sz="2" w:space="0" w:color="auto"/>
              <w:left w:val="nil"/>
              <w:bottom w:val="single" w:sz="4" w:space="0" w:color="auto"/>
              <w:right w:val="nil"/>
            </w:tcBorders>
            <w:shd w:val="clear" w:color="auto" w:fill="auto"/>
            <w:noWrap/>
            <w:vAlign w:val="center"/>
            <w:hideMark/>
          </w:tcPr>
          <w:p w14:paraId="0D91C93C" w14:textId="77777777" w:rsidR="000258EC" w:rsidRPr="003A115E" w:rsidRDefault="000258EC" w:rsidP="00C56BF0">
            <w:pPr>
              <w:pStyle w:val="cuatexto"/>
              <w:jc w:val="right"/>
              <w:rPr>
                <w:sz w:val="18"/>
                <w:szCs w:val="18"/>
              </w:rPr>
            </w:pPr>
            <w:r w:rsidRPr="003A115E">
              <w:rPr>
                <w:sz w:val="18"/>
                <w:szCs w:val="18"/>
              </w:rPr>
              <w:t>77</w:t>
            </w:r>
          </w:p>
        </w:tc>
        <w:tc>
          <w:tcPr>
            <w:tcW w:w="642" w:type="pct"/>
            <w:tcBorders>
              <w:top w:val="single" w:sz="2" w:space="0" w:color="auto"/>
              <w:left w:val="nil"/>
              <w:bottom w:val="single" w:sz="4" w:space="0" w:color="auto"/>
              <w:right w:val="nil"/>
            </w:tcBorders>
            <w:shd w:val="clear" w:color="auto" w:fill="auto"/>
            <w:noWrap/>
            <w:vAlign w:val="center"/>
            <w:hideMark/>
          </w:tcPr>
          <w:p w14:paraId="2CE1B8D2" w14:textId="55C89E17" w:rsidR="000258EC" w:rsidRPr="003A115E" w:rsidRDefault="000258EC" w:rsidP="00C56BF0">
            <w:pPr>
              <w:pStyle w:val="cuatexto"/>
              <w:jc w:val="right"/>
              <w:rPr>
                <w:sz w:val="18"/>
                <w:szCs w:val="18"/>
              </w:rPr>
            </w:pPr>
            <w:r w:rsidRPr="003A115E">
              <w:rPr>
                <w:sz w:val="18"/>
                <w:szCs w:val="18"/>
              </w:rPr>
              <w:t>68</w:t>
            </w:r>
          </w:p>
        </w:tc>
      </w:tr>
      <w:tr w:rsidR="000A742F" w:rsidRPr="003A115E" w14:paraId="696FB623" w14:textId="77777777" w:rsidTr="00CC28BD">
        <w:trPr>
          <w:trHeight w:val="255"/>
        </w:trPr>
        <w:tc>
          <w:tcPr>
            <w:tcW w:w="1291" w:type="pct"/>
            <w:tcBorders>
              <w:top w:val="single" w:sz="4" w:space="0" w:color="auto"/>
              <w:left w:val="nil"/>
              <w:bottom w:val="single" w:sz="4" w:space="0" w:color="auto"/>
              <w:right w:val="nil"/>
            </w:tcBorders>
            <w:shd w:val="clear" w:color="auto" w:fill="FABF8F" w:themeFill="accent6" w:themeFillTint="99"/>
            <w:noWrap/>
            <w:vAlign w:val="center"/>
            <w:hideMark/>
          </w:tcPr>
          <w:p w14:paraId="3832681E" w14:textId="77777777" w:rsidR="000258EC" w:rsidRPr="003A115E" w:rsidRDefault="000258EC" w:rsidP="0080058B">
            <w:pPr>
              <w:pStyle w:val="cuadroCabe"/>
              <w:spacing w:after="40"/>
              <w:rPr>
                <w:szCs w:val="18"/>
              </w:rPr>
            </w:pPr>
            <w:r w:rsidRPr="003A115E">
              <w:rPr>
                <w:szCs w:val="18"/>
              </w:rPr>
              <w:t>Total</w:t>
            </w:r>
          </w:p>
        </w:tc>
        <w:tc>
          <w:tcPr>
            <w:tcW w:w="910" w:type="pct"/>
            <w:tcBorders>
              <w:top w:val="single" w:sz="4" w:space="0" w:color="auto"/>
              <w:left w:val="nil"/>
              <w:bottom w:val="single" w:sz="4" w:space="0" w:color="auto"/>
              <w:right w:val="nil"/>
            </w:tcBorders>
            <w:shd w:val="clear" w:color="auto" w:fill="FABF8F" w:themeFill="accent6" w:themeFillTint="99"/>
            <w:noWrap/>
            <w:vAlign w:val="center"/>
            <w:hideMark/>
          </w:tcPr>
          <w:p w14:paraId="00D121DE" w14:textId="77777777" w:rsidR="000258EC" w:rsidRPr="003A115E" w:rsidRDefault="000258EC" w:rsidP="0080058B">
            <w:pPr>
              <w:pStyle w:val="cuadroCabe"/>
              <w:spacing w:after="40"/>
              <w:jc w:val="right"/>
              <w:rPr>
                <w:szCs w:val="18"/>
              </w:rPr>
            </w:pPr>
            <w:r w:rsidRPr="003A115E">
              <w:rPr>
                <w:szCs w:val="18"/>
              </w:rPr>
              <w:t>63</w:t>
            </w:r>
          </w:p>
        </w:tc>
        <w:tc>
          <w:tcPr>
            <w:tcW w:w="364" w:type="pct"/>
            <w:tcBorders>
              <w:top w:val="single" w:sz="4" w:space="0" w:color="auto"/>
              <w:left w:val="nil"/>
              <w:bottom w:val="single" w:sz="4" w:space="0" w:color="auto"/>
              <w:right w:val="nil"/>
            </w:tcBorders>
            <w:shd w:val="clear" w:color="auto" w:fill="FABF8F" w:themeFill="accent6" w:themeFillTint="99"/>
            <w:noWrap/>
            <w:vAlign w:val="center"/>
            <w:hideMark/>
          </w:tcPr>
          <w:p w14:paraId="720CE264" w14:textId="34FED380" w:rsidR="000258EC" w:rsidRPr="003A115E" w:rsidRDefault="000258EC" w:rsidP="0080058B">
            <w:pPr>
              <w:pStyle w:val="cuadroCabe"/>
              <w:spacing w:after="40"/>
              <w:jc w:val="right"/>
              <w:rPr>
                <w:szCs w:val="18"/>
              </w:rPr>
            </w:pPr>
            <w:r w:rsidRPr="003A115E">
              <w:rPr>
                <w:szCs w:val="18"/>
              </w:rPr>
              <w:t>61</w:t>
            </w:r>
          </w:p>
        </w:tc>
        <w:tc>
          <w:tcPr>
            <w:tcW w:w="510" w:type="pct"/>
            <w:tcBorders>
              <w:top w:val="single" w:sz="4" w:space="0" w:color="auto"/>
              <w:left w:val="nil"/>
              <w:bottom w:val="single" w:sz="4" w:space="0" w:color="auto"/>
              <w:right w:val="nil"/>
            </w:tcBorders>
            <w:shd w:val="clear" w:color="auto" w:fill="FABF8F" w:themeFill="accent6" w:themeFillTint="99"/>
            <w:noWrap/>
            <w:vAlign w:val="center"/>
            <w:hideMark/>
          </w:tcPr>
          <w:p w14:paraId="7355FEA0" w14:textId="77777777" w:rsidR="000258EC" w:rsidRPr="003A115E" w:rsidRDefault="000258EC" w:rsidP="0080058B">
            <w:pPr>
              <w:pStyle w:val="cuadroCabe"/>
              <w:spacing w:after="40"/>
              <w:jc w:val="right"/>
              <w:rPr>
                <w:szCs w:val="18"/>
              </w:rPr>
            </w:pPr>
            <w:r w:rsidRPr="003A115E">
              <w:rPr>
                <w:szCs w:val="18"/>
              </w:rPr>
              <w:t>45</w:t>
            </w:r>
          </w:p>
        </w:tc>
        <w:tc>
          <w:tcPr>
            <w:tcW w:w="642" w:type="pct"/>
            <w:tcBorders>
              <w:top w:val="single" w:sz="4" w:space="0" w:color="auto"/>
              <w:left w:val="nil"/>
              <w:bottom w:val="single" w:sz="4" w:space="0" w:color="auto"/>
              <w:right w:val="nil"/>
            </w:tcBorders>
            <w:shd w:val="clear" w:color="auto" w:fill="FABF8F" w:themeFill="accent6" w:themeFillTint="99"/>
            <w:noWrap/>
            <w:vAlign w:val="center"/>
            <w:hideMark/>
          </w:tcPr>
          <w:p w14:paraId="451645DF" w14:textId="60322083" w:rsidR="000258EC" w:rsidRPr="003A115E" w:rsidRDefault="000258EC" w:rsidP="0080058B">
            <w:pPr>
              <w:pStyle w:val="cuadroCabe"/>
              <w:spacing w:after="40"/>
              <w:jc w:val="right"/>
              <w:rPr>
                <w:szCs w:val="18"/>
              </w:rPr>
            </w:pPr>
            <w:r w:rsidRPr="003A115E">
              <w:rPr>
                <w:szCs w:val="18"/>
              </w:rPr>
              <w:t>50</w:t>
            </w:r>
          </w:p>
        </w:tc>
        <w:tc>
          <w:tcPr>
            <w:tcW w:w="640" w:type="pct"/>
            <w:tcBorders>
              <w:top w:val="single" w:sz="4" w:space="0" w:color="auto"/>
              <w:left w:val="nil"/>
              <w:bottom w:val="single" w:sz="4" w:space="0" w:color="auto"/>
              <w:right w:val="nil"/>
            </w:tcBorders>
            <w:shd w:val="clear" w:color="auto" w:fill="FABF8F" w:themeFill="accent6" w:themeFillTint="99"/>
            <w:noWrap/>
            <w:vAlign w:val="center"/>
            <w:hideMark/>
          </w:tcPr>
          <w:p w14:paraId="02835EB2" w14:textId="77777777" w:rsidR="000258EC" w:rsidRPr="003A115E" w:rsidRDefault="000258EC" w:rsidP="0080058B">
            <w:pPr>
              <w:pStyle w:val="cuadroCabe"/>
              <w:spacing w:after="40"/>
              <w:jc w:val="right"/>
              <w:rPr>
                <w:szCs w:val="18"/>
              </w:rPr>
            </w:pPr>
            <w:r w:rsidRPr="003A115E">
              <w:rPr>
                <w:szCs w:val="18"/>
              </w:rPr>
              <w:t>76</w:t>
            </w:r>
          </w:p>
        </w:tc>
        <w:tc>
          <w:tcPr>
            <w:tcW w:w="642" w:type="pct"/>
            <w:tcBorders>
              <w:top w:val="single" w:sz="4" w:space="0" w:color="auto"/>
              <w:left w:val="nil"/>
              <w:bottom w:val="single" w:sz="4" w:space="0" w:color="auto"/>
              <w:right w:val="nil"/>
            </w:tcBorders>
            <w:shd w:val="clear" w:color="auto" w:fill="FABF8F" w:themeFill="accent6" w:themeFillTint="99"/>
            <w:noWrap/>
            <w:vAlign w:val="center"/>
            <w:hideMark/>
          </w:tcPr>
          <w:p w14:paraId="04D48E9C" w14:textId="31ED73B6" w:rsidR="000258EC" w:rsidRPr="003A115E" w:rsidRDefault="000258EC" w:rsidP="0080058B">
            <w:pPr>
              <w:pStyle w:val="cuadroCabe"/>
              <w:spacing w:after="40"/>
              <w:jc w:val="right"/>
              <w:rPr>
                <w:szCs w:val="18"/>
              </w:rPr>
            </w:pPr>
            <w:r w:rsidRPr="003A115E">
              <w:rPr>
                <w:szCs w:val="18"/>
              </w:rPr>
              <w:t>65</w:t>
            </w:r>
          </w:p>
        </w:tc>
      </w:tr>
    </w:tbl>
    <w:p w14:paraId="2F6DAD19" w14:textId="24071D14" w:rsidR="00C84D07" w:rsidRPr="003A115E" w:rsidRDefault="00E52458" w:rsidP="00C84D07">
      <w:pPr>
        <w:pStyle w:val="texto"/>
        <w:tabs>
          <w:tab w:val="clear" w:pos="2835"/>
          <w:tab w:val="center" w:pos="567"/>
        </w:tabs>
        <w:spacing w:before="240"/>
        <w:rPr>
          <w:rFonts w:cs="Arial"/>
        </w:rPr>
      </w:pPr>
      <w:r w:rsidRPr="003A115E">
        <w:rPr>
          <w:rFonts w:cs="Arial"/>
        </w:rPr>
        <w:t>El 61</w:t>
      </w:r>
      <w:r w:rsidR="00C84D07" w:rsidRPr="003A115E">
        <w:rPr>
          <w:rFonts w:cs="Arial"/>
        </w:rPr>
        <w:t xml:space="preserve"> por ciento de las entidades local</w:t>
      </w:r>
      <w:r w:rsidRPr="003A115E">
        <w:rPr>
          <w:rFonts w:cs="Arial"/>
        </w:rPr>
        <w:t>es aprobaron sus cuentas de 2022</w:t>
      </w:r>
      <w:r w:rsidR="00C84D07" w:rsidRPr="003A115E">
        <w:rPr>
          <w:rFonts w:cs="Arial"/>
        </w:rPr>
        <w:t xml:space="preserve"> en plazo y el </w:t>
      </w:r>
      <w:r w:rsidRPr="003A115E">
        <w:rPr>
          <w:rFonts w:cs="Arial"/>
        </w:rPr>
        <w:t>50</w:t>
      </w:r>
      <w:r w:rsidR="00C84D07" w:rsidRPr="003A115E">
        <w:rPr>
          <w:rFonts w:cs="Arial"/>
        </w:rPr>
        <w:t xml:space="preserve"> por ciento las remitió a la </w:t>
      </w:r>
      <w:r w:rsidR="0038463B" w:rsidRPr="003A115E">
        <w:rPr>
          <w:rFonts w:cs="Arial"/>
        </w:rPr>
        <w:t>ACFN</w:t>
      </w:r>
      <w:r w:rsidR="00C84D07" w:rsidRPr="003A115E">
        <w:rPr>
          <w:rFonts w:cs="Arial"/>
        </w:rPr>
        <w:t xml:space="preserve"> dentro del plazo máximo legalmente </w:t>
      </w:r>
      <w:r w:rsidR="0038463B" w:rsidRPr="003A115E">
        <w:rPr>
          <w:rFonts w:cs="Arial"/>
        </w:rPr>
        <w:t>establecido</w:t>
      </w:r>
      <w:r w:rsidR="00C84D07" w:rsidRPr="003A115E">
        <w:rPr>
          <w:rFonts w:cs="Arial"/>
        </w:rPr>
        <w:t>.</w:t>
      </w:r>
    </w:p>
    <w:p w14:paraId="08066941" w14:textId="27AC7A60" w:rsidR="00C84D07" w:rsidRPr="003A115E" w:rsidRDefault="00C84D07" w:rsidP="7A999140">
      <w:pPr>
        <w:pStyle w:val="texto"/>
        <w:tabs>
          <w:tab w:val="clear" w:pos="2835"/>
          <w:tab w:val="center" w:pos="567"/>
        </w:tabs>
        <w:rPr>
          <w:rFonts w:cs="Arial"/>
          <w:lang w:val="es-ES"/>
        </w:rPr>
      </w:pPr>
      <w:r w:rsidRPr="003A115E">
        <w:rPr>
          <w:rFonts w:cs="Arial"/>
          <w:lang w:val="es-ES"/>
        </w:rPr>
        <w:t xml:space="preserve">A fecha de elaboración de este informe </w:t>
      </w:r>
      <w:r w:rsidR="000E7E29" w:rsidRPr="003A115E">
        <w:rPr>
          <w:rFonts w:cs="Arial"/>
          <w:lang w:val="es-ES"/>
        </w:rPr>
        <w:t xml:space="preserve">han remitido sus cuentas de 2022 a la </w:t>
      </w:r>
      <w:r w:rsidR="00171C3B" w:rsidRPr="003A115E">
        <w:rPr>
          <w:rFonts w:cs="Arial"/>
          <w:lang w:val="es-ES"/>
        </w:rPr>
        <w:t>ACFN</w:t>
      </w:r>
      <w:r w:rsidR="000E7E29" w:rsidRPr="003A115E">
        <w:rPr>
          <w:rFonts w:cs="Arial"/>
          <w:lang w:val="es-ES"/>
        </w:rPr>
        <w:t xml:space="preserve"> el </w:t>
      </w:r>
      <w:r w:rsidR="008C464D" w:rsidRPr="003A115E">
        <w:rPr>
          <w:rFonts w:cs="Arial"/>
          <w:lang w:val="es-ES"/>
        </w:rPr>
        <w:t>87</w:t>
      </w:r>
      <w:r w:rsidRPr="003A115E">
        <w:rPr>
          <w:rFonts w:cs="Arial"/>
          <w:lang w:val="es-ES"/>
        </w:rPr>
        <w:t xml:space="preserve"> por ciento de las entidades locales. E</w:t>
      </w:r>
      <w:r w:rsidR="00A61111" w:rsidRPr="003A115E">
        <w:rPr>
          <w:rFonts w:cs="Arial"/>
          <w:lang w:val="es-ES"/>
        </w:rPr>
        <w:t xml:space="preserve">ste porcentaje se elevaría al </w:t>
      </w:r>
      <w:r w:rsidR="008C464D" w:rsidRPr="003A115E">
        <w:rPr>
          <w:rFonts w:cs="Arial"/>
          <w:lang w:val="es-ES"/>
        </w:rPr>
        <w:t>9</w:t>
      </w:r>
      <w:r w:rsidR="00C06AC8" w:rsidRPr="003A115E">
        <w:rPr>
          <w:rFonts w:cs="Arial"/>
          <w:lang w:val="es-ES"/>
        </w:rPr>
        <w:t>2</w:t>
      </w:r>
      <w:r w:rsidRPr="003A115E">
        <w:rPr>
          <w:rFonts w:cs="Arial"/>
          <w:lang w:val="es-ES"/>
        </w:rPr>
        <w:t xml:space="preserve"> por ciento si añadimos las entidades que no han remitido la cuenta general, pero sí el expediente de liquidación del presupuesto.</w:t>
      </w:r>
      <w:r w:rsidR="008B03A3" w:rsidRPr="003A115E">
        <w:rPr>
          <w:rFonts w:cs="Arial"/>
          <w:lang w:val="es-ES"/>
        </w:rPr>
        <w:t xml:space="preserve"> </w:t>
      </w:r>
    </w:p>
    <w:p w14:paraId="1E011BDB" w14:textId="65C2A3E7" w:rsidR="00C84D07" w:rsidRPr="003A115E" w:rsidRDefault="2C7397AF" w:rsidP="00C84D07">
      <w:pPr>
        <w:pStyle w:val="texto"/>
        <w:tabs>
          <w:tab w:val="clear" w:pos="2835"/>
          <w:tab w:val="center" w:pos="567"/>
        </w:tabs>
        <w:rPr>
          <w:rFonts w:cs="Arial"/>
        </w:rPr>
      </w:pPr>
      <w:r w:rsidRPr="003A115E">
        <w:rPr>
          <w:rFonts w:cs="Arial"/>
        </w:rPr>
        <w:t xml:space="preserve">A </w:t>
      </w:r>
      <w:r w:rsidR="6E65F18D" w:rsidRPr="003A115E">
        <w:rPr>
          <w:rFonts w:cs="Arial"/>
        </w:rPr>
        <w:t>continuación,</w:t>
      </w:r>
      <w:r w:rsidRPr="003A115E">
        <w:rPr>
          <w:rFonts w:cs="Arial"/>
        </w:rPr>
        <w:t xml:space="preserve"> señalamos las entidades locales</w:t>
      </w:r>
      <w:r w:rsidR="00E30A83" w:rsidRPr="003A115E">
        <w:rPr>
          <w:rFonts w:cs="Arial"/>
        </w:rPr>
        <w:t xml:space="preserve"> </w:t>
      </w:r>
      <w:r w:rsidRPr="003A115E">
        <w:rPr>
          <w:rFonts w:cs="Arial"/>
        </w:rPr>
        <w:t xml:space="preserve">que, a fecha de elaboración de este informe, no han remitido a la </w:t>
      </w:r>
      <w:r w:rsidR="00171C3B" w:rsidRPr="003A115E">
        <w:rPr>
          <w:rFonts w:cs="Arial"/>
        </w:rPr>
        <w:t>ACFN</w:t>
      </w:r>
      <w:r w:rsidRPr="003A115E">
        <w:rPr>
          <w:rFonts w:cs="Arial"/>
        </w:rPr>
        <w:t xml:space="preserve"> ni la cuenta general ni el expediente de liquidación del pr</w:t>
      </w:r>
      <w:r w:rsidR="00C272B2" w:rsidRPr="003A115E">
        <w:rPr>
          <w:rFonts w:cs="Arial"/>
        </w:rPr>
        <w:t>esupuesto de los ejercicios 2021 y 2022</w:t>
      </w:r>
      <w:r w:rsidRPr="003A115E">
        <w:rPr>
          <w:rFonts w:cs="Arial"/>
        </w:rPr>
        <w:t xml:space="preserve">. En cada caso, se </w:t>
      </w:r>
      <w:r w:rsidR="6D43019B" w:rsidRPr="003A115E">
        <w:rPr>
          <w:rFonts w:cs="Arial"/>
        </w:rPr>
        <w:t xml:space="preserve">indica entre paréntesis </w:t>
      </w:r>
      <w:r w:rsidRPr="003A115E">
        <w:rPr>
          <w:rFonts w:cs="Arial"/>
        </w:rPr>
        <w:t>el ejercicio al que corresponde la cuenta general o liquidación del presupuesto más reciente que han presentado.</w:t>
      </w:r>
    </w:p>
    <w:p w14:paraId="25F1CAFC" w14:textId="05DFEC0C" w:rsidR="00C84D07" w:rsidRPr="003A115E" w:rsidRDefault="006D7808" w:rsidP="7A999140">
      <w:pPr>
        <w:pStyle w:val="texto"/>
        <w:numPr>
          <w:ilvl w:val="0"/>
          <w:numId w:val="14"/>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lang w:val="es-ES"/>
        </w:rPr>
      </w:pPr>
      <w:r w:rsidRPr="003A115E">
        <w:rPr>
          <w:rFonts w:cs="Arial"/>
          <w:lang w:val="es-ES"/>
        </w:rPr>
        <w:t xml:space="preserve">Un </w:t>
      </w:r>
      <w:r w:rsidR="0047488F" w:rsidRPr="003A115E">
        <w:rPr>
          <w:rFonts w:cs="Arial"/>
          <w:lang w:val="es-ES"/>
        </w:rPr>
        <w:t>a</w:t>
      </w:r>
      <w:r w:rsidR="00C84D07" w:rsidRPr="003A115E">
        <w:rPr>
          <w:rFonts w:cs="Arial"/>
          <w:lang w:val="es-ES"/>
        </w:rPr>
        <w:t>yuntamiento</w:t>
      </w:r>
      <w:r w:rsidR="00A74958" w:rsidRPr="003A115E">
        <w:rPr>
          <w:rFonts w:cs="Arial"/>
          <w:lang w:val="es-ES"/>
        </w:rPr>
        <w:t>:</w:t>
      </w:r>
      <w:r w:rsidR="00E13183" w:rsidRPr="003A115E">
        <w:rPr>
          <w:rFonts w:cs="Arial"/>
          <w:lang w:val="es-ES"/>
        </w:rPr>
        <w:t xml:space="preserve"> Zuga</w:t>
      </w:r>
      <w:r w:rsidR="00072028" w:rsidRPr="003A115E">
        <w:rPr>
          <w:rFonts w:cs="Arial"/>
          <w:lang w:val="es-ES"/>
        </w:rPr>
        <w:t>rramurdi (2020)</w:t>
      </w:r>
      <w:r w:rsidR="00E13183" w:rsidRPr="003A115E">
        <w:rPr>
          <w:rFonts w:cs="Arial"/>
          <w:lang w:val="es-ES"/>
        </w:rPr>
        <w:t>.</w:t>
      </w:r>
    </w:p>
    <w:p w14:paraId="1D138DDB" w14:textId="6ED8BC9F" w:rsidR="00C84D07" w:rsidRPr="003A115E" w:rsidRDefault="006D7808" w:rsidP="00E30A83">
      <w:pPr>
        <w:pStyle w:val="texto"/>
        <w:numPr>
          <w:ilvl w:val="0"/>
          <w:numId w:val="14"/>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lang w:val="es-ES"/>
        </w:rPr>
      </w:pPr>
      <w:r w:rsidRPr="003A115E">
        <w:rPr>
          <w:rFonts w:cs="Arial"/>
          <w:lang w:val="es-ES"/>
        </w:rPr>
        <w:t>Un total de 26</w:t>
      </w:r>
      <w:r w:rsidR="00E30A83" w:rsidRPr="003A115E">
        <w:rPr>
          <w:rFonts w:cs="Arial"/>
          <w:lang w:val="es-ES"/>
        </w:rPr>
        <w:t xml:space="preserve"> </w:t>
      </w:r>
      <w:r w:rsidR="0047488F" w:rsidRPr="003A115E">
        <w:rPr>
          <w:rFonts w:cs="Arial"/>
          <w:lang w:val="es-ES"/>
        </w:rPr>
        <w:t>c</w:t>
      </w:r>
      <w:r w:rsidR="2C7397AF" w:rsidRPr="003A115E">
        <w:rPr>
          <w:rFonts w:cs="Arial"/>
          <w:lang w:val="es-ES"/>
        </w:rPr>
        <w:t>oncejos: Cizur Menor (201</w:t>
      </w:r>
      <w:r w:rsidR="004817F5" w:rsidRPr="003A115E">
        <w:rPr>
          <w:rFonts w:cs="Arial"/>
          <w:lang w:val="es-ES"/>
        </w:rPr>
        <w:t>7)</w:t>
      </w:r>
      <w:r w:rsidR="2C7397AF" w:rsidRPr="003A115E">
        <w:rPr>
          <w:rFonts w:cs="Arial"/>
          <w:lang w:val="es-ES"/>
        </w:rPr>
        <w:t xml:space="preserve">, Gazólaz (2016), Larraya (2017), Paternáin (2015), Undiano / </w:t>
      </w:r>
      <w:r w:rsidR="003C5C9A" w:rsidRPr="003A115E">
        <w:rPr>
          <w:rFonts w:cs="Arial"/>
          <w:lang w:val="es-ES"/>
        </w:rPr>
        <w:t>Undio (2015), y Astráin (2020)</w:t>
      </w:r>
      <w:r w:rsidR="00CF7861" w:rsidRPr="003A115E">
        <w:rPr>
          <w:rFonts w:cs="Arial"/>
          <w:lang w:val="es-ES"/>
        </w:rPr>
        <w:t>, en Cizur</w:t>
      </w:r>
      <w:r w:rsidR="2C7397AF" w:rsidRPr="003A115E">
        <w:rPr>
          <w:rFonts w:cs="Arial"/>
          <w:lang w:val="es-ES"/>
        </w:rPr>
        <w:t>; Larráyoz (2016), en Juslapeña; Murugarr</w:t>
      </w:r>
      <w:r w:rsidR="00CC2C7D" w:rsidRPr="003A115E">
        <w:rPr>
          <w:rFonts w:cs="Arial"/>
          <w:lang w:val="es-ES"/>
        </w:rPr>
        <w:t xml:space="preserve">en (2017), </w:t>
      </w:r>
      <w:r w:rsidR="2C7397AF" w:rsidRPr="003A115E">
        <w:rPr>
          <w:rFonts w:cs="Arial"/>
          <w:lang w:val="es-ES"/>
        </w:rPr>
        <w:t>Zurucuáin / Zurukuain (2019),</w:t>
      </w:r>
      <w:r w:rsidR="002C0A5F" w:rsidRPr="003A115E">
        <w:rPr>
          <w:rFonts w:cs="Arial"/>
          <w:lang w:val="es-ES"/>
        </w:rPr>
        <w:t xml:space="preserve"> Alloz / Allotz (2020),  Ibiricu de Yerri / Ibiriku Deierri (2020)</w:t>
      </w:r>
      <w:r w:rsidR="00ED1BC6" w:rsidRPr="003A115E">
        <w:rPr>
          <w:rFonts w:cs="Arial"/>
          <w:lang w:val="es-ES"/>
        </w:rPr>
        <w:t xml:space="preserve">, Iruñela </w:t>
      </w:r>
      <w:r w:rsidR="00ED1BC6" w:rsidRPr="003A115E">
        <w:rPr>
          <w:rFonts w:cs="Arial"/>
          <w:lang w:val="es-ES"/>
        </w:rPr>
        <w:lastRenderedPageBreak/>
        <w:t>(2020) y Lacar / Lakar (2020)</w:t>
      </w:r>
      <w:r w:rsidR="2C7397AF" w:rsidRPr="003A115E">
        <w:rPr>
          <w:rFonts w:cs="Arial"/>
          <w:lang w:val="es-ES"/>
        </w:rPr>
        <w:t xml:space="preserve"> en Valle de Yerri / Deierri; </w:t>
      </w:r>
      <w:r w:rsidR="00367BDF" w:rsidRPr="003A115E">
        <w:rPr>
          <w:rFonts w:cs="Arial"/>
          <w:lang w:val="es-ES"/>
        </w:rPr>
        <w:t>Galdeano (2019),</w:t>
      </w:r>
      <w:r w:rsidR="004D2AF1" w:rsidRPr="003A115E">
        <w:rPr>
          <w:rFonts w:cs="Arial"/>
          <w:lang w:val="es-ES"/>
        </w:rPr>
        <w:t xml:space="preserve"> Larrión (</w:t>
      </w:r>
      <w:r w:rsidR="006B54AD" w:rsidRPr="003A115E">
        <w:rPr>
          <w:rFonts w:cs="Arial"/>
          <w:lang w:val="es-ES"/>
        </w:rPr>
        <w:t>2020), Muneta (2020) y Zubielqui(2020) en All</w:t>
      </w:r>
      <w:r w:rsidR="00EA6481" w:rsidRPr="003A115E">
        <w:rPr>
          <w:rFonts w:cs="Arial"/>
          <w:lang w:val="es-ES"/>
        </w:rPr>
        <w:t>ín</w:t>
      </w:r>
      <w:r w:rsidR="006B54AD" w:rsidRPr="003A115E">
        <w:rPr>
          <w:rFonts w:cs="Arial"/>
          <w:lang w:val="es-ES"/>
        </w:rPr>
        <w:t>;</w:t>
      </w:r>
      <w:r w:rsidR="00367BDF" w:rsidRPr="003A115E">
        <w:rPr>
          <w:rFonts w:cs="Arial"/>
          <w:lang w:val="es-ES"/>
        </w:rPr>
        <w:t xml:space="preserve"> </w:t>
      </w:r>
      <w:r w:rsidR="008B302E" w:rsidRPr="003A115E">
        <w:rPr>
          <w:rFonts w:cs="Arial"/>
          <w:lang w:val="es-ES"/>
        </w:rPr>
        <w:t xml:space="preserve">Azanza (2020), </w:t>
      </w:r>
      <w:r w:rsidR="00A9573C" w:rsidRPr="003A115E">
        <w:rPr>
          <w:rFonts w:cs="Arial"/>
          <w:lang w:val="es-ES"/>
        </w:rPr>
        <w:t>en Goñi:</w:t>
      </w:r>
      <w:r w:rsidR="004D2AF1" w:rsidRPr="003A115E">
        <w:rPr>
          <w:rFonts w:cs="Arial"/>
          <w:lang w:val="es-ES"/>
        </w:rPr>
        <w:t xml:space="preserve"> </w:t>
      </w:r>
      <w:r w:rsidR="000A73FF" w:rsidRPr="003A115E">
        <w:rPr>
          <w:rFonts w:cs="Arial"/>
          <w:lang w:val="es-ES"/>
        </w:rPr>
        <w:t>Arguiñano (2020)</w:t>
      </w:r>
      <w:r w:rsidR="005A4C9D" w:rsidRPr="003A115E">
        <w:rPr>
          <w:rFonts w:cs="Arial"/>
          <w:lang w:val="es-ES"/>
        </w:rPr>
        <w:t xml:space="preserve"> e </w:t>
      </w:r>
      <w:r w:rsidR="000A73FF" w:rsidRPr="003A115E">
        <w:rPr>
          <w:rFonts w:cs="Arial"/>
          <w:lang w:val="es-ES"/>
        </w:rPr>
        <w:t xml:space="preserve">Iturgoyen (2017) de </w:t>
      </w:r>
      <w:r w:rsidR="00191F92" w:rsidRPr="003A115E">
        <w:rPr>
          <w:rFonts w:cs="Arial"/>
          <w:lang w:val="es-ES"/>
        </w:rPr>
        <w:t xml:space="preserve">Guesálaz / Gesalatz ; </w:t>
      </w:r>
      <w:r w:rsidR="00FA5C22" w:rsidRPr="003A115E">
        <w:rPr>
          <w:rFonts w:cs="Arial"/>
          <w:lang w:val="es-ES"/>
        </w:rPr>
        <w:t xml:space="preserve">Salinas de Ibargoiti / Getze Ibargoiti (2020) de Ibargoiti ; </w:t>
      </w:r>
      <w:r w:rsidR="004D2AF1" w:rsidRPr="003A115E">
        <w:rPr>
          <w:rFonts w:cs="Arial"/>
          <w:lang w:val="es-ES"/>
        </w:rPr>
        <w:t>y también</w:t>
      </w:r>
      <w:r w:rsidR="2C7397AF" w:rsidRPr="003A115E">
        <w:rPr>
          <w:rFonts w:cs="Arial"/>
          <w:lang w:val="es-ES"/>
        </w:rPr>
        <w:t xml:space="preserve"> Inbuluzketa (201</w:t>
      </w:r>
      <w:r w:rsidR="00CC2C7D" w:rsidRPr="003A115E">
        <w:rPr>
          <w:rFonts w:cs="Arial"/>
          <w:lang w:val="es-ES"/>
        </w:rPr>
        <w:t>9)</w:t>
      </w:r>
      <w:r w:rsidR="2C7397AF" w:rsidRPr="003A115E">
        <w:rPr>
          <w:rFonts w:cs="Arial"/>
          <w:lang w:val="es-ES"/>
        </w:rPr>
        <w:t>, Lizarragabe</w:t>
      </w:r>
      <w:r w:rsidR="00B87AEF" w:rsidRPr="003A115E">
        <w:rPr>
          <w:rFonts w:cs="Arial"/>
          <w:lang w:val="es-ES"/>
        </w:rPr>
        <w:t>ngoa (2019</w:t>
      </w:r>
      <w:r w:rsidR="0000665E" w:rsidRPr="003A115E">
        <w:rPr>
          <w:rFonts w:cs="Arial"/>
          <w:lang w:val="es-ES"/>
        </w:rPr>
        <w:t>)</w:t>
      </w:r>
      <w:r w:rsidR="00B87AEF" w:rsidRPr="003A115E">
        <w:rPr>
          <w:rFonts w:cs="Arial"/>
          <w:lang w:val="es-ES"/>
        </w:rPr>
        <w:t xml:space="preserve">, </w:t>
      </w:r>
      <w:r w:rsidR="00261A21" w:rsidRPr="003A115E">
        <w:rPr>
          <w:rFonts w:cs="Arial"/>
          <w:lang w:val="es-ES"/>
        </w:rPr>
        <w:t>Torres (2020)</w:t>
      </w:r>
      <w:r w:rsidR="00537723" w:rsidRPr="003A115E">
        <w:rPr>
          <w:rFonts w:cs="Arial"/>
          <w:lang w:val="es-ES"/>
        </w:rPr>
        <w:t xml:space="preserve">, </w:t>
      </w:r>
      <w:r w:rsidR="00A9573C" w:rsidRPr="003A115E">
        <w:rPr>
          <w:rFonts w:cs="Arial"/>
          <w:lang w:val="es-ES"/>
        </w:rPr>
        <w:t>Güesa</w:t>
      </w:r>
      <w:r w:rsidR="00830069" w:rsidRPr="003A115E">
        <w:rPr>
          <w:rFonts w:cs="Arial"/>
          <w:lang w:val="es-ES"/>
        </w:rPr>
        <w:t xml:space="preserve"> </w:t>
      </w:r>
      <w:r w:rsidR="00A9573C" w:rsidRPr="003A115E">
        <w:rPr>
          <w:rFonts w:cs="Arial"/>
          <w:lang w:val="es-ES"/>
        </w:rPr>
        <w:t>/ Gorza</w:t>
      </w:r>
      <w:r w:rsidR="00830069" w:rsidRPr="003A115E">
        <w:rPr>
          <w:rFonts w:cs="Arial"/>
          <w:lang w:val="es-ES"/>
        </w:rPr>
        <w:t xml:space="preserve"> (2020)</w:t>
      </w:r>
      <w:r w:rsidR="00C304DF" w:rsidRPr="003A115E">
        <w:rPr>
          <w:rFonts w:cs="Arial"/>
          <w:lang w:val="es-ES"/>
        </w:rPr>
        <w:t xml:space="preserve">, </w:t>
      </w:r>
      <w:r w:rsidR="00ED1BC6" w:rsidRPr="003A115E">
        <w:rPr>
          <w:rFonts w:cs="Arial"/>
          <w:lang w:val="es-ES"/>
        </w:rPr>
        <w:t xml:space="preserve">y </w:t>
      </w:r>
      <w:r w:rsidR="00AA6D2B" w:rsidRPr="003A115E">
        <w:rPr>
          <w:rFonts w:cs="Arial"/>
          <w:lang w:val="es-ES"/>
        </w:rPr>
        <w:t>Larraintzar (2020)</w:t>
      </w:r>
      <w:r w:rsidR="00ED1BC6" w:rsidRPr="003A115E">
        <w:rPr>
          <w:rFonts w:cs="Arial"/>
          <w:lang w:val="es-ES"/>
        </w:rPr>
        <w:t>.</w:t>
      </w:r>
    </w:p>
    <w:p w14:paraId="04043162" w14:textId="782443DB" w:rsidR="00C84D07" w:rsidRPr="003A115E" w:rsidRDefault="006D7808" w:rsidP="31020D79">
      <w:pPr>
        <w:pStyle w:val="texto"/>
        <w:numPr>
          <w:ilvl w:val="0"/>
          <w:numId w:val="14"/>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lang w:val="es-ES"/>
        </w:rPr>
      </w:pPr>
      <w:r w:rsidRPr="003A115E">
        <w:rPr>
          <w:rFonts w:cs="Arial"/>
          <w:lang w:val="es-ES"/>
        </w:rPr>
        <w:t>Un total</w:t>
      </w:r>
      <w:r w:rsidR="00D136A0" w:rsidRPr="003A115E">
        <w:rPr>
          <w:rFonts w:cs="Arial"/>
          <w:lang w:val="es-ES"/>
        </w:rPr>
        <w:t xml:space="preserve"> </w:t>
      </w:r>
      <w:r w:rsidR="0047488F" w:rsidRPr="003A115E">
        <w:rPr>
          <w:rFonts w:cs="Arial"/>
          <w:lang w:val="es-ES"/>
        </w:rPr>
        <w:t xml:space="preserve">de tres </w:t>
      </w:r>
      <w:r w:rsidR="2C7397AF" w:rsidRPr="003A115E">
        <w:rPr>
          <w:rFonts w:cs="Arial"/>
          <w:lang w:val="es-ES"/>
        </w:rPr>
        <w:t xml:space="preserve">Mancomunidades: Mancomunidad del Norte de Navarra para la Gestión del Euskera (2018); así como la Mancomunidad de Servicios Bibliotecarios de Berragu y la Mancomunidad Deportiva Orreaga. Estas dos últimas no consta que hayan remitido </w:t>
      </w:r>
      <w:r w:rsidR="0000665E" w:rsidRPr="003A115E">
        <w:rPr>
          <w:rFonts w:cs="Arial"/>
          <w:lang w:val="es-ES"/>
        </w:rPr>
        <w:t xml:space="preserve">nunca </w:t>
      </w:r>
      <w:r w:rsidR="00B8552C" w:rsidRPr="003A115E">
        <w:rPr>
          <w:rFonts w:cs="Arial"/>
          <w:lang w:val="es-ES"/>
        </w:rPr>
        <w:t xml:space="preserve">la </w:t>
      </w:r>
      <w:r w:rsidR="2C7397AF" w:rsidRPr="003A115E">
        <w:rPr>
          <w:rFonts w:cs="Arial"/>
          <w:lang w:val="es-ES"/>
        </w:rPr>
        <w:t xml:space="preserve">cuenta general ni </w:t>
      </w:r>
      <w:r w:rsidR="00B8552C" w:rsidRPr="003A115E">
        <w:rPr>
          <w:rFonts w:cs="Arial"/>
          <w:lang w:val="es-ES"/>
        </w:rPr>
        <w:t xml:space="preserve">el </w:t>
      </w:r>
      <w:r w:rsidR="2C7397AF" w:rsidRPr="003A115E">
        <w:rPr>
          <w:rFonts w:cs="Arial"/>
          <w:lang w:val="es-ES"/>
        </w:rPr>
        <w:t xml:space="preserve">expediente de liquidación del presupuesto a la </w:t>
      </w:r>
      <w:r w:rsidR="00B8552C" w:rsidRPr="003A115E">
        <w:rPr>
          <w:rFonts w:cs="Arial"/>
          <w:lang w:val="es-ES"/>
        </w:rPr>
        <w:t>ACFN</w:t>
      </w:r>
      <w:r w:rsidR="2C7397AF" w:rsidRPr="003A115E">
        <w:rPr>
          <w:rFonts w:cs="Arial"/>
          <w:lang w:val="es-ES"/>
        </w:rPr>
        <w:t xml:space="preserve">. </w:t>
      </w:r>
    </w:p>
    <w:p w14:paraId="4F3E744B" w14:textId="21061001" w:rsidR="4233D0B5" w:rsidRPr="003A115E" w:rsidRDefault="4233D0B5" w:rsidP="062A5C0B">
      <w:pPr>
        <w:pStyle w:val="texto"/>
        <w:numPr>
          <w:ilvl w:val="0"/>
          <w:numId w:val="14"/>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rPr>
      </w:pPr>
      <w:r w:rsidRPr="003A115E">
        <w:rPr>
          <w:rFonts w:cs="Arial"/>
        </w:rPr>
        <w:t>Agrupaciones: Agrupación de Servicios Administrativos de los Municipios de Falces y Miranda de Arga</w:t>
      </w:r>
      <w:r w:rsidR="00EF4584" w:rsidRPr="003A115E">
        <w:rPr>
          <w:rFonts w:cs="Arial"/>
        </w:rPr>
        <w:t xml:space="preserve"> </w:t>
      </w:r>
      <w:r w:rsidR="00815CA1" w:rsidRPr="003A115E">
        <w:rPr>
          <w:rFonts w:cs="Arial"/>
        </w:rPr>
        <w:t>(2019)</w:t>
      </w:r>
      <w:r w:rsidRPr="003A115E">
        <w:rPr>
          <w:rFonts w:cs="Arial"/>
        </w:rPr>
        <w:t>.</w:t>
      </w:r>
    </w:p>
    <w:p w14:paraId="42A1532F" w14:textId="491BBB01" w:rsidR="002C651F" w:rsidRPr="003A115E" w:rsidRDefault="2C7397AF" w:rsidP="00543EBD">
      <w:pPr>
        <w:pStyle w:val="texto"/>
        <w:tabs>
          <w:tab w:val="clear" w:pos="2835"/>
          <w:tab w:val="center" w:pos="567"/>
        </w:tabs>
        <w:rPr>
          <w:rFonts w:cs="Arial"/>
          <w:lang w:val="es-ES"/>
        </w:rPr>
      </w:pPr>
      <w:r w:rsidRPr="003A115E">
        <w:rPr>
          <w:rFonts w:cs="Arial"/>
          <w:lang w:val="es-ES"/>
        </w:rPr>
        <w:t xml:space="preserve">En general, las entidades locales aprueban sus cuentas y las remiten a la </w:t>
      </w:r>
      <w:r w:rsidR="00793626" w:rsidRPr="003A115E">
        <w:rPr>
          <w:rFonts w:cs="Arial"/>
          <w:lang w:val="es-ES"/>
        </w:rPr>
        <w:t>ACFN</w:t>
      </w:r>
      <w:r w:rsidRPr="003A115E">
        <w:rPr>
          <w:rFonts w:cs="Arial"/>
          <w:lang w:val="es-ES"/>
        </w:rPr>
        <w:t>, pero en muchos casos existen demoras significativas con respecto a los plazos legales, lo que resta oportunidad y, por tanto</w:t>
      </w:r>
      <w:r w:rsidR="6D43019B" w:rsidRPr="003A115E">
        <w:rPr>
          <w:rFonts w:cs="Arial"/>
          <w:lang w:val="es-ES"/>
        </w:rPr>
        <w:t xml:space="preserve">, relevancia, a la información. </w:t>
      </w:r>
      <w:r w:rsidRPr="003A115E">
        <w:rPr>
          <w:rFonts w:cs="Arial"/>
          <w:lang w:val="es-ES"/>
        </w:rPr>
        <w:t xml:space="preserve">En este sentido, </w:t>
      </w:r>
      <w:r w:rsidR="6D43019B" w:rsidRPr="003A115E">
        <w:rPr>
          <w:rFonts w:cs="Arial"/>
          <w:lang w:val="es-ES"/>
        </w:rPr>
        <w:t>actualmente se está aplicando la retención por falta de remisión de información contable</w:t>
      </w:r>
      <w:r w:rsidR="00A32317" w:rsidRPr="003A115E">
        <w:rPr>
          <w:rFonts w:cs="Arial"/>
          <w:lang w:val="es-ES"/>
        </w:rPr>
        <w:t xml:space="preserve"> del segundo año anterior al del reparto</w:t>
      </w:r>
      <w:r w:rsidR="002766C3" w:rsidRPr="003A115E">
        <w:rPr>
          <w:rStyle w:val="Refdenotaalpie"/>
          <w:rFonts w:cs="Arial"/>
          <w:lang w:val="es-ES"/>
        </w:rPr>
        <w:footnoteReference w:id="13"/>
      </w:r>
      <w:r w:rsidR="00CA5787" w:rsidRPr="003A115E">
        <w:rPr>
          <w:rFonts w:cs="Arial"/>
          <w:lang w:val="es-ES"/>
        </w:rPr>
        <w:t>,</w:t>
      </w:r>
      <w:r w:rsidR="6D43019B" w:rsidRPr="003A115E">
        <w:rPr>
          <w:rFonts w:cs="Arial"/>
          <w:lang w:val="es-ES"/>
        </w:rPr>
        <w:t xml:space="preserve"> </w:t>
      </w:r>
      <w:r w:rsidR="1509D284" w:rsidRPr="003A115E">
        <w:rPr>
          <w:rFonts w:cs="Arial"/>
          <w:lang w:val="es-ES"/>
        </w:rPr>
        <w:t xml:space="preserve">recogida </w:t>
      </w:r>
      <w:r w:rsidR="6D43019B" w:rsidRPr="003A115E">
        <w:rPr>
          <w:rFonts w:cs="Arial"/>
          <w:lang w:val="es-ES"/>
        </w:rPr>
        <w:t xml:space="preserve">en </w:t>
      </w:r>
      <w:r w:rsidR="001B66A8" w:rsidRPr="003A115E">
        <w:rPr>
          <w:rFonts w:cs="Arial"/>
          <w:lang w:val="es-ES"/>
        </w:rPr>
        <w:t xml:space="preserve">la </w:t>
      </w:r>
      <w:r w:rsidR="00FF2021" w:rsidRPr="003A115E">
        <w:rPr>
          <w:lang w:val="es-ES"/>
        </w:rPr>
        <w:t>LFPTC</w:t>
      </w:r>
      <w:r w:rsidR="00CA5787" w:rsidRPr="003A115E">
        <w:rPr>
          <w:lang w:val="es-ES"/>
        </w:rPr>
        <w:t>,</w:t>
      </w:r>
      <w:r w:rsidR="3D12350B" w:rsidRPr="003A115E">
        <w:rPr>
          <w:lang w:val="es-ES"/>
        </w:rPr>
        <w:t xml:space="preserve"> del </w:t>
      </w:r>
      <w:r w:rsidR="00793626" w:rsidRPr="003A115E">
        <w:rPr>
          <w:lang w:val="es-ES"/>
        </w:rPr>
        <w:t>diez</w:t>
      </w:r>
      <w:r w:rsidR="3D12350B" w:rsidRPr="003A115E">
        <w:rPr>
          <w:lang w:val="es-ES"/>
        </w:rPr>
        <w:t xml:space="preserve"> por ciento de la cantidad que corresponde a </w:t>
      </w:r>
      <w:r w:rsidR="00CA5787" w:rsidRPr="003A115E">
        <w:rPr>
          <w:lang w:val="es-ES"/>
        </w:rPr>
        <w:t>la</w:t>
      </w:r>
      <w:r w:rsidR="3D12350B" w:rsidRPr="003A115E">
        <w:rPr>
          <w:lang w:val="es-ES"/>
        </w:rPr>
        <w:t xml:space="preserve"> entidad local</w:t>
      </w:r>
      <w:r w:rsidR="72BE54C7" w:rsidRPr="003A115E">
        <w:rPr>
          <w:lang w:val="es-ES"/>
        </w:rPr>
        <w:t>,</w:t>
      </w:r>
      <w:r w:rsidR="3D12350B" w:rsidRPr="003A115E">
        <w:rPr>
          <w:lang w:val="es-ES"/>
        </w:rPr>
        <w:t xml:space="preserve"> en la distribución del FTC</w:t>
      </w:r>
      <w:r w:rsidR="001B66A8" w:rsidRPr="003A115E">
        <w:rPr>
          <w:lang w:val="es-ES"/>
        </w:rPr>
        <w:t>.</w:t>
      </w:r>
      <w:r w:rsidR="6D43019B" w:rsidRPr="003A115E">
        <w:rPr>
          <w:rFonts w:cs="Arial"/>
          <w:lang w:val="es-ES"/>
        </w:rPr>
        <w:t xml:space="preserve"> No obstante, esta </w:t>
      </w:r>
      <w:r w:rsidR="048DD1F2" w:rsidRPr="003A115E">
        <w:rPr>
          <w:rFonts w:cs="Arial"/>
          <w:lang w:val="es-ES"/>
        </w:rPr>
        <w:t>medida únicamente</w:t>
      </w:r>
      <w:r w:rsidR="48222099" w:rsidRPr="003A115E">
        <w:rPr>
          <w:rFonts w:cs="Arial"/>
          <w:lang w:val="es-ES"/>
        </w:rPr>
        <w:t xml:space="preserve"> se aplica </w:t>
      </w:r>
      <w:r w:rsidR="007F3E80" w:rsidRPr="003A115E">
        <w:rPr>
          <w:rFonts w:cs="Arial"/>
          <w:lang w:val="es-ES"/>
        </w:rPr>
        <w:t xml:space="preserve">a </w:t>
      </w:r>
      <w:r w:rsidR="6D43019B" w:rsidRPr="003A115E">
        <w:rPr>
          <w:rFonts w:cs="Arial"/>
          <w:lang w:val="es-ES"/>
        </w:rPr>
        <w:t>aquellas entidades locales que no presentan cuenta general ni liquidación del presupuesto</w:t>
      </w:r>
      <w:r w:rsidR="003145F1" w:rsidRPr="003A115E">
        <w:rPr>
          <w:rFonts w:cs="Arial"/>
          <w:lang w:val="es-ES"/>
        </w:rPr>
        <w:t xml:space="preserve"> 2022</w:t>
      </w:r>
      <w:r w:rsidR="6A28BBB8" w:rsidRPr="003A115E">
        <w:rPr>
          <w:rFonts w:cs="Arial"/>
          <w:lang w:val="es-ES"/>
        </w:rPr>
        <w:t>.</w:t>
      </w:r>
      <w:r w:rsidR="00FD6A0B" w:rsidRPr="003A115E">
        <w:rPr>
          <w:rFonts w:cs="Arial"/>
          <w:lang w:val="es-ES"/>
        </w:rPr>
        <w:t xml:space="preserve"> </w:t>
      </w:r>
    </w:p>
    <w:p w14:paraId="75B0F91A" w14:textId="49B38A48" w:rsidR="00796089" w:rsidRPr="003A115E" w:rsidRDefault="00796089" w:rsidP="0027211B">
      <w:pPr>
        <w:pStyle w:val="texto"/>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240"/>
        <w:rPr>
          <w:rFonts w:cs="Arial"/>
        </w:rPr>
      </w:pPr>
      <w:r w:rsidRPr="003A115E">
        <w:rPr>
          <w:rFonts w:cs="Arial"/>
        </w:rPr>
        <w:t>La tabla siguiente muestra las retenciones practicadas del FTC:</w:t>
      </w:r>
    </w:p>
    <w:tbl>
      <w:tblPr>
        <w:tblW w:w="5000" w:type="pct"/>
        <w:tblCellMar>
          <w:left w:w="70" w:type="dxa"/>
          <w:right w:w="70" w:type="dxa"/>
        </w:tblCellMar>
        <w:tblLook w:val="04A0" w:firstRow="1" w:lastRow="0" w:firstColumn="1" w:lastColumn="0" w:noHBand="0" w:noVBand="1"/>
      </w:tblPr>
      <w:tblGrid>
        <w:gridCol w:w="4396"/>
        <w:gridCol w:w="2195"/>
        <w:gridCol w:w="478"/>
        <w:gridCol w:w="1719"/>
      </w:tblGrid>
      <w:tr w:rsidR="00EC4170" w:rsidRPr="003A115E" w14:paraId="4824D88B" w14:textId="77777777" w:rsidTr="000E266F">
        <w:trPr>
          <w:trHeight w:val="300"/>
        </w:trPr>
        <w:tc>
          <w:tcPr>
            <w:tcW w:w="2501" w:type="pct"/>
            <w:tcBorders>
              <w:top w:val="nil"/>
              <w:left w:val="nil"/>
              <w:bottom w:val="single" w:sz="4" w:space="0" w:color="auto"/>
              <w:right w:val="nil"/>
            </w:tcBorders>
            <w:shd w:val="clear" w:color="auto" w:fill="auto"/>
            <w:noWrap/>
            <w:vAlign w:val="bottom"/>
            <w:hideMark/>
          </w:tcPr>
          <w:p w14:paraId="08C21F73" w14:textId="77777777" w:rsidR="00EC4170" w:rsidRPr="003A115E" w:rsidRDefault="00EC4170">
            <w:pPr>
              <w:rPr>
                <w:rFonts w:ascii="Calibri" w:hAnsi="Calibri" w:cs="Calibri"/>
                <w:sz w:val="22"/>
                <w:szCs w:val="22"/>
              </w:rPr>
            </w:pPr>
            <w:r w:rsidRPr="003A115E">
              <w:rPr>
                <w:rFonts w:ascii="Calibri" w:hAnsi="Calibri" w:cs="Calibri"/>
                <w:sz w:val="22"/>
                <w:szCs w:val="22"/>
              </w:rPr>
              <w:t> </w:t>
            </w:r>
          </w:p>
        </w:tc>
        <w:tc>
          <w:tcPr>
            <w:tcW w:w="1521" w:type="pct"/>
            <w:gridSpan w:val="2"/>
            <w:tcBorders>
              <w:top w:val="nil"/>
              <w:left w:val="nil"/>
              <w:bottom w:val="single" w:sz="4" w:space="0" w:color="auto"/>
              <w:right w:val="nil"/>
            </w:tcBorders>
            <w:shd w:val="clear" w:color="auto" w:fill="auto"/>
            <w:noWrap/>
            <w:vAlign w:val="bottom"/>
            <w:hideMark/>
          </w:tcPr>
          <w:p w14:paraId="1A3D278A" w14:textId="77777777" w:rsidR="00EC4170" w:rsidRPr="003A115E" w:rsidRDefault="00EC4170">
            <w:pPr>
              <w:rPr>
                <w:rFonts w:ascii="Calibri" w:hAnsi="Calibri" w:cs="Calibri"/>
                <w:sz w:val="22"/>
                <w:szCs w:val="22"/>
              </w:rPr>
            </w:pPr>
            <w:r w:rsidRPr="003A115E">
              <w:rPr>
                <w:rFonts w:ascii="Calibri" w:hAnsi="Calibri" w:cs="Calibri"/>
                <w:sz w:val="22"/>
                <w:szCs w:val="22"/>
              </w:rPr>
              <w:t> </w:t>
            </w:r>
          </w:p>
        </w:tc>
        <w:tc>
          <w:tcPr>
            <w:tcW w:w="978" w:type="pct"/>
            <w:tcBorders>
              <w:top w:val="nil"/>
              <w:left w:val="nil"/>
              <w:bottom w:val="single" w:sz="4" w:space="0" w:color="auto"/>
              <w:right w:val="nil"/>
            </w:tcBorders>
            <w:shd w:val="clear" w:color="auto" w:fill="auto"/>
            <w:noWrap/>
            <w:vAlign w:val="center"/>
            <w:hideMark/>
          </w:tcPr>
          <w:p w14:paraId="3722ABC8" w14:textId="68F88842" w:rsidR="00EC4170" w:rsidRPr="003A115E" w:rsidRDefault="00EC4170" w:rsidP="00543EBD">
            <w:pPr>
              <w:jc w:val="right"/>
              <w:rPr>
                <w:rFonts w:ascii="Arial Narrow" w:hAnsi="Arial Narrow" w:cs="Calibri"/>
                <w:sz w:val="18"/>
                <w:szCs w:val="18"/>
              </w:rPr>
            </w:pPr>
            <w:r w:rsidRPr="003A115E">
              <w:rPr>
                <w:rFonts w:ascii="Arial Narrow" w:hAnsi="Arial Narrow" w:cs="Calibri"/>
                <w:sz w:val="18"/>
                <w:szCs w:val="18"/>
              </w:rPr>
              <w:t>(</w:t>
            </w:r>
            <w:r w:rsidR="00543EBD">
              <w:rPr>
                <w:rFonts w:ascii="Arial Narrow" w:hAnsi="Arial Narrow" w:cs="Calibri"/>
                <w:sz w:val="18"/>
                <w:szCs w:val="18"/>
              </w:rPr>
              <w:t>miles</w:t>
            </w:r>
            <w:r w:rsidRPr="003A115E">
              <w:rPr>
                <w:rFonts w:ascii="Arial Narrow" w:hAnsi="Arial Narrow" w:cs="Calibri"/>
                <w:sz w:val="18"/>
                <w:szCs w:val="18"/>
              </w:rPr>
              <w:t>)</w:t>
            </w:r>
          </w:p>
        </w:tc>
      </w:tr>
      <w:tr w:rsidR="00EC4170" w:rsidRPr="003A115E" w14:paraId="1BCF6A95" w14:textId="77777777" w:rsidTr="000E266F">
        <w:trPr>
          <w:trHeight w:val="480"/>
        </w:trPr>
        <w:tc>
          <w:tcPr>
            <w:tcW w:w="2501" w:type="pct"/>
            <w:tcBorders>
              <w:top w:val="nil"/>
              <w:left w:val="nil"/>
              <w:bottom w:val="single" w:sz="4" w:space="0" w:color="auto"/>
              <w:right w:val="nil"/>
            </w:tcBorders>
            <w:shd w:val="clear" w:color="auto" w:fill="FABF8F" w:themeFill="accent6" w:themeFillTint="99"/>
            <w:vAlign w:val="center"/>
            <w:hideMark/>
          </w:tcPr>
          <w:p w14:paraId="489431E0" w14:textId="77777777" w:rsidR="00EC4170" w:rsidRPr="003A115E" w:rsidRDefault="00EC4170">
            <w:pPr>
              <w:rPr>
                <w:rFonts w:ascii="Arial" w:hAnsi="Arial" w:cs="Arial"/>
                <w:sz w:val="18"/>
                <w:szCs w:val="18"/>
              </w:rPr>
            </w:pPr>
            <w:r w:rsidRPr="003A115E">
              <w:rPr>
                <w:rFonts w:ascii="Arial" w:hAnsi="Arial" w:cs="Arial"/>
                <w:sz w:val="18"/>
                <w:szCs w:val="18"/>
              </w:rPr>
              <w:t>Fecha</w:t>
            </w:r>
          </w:p>
        </w:tc>
        <w:tc>
          <w:tcPr>
            <w:tcW w:w="1249" w:type="pct"/>
            <w:tcBorders>
              <w:top w:val="nil"/>
              <w:left w:val="nil"/>
              <w:bottom w:val="single" w:sz="4" w:space="0" w:color="auto"/>
              <w:right w:val="nil"/>
            </w:tcBorders>
            <w:shd w:val="clear" w:color="auto" w:fill="FABF8F" w:themeFill="accent6" w:themeFillTint="99"/>
            <w:vAlign w:val="center"/>
            <w:hideMark/>
          </w:tcPr>
          <w:p w14:paraId="784A2EFF" w14:textId="77777777" w:rsidR="00EC4170" w:rsidRPr="003A115E" w:rsidRDefault="00EC4170" w:rsidP="000E266F">
            <w:pPr>
              <w:jc w:val="right"/>
              <w:rPr>
                <w:rFonts w:ascii="Arial" w:hAnsi="Arial" w:cs="Arial"/>
                <w:sz w:val="18"/>
                <w:szCs w:val="18"/>
              </w:rPr>
            </w:pPr>
            <w:r w:rsidRPr="003A115E">
              <w:rPr>
                <w:rFonts w:ascii="Arial" w:hAnsi="Arial" w:cs="Arial"/>
                <w:sz w:val="18"/>
                <w:szCs w:val="18"/>
              </w:rPr>
              <w:t>Nº de entidades</w:t>
            </w:r>
          </w:p>
        </w:tc>
        <w:tc>
          <w:tcPr>
            <w:tcW w:w="1249" w:type="pct"/>
            <w:gridSpan w:val="2"/>
            <w:tcBorders>
              <w:top w:val="nil"/>
              <w:left w:val="nil"/>
              <w:bottom w:val="single" w:sz="4" w:space="0" w:color="auto"/>
              <w:right w:val="nil"/>
            </w:tcBorders>
            <w:shd w:val="clear" w:color="auto" w:fill="FABF8F" w:themeFill="accent6" w:themeFillTint="99"/>
            <w:vAlign w:val="center"/>
            <w:hideMark/>
          </w:tcPr>
          <w:p w14:paraId="50F9D78F" w14:textId="77777777" w:rsidR="00EC4170" w:rsidRPr="003A115E" w:rsidRDefault="00EC4170" w:rsidP="000E266F">
            <w:pPr>
              <w:jc w:val="right"/>
              <w:rPr>
                <w:rFonts w:ascii="Arial" w:hAnsi="Arial" w:cs="Arial"/>
                <w:sz w:val="18"/>
                <w:szCs w:val="18"/>
              </w:rPr>
            </w:pPr>
            <w:r w:rsidRPr="003A115E">
              <w:rPr>
                <w:rFonts w:ascii="Arial" w:hAnsi="Arial" w:cs="Arial"/>
                <w:sz w:val="18"/>
                <w:szCs w:val="18"/>
              </w:rPr>
              <w:t>Importe retenido</w:t>
            </w:r>
          </w:p>
        </w:tc>
      </w:tr>
      <w:tr w:rsidR="00EC4170" w:rsidRPr="003A115E" w14:paraId="24FD99DC" w14:textId="77777777" w:rsidTr="000E266F">
        <w:trPr>
          <w:trHeight w:val="300"/>
        </w:trPr>
        <w:tc>
          <w:tcPr>
            <w:tcW w:w="2501" w:type="pct"/>
            <w:tcBorders>
              <w:top w:val="nil"/>
              <w:left w:val="nil"/>
              <w:bottom w:val="single" w:sz="4" w:space="0" w:color="auto"/>
              <w:right w:val="nil"/>
            </w:tcBorders>
            <w:shd w:val="clear" w:color="auto" w:fill="auto"/>
            <w:noWrap/>
            <w:vAlign w:val="center"/>
            <w:hideMark/>
          </w:tcPr>
          <w:p w14:paraId="7F38A39A" w14:textId="79FC6971" w:rsidR="00EC4170" w:rsidRPr="003A115E" w:rsidRDefault="00EC4170" w:rsidP="00B45BA3">
            <w:pPr>
              <w:rPr>
                <w:rFonts w:ascii="Arial Narrow" w:hAnsi="Arial Narrow" w:cs="Calibri"/>
                <w:sz w:val="18"/>
                <w:szCs w:val="18"/>
              </w:rPr>
            </w:pPr>
            <w:r w:rsidRPr="003A115E">
              <w:rPr>
                <w:rFonts w:ascii="Arial Narrow" w:hAnsi="Arial Narrow" w:cs="Calibri"/>
                <w:sz w:val="18"/>
                <w:szCs w:val="18"/>
              </w:rPr>
              <w:t>Retención</w:t>
            </w:r>
            <w:r w:rsidR="00B45BA3" w:rsidRPr="003A115E">
              <w:rPr>
                <w:rFonts w:ascii="Arial Narrow" w:hAnsi="Arial Narrow" w:cs="Calibri"/>
                <w:sz w:val="18"/>
                <w:szCs w:val="18"/>
              </w:rPr>
              <w:t xml:space="preserve"> </w:t>
            </w:r>
            <w:r w:rsidRPr="003A115E">
              <w:rPr>
                <w:rFonts w:ascii="Arial Narrow" w:hAnsi="Arial Narrow" w:cs="Calibri"/>
                <w:sz w:val="18"/>
                <w:szCs w:val="18"/>
              </w:rPr>
              <w:t>abono 1</w:t>
            </w:r>
            <w:r w:rsidR="00B45BA3" w:rsidRPr="003A115E">
              <w:rPr>
                <w:rFonts w:ascii="Arial Narrow" w:hAnsi="Arial Narrow" w:cs="Calibri"/>
                <w:sz w:val="18"/>
                <w:szCs w:val="18"/>
              </w:rPr>
              <w:t>º de 2024</w:t>
            </w:r>
          </w:p>
        </w:tc>
        <w:tc>
          <w:tcPr>
            <w:tcW w:w="1249" w:type="pct"/>
            <w:tcBorders>
              <w:top w:val="nil"/>
              <w:left w:val="nil"/>
              <w:bottom w:val="single" w:sz="4" w:space="0" w:color="auto"/>
              <w:right w:val="nil"/>
            </w:tcBorders>
            <w:shd w:val="clear" w:color="auto" w:fill="auto"/>
            <w:noWrap/>
            <w:vAlign w:val="center"/>
            <w:hideMark/>
          </w:tcPr>
          <w:p w14:paraId="3AE9441B" w14:textId="77777777" w:rsidR="00EC4170" w:rsidRPr="003A115E" w:rsidRDefault="00EC4170">
            <w:pPr>
              <w:jc w:val="right"/>
              <w:rPr>
                <w:rFonts w:ascii="Arial Narrow" w:hAnsi="Arial Narrow" w:cs="Calibri"/>
                <w:sz w:val="18"/>
                <w:szCs w:val="18"/>
              </w:rPr>
            </w:pPr>
            <w:r w:rsidRPr="003A115E">
              <w:rPr>
                <w:rFonts w:ascii="Arial Narrow" w:hAnsi="Arial Narrow" w:cs="Calibri"/>
                <w:sz w:val="18"/>
                <w:szCs w:val="18"/>
              </w:rPr>
              <w:t>133</w:t>
            </w:r>
          </w:p>
        </w:tc>
        <w:tc>
          <w:tcPr>
            <w:tcW w:w="1249" w:type="pct"/>
            <w:gridSpan w:val="2"/>
            <w:tcBorders>
              <w:top w:val="nil"/>
              <w:left w:val="nil"/>
              <w:bottom w:val="single" w:sz="4" w:space="0" w:color="auto"/>
              <w:right w:val="nil"/>
            </w:tcBorders>
            <w:shd w:val="clear" w:color="auto" w:fill="auto"/>
            <w:noWrap/>
            <w:vAlign w:val="center"/>
            <w:hideMark/>
          </w:tcPr>
          <w:p w14:paraId="21E68EB6" w14:textId="77777777" w:rsidR="00EC4170" w:rsidRPr="003A115E" w:rsidRDefault="00EC4170">
            <w:pPr>
              <w:jc w:val="right"/>
              <w:rPr>
                <w:rFonts w:ascii="Arial Narrow" w:hAnsi="Arial Narrow" w:cs="Calibri"/>
                <w:sz w:val="18"/>
                <w:szCs w:val="18"/>
              </w:rPr>
            </w:pPr>
            <w:r w:rsidRPr="003A115E">
              <w:rPr>
                <w:rFonts w:ascii="Arial Narrow" w:hAnsi="Arial Narrow" w:cs="Calibri"/>
                <w:sz w:val="18"/>
                <w:szCs w:val="18"/>
              </w:rPr>
              <w:t xml:space="preserve">                1.011 </w:t>
            </w:r>
          </w:p>
        </w:tc>
      </w:tr>
      <w:tr w:rsidR="00EC4170" w:rsidRPr="003A115E" w14:paraId="632FF358" w14:textId="77777777" w:rsidTr="000E266F">
        <w:trPr>
          <w:trHeight w:val="300"/>
        </w:trPr>
        <w:tc>
          <w:tcPr>
            <w:tcW w:w="2501" w:type="pct"/>
            <w:tcBorders>
              <w:top w:val="nil"/>
              <w:left w:val="nil"/>
              <w:bottom w:val="single" w:sz="4" w:space="0" w:color="auto"/>
              <w:right w:val="nil"/>
            </w:tcBorders>
            <w:shd w:val="clear" w:color="auto" w:fill="auto"/>
            <w:noWrap/>
            <w:vAlign w:val="center"/>
            <w:hideMark/>
          </w:tcPr>
          <w:p w14:paraId="30045A2D" w14:textId="48EE7DDD" w:rsidR="00EC4170" w:rsidRPr="003A115E" w:rsidRDefault="00EC4170" w:rsidP="00C51174">
            <w:pPr>
              <w:rPr>
                <w:rFonts w:ascii="Arial Narrow" w:hAnsi="Arial Narrow" w:cs="Calibri"/>
                <w:sz w:val="18"/>
                <w:szCs w:val="18"/>
              </w:rPr>
            </w:pPr>
            <w:r w:rsidRPr="003A115E">
              <w:rPr>
                <w:rFonts w:ascii="Arial Narrow" w:hAnsi="Arial Narrow" w:cs="Calibri"/>
                <w:sz w:val="18"/>
                <w:szCs w:val="18"/>
              </w:rPr>
              <w:t>Retención abono 2</w:t>
            </w:r>
            <w:r w:rsidR="00C51174" w:rsidRPr="003A115E">
              <w:rPr>
                <w:rFonts w:ascii="Arial Narrow" w:hAnsi="Arial Narrow" w:cs="Calibri"/>
                <w:sz w:val="18"/>
                <w:szCs w:val="18"/>
              </w:rPr>
              <w:t>º</w:t>
            </w:r>
            <w:r w:rsidR="00B45BA3" w:rsidRPr="003A115E">
              <w:rPr>
                <w:rFonts w:ascii="Arial Narrow" w:hAnsi="Arial Narrow" w:cs="Calibri"/>
                <w:sz w:val="18"/>
                <w:szCs w:val="18"/>
              </w:rPr>
              <w:t xml:space="preserve"> de</w:t>
            </w:r>
            <w:r w:rsidR="00C51174" w:rsidRPr="003A115E">
              <w:rPr>
                <w:rFonts w:ascii="Arial Narrow" w:hAnsi="Arial Narrow" w:cs="Calibri"/>
                <w:sz w:val="18"/>
                <w:szCs w:val="18"/>
              </w:rPr>
              <w:t xml:space="preserve"> 2024</w:t>
            </w:r>
          </w:p>
        </w:tc>
        <w:tc>
          <w:tcPr>
            <w:tcW w:w="1249" w:type="pct"/>
            <w:tcBorders>
              <w:top w:val="nil"/>
              <w:left w:val="nil"/>
              <w:bottom w:val="single" w:sz="4" w:space="0" w:color="auto"/>
              <w:right w:val="nil"/>
            </w:tcBorders>
            <w:shd w:val="clear" w:color="auto" w:fill="auto"/>
            <w:noWrap/>
            <w:vAlign w:val="center"/>
            <w:hideMark/>
          </w:tcPr>
          <w:p w14:paraId="32042E3D" w14:textId="77777777" w:rsidR="00EC4170" w:rsidRPr="003A115E" w:rsidRDefault="00EC4170">
            <w:pPr>
              <w:jc w:val="right"/>
              <w:rPr>
                <w:rFonts w:ascii="Arial Narrow" w:hAnsi="Arial Narrow" w:cs="Calibri"/>
                <w:sz w:val="18"/>
                <w:szCs w:val="18"/>
              </w:rPr>
            </w:pPr>
            <w:r w:rsidRPr="003A115E">
              <w:rPr>
                <w:rFonts w:ascii="Arial Narrow" w:hAnsi="Arial Narrow" w:cs="Calibri"/>
                <w:sz w:val="18"/>
                <w:szCs w:val="18"/>
              </w:rPr>
              <w:t>53</w:t>
            </w:r>
          </w:p>
        </w:tc>
        <w:tc>
          <w:tcPr>
            <w:tcW w:w="1249" w:type="pct"/>
            <w:gridSpan w:val="2"/>
            <w:tcBorders>
              <w:top w:val="nil"/>
              <w:left w:val="nil"/>
              <w:bottom w:val="single" w:sz="4" w:space="0" w:color="auto"/>
              <w:right w:val="nil"/>
            </w:tcBorders>
            <w:shd w:val="clear" w:color="auto" w:fill="auto"/>
            <w:noWrap/>
            <w:vAlign w:val="center"/>
            <w:hideMark/>
          </w:tcPr>
          <w:p w14:paraId="656EB559" w14:textId="77777777" w:rsidR="00EC4170" w:rsidRPr="003A115E" w:rsidRDefault="00EC4170">
            <w:pPr>
              <w:jc w:val="right"/>
              <w:rPr>
                <w:rFonts w:ascii="Arial Narrow" w:hAnsi="Arial Narrow" w:cs="Calibri"/>
                <w:sz w:val="18"/>
                <w:szCs w:val="18"/>
              </w:rPr>
            </w:pPr>
            <w:r w:rsidRPr="003A115E">
              <w:rPr>
                <w:rFonts w:ascii="Arial Narrow" w:hAnsi="Arial Narrow" w:cs="Calibri"/>
                <w:sz w:val="18"/>
                <w:szCs w:val="18"/>
              </w:rPr>
              <w:t xml:space="preserve">                    89 </w:t>
            </w:r>
          </w:p>
        </w:tc>
      </w:tr>
      <w:tr w:rsidR="00EC4170" w:rsidRPr="003A115E" w14:paraId="00394D53" w14:textId="77777777" w:rsidTr="000E266F">
        <w:trPr>
          <w:trHeight w:val="300"/>
        </w:trPr>
        <w:tc>
          <w:tcPr>
            <w:tcW w:w="2501" w:type="pct"/>
            <w:tcBorders>
              <w:top w:val="nil"/>
              <w:left w:val="nil"/>
              <w:bottom w:val="single" w:sz="4" w:space="0" w:color="auto"/>
              <w:right w:val="nil"/>
            </w:tcBorders>
            <w:shd w:val="clear" w:color="auto" w:fill="auto"/>
            <w:noWrap/>
            <w:vAlign w:val="center"/>
            <w:hideMark/>
          </w:tcPr>
          <w:p w14:paraId="419752E8" w14:textId="205D9CD2" w:rsidR="00EC4170" w:rsidRPr="003A115E" w:rsidRDefault="00EC4170" w:rsidP="00E32B7E">
            <w:pPr>
              <w:rPr>
                <w:rFonts w:ascii="Arial Narrow" w:hAnsi="Arial Narrow" w:cs="Calibri"/>
                <w:b/>
                <w:bCs/>
                <w:i/>
                <w:iCs/>
                <w:sz w:val="18"/>
                <w:szCs w:val="18"/>
              </w:rPr>
            </w:pPr>
            <w:r w:rsidRPr="003A115E">
              <w:rPr>
                <w:rFonts w:ascii="Arial Narrow" w:hAnsi="Arial Narrow" w:cs="Calibri"/>
                <w:b/>
                <w:bCs/>
                <w:i/>
                <w:iCs/>
                <w:sz w:val="18"/>
                <w:szCs w:val="18"/>
              </w:rPr>
              <w:t xml:space="preserve">Total retención </w:t>
            </w:r>
            <w:r w:rsidR="00E32B7E" w:rsidRPr="003A115E">
              <w:rPr>
                <w:rFonts w:ascii="Arial Narrow" w:hAnsi="Arial Narrow" w:cs="Calibri"/>
                <w:b/>
                <w:bCs/>
                <w:i/>
                <w:iCs/>
                <w:sz w:val="18"/>
                <w:szCs w:val="18"/>
              </w:rPr>
              <w:t>2024 por falta de remisión expedientes 2022</w:t>
            </w:r>
          </w:p>
        </w:tc>
        <w:tc>
          <w:tcPr>
            <w:tcW w:w="1249" w:type="pct"/>
            <w:tcBorders>
              <w:top w:val="nil"/>
              <w:left w:val="nil"/>
              <w:bottom w:val="single" w:sz="4" w:space="0" w:color="auto"/>
              <w:right w:val="nil"/>
            </w:tcBorders>
            <w:shd w:val="clear" w:color="auto" w:fill="auto"/>
            <w:noWrap/>
            <w:vAlign w:val="center"/>
            <w:hideMark/>
          </w:tcPr>
          <w:p w14:paraId="6554633F" w14:textId="77777777" w:rsidR="00EC4170" w:rsidRPr="003A115E" w:rsidRDefault="00EC4170">
            <w:pPr>
              <w:jc w:val="right"/>
              <w:rPr>
                <w:rFonts w:ascii="Arial Narrow" w:hAnsi="Arial Narrow" w:cs="Calibri"/>
                <w:b/>
                <w:bCs/>
                <w:i/>
                <w:iCs/>
                <w:sz w:val="18"/>
                <w:szCs w:val="18"/>
              </w:rPr>
            </w:pPr>
            <w:r w:rsidRPr="003A115E">
              <w:rPr>
                <w:rFonts w:ascii="Arial Narrow" w:hAnsi="Arial Narrow" w:cs="Calibri"/>
                <w:b/>
                <w:bCs/>
                <w:i/>
                <w:iCs/>
                <w:sz w:val="18"/>
                <w:szCs w:val="18"/>
              </w:rPr>
              <w:t xml:space="preserve">                  186 </w:t>
            </w:r>
          </w:p>
        </w:tc>
        <w:tc>
          <w:tcPr>
            <w:tcW w:w="1249" w:type="pct"/>
            <w:gridSpan w:val="2"/>
            <w:tcBorders>
              <w:top w:val="nil"/>
              <w:left w:val="nil"/>
              <w:bottom w:val="single" w:sz="4" w:space="0" w:color="auto"/>
              <w:right w:val="nil"/>
            </w:tcBorders>
            <w:shd w:val="clear" w:color="auto" w:fill="auto"/>
            <w:noWrap/>
            <w:vAlign w:val="center"/>
            <w:hideMark/>
          </w:tcPr>
          <w:p w14:paraId="71706756" w14:textId="77777777" w:rsidR="00EC4170" w:rsidRPr="003A115E" w:rsidRDefault="00EC4170">
            <w:pPr>
              <w:jc w:val="right"/>
              <w:rPr>
                <w:rFonts w:ascii="Arial Narrow" w:hAnsi="Arial Narrow" w:cs="Calibri"/>
                <w:b/>
                <w:bCs/>
                <w:i/>
                <w:iCs/>
                <w:sz w:val="18"/>
                <w:szCs w:val="18"/>
              </w:rPr>
            </w:pPr>
            <w:r w:rsidRPr="003A115E">
              <w:rPr>
                <w:rFonts w:ascii="Arial Narrow" w:hAnsi="Arial Narrow" w:cs="Calibri"/>
                <w:b/>
                <w:bCs/>
                <w:i/>
                <w:iCs/>
                <w:sz w:val="18"/>
                <w:szCs w:val="18"/>
              </w:rPr>
              <w:t xml:space="preserve">               1.100 </w:t>
            </w:r>
          </w:p>
        </w:tc>
      </w:tr>
      <w:tr w:rsidR="00EC4170" w:rsidRPr="003A115E" w14:paraId="33A88067" w14:textId="77777777" w:rsidTr="000E266F">
        <w:trPr>
          <w:trHeight w:val="300"/>
        </w:trPr>
        <w:tc>
          <w:tcPr>
            <w:tcW w:w="2501" w:type="pct"/>
            <w:tcBorders>
              <w:top w:val="nil"/>
              <w:left w:val="nil"/>
              <w:bottom w:val="single" w:sz="4" w:space="0" w:color="auto"/>
              <w:right w:val="nil"/>
            </w:tcBorders>
            <w:shd w:val="clear" w:color="auto" w:fill="auto"/>
            <w:noWrap/>
            <w:vAlign w:val="center"/>
            <w:hideMark/>
          </w:tcPr>
          <w:p w14:paraId="31581F07" w14:textId="0864D1CD" w:rsidR="00EC4170" w:rsidRPr="003A115E" w:rsidRDefault="00EC4170">
            <w:pPr>
              <w:rPr>
                <w:rFonts w:ascii="Arial Narrow" w:hAnsi="Arial Narrow" w:cs="Calibri"/>
                <w:sz w:val="18"/>
                <w:szCs w:val="18"/>
              </w:rPr>
            </w:pPr>
            <w:r w:rsidRPr="003A115E">
              <w:rPr>
                <w:rFonts w:ascii="Arial Narrow" w:hAnsi="Arial Narrow" w:cs="Calibri"/>
                <w:sz w:val="18"/>
                <w:szCs w:val="18"/>
              </w:rPr>
              <w:t>Retención pendiente a fecha de elaboración del informe</w:t>
            </w:r>
          </w:p>
        </w:tc>
        <w:tc>
          <w:tcPr>
            <w:tcW w:w="1249" w:type="pct"/>
            <w:tcBorders>
              <w:top w:val="nil"/>
              <w:left w:val="nil"/>
              <w:bottom w:val="single" w:sz="4" w:space="0" w:color="auto"/>
              <w:right w:val="nil"/>
            </w:tcBorders>
            <w:shd w:val="clear" w:color="auto" w:fill="auto"/>
            <w:noWrap/>
            <w:vAlign w:val="center"/>
            <w:hideMark/>
          </w:tcPr>
          <w:p w14:paraId="1CAB1A07" w14:textId="77777777" w:rsidR="00EC4170" w:rsidRPr="003A115E" w:rsidRDefault="00EC4170">
            <w:pPr>
              <w:jc w:val="right"/>
              <w:rPr>
                <w:rFonts w:ascii="Arial Narrow" w:hAnsi="Arial Narrow" w:cs="Calibri"/>
                <w:sz w:val="18"/>
                <w:szCs w:val="18"/>
              </w:rPr>
            </w:pPr>
            <w:r w:rsidRPr="003A115E">
              <w:rPr>
                <w:rFonts w:ascii="Arial Narrow" w:hAnsi="Arial Narrow" w:cs="Calibri"/>
                <w:sz w:val="18"/>
                <w:szCs w:val="18"/>
              </w:rPr>
              <w:t>51</w:t>
            </w:r>
          </w:p>
        </w:tc>
        <w:tc>
          <w:tcPr>
            <w:tcW w:w="1249" w:type="pct"/>
            <w:gridSpan w:val="2"/>
            <w:tcBorders>
              <w:top w:val="nil"/>
              <w:left w:val="nil"/>
              <w:bottom w:val="single" w:sz="4" w:space="0" w:color="auto"/>
              <w:right w:val="nil"/>
            </w:tcBorders>
            <w:shd w:val="clear" w:color="auto" w:fill="auto"/>
            <w:noWrap/>
            <w:vAlign w:val="center"/>
            <w:hideMark/>
          </w:tcPr>
          <w:p w14:paraId="6B122F2B" w14:textId="77777777" w:rsidR="00EC4170" w:rsidRPr="003A115E" w:rsidRDefault="00EC4170">
            <w:pPr>
              <w:jc w:val="right"/>
              <w:rPr>
                <w:rFonts w:ascii="Arial Narrow" w:hAnsi="Arial Narrow" w:cs="Calibri"/>
                <w:sz w:val="18"/>
                <w:szCs w:val="18"/>
              </w:rPr>
            </w:pPr>
            <w:r w:rsidRPr="003A115E">
              <w:rPr>
                <w:rFonts w:ascii="Arial Narrow" w:hAnsi="Arial Narrow" w:cs="Calibri"/>
                <w:sz w:val="18"/>
                <w:szCs w:val="18"/>
              </w:rPr>
              <w:t xml:space="preserve">                   148 </w:t>
            </w:r>
          </w:p>
        </w:tc>
      </w:tr>
    </w:tbl>
    <w:p w14:paraId="698243B3" w14:textId="5441236F" w:rsidR="00C84D07" w:rsidRPr="003A115E" w:rsidRDefault="00C84D07" w:rsidP="00DA0A16">
      <w:pPr>
        <w:pStyle w:val="atitulo2"/>
        <w:spacing w:before="240"/>
        <w:rPr>
          <w:color w:val="auto"/>
        </w:rPr>
      </w:pPr>
      <w:bookmarkStart w:id="89" w:name="_Toc183679756"/>
      <w:r w:rsidRPr="003A115E">
        <w:rPr>
          <w:color w:val="auto"/>
        </w:rPr>
        <w:t>VIII.2 Aprobación y remisión del presupuesto</w:t>
      </w:r>
      <w:bookmarkEnd w:id="89"/>
      <w:r w:rsidR="00DB4A84" w:rsidRPr="003A115E">
        <w:rPr>
          <w:color w:val="auto"/>
        </w:rPr>
        <w:t xml:space="preserve"> </w:t>
      </w:r>
    </w:p>
    <w:p w14:paraId="3A083D9B" w14:textId="77777777" w:rsidR="007D4F1A" w:rsidRPr="003A115E" w:rsidRDefault="00C84D07" w:rsidP="31020D79">
      <w:pPr>
        <w:pStyle w:val="texto"/>
        <w:tabs>
          <w:tab w:val="clear" w:pos="2835"/>
          <w:tab w:val="center" w:pos="567"/>
        </w:tabs>
        <w:spacing w:before="120" w:after="120"/>
        <w:rPr>
          <w:rFonts w:cs="Arial"/>
          <w:lang w:val="es-ES"/>
        </w:rPr>
      </w:pPr>
      <w:r w:rsidRPr="003A115E">
        <w:rPr>
          <w:rFonts w:cs="Arial"/>
          <w:lang w:val="es-ES"/>
        </w:rPr>
        <w:t xml:space="preserve">La LFHL establece que </w:t>
      </w:r>
      <w:r w:rsidR="00A50884" w:rsidRPr="003A115E">
        <w:rPr>
          <w:rFonts w:cs="Arial"/>
          <w:lang w:val="es-ES"/>
        </w:rPr>
        <w:t xml:space="preserve">la aprobación definitiva del </w:t>
      </w:r>
      <w:r w:rsidRPr="003A115E">
        <w:rPr>
          <w:rFonts w:cs="Arial"/>
          <w:lang w:val="es-ES"/>
        </w:rPr>
        <w:t xml:space="preserve">presupuesto general </w:t>
      </w:r>
      <w:r w:rsidR="00A50884" w:rsidRPr="003A115E">
        <w:rPr>
          <w:rFonts w:cs="Arial"/>
          <w:lang w:val="es-ES"/>
        </w:rPr>
        <w:t xml:space="preserve">por el pleno de la corporación se realizará </w:t>
      </w:r>
      <w:r w:rsidRPr="003A115E">
        <w:rPr>
          <w:rFonts w:cs="Arial"/>
          <w:lang w:val="es-ES"/>
        </w:rPr>
        <w:t xml:space="preserve">antes del 31 de diciembre del año anterior al del ejercicio </w:t>
      </w:r>
      <w:r w:rsidR="00FC5D06" w:rsidRPr="003A115E">
        <w:rPr>
          <w:rFonts w:cs="Arial"/>
          <w:lang w:val="es-ES"/>
        </w:rPr>
        <w:t>que deba aplicarse</w:t>
      </w:r>
      <w:r w:rsidRPr="003A115E">
        <w:rPr>
          <w:rFonts w:cs="Arial"/>
          <w:lang w:val="es-ES"/>
        </w:rPr>
        <w:t xml:space="preserve"> y deben remitirlo a la ACFN dentro de los 15 días siguientes a dicha aprobación. </w:t>
      </w:r>
    </w:p>
    <w:p w14:paraId="5CEEF1E2" w14:textId="77777777" w:rsidR="007D4F1A" w:rsidRPr="003A115E" w:rsidRDefault="007D4F1A">
      <w:pPr>
        <w:rPr>
          <w:rFonts w:cs="Arial"/>
          <w:spacing w:val="6"/>
          <w:sz w:val="26"/>
          <w:lang w:eastAsia="en-US"/>
        </w:rPr>
      </w:pPr>
      <w:r w:rsidRPr="003A115E">
        <w:rPr>
          <w:rFonts w:cs="Arial"/>
        </w:rPr>
        <w:br w:type="page"/>
      </w:r>
    </w:p>
    <w:p w14:paraId="6D072441" w14:textId="2E0B41C3" w:rsidR="00C84D07" w:rsidRPr="003A115E" w:rsidRDefault="00C84D07" w:rsidP="00B56D93">
      <w:pPr>
        <w:pStyle w:val="texto"/>
        <w:tabs>
          <w:tab w:val="clear" w:pos="2835"/>
          <w:tab w:val="center" w:pos="567"/>
        </w:tabs>
        <w:spacing w:after="120"/>
        <w:rPr>
          <w:rFonts w:cs="Arial"/>
        </w:rPr>
      </w:pPr>
      <w:r w:rsidRPr="003A115E">
        <w:rPr>
          <w:rFonts w:cs="Arial"/>
        </w:rPr>
        <w:lastRenderedPageBreak/>
        <w:t>La tabla siguiente muestra</w:t>
      </w:r>
      <w:r w:rsidR="00722C6C" w:rsidRPr="003A115E">
        <w:rPr>
          <w:rFonts w:cs="Arial"/>
        </w:rPr>
        <w:t xml:space="preserve"> el detalle, en base a los datos de IDECAL, de</w:t>
      </w:r>
      <w:r w:rsidRPr="003A115E">
        <w:rPr>
          <w:rFonts w:cs="Arial"/>
        </w:rPr>
        <w:t xml:space="preserve"> los plazos de aprobación y envío del expediente de</w:t>
      </w:r>
      <w:r w:rsidR="00C4405E" w:rsidRPr="003A115E">
        <w:rPr>
          <w:rFonts w:cs="Arial"/>
        </w:rPr>
        <w:t xml:space="preserve"> presupuestos del ejercicio 2022</w:t>
      </w:r>
      <w:r w:rsidRPr="003A115E">
        <w:rPr>
          <w:rFonts w:cs="Arial"/>
        </w:rPr>
        <w:t xml:space="preserve"> a la </w:t>
      </w:r>
      <w:r w:rsidR="00F04CC5" w:rsidRPr="003A115E">
        <w:rPr>
          <w:rFonts w:cs="Arial"/>
        </w:rPr>
        <w:t>ACFN</w:t>
      </w:r>
      <w:r w:rsidRPr="003A115E">
        <w:rPr>
          <w:rFonts w:cs="Arial"/>
        </w:rPr>
        <w:t xml:space="preserve">. </w:t>
      </w:r>
    </w:p>
    <w:p w14:paraId="5D22521A" w14:textId="36FF478A" w:rsidR="00C84D07" w:rsidRPr="003A115E" w:rsidRDefault="00BD116E" w:rsidP="00C84D07">
      <w:pPr>
        <w:pStyle w:val="texto"/>
        <w:spacing w:after="40"/>
        <w:jc w:val="right"/>
        <w:rPr>
          <w:rFonts w:ascii="Arial Narrow" w:hAnsi="Arial Narrow"/>
          <w:sz w:val="18"/>
          <w:szCs w:val="18"/>
        </w:rPr>
      </w:pPr>
      <w:r w:rsidRPr="003A115E">
        <w:rPr>
          <w:rFonts w:ascii="Arial Narrow" w:hAnsi="Arial Narrow"/>
          <w:sz w:val="18"/>
          <w:szCs w:val="18"/>
        </w:rPr>
        <w:t>(</w:t>
      </w:r>
      <w:r w:rsidR="00C84D07" w:rsidRPr="003A115E">
        <w:rPr>
          <w:rFonts w:ascii="Arial Narrow" w:hAnsi="Arial Narrow"/>
          <w:sz w:val="18"/>
          <w:szCs w:val="18"/>
        </w:rPr>
        <w:t>Porcentaje de entidades locales</w:t>
      </w:r>
      <w:r w:rsidRPr="003A115E">
        <w:rPr>
          <w:rFonts w:ascii="Arial Narrow" w:hAnsi="Arial Narrow"/>
          <w:sz w:val="18"/>
          <w:szCs w:val="18"/>
        </w:rPr>
        <w:t>)</w:t>
      </w:r>
    </w:p>
    <w:tbl>
      <w:tblPr>
        <w:tblW w:w="5000" w:type="pct"/>
        <w:tblCellMar>
          <w:left w:w="70" w:type="dxa"/>
          <w:right w:w="70" w:type="dxa"/>
        </w:tblCellMar>
        <w:tblLook w:val="04A0" w:firstRow="1" w:lastRow="0" w:firstColumn="1" w:lastColumn="0" w:noHBand="0" w:noVBand="1"/>
      </w:tblPr>
      <w:tblGrid>
        <w:gridCol w:w="1519"/>
        <w:gridCol w:w="1210"/>
        <w:gridCol w:w="1213"/>
        <w:gridCol w:w="1211"/>
        <w:gridCol w:w="1213"/>
        <w:gridCol w:w="1211"/>
        <w:gridCol w:w="1211"/>
      </w:tblGrid>
      <w:tr w:rsidR="000A742F" w:rsidRPr="003A115E" w14:paraId="53EB998A" w14:textId="77777777" w:rsidTr="00767AA2">
        <w:trPr>
          <w:trHeight w:val="255"/>
        </w:trPr>
        <w:tc>
          <w:tcPr>
            <w:tcW w:w="864" w:type="pct"/>
            <w:vMerge w:val="restart"/>
            <w:tcBorders>
              <w:top w:val="single" w:sz="4" w:space="0" w:color="auto"/>
              <w:left w:val="nil"/>
              <w:bottom w:val="single" w:sz="4" w:space="0" w:color="auto"/>
              <w:right w:val="nil"/>
            </w:tcBorders>
            <w:shd w:val="clear" w:color="auto" w:fill="FABF8F" w:themeFill="accent6" w:themeFillTint="99"/>
            <w:noWrap/>
            <w:vAlign w:val="center"/>
            <w:hideMark/>
          </w:tcPr>
          <w:p w14:paraId="78ADA715" w14:textId="77777777" w:rsidR="00C8376C" w:rsidRPr="003A115E" w:rsidRDefault="00C8376C" w:rsidP="009326C3">
            <w:pPr>
              <w:pStyle w:val="cuadroCabe"/>
              <w:rPr>
                <w:szCs w:val="18"/>
              </w:rPr>
            </w:pPr>
            <w:r w:rsidRPr="003A115E">
              <w:rPr>
                <w:szCs w:val="18"/>
              </w:rPr>
              <w:t>Tipo de entidad</w:t>
            </w:r>
          </w:p>
        </w:tc>
        <w:tc>
          <w:tcPr>
            <w:tcW w:w="1379" w:type="pct"/>
            <w:gridSpan w:val="2"/>
            <w:tcBorders>
              <w:top w:val="single" w:sz="4" w:space="0" w:color="auto"/>
              <w:left w:val="nil"/>
              <w:bottom w:val="single" w:sz="2" w:space="0" w:color="auto"/>
              <w:right w:val="nil"/>
            </w:tcBorders>
            <w:shd w:val="clear" w:color="auto" w:fill="FABF8F" w:themeFill="accent6" w:themeFillTint="99"/>
            <w:vAlign w:val="center"/>
            <w:hideMark/>
          </w:tcPr>
          <w:p w14:paraId="38EFCDD6" w14:textId="77777777" w:rsidR="00C8376C" w:rsidRPr="003A115E" w:rsidRDefault="00C8376C" w:rsidP="009326C3">
            <w:pPr>
              <w:pStyle w:val="cuadroCabe"/>
              <w:jc w:val="right"/>
              <w:rPr>
                <w:szCs w:val="18"/>
              </w:rPr>
            </w:pPr>
            <w:r w:rsidRPr="003A115E">
              <w:rPr>
                <w:szCs w:val="18"/>
              </w:rPr>
              <w:t>Aprobado en plazo</w:t>
            </w:r>
          </w:p>
        </w:tc>
        <w:tc>
          <w:tcPr>
            <w:tcW w:w="1379" w:type="pct"/>
            <w:gridSpan w:val="2"/>
            <w:tcBorders>
              <w:top w:val="single" w:sz="4" w:space="0" w:color="auto"/>
              <w:left w:val="nil"/>
              <w:bottom w:val="single" w:sz="2" w:space="0" w:color="auto"/>
              <w:right w:val="nil"/>
            </w:tcBorders>
            <w:shd w:val="clear" w:color="auto" w:fill="FABF8F" w:themeFill="accent6" w:themeFillTint="99"/>
            <w:vAlign w:val="center"/>
            <w:hideMark/>
          </w:tcPr>
          <w:p w14:paraId="62B8524C" w14:textId="4F54E522" w:rsidR="00C8376C" w:rsidRPr="003A115E" w:rsidRDefault="00C8376C" w:rsidP="009326C3">
            <w:pPr>
              <w:pStyle w:val="cuadroCabe"/>
              <w:jc w:val="right"/>
              <w:rPr>
                <w:szCs w:val="18"/>
              </w:rPr>
            </w:pPr>
            <w:r w:rsidRPr="003A115E">
              <w:rPr>
                <w:szCs w:val="18"/>
              </w:rPr>
              <w:t>Enviado en plazo</w:t>
            </w:r>
          </w:p>
        </w:tc>
        <w:tc>
          <w:tcPr>
            <w:tcW w:w="1379" w:type="pct"/>
            <w:gridSpan w:val="2"/>
            <w:tcBorders>
              <w:top w:val="single" w:sz="4" w:space="0" w:color="auto"/>
              <w:left w:val="nil"/>
              <w:bottom w:val="single" w:sz="2" w:space="0" w:color="auto"/>
              <w:right w:val="nil"/>
            </w:tcBorders>
            <w:shd w:val="clear" w:color="auto" w:fill="FABF8F" w:themeFill="accent6" w:themeFillTint="99"/>
            <w:vAlign w:val="center"/>
            <w:hideMark/>
          </w:tcPr>
          <w:p w14:paraId="543A195B" w14:textId="77777777" w:rsidR="00C8376C" w:rsidRPr="003A115E" w:rsidRDefault="00C8376C" w:rsidP="009326C3">
            <w:pPr>
              <w:pStyle w:val="cuadroCabe"/>
              <w:jc w:val="right"/>
              <w:rPr>
                <w:szCs w:val="18"/>
              </w:rPr>
            </w:pPr>
            <w:r w:rsidRPr="003A115E">
              <w:rPr>
                <w:szCs w:val="18"/>
              </w:rPr>
              <w:t>Enviado hasta 31.03.X+1</w:t>
            </w:r>
          </w:p>
        </w:tc>
      </w:tr>
      <w:tr w:rsidR="000A742F" w:rsidRPr="003A115E" w14:paraId="4D89B40F" w14:textId="77777777" w:rsidTr="00767AA2">
        <w:trPr>
          <w:trHeight w:val="255"/>
        </w:trPr>
        <w:tc>
          <w:tcPr>
            <w:tcW w:w="864" w:type="pct"/>
            <w:vMerge/>
            <w:tcBorders>
              <w:top w:val="single" w:sz="4" w:space="0" w:color="auto"/>
              <w:left w:val="nil"/>
              <w:bottom w:val="single" w:sz="4" w:space="0" w:color="auto"/>
              <w:right w:val="nil"/>
            </w:tcBorders>
            <w:shd w:val="clear" w:color="auto" w:fill="FABF8F" w:themeFill="accent6" w:themeFillTint="99"/>
            <w:vAlign w:val="center"/>
            <w:hideMark/>
          </w:tcPr>
          <w:p w14:paraId="106E290A" w14:textId="77777777" w:rsidR="00C8376C" w:rsidRPr="003A115E" w:rsidRDefault="00C8376C" w:rsidP="00CC28BD">
            <w:pPr>
              <w:pStyle w:val="cuadroCabe"/>
              <w:rPr>
                <w:rFonts w:cs="Arial"/>
                <w:szCs w:val="18"/>
              </w:rPr>
            </w:pPr>
          </w:p>
        </w:tc>
        <w:tc>
          <w:tcPr>
            <w:tcW w:w="689" w:type="pct"/>
            <w:tcBorders>
              <w:top w:val="single" w:sz="2" w:space="0" w:color="auto"/>
              <w:left w:val="nil"/>
              <w:bottom w:val="single" w:sz="4" w:space="0" w:color="auto"/>
              <w:right w:val="nil"/>
            </w:tcBorders>
            <w:shd w:val="clear" w:color="auto" w:fill="FABF8F" w:themeFill="accent6" w:themeFillTint="99"/>
            <w:vAlign w:val="center"/>
            <w:hideMark/>
          </w:tcPr>
          <w:p w14:paraId="6D29194E" w14:textId="77777777" w:rsidR="00C8376C" w:rsidRPr="003A115E" w:rsidRDefault="00C8376C" w:rsidP="00CC28BD">
            <w:pPr>
              <w:pStyle w:val="cuadroCabe"/>
              <w:jc w:val="right"/>
              <w:rPr>
                <w:rFonts w:cs="Arial"/>
                <w:szCs w:val="18"/>
              </w:rPr>
            </w:pPr>
            <w:r w:rsidRPr="003A115E">
              <w:rPr>
                <w:rFonts w:cs="Arial"/>
                <w:szCs w:val="18"/>
              </w:rPr>
              <w:t>2021</w:t>
            </w:r>
          </w:p>
        </w:tc>
        <w:tc>
          <w:tcPr>
            <w:tcW w:w="690" w:type="pct"/>
            <w:tcBorders>
              <w:top w:val="single" w:sz="2" w:space="0" w:color="auto"/>
              <w:left w:val="nil"/>
              <w:bottom w:val="single" w:sz="4" w:space="0" w:color="auto"/>
              <w:right w:val="nil"/>
            </w:tcBorders>
            <w:shd w:val="clear" w:color="auto" w:fill="FABF8F" w:themeFill="accent6" w:themeFillTint="99"/>
            <w:vAlign w:val="center"/>
            <w:hideMark/>
          </w:tcPr>
          <w:p w14:paraId="5CBCB9C6" w14:textId="77777777" w:rsidR="00C8376C" w:rsidRPr="003A115E" w:rsidRDefault="00C8376C" w:rsidP="00CC28BD">
            <w:pPr>
              <w:pStyle w:val="cuadroCabe"/>
              <w:jc w:val="right"/>
              <w:rPr>
                <w:rFonts w:cs="Arial"/>
                <w:szCs w:val="18"/>
              </w:rPr>
            </w:pPr>
            <w:r w:rsidRPr="003A115E">
              <w:rPr>
                <w:rFonts w:cs="Arial"/>
                <w:szCs w:val="18"/>
              </w:rPr>
              <w:t>2022</w:t>
            </w:r>
          </w:p>
        </w:tc>
        <w:tc>
          <w:tcPr>
            <w:tcW w:w="689" w:type="pct"/>
            <w:tcBorders>
              <w:top w:val="single" w:sz="2" w:space="0" w:color="auto"/>
              <w:left w:val="nil"/>
              <w:bottom w:val="single" w:sz="4" w:space="0" w:color="auto"/>
              <w:right w:val="nil"/>
            </w:tcBorders>
            <w:shd w:val="clear" w:color="auto" w:fill="FABF8F" w:themeFill="accent6" w:themeFillTint="99"/>
            <w:vAlign w:val="center"/>
            <w:hideMark/>
          </w:tcPr>
          <w:p w14:paraId="4F2FC542" w14:textId="77777777" w:rsidR="00C8376C" w:rsidRPr="003A115E" w:rsidRDefault="00C8376C" w:rsidP="00CC28BD">
            <w:pPr>
              <w:pStyle w:val="cuadroCabe"/>
              <w:jc w:val="right"/>
              <w:rPr>
                <w:rFonts w:cs="Arial"/>
                <w:szCs w:val="18"/>
              </w:rPr>
            </w:pPr>
            <w:r w:rsidRPr="003A115E">
              <w:rPr>
                <w:rFonts w:cs="Arial"/>
                <w:szCs w:val="18"/>
              </w:rPr>
              <w:t>2021</w:t>
            </w:r>
          </w:p>
        </w:tc>
        <w:tc>
          <w:tcPr>
            <w:tcW w:w="690" w:type="pct"/>
            <w:tcBorders>
              <w:top w:val="single" w:sz="2" w:space="0" w:color="auto"/>
              <w:left w:val="nil"/>
              <w:bottom w:val="single" w:sz="4" w:space="0" w:color="auto"/>
              <w:right w:val="nil"/>
            </w:tcBorders>
            <w:shd w:val="clear" w:color="auto" w:fill="FABF8F" w:themeFill="accent6" w:themeFillTint="99"/>
            <w:vAlign w:val="center"/>
            <w:hideMark/>
          </w:tcPr>
          <w:p w14:paraId="76AF5721" w14:textId="77777777" w:rsidR="00C8376C" w:rsidRPr="003A115E" w:rsidRDefault="00C8376C" w:rsidP="00CC28BD">
            <w:pPr>
              <w:pStyle w:val="cuadroCabe"/>
              <w:jc w:val="right"/>
              <w:rPr>
                <w:rFonts w:cs="Arial"/>
                <w:szCs w:val="18"/>
              </w:rPr>
            </w:pPr>
            <w:r w:rsidRPr="003A115E">
              <w:rPr>
                <w:rFonts w:cs="Arial"/>
                <w:szCs w:val="18"/>
              </w:rPr>
              <w:t>2022</w:t>
            </w:r>
          </w:p>
        </w:tc>
        <w:tc>
          <w:tcPr>
            <w:tcW w:w="689" w:type="pct"/>
            <w:tcBorders>
              <w:top w:val="single" w:sz="2" w:space="0" w:color="auto"/>
              <w:left w:val="nil"/>
              <w:bottom w:val="single" w:sz="4" w:space="0" w:color="auto"/>
              <w:right w:val="nil"/>
            </w:tcBorders>
            <w:shd w:val="clear" w:color="auto" w:fill="FABF8F" w:themeFill="accent6" w:themeFillTint="99"/>
            <w:vAlign w:val="center"/>
            <w:hideMark/>
          </w:tcPr>
          <w:p w14:paraId="3FAE8B3E" w14:textId="77777777" w:rsidR="00C8376C" w:rsidRPr="003A115E" w:rsidRDefault="00C8376C" w:rsidP="00CC28BD">
            <w:pPr>
              <w:pStyle w:val="cuadroCabe"/>
              <w:jc w:val="right"/>
              <w:rPr>
                <w:rFonts w:cs="Arial"/>
                <w:szCs w:val="18"/>
              </w:rPr>
            </w:pPr>
            <w:r w:rsidRPr="003A115E">
              <w:rPr>
                <w:rFonts w:cs="Arial"/>
                <w:szCs w:val="18"/>
              </w:rPr>
              <w:t>2021</w:t>
            </w:r>
          </w:p>
        </w:tc>
        <w:tc>
          <w:tcPr>
            <w:tcW w:w="690" w:type="pct"/>
            <w:tcBorders>
              <w:top w:val="single" w:sz="2" w:space="0" w:color="auto"/>
              <w:left w:val="nil"/>
              <w:bottom w:val="single" w:sz="4" w:space="0" w:color="auto"/>
              <w:right w:val="nil"/>
            </w:tcBorders>
            <w:shd w:val="clear" w:color="auto" w:fill="FABF8F" w:themeFill="accent6" w:themeFillTint="99"/>
            <w:vAlign w:val="center"/>
            <w:hideMark/>
          </w:tcPr>
          <w:p w14:paraId="2620A5E9" w14:textId="77777777" w:rsidR="00C8376C" w:rsidRPr="003A115E" w:rsidRDefault="00C8376C" w:rsidP="00CC28BD">
            <w:pPr>
              <w:pStyle w:val="cuadroCabe"/>
              <w:jc w:val="right"/>
              <w:rPr>
                <w:rFonts w:cs="Arial"/>
                <w:szCs w:val="18"/>
              </w:rPr>
            </w:pPr>
            <w:r w:rsidRPr="003A115E">
              <w:rPr>
                <w:rFonts w:cs="Arial"/>
                <w:szCs w:val="18"/>
              </w:rPr>
              <w:t>2022</w:t>
            </w:r>
          </w:p>
        </w:tc>
      </w:tr>
      <w:tr w:rsidR="000A742F" w:rsidRPr="003A115E" w14:paraId="2FFD7940" w14:textId="77777777" w:rsidTr="00767AA2">
        <w:trPr>
          <w:trHeight w:val="198"/>
        </w:trPr>
        <w:tc>
          <w:tcPr>
            <w:tcW w:w="864" w:type="pct"/>
            <w:tcBorders>
              <w:top w:val="single" w:sz="4" w:space="0" w:color="auto"/>
              <w:left w:val="nil"/>
              <w:bottom w:val="single" w:sz="2" w:space="0" w:color="auto"/>
              <w:right w:val="nil"/>
            </w:tcBorders>
            <w:shd w:val="clear" w:color="auto" w:fill="auto"/>
            <w:noWrap/>
            <w:vAlign w:val="center"/>
            <w:hideMark/>
          </w:tcPr>
          <w:p w14:paraId="36CD8A2D" w14:textId="77777777" w:rsidR="00C8376C" w:rsidRPr="003A115E" w:rsidRDefault="00C8376C" w:rsidP="00AA29A2">
            <w:pPr>
              <w:pStyle w:val="cuatexto"/>
            </w:pPr>
            <w:r w:rsidRPr="003A115E">
              <w:t>Municipios</w:t>
            </w:r>
          </w:p>
        </w:tc>
        <w:tc>
          <w:tcPr>
            <w:tcW w:w="689" w:type="pct"/>
            <w:tcBorders>
              <w:top w:val="single" w:sz="4" w:space="0" w:color="auto"/>
              <w:left w:val="nil"/>
              <w:bottom w:val="single" w:sz="2" w:space="0" w:color="auto"/>
              <w:right w:val="nil"/>
            </w:tcBorders>
            <w:shd w:val="clear" w:color="auto" w:fill="auto"/>
            <w:noWrap/>
            <w:vAlign w:val="center"/>
            <w:hideMark/>
          </w:tcPr>
          <w:p w14:paraId="063ABB51" w14:textId="77777777" w:rsidR="00C8376C" w:rsidRPr="003A115E" w:rsidRDefault="00C8376C" w:rsidP="00AA29A2">
            <w:pPr>
              <w:pStyle w:val="cuatexto"/>
              <w:jc w:val="right"/>
            </w:pPr>
            <w:r w:rsidRPr="003A115E">
              <w:t>34</w:t>
            </w:r>
          </w:p>
        </w:tc>
        <w:tc>
          <w:tcPr>
            <w:tcW w:w="690" w:type="pct"/>
            <w:tcBorders>
              <w:top w:val="single" w:sz="4" w:space="0" w:color="auto"/>
              <w:left w:val="nil"/>
              <w:bottom w:val="single" w:sz="2" w:space="0" w:color="auto"/>
              <w:right w:val="nil"/>
            </w:tcBorders>
            <w:shd w:val="clear" w:color="auto" w:fill="auto"/>
            <w:noWrap/>
            <w:vAlign w:val="center"/>
            <w:hideMark/>
          </w:tcPr>
          <w:p w14:paraId="1630B32C" w14:textId="6C57BF4E" w:rsidR="00C8376C" w:rsidRPr="003A115E" w:rsidRDefault="00C8376C" w:rsidP="00AA29A2">
            <w:pPr>
              <w:pStyle w:val="cuatexto"/>
              <w:jc w:val="right"/>
            </w:pPr>
            <w:r w:rsidRPr="003A115E">
              <w:t>34</w:t>
            </w:r>
          </w:p>
        </w:tc>
        <w:tc>
          <w:tcPr>
            <w:tcW w:w="689" w:type="pct"/>
            <w:tcBorders>
              <w:top w:val="single" w:sz="4" w:space="0" w:color="auto"/>
              <w:left w:val="nil"/>
              <w:bottom w:val="single" w:sz="2" w:space="0" w:color="auto"/>
              <w:right w:val="nil"/>
            </w:tcBorders>
            <w:shd w:val="clear" w:color="auto" w:fill="auto"/>
            <w:noWrap/>
            <w:vAlign w:val="center"/>
            <w:hideMark/>
          </w:tcPr>
          <w:p w14:paraId="655660EB" w14:textId="77777777" w:rsidR="00C8376C" w:rsidRPr="003A115E" w:rsidRDefault="00C8376C" w:rsidP="00AA29A2">
            <w:pPr>
              <w:pStyle w:val="cuatexto"/>
              <w:jc w:val="right"/>
            </w:pPr>
            <w:r w:rsidRPr="003A115E">
              <w:t>4</w:t>
            </w:r>
          </w:p>
        </w:tc>
        <w:tc>
          <w:tcPr>
            <w:tcW w:w="690" w:type="pct"/>
            <w:tcBorders>
              <w:top w:val="single" w:sz="4" w:space="0" w:color="auto"/>
              <w:left w:val="nil"/>
              <w:bottom w:val="single" w:sz="2" w:space="0" w:color="auto"/>
              <w:right w:val="nil"/>
            </w:tcBorders>
            <w:shd w:val="clear" w:color="auto" w:fill="auto"/>
            <w:noWrap/>
            <w:vAlign w:val="center"/>
            <w:hideMark/>
          </w:tcPr>
          <w:p w14:paraId="3DD11194" w14:textId="7D53145C" w:rsidR="00C8376C" w:rsidRPr="003A115E" w:rsidRDefault="00C8376C" w:rsidP="00AA29A2">
            <w:pPr>
              <w:pStyle w:val="cuatexto"/>
              <w:jc w:val="right"/>
            </w:pPr>
            <w:r w:rsidRPr="003A115E">
              <w:t>4</w:t>
            </w:r>
          </w:p>
        </w:tc>
        <w:tc>
          <w:tcPr>
            <w:tcW w:w="689" w:type="pct"/>
            <w:tcBorders>
              <w:top w:val="single" w:sz="4" w:space="0" w:color="auto"/>
              <w:left w:val="nil"/>
              <w:bottom w:val="single" w:sz="2" w:space="0" w:color="auto"/>
              <w:right w:val="nil"/>
            </w:tcBorders>
            <w:shd w:val="clear" w:color="auto" w:fill="auto"/>
            <w:noWrap/>
            <w:vAlign w:val="center"/>
            <w:hideMark/>
          </w:tcPr>
          <w:p w14:paraId="189C3E6C" w14:textId="77777777" w:rsidR="00C8376C" w:rsidRPr="003A115E" w:rsidRDefault="00C8376C" w:rsidP="00AA29A2">
            <w:pPr>
              <w:pStyle w:val="cuatexto"/>
              <w:jc w:val="right"/>
            </w:pPr>
            <w:r w:rsidRPr="003A115E">
              <w:t>38</w:t>
            </w:r>
          </w:p>
        </w:tc>
        <w:tc>
          <w:tcPr>
            <w:tcW w:w="690" w:type="pct"/>
            <w:tcBorders>
              <w:top w:val="single" w:sz="4" w:space="0" w:color="auto"/>
              <w:left w:val="nil"/>
              <w:bottom w:val="single" w:sz="2" w:space="0" w:color="auto"/>
              <w:right w:val="nil"/>
            </w:tcBorders>
            <w:shd w:val="clear" w:color="auto" w:fill="auto"/>
            <w:noWrap/>
            <w:vAlign w:val="center"/>
            <w:hideMark/>
          </w:tcPr>
          <w:p w14:paraId="3D137F0A" w14:textId="77410587" w:rsidR="00C8376C" w:rsidRPr="003A115E" w:rsidRDefault="00C8376C" w:rsidP="00AA29A2">
            <w:pPr>
              <w:pStyle w:val="cuatexto"/>
              <w:jc w:val="right"/>
            </w:pPr>
            <w:r w:rsidRPr="003A115E">
              <w:t>34</w:t>
            </w:r>
          </w:p>
        </w:tc>
      </w:tr>
      <w:tr w:rsidR="000A742F" w:rsidRPr="003A115E" w14:paraId="52F28B37" w14:textId="77777777" w:rsidTr="00767AA2">
        <w:trPr>
          <w:trHeight w:val="198"/>
        </w:trPr>
        <w:tc>
          <w:tcPr>
            <w:tcW w:w="864" w:type="pct"/>
            <w:tcBorders>
              <w:top w:val="single" w:sz="2" w:space="0" w:color="auto"/>
              <w:left w:val="nil"/>
              <w:bottom w:val="single" w:sz="2" w:space="0" w:color="auto"/>
              <w:right w:val="nil"/>
            </w:tcBorders>
            <w:shd w:val="clear" w:color="auto" w:fill="auto"/>
            <w:noWrap/>
            <w:vAlign w:val="center"/>
            <w:hideMark/>
          </w:tcPr>
          <w:p w14:paraId="2A216531" w14:textId="77777777" w:rsidR="00C8376C" w:rsidRPr="003A115E" w:rsidRDefault="00C8376C" w:rsidP="00AA29A2">
            <w:pPr>
              <w:pStyle w:val="cuatexto"/>
            </w:pPr>
            <w:r w:rsidRPr="003A115E">
              <w:t>Concejos</w:t>
            </w:r>
          </w:p>
        </w:tc>
        <w:tc>
          <w:tcPr>
            <w:tcW w:w="689" w:type="pct"/>
            <w:tcBorders>
              <w:top w:val="single" w:sz="2" w:space="0" w:color="auto"/>
              <w:left w:val="nil"/>
              <w:bottom w:val="single" w:sz="2" w:space="0" w:color="auto"/>
              <w:right w:val="nil"/>
            </w:tcBorders>
            <w:shd w:val="clear" w:color="auto" w:fill="auto"/>
            <w:noWrap/>
            <w:vAlign w:val="center"/>
            <w:hideMark/>
          </w:tcPr>
          <w:p w14:paraId="5E33D394" w14:textId="77777777" w:rsidR="00C8376C" w:rsidRPr="003A115E" w:rsidRDefault="00C8376C" w:rsidP="00AA29A2">
            <w:pPr>
              <w:pStyle w:val="cuatexto"/>
              <w:jc w:val="right"/>
            </w:pPr>
            <w:r w:rsidRPr="003A115E">
              <w:t>16</w:t>
            </w:r>
          </w:p>
        </w:tc>
        <w:tc>
          <w:tcPr>
            <w:tcW w:w="690" w:type="pct"/>
            <w:tcBorders>
              <w:top w:val="single" w:sz="2" w:space="0" w:color="auto"/>
              <w:left w:val="nil"/>
              <w:bottom w:val="single" w:sz="2" w:space="0" w:color="auto"/>
              <w:right w:val="nil"/>
            </w:tcBorders>
            <w:shd w:val="clear" w:color="auto" w:fill="auto"/>
            <w:noWrap/>
            <w:vAlign w:val="center"/>
            <w:hideMark/>
          </w:tcPr>
          <w:p w14:paraId="0548B940" w14:textId="43A59341" w:rsidR="00C8376C" w:rsidRPr="003A115E" w:rsidRDefault="00C8376C" w:rsidP="00AA29A2">
            <w:pPr>
              <w:pStyle w:val="cuatexto"/>
              <w:jc w:val="right"/>
            </w:pPr>
            <w:r w:rsidRPr="003A115E">
              <w:t>14</w:t>
            </w:r>
          </w:p>
        </w:tc>
        <w:tc>
          <w:tcPr>
            <w:tcW w:w="689" w:type="pct"/>
            <w:tcBorders>
              <w:top w:val="single" w:sz="2" w:space="0" w:color="auto"/>
              <w:left w:val="nil"/>
              <w:bottom w:val="single" w:sz="2" w:space="0" w:color="auto"/>
              <w:right w:val="nil"/>
            </w:tcBorders>
            <w:shd w:val="clear" w:color="auto" w:fill="auto"/>
            <w:noWrap/>
            <w:vAlign w:val="center"/>
            <w:hideMark/>
          </w:tcPr>
          <w:p w14:paraId="51F76F9E" w14:textId="77777777" w:rsidR="00C8376C" w:rsidRPr="003A115E" w:rsidRDefault="00C8376C" w:rsidP="00AA29A2">
            <w:pPr>
              <w:pStyle w:val="cuatexto"/>
              <w:jc w:val="right"/>
            </w:pPr>
            <w:r w:rsidRPr="003A115E">
              <w:t>2</w:t>
            </w:r>
          </w:p>
        </w:tc>
        <w:tc>
          <w:tcPr>
            <w:tcW w:w="690" w:type="pct"/>
            <w:tcBorders>
              <w:top w:val="single" w:sz="2" w:space="0" w:color="auto"/>
              <w:left w:val="nil"/>
              <w:bottom w:val="single" w:sz="2" w:space="0" w:color="auto"/>
              <w:right w:val="nil"/>
            </w:tcBorders>
            <w:shd w:val="clear" w:color="auto" w:fill="auto"/>
            <w:noWrap/>
            <w:vAlign w:val="center"/>
            <w:hideMark/>
          </w:tcPr>
          <w:p w14:paraId="1C81D00D" w14:textId="420EF397" w:rsidR="00C8376C" w:rsidRPr="003A115E" w:rsidRDefault="00C8376C" w:rsidP="00AA29A2">
            <w:pPr>
              <w:pStyle w:val="cuatexto"/>
              <w:jc w:val="right"/>
            </w:pPr>
            <w:r w:rsidRPr="003A115E">
              <w:t>3</w:t>
            </w:r>
          </w:p>
        </w:tc>
        <w:tc>
          <w:tcPr>
            <w:tcW w:w="689" w:type="pct"/>
            <w:tcBorders>
              <w:top w:val="single" w:sz="2" w:space="0" w:color="auto"/>
              <w:left w:val="nil"/>
              <w:bottom w:val="single" w:sz="2" w:space="0" w:color="auto"/>
              <w:right w:val="nil"/>
            </w:tcBorders>
            <w:shd w:val="clear" w:color="auto" w:fill="auto"/>
            <w:noWrap/>
            <w:vAlign w:val="center"/>
            <w:hideMark/>
          </w:tcPr>
          <w:p w14:paraId="3B17396C" w14:textId="77777777" w:rsidR="00C8376C" w:rsidRPr="003A115E" w:rsidRDefault="00C8376C" w:rsidP="00AA29A2">
            <w:pPr>
              <w:pStyle w:val="cuatexto"/>
              <w:jc w:val="right"/>
            </w:pPr>
            <w:r w:rsidRPr="003A115E">
              <w:t>13</w:t>
            </w:r>
          </w:p>
        </w:tc>
        <w:tc>
          <w:tcPr>
            <w:tcW w:w="690" w:type="pct"/>
            <w:tcBorders>
              <w:top w:val="single" w:sz="2" w:space="0" w:color="auto"/>
              <w:left w:val="nil"/>
              <w:bottom w:val="single" w:sz="2" w:space="0" w:color="auto"/>
              <w:right w:val="nil"/>
            </w:tcBorders>
            <w:shd w:val="clear" w:color="auto" w:fill="auto"/>
            <w:noWrap/>
            <w:vAlign w:val="center"/>
            <w:hideMark/>
          </w:tcPr>
          <w:p w14:paraId="0502AEA4" w14:textId="52A3AC90" w:rsidR="00C8376C" w:rsidRPr="003A115E" w:rsidRDefault="00C8376C" w:rsidP="00AA29A2">
            <w:pPr>
              <w:pStyle w:val="cuatexto"/>
              <w:jc w:val="right"/>
            </w:pPr>
            <w:r w:rsidRPr="003A115E">
              <w:t>14</w:t>
            </w:r>
          </w:p>
        </w:tc>
      </w:tr>
      <w:tr w:rsidR="000A742F" w:rsidRPr="003A115E" w14:paraId="6123B963" w14:textId="77777777" w:rsidTr="00767AA2">
        <w:trPr>
          <w:trHeight w:val="198"/>
        </w:trPr>
        <w:tc>
          <w:tcPr>
            <w:tcW w:w="864" w:type="pct"/>
            <w:tcBorders>
              <w:top w:val="single" w:sz="2" w:space="0" w:color="auto"/>
              <w:left w:val="nil"/>
              <w:bottom w:val="single" w:sz="2" w:space="0" w:color="auto"/>
              <w:right w:val="nil"/>
            </w:tcBorders>
            <w:shd w:val="clear" w:color="auto" w:fill="auto"/>
            <w:noWrap/>
            <w:vAlign w:val="center"/>
            <w:hideMark/>
          </w:tcPr>
          <w:p w14:paraId="3DD39B51" w14:textId="77777777" w:rsidR="00C8376C" w:rsidRPr="003A115E" w:rsidRDefault="00C8376C" w:rsidP="00AA29A2">
            <w:pPr>
              <w:pStyle w:val="cuatexto"/>
            </w:pPr>
            <w:r w:rsidRPr="003A115E">
              <w:t>Mancomunidades</w:t>
            </w:r>
          </w:p>
        </w:tc>
        <w:tc>
          <w:tcPr>
            <w:tcW w:w="689" w:type="pct"/>
            <w:tcBorders>
              <w:top w:val="single" w:sz="2" w:space="0" w:color="auto"/>
              <w:left w:val="nil"/>
              <w:bottom w:val="single" w:sz="2" w:space="0" w:color="auto"/>
              <w:right w:val="nil"/>
            </w:tcBorders>
            <w:shd w:val="clear" w:color="auto" w:fill="auto"/>
            <w:noWrap/>
            <w:vAlign w:val="center"/>
            <w:hideMark/>
          </w:tcPr>
          <w:p w14:paraId="79FA4033" w14:textId="77777777" w:rsidR="00C8376C" w:rsidRPr="003A115E" w:rsidRDefault="00C8376C" w:rsidP="00AA29A2">
            <w:pPr>
              <w:pStyle w:val="cuatexto"/>
              <w:jc w:val="right"/>
            </w:pPr>
            <w:r w:rsidRPr="003A115E">
              <w:t>37</w:t>
            </w:r>
          </w:p>
        </w:tc>
        <w:tc>
          <w:tcPr>
            <w:tcW w:w="690" w:type="pct"/>
            <w:tcBorders>
              <w:top w:val="single" w:sz="2" w:space="0" w:color="auto"/>
              <w:left w:val="nil"/>
              <w:bottom w:val="single" w:sz="2" w:space="0" w:color="auto"/>
              <w:right w:val="nil"/>
            </w:tcBorders>
            <w:shd w:val="clear" w:color="auto" w:fill="auto"/>
            <w:noWrap/>
            <w:vAlign w:val="center"/>
            <w:hideMark/>
          </w:tcPr>
          <w:p w14:paraId="107DD333" w14:textId="22A56677" w:rsidR="00C8376C" w:rsidRPr="003A115E" w:rsidRDefault="00C8376C" w:rsidP="00AA29A2">
            <w:pPr>
              <w:pStyle w:val="cuatexto"/>
              <w:jc w:val="right"/>
            </w:pPr>
            <w:r w:rsidRPr="003A115E">
              <w:t>31</w:t>
            </w:r>
          </w:p>
        </w:tc>
        <w:tc>
          <w:tcPr>
            <w:tcW w:w="689" w:type="pct"/>
            <w:tcBorders>
              <w:top w:val="single" w:sz="2" w:space="0" w:color="auto"/>
              <w:left w:val="nil"/>
              <w:bottom w:val="single" w:sz="2" w:space="0" w:color="auto"/>
              <w:right w:val="nil"/>
            </w:tcBorders>
            <w:shd w:val="clear" w:color="auto" w:fill="auto"/>
            <w:noWrap/>
            <w:vAlign w:val="center"/>
            <w:hideMark/>
          </w:tcPr>
          <w:p w14:paraId="461C09F1" w14:textId="77777777" w:rsidR="00C8376C" w:rsidRPr="003A115E" w:rsidRDefault="00C8376C" w:rsidP="00AA29A2">
            <w:pPr>
              <w:pStyle w:val="cuatexto"/>
              <w:jc w:val="right"/>
            </w:pPr>
            <w:r w:rsidRPr="003A115E">
              <w:t>2</w:t>
            </w:r>
          </w:p>
        </w:tc>
        <w:tc>
          <w:tcPr>
            <w:tcW w:w="690" w:type="pct"/>
            <w:tcBorders>
              <w:top w:val="single" w:sz="2" w:space="0" w:color="auto"/>
              <w:left w:val="nil"/>
              <w:bottom w:val="single" w:sz="2" w:space="0" w:color="auto"/>
              <w:right w:val="nil"/>
            </w:tcBorders>
            <w:shd w:val="clear" w:color="auto" w:fill="auto"/>
            <w:noWrap/>
            <w:vAlign w:val="center"/>
            <w:hideMark/>
          </w:tcPr>
          <w:p w14:paraId="3CB64827" w14:textId="3E58BAF9" w:rsidR="00C8376C" w:rsidRPr="003A115E" w:rsidRDefault="00C8376C" w:rsidP="00AA29A2">
            <w:pPr>
              <w:pStyle w:val="cuatexto"/>
              <w:jc w:val="right"/>
            </w:pPr>
            <w:r w:rsidRPr="003A115E">
              <w:t>5</w:t>
            </w:r>
          </w:p>
        </w:tc>
        <w:tc>
          <w:tcPr>
            <w:tcW w:w="689" w:type="pct"/>
            <w:tcBorders>
              <w:top w:val="single" w:sz="2" w:space="0" w:color="auto"/>
              <w:left w:val="nil"/>
              <w:bottom w:val="single" w:sz="2" w:space="0" w:color="auto"/>
              <w:right w:val="nil"/>
            </w:tcBorders>
            <w:shd w:val="clear" w:color="auto" w:fill="auto"/>
            <w:noWrap/>
            <w:vAlign w:val="center"/>
            <w:hideMark/>
          </w:tcPr>
          <w:p w14:paraId="37FAE5B2" w14:textId="77777777" w:rsidR="00C8376C" w:rsidRPr="003A115E" w:rsidRDefault="00C8376C" w:rsidP="00AA29A2">
            <w:pPr>
              <w:pStyle w:val="cuatexto"/>
              <w:jc w:val="right"/>
            </w:pPr>
            <w:r w:rsidRPr="003A115E">
              <w:t>21</w:t>
            </w:r>
          </w:p>
        </w:tc>
        <w:tc>
          <w:tcPr>
            <w:tcW w:w="690" w:type="pct"/>
            <w:tcBorders>
              <w:top w:val="single" w:sz="2" w:space="0" w:color="auto"/>
              <w:left w:val="nil"/>
              <w:bottom w:val="single" w:sz="2" w:space="0" w:color="auto"/>
              <w:right w:val="nil"/>
            </w:tcBorders>
            <w:shd w:val="clear" w:color="auto" w:fill="auto"/>
            <w:noWrap/>
            <w:vAlign w:val="center"/>
            <w:hideMark/>
          </w:tcPr>
          <w:p w14:paraId="2F4ABC3A" w14:textId="6D09B0D4" w:rsidR="00C8376C" w:rsidRPr="003A115E" w:rsidRDefault="00C8376C" w:rsidP="00AA29A2">
            <w:pPr>
              <w:pStyle w:val="cuatexto"/>
              <w:jc w:val="right"/>
            </w:pPr>
            <w:r w:rsidRPr="003A115E">
              <w:t>32</w:t>
            </w:r>
          </w:p>
        </w:tc>
      </w:tr>
      <w:tr w:rsidR="000A742F" w:rsidRPr="003A115E" w14:paraId="31F3B87D" w14:textId="77777777" w:rsidTr="00767AA2">
        <w:trPr>
          <w:trHeight w:val="198"/>
        </w:trPr>
        <w:tc>
          <w:tcPr>
            <w:tcW w:w="864" w:type="pct"/>
            <w:tcBorders>
              <w:top w:val="single" w:sz="2" w:space="0" w:color="auto"/>
              <w:left w:val="nil"/>
              <w:bottom w:val="single" w:sz="4" w:space="0" w:color="auto"/>
              <w:right w:val="nil"/>
            </w:tcBorders>
            <w:shd w:val="clear" w:color="auto" w:fill="auto"/>
            <w:noWrap/>
            <w:vAlign w:val="center"/>
            <w:hideMark/>
          </w:tcPr>
          <w:p w14:paraId="328BED46" w14:textId="77777777" w:rsidR="00C8376C" w:rsidRPr="003A115E" w:rsidRDefault="00C8376C" w:rsidP="00AA29A2">
            <w:pPr>
              <w:pStyle w:val="cuatexto"/>
            </w:pPr>
            <w:r w:rsidRPr="003A115E">
              <w:t>Agrupaciones</w:t>
            </w:r>
          </w:p>
        </w:tc>
        <w:tc>
          <w:tcPr>
            <w:tcW w:w="689" w:type="pct"/>
            <w:tcBorders>
              <w:top w:val="single" w:sz="2" w:space="0" w:color="auto"/>
              <w:left w:val="nil"/>
              <w:bottom w:val="single" w:sz="4" w:space="0" w:color="auto"/>
              <w:right w:val="nil"/>
            </w:tcBorders>
            <w:shd w:val="clear" w:color="auto" w:fill="auto"/>
            <w:noWrap/>
            <w:vAlign w:val="center"/>
            <w:hideMark/>
          </w:tcPr>
          <w:p w14:paraId="3D1A55E5" w14:textId="77777777" w:rsidR="00C8376C" w:rsidRPr="003A115E" w:rsidRDefault="00C8376C" w:rsidP="00AA29A2">
            <w:pPr>
              <w:pStyle w:val="cuatexto"/>
              <w:jc w:val="right"/>
            </w:pPr>
            <w:r w:rsidRPr="003A115E">
              <w:t>18</w:t>
            </w:r>
          </w:p>
        </w:tc>
        <w:tc>
          <w:tcPr>
            <w:tcW w:w="690" w:type="pct"/>
            <w:tcBorders>
              <w:top w:val="single" w:sz="2" w:space="0" w:color="auto"/>
              <w:left w:val="nil"/>
              <w:bottom w:val="single" w:sz="4" w:space="0" w:color="auto"/>
              <w:right w:val="nil"/>
            </w:tcBorders>
            <w:shd w:val="clear" w:color="auto" w:fill="auto"/>
            <w:noWrap/>
            <w:vAlign w:val="center"/>
            <w:hideMark/>
          </w:tcPr>
          <w:p w14:paraId="365E0643" w14:textId="331C375A" w:rsidR="00C8376C" w:rsidRPr="003A115E" w:rsidRDefault="00C8376C" w:rsidP="00AA29A2">
            <w:pPr>
              <w:pStyle w:val="cuatexto"/>
              <w:jc w:val="right"/>
            </w:pPr>
            <w:r w:rsidRPr="003A115E">
              <w:t>5</w:t>
            </w:r>
          </w:p>
        </w:tc>
        <w:tc>
          <w:tcPr>
            <w:tcW w:w="689" w:type="pct"/>
            <w:tcBorders>
              <w:top w:val="single" w:sz="2" w:space="0" w:color="auto"/>
              <w:left w:val="nil"/>
              <w:bottom w:val="single" w:sz="4" w:space="0" w:color="auto"/>
              <w:right w:val="nil"/>
            </w:tcBorders>
            <w:shd w:val="clear" w:color="auto" w:fill="auto"/>
            <w:noWrap/>
            <w:vAlign w:val="center"/>
            <w:hideMark/>
          </w:tcPr>
          <w:p w14:paraId="50230A89" w14:textId="77777777" w:rsidR="00C8376C" w:rsidRPr="003A115E" w:rsidRDefault="00C8376C" w:rsidP="00AA29A2">
            <w:pPr>
              <w:pStyle w:val="cuatexto"/>
              <w:jc w:val="right"/>
            </w:pPr>
            <w:r w:rsidRPr="003A115E">
              <w:t>0</w:t>
            </w:r>
          </w:p>
        </w:tc>
        <w:tc>
          <w:tcPr>
            <w:tcW w:w="690" w:type="pct"/>
            <w:tcBorders>
              <w:top w:val="single" w:sz="2" w:space="0" w:color="auto"/>
              <w:left w:val="nil"/>
              <w:bottom w:val="single" w:sz="4" w:space="0" w:color="auto"/>
              <w:right w:val="nil"/>
            </w:tcBorders>
            <w:shd w:val="clear" w:color="auto" w:fill="auto"/>
            <w:noWrap/>
            <w:vAlign w:val="center"/>
            <w:hideMark/>
          </w:tcPr>
          <w:p w14:paraId="6B580D92" w14:textId="5C8439EE" w:rsidR="00C8376C" w:rsidRPr="003A115E" w:rsidRDefault="00C8376C" w:rsidP="00AA29A2">
            <w:pPr>
              <w:pStyle w:val="cuatexto"/>
              <w:jc w:val="right"/>
            </w:pPr>
            <w:r w:rsidRPr="003A115E">
              <w:t>0</w:t>
            </w:r>
          </w:p>
        </w:tc>
        <w:tc>
          <w:tcPr>
            <w:tcW w:w="689" w:type="pct"/>
            <w:tcBorders>
              <w:top w:val="single" w:sz="2" w:space="0" w:color="auto"/>
              <w:left w:val="nil"/>
              <w:bottom w:val="single" w:sz="4" w:space="0" w:color="auto"/>
              <w:right w:val="nil"/>
            </w:tcBorders>
            <w:shd w:val="clear" w:color="auto" w:fill="auto"/>
            <w:noWrap/>
            <w:vAlign w:val="center"/>
            <w:hideMark/>
          </w:tcPr>
          <w:p w14:paraId="2C0D9825" w14:textId="77777777" w:rsidR="00C8376C" w:rsidRPr="003A115E" w:rsidRDefault="00C8376C" w:rsidP="00AA29A2">
            <w:pPr>
              <w:pStyle w:val="cuatexto"/>
              <w:jc w:val="right"/>
            </w:pPr>
            <w:r w:rsidRPr="003A115E">
              <w:t>9</w:t>
            </w:r>
          </w:p>
        </w:tc>
        <w:tc>
          <w:tcPr>
            <w:tcW w:w="690" w:type="pct"/>
            <w:tcBorders>
              <w:top w:val="single" w:sz="2" w:space="0" w:color="auto"/>
              <w:left w:val="nil"/>
              <w:bottom w:val="single" w:sz="4" w:space="0" w:color="auto"/>
              <w:right w:val="nil"/>
            </w:tcBorders>
            <w:shd w:val="clear" w:color="auto" w:fill="auto"/>
            <w:noWrap/>
            <w:vAlign w:val="center"/>
            <w:hideMark/>
          </w:tcPr>
          <w:p w14:paraId="209291E5" w14:textId="57AF4F2E" w:rsidR="00C8376C" w:rsidRPr="003A115E" w:rsidRDefault="00C8376C" w:rsidP="00AA29A2">
            <w:pPr>
              <w:pStyle w:val="cuatexto"/>
              <w:jc w:val="right"/>
            </w:pPr>
            <w:r w:rsidRPr="003A115E">
              <w:t>36</w:t>
            </w:r>
          </w:p>
        </w:tc>
      </w:tr>
      <w:tr w:rsidR="000A742F" w:rsidRPr="003A115E" w14:paraId="18AE7893" w14:textId="77777777" w:rsidTr="00767AA2">
        <w:trPr>
          <w:trHeight w:val="255"/>
        </w:trPr>
        <w:tc>
          <w:tcPr>
            <w:tcW w:w="864" w:type="pct"/>
            <w:tcBorders>
              <w:top w:val="single" w:sz="4" w:space="0" w:color="auto"/>
              <w:left w:val="nil"/>
              <w:bottom w:val="single" w:sz="4" w:space="0" w:color="auto"/>
              <w:right w:val="nil"/>
            </w:tcBorders>
            <w:shd w:val="clear" w:color="auto" w:fill="FABF8F" w:themeFill="accent6" w:themeFillTint="99"/>
            <w:noWrap/>
            <w:vAlign w:val="center"/>
            <w:hideMark/>
          </w:tcPr>
          <w:p w14:paraId="6DF95306" w14:textId="77777777" w:rsidR="00C8376C" w:rsidRPr="003A115E" w:rsidRDefault="00C8376C" w:rsidP="00AA29A2">
            <w:pPr>
              <w:pStyle w:val="cuadroCabe"/>
            </w:pPr>
            <w:r w:rsidRPr="003A115E">
              <w:t>Total</w:t>
            </w:r>
          </w:p>
        </w:tc>
        <w:tc>
          <w:tcPr>
            <w:tcW w:w="689" w:type="pct"/>
            <w:tcBorders>
              <w:top w:val="single" w:sz="4" w:space="0" w:color="auto"/>
              <w:left w:val="nil"/>
              <w:bottom w:val="single" w:sz="4" w:space="0" w:color="auto"/>
              <w:right w:val="nil"/>
            </w:tcBorders>
            <w:shd w:val="clear" w:color="auto" w:fill="FABF8F" w:themeFill="accent6" w:themeFillTint="99"/>
            <w:noWrap/>
            <w:vAlign w:val="center"/>
            <w:hideMark/>
          </w:tcPr>
          <w:p w14:paraId="10F2EF30" w14:textId="77777777" w:rsidR="00C8376C" w:rsidRPr="003A115E" w:rsidRDefault="00C8376C" w:rsidP="00AA29A2">
            <w:pPr>
              <w:pStyle w:val="cuadroCabe"/>
              <w:jc w:val="right"/>
            </w:pPr>
            <w:r w:rsidRPr="003A115E">
              <w:t>25</w:t>
            </w:r>
          </w:p>
        </w:tc>
        <w:tc>
          <w:tcPr>
            <w:tcW w:w="690" w:type="pct"/>
            <w:tcBorders>
              <w:top w:val="single" w:sz="4" w:space="0" w:color="auto"/>
              <w:left w:val="nil"/>
              <w:bottom w:val="single" w:sz="4" w:space="0" w:color="auto"/>
              <w:right w:val="nil"/>
            </w:tcBorders>
            <w:shd w:val="clear" w:color="auto" w:fill="FABF8F" w:themeFill="accent6" w:themeFillTint="99"/>
            <w:noWrap/>
            <w:vAlign w:val="center"/>
            <w:hideMark/>
          </w:tcPr>
          <w:p w14:paraId="52CECE64" w14:textId="157A2B68" w:rsidR="00C8376C" w:rsidRPr="003A115E" w:rsidRDefault="00C8376C" w:rsidP="00AA29A2">
            <w:pPr>
              <w:pStyle w:val="cuadroCabe"/>
              <w:jc w:val="right"/>
            </w:pPr>
            <w:r w:rsidRPr="003A115E">
              <w:t>23</w:t>
            </w:r>
          </w:p>
        </w:tc>
        <w:tc>
          <w:tcPr>
            <w:tcW w:w="689" w:type="pct"/>
            <w:tcBorders>
              <w:top w:val="single" w:sz="4" w:space="0" w:color="auto"/>
              <w:left w:val="nil"/>
              <w:bottom w:val="single" w:sz="4" w:space="0" w:color="auto"/>
              <w:right w:val="nil"/>
            </w:tcBorders>
            <w:shd w:val="clear" w:color="auto" w:fill="FABF8F" w:themeFill="accent6" w:themeFillTint="99"/>
            <w:noWrap/>
            <w:vAlign w:val="center"/>
            <w:hideMark/>
          </w:tcPr>
          <w:p w14:paraId="62D0B6E1" w14:textId="77777777" w:rsidR="00C8376C" w:rsidRPr="003A115E" w:rsidRDefault="00C8376C" w:rsidP="00AA29A2">
            <w:pPr>
              <w:pStyle w:val="cuadroCabe"/>
              <w:jc w:val="right"/>
            </w:pPr>
            <w:r w:rsidRPr="003A115E">
              <w:t>3</w:t>
            </w:r>
          </w:p>
        </w:tc>
        <w:tc>
          <w:tcPr>
            <w:tcW w:w="690" w:type="pct"/>
            <w:tcBorders>
              <w:top w:val="single" w:sz="4" w:space="0" w:color="auto"/>
              <w:left w:val="nil"/>
              <w:bottom w:val="single" w:sz="4" w:space="0" w:color="auto"/>
              <w:right w:val="nil"/>
            </w:tcBorders>
            <w:shd w:val="clear" w:color="auto" w:fill="FABF8F" w:themeFill="accent6" w:themeFillTint="99"/>
            <w:noWrap/>
            <w:vAlign w:val="center"/>
            <w:hideMark/>
          </w:tcPr>
          <w:p w14:paraId="7C04CCCC" w14:textId="0ADFFD64" w:rsidR="00C8376C" w:rsidRPr="003A115E" w:rsidRDefault="00C8376C" w:rsidP="00AA29A2">
            <w:pPr>
              <w:pStyle w:val="cuadroCabe"/>
              <w:jc w:val="right"/>
            </w:pPr>
            <w:r w:rsidRPr="003A115E">
              <w:t>3</w:t>
            </w:r>
          </w:p>
        </w:tc>
        <w:tc>
          <w:tcPr>
            <w:tcW w:w="689" w:type="pct"/>
            <w:tcBorders>
              <w:top w:val="single" w:sz="4" w:space="0" w:color="auto"/>
              <w:left w:val="nil"/>
              <w:bottom w:val="single" w:sz="4" w:space="0" w:color="auto"/>
              <w:right w:val="nil"/>
            </w:tcBorders>
            <w:shd w:val="clear" w:color="auto" w:fill="FABF8F" w:themeFill="accent6" w:themeFillTint="99"/>
            <w:noWrap/>
            <w:vAlign w:val="center"/>
            <w:hideMark/>
          </w:tcPr>
          <w:p w14:paraId="5F31A000" w14:textId="77777777" w:rsidR="00C8376C" w:rsidRPr="003A115E" w:rsidRDefault="00C8376C" w:rsidP="00AA29A2">
            <w:pPr>
              <w:pStyle w:val="cuadroCabe"/>
              <w:jc w:val="right"/>
            </w:pPr>
            <w:r w:rsidRPr="003A115E">
              <w:t>23</w:t>
            </w:r>
          </w:p>
        </w:tc>
        <w:tc>
          <w:tcPr>
            <w:tcW w:w="690" w:type="pct"/>
            <w:tcBorders>
              <w:top w:val="single" w:sz="4" w:space="0" w:color="auto"/>
              <w:left w:val="nil"/>
              <w:bottom w:val="single" w:sz="4" w:space="0" w:color="auto"/>
              <w:right w:val="nil"/>
            </w:tcBorders>
            <w:shd w:val="clear" w:color="auto" w:fill="FABF8F" w:themeFill="accent6" w:themeFillTint="99"/>
            <w:noWrap/>
            <w:vAlign w:val="center"/>
            <w:hideMark/>
          </w:tcPr>
          <w:p w14:paraId="0DD3FD70" w14:textId="4E08992E" w:rsidR="00C8376C" w:rsidRPr="003A115E" w:rsidRDefault="00C8376C" w:rsidP="00AA29A2">
            <w:pPr>
              <w:pStyle w:val="cuadroCabe"/>
              <w:jc w:val="right"/>
            </w:pPr>
            <w:r w:rsidRPr="003A115E">
              <w:t>24</w:t>
            </w:r>
          </w:p>
        </w:tc>
      </w:tr>
    </w:tbl>
    <w:p w14:paraId="4F137E72" w14:textId="62B10884" w:rsidR="00C84D07" w:rsidRPr="003A115E" w:rsidRDefault="00202B90" w:rsidP="00CC28BD">
      <w:pPr>
        <w:pStyle w:val="texto"/>
        <w:tabs>
          <w:tab w:val="clear" w:pos="2835"/>
          <w:tab w:val="center" w:pos="567"/>
        </w:tabs>
        <w:spacing w:before="240"/>
        <w:rPr>
          <w:rFonts w:cs="Arial"/>
          <w:lang w:val="es-ES"/>
        </w:rPr>
      </w:pPr>
      <w:r w:rsidRPr="003A115E">
        <w:rPr>
          <w:rFonts w:cs="Arial"/>
          <w:lang w:val="es-ES"/>
        </w:rPr>
        <w:t>Solo el 23</w:t>
      </w:r>
      <w:r w:rsidR="00C84D07" w:rsidRPr="003A115E">
        <w:rPr>
          <w:rFonts w:cs="Arial"/>
          <w:lang w:val="es-ES"/>
        </w:rPr>
        <w:t xml:space="preserve"> por ciento de las entidades locales han aprobado su presupuesto en plazo. Además, </w:t>
      </w:r>
      <w:r w:rsidR="00C007FA" w:rsidRPr="003A115E">
        <w:rPr>
          <w:rFonts w:cs="Arial"/>
          <w:lang w:val="es-ES"/>
        </w:rPr>
        <w:t>destacan</w:t>
      </w:r>
      <w:r w:rsidR="00C84D07" w:rsidRPr="003A115E">
        <w:rPr>
          <w:rFonts w:cs="Arial"/>
          <w:lang w:val="es-ES"/>
        </w:rPr>
        <w:t xml:space="preserve"> las demoras en la remisión de la información a la </w:t>
      </w:r>
      <w:r w:rsidR="00B45520" w:rsidRPr="003A115E">
        <w:rPr>
          <w:rFonts w:cs="Arial"/>
          <w:lang w:val="es-ES"/>
        </w:rPr>
        <w:t>ACFN</w:t>
      </w:r>
      <w:r w:rsidR="00C84D07" w:rsidRPr="003A115E">
        <w:rPr>
          <w:rFonts w:cs="Arial"/>
          <w:lang w:val="es-ES"/>
        </w:rPr>
        <w:t xml:space="preserve">, que son muy superiores a las que afectan a las liquidaciones de presupuestos y cuentas generales. </w:t>
      </w:r>
    </w:p>
    <w:p w14:paraId="66BC255A" w14:textId="7EE32F1A" w:rsidR="00B45520" w:rsidRPr="003A115E" w:rsidRDefault="00202B90" w:rsidP="00202B90">
      <w:pPr>
        <w:pStyle w:val="texto"/>
        <w:tabs>
          <w:tab w:val="clear" w:pos="2835"/>
          <w:tab w:val="center" w:pos="567"/>
        </w:tabs>
        <w:spacing w:before="240"/>
        <w:rPr>
          <w:rFonts w:cs="Arial"/>
          <w:lang w:val="es-ES"/>
        </w:rPr>
      </w:pPr>
      <w:r w:rsidRPr="003A115E">
        <w:rPr>
          <w:rFonts w:cs="Arial"/>
          <w:lang w:val="es-ES"/>
        </w:rPr>
        <w:t xml:space="preserve">No obstante, a fecha de elaboración de este informe, han remitido los expedientes de presupuestos de 2022 a la </w:t>
      </w:r>
      <w:r w:rsidR="00B45520" w:rsidRPr="003A115E">
        <w:rPr>
          <w:rFonts w:cs="Arial"/>
          <w:lang w:val="es-ES"/>
        </w:rPr>
        <w:t>ACFN</w:t>
      </w:r>
      <w:r w:rsidRPr="003A115E">
        <w:rPr>
          <w:rFonts w:cs="Arial"/>
          <w:lang w:val="es-ES"/>
        </w:rPr>
        <w:t xml:space="preserve"> el </w:t>
      </w:r>
      <w:r w:rsidR="00F15952" w:rsidRPr="003A115E">
        <w:rPr>
          <w:rFonts w:cs="Arial"/>
          <w:lang w:val="es-ES"/>
        </w:rPr>
        <w:t>81</w:t>
      </w:r>
      <w:r w:rsidRPr="003A115E">
        <w:rPr>
          <w:rFonts w:cs="Arial"/>
          <w:lang w:val="es-ES"/>
        </w:rPr>
        <w:t xml:space="preserve"> por ciento de las entidades locales.</w:t>
      </w:r>
    </w:p>
    <w:p w14:paraId="6C92F892" w14:textId="4170BEF1" w:rsidR="007D4F1A" w:rsidRPr="003A115E" w:rsidRDefault="007D4F1A">
      <w:pPr>
        <w:rPr>
          <w:rFonts w:cs="Arial"/>
          <w:spacing w:val="6"/>
          <w:sz w:val="26"/>
          <w:lang w:eastAsia="en-US"/>
        </w:rPr>
      </w:pPr>
      <w:r w:rsidRPr="003A115E">
        <w:rPr>
          <w:rFonts w:cs="Arial"/>
        </w:rPr>
        <w:br w:type="page"/>
      </w:r>
    </w:p>
    <w:p w14:paraId="5C3E8033" w14:textId="0667D35B" w:rsidR="00683931" w:rsidRPr="003A115E" w:rsidRDefault="00683931" w:rsidP="00C84D07">
      <w:pPr>
        <w:pStyle w:val="atitulo1"/>
        <w:rPr>
          <w:color w:val="auto"/>
        </w:rPr>
      </w:pPr>
      <w:bookmarkStart w:id="90" w:name="_Toc183679757"/>
      <w:r w:rsidRPr="003A115E">
        <w:rPr>
          <w:color w:val="auto"/>
        </w:rPr>
        <w:lastRenderedPageBreak/>
        <w:t xml:space="preserve">IX. </w:t>
      </w:r>
      <w:r w:rsidR="004B35F2" w:rsidRPr="003A115E">
        <w:rPr>
          <w:color w:val="auto"/>
        </w:rPr>
        <w:t>Control interno y r</w:t>
      </w:r>
      <w:r w:rsidR="00543D5A" w:rsidRPr="003A115E">
        <w:rPr>
          <w:color w:val="auto"/>
        </w:rPr>
        <w:t xml:space="preserve">eparos emitidos por los órganos </w:t>
      </w:r>
      <w:r w:rsidR="00DA5225" w:rsidRPr="003A115E">
        <w:rPr>
          <w:color w:val="auto"/>
        </w:rPr>
        <w:t>interventores</w:t>
      </w:r>
      <w:bookmarkEnd w:id="90"/>
      <w:r w:rsidR="00543D5A" w:rsidRPr="003A115E">
        <w:rPr>
          <w:color w:val="auto"/>
        </w:rPr>
        <w:t xml:space="preserve"> </w:t>
      </w:r>
    </w:p>
    <w:p w14:paraId="07D3C912" w14:textId="7F109050" w:rsidR="000E3227" w:rsidRPr="003A115E" w:rsidRDefault="000E3227" w:rsidP="00DA0A16">
      <w:pPr>
        <w:pStyle w:val="atitulo2"/>
        <w:rPr>
          <w:color w:val="auto"/>
        </w:rPr>
      </w:pPr>
      <w:bookmarkStart w:id="91" w:name="_Toc123547415"/>
      <w:bookmarkStart w:id="92" w:name="_Toc183679758"/>
      <w:r w:rsidRPr="003A115E">
        <w:rPr>
          <w:color w:val="auto"/>
        </w:rPr>
        <w:t>IX.1 Cumplimiento de la obligación de remisión de la información solicitada</w:t>
      </w:r>
      <w:bookmarkEnd w:id="91"/>
      <w:bookmarkEnd w:id="92"/>
    </w:p>
    <w:p w14:paraId="35127511" w14:textId="5AB9A767" w:rsidR="000E3227" w:rsidRPr="003A115E" w:rsidRDefault="000E3227" w:rsidP="000E3227">
      <w:pPr>
        <w:pStyle w:val="texto"/>
        <w:rPr>
          <w:lang w:val="es-ES"/>
        </w:rPr>
      </w:pPr>
      <w:r w:rsidRPr="003A115E">
        <w:rPr>
          <w:lang w:val="es-ES"/>
        </w:rPr>
        <w:t>La información de esta sección se basa en las respuestas al cuestionario remitido por esta Cám</w:t>
      </w:r>
      <w:r w:rsidR="00D720F6" w:rsidRPr="003A115E">
        <w:rPr>
          <w:lang w:val="es-ES"/>
        </w:rPr>
        <w:t>ara de Comptos, en junio de 2023</w:t>
      </w:r>
      <w:r w:rsidRPr="003A115E">
        <w:rPr>
          <w:lang w:val="es-ES"/>
        </w:rPr>
        <w:t xml:space="preserve">, a los órganos de intervención de los ayuntamientos, mancomunidades y agrupaciones, en el que se solicitaba información sobre el control interno ejercido </w:t>
      </w:r>
      <w:r w:rsidR="00D720F6" w:rsidRPr="003A115E">
        <w:rPr>
          <w:lang w:val="es-ES"/>
        </w:rPr>
        <w:t>en 2022</w:t>
      </w:r>
      <w:r w:rsidRPr="003A115E">
        <w:rPr>
          <w:lang w:val="es-ES"/>
        </w:rPr>
        <w:t>. El formulario no se remitió a los concejos, puesto que no disponen de personal de intervención o secretaría habilitado que ejerza las funciones de control interno.</w:t>
      </w:r>
    </w:p>
    <w:p w14:paraId="2BF6CC52" w14:textId="3D9749EA" w:rsidR="000E3227" w:rsidRPr="003A115E" w:rsidRDefault="000E3227" w:rsidP="000E3227">
      <w:pPr>
        <w:pStyle w:val="texto"/>
        <w:rPr>
          <w:lang w:val="es-ES"/>
        </w:rPr>
      </w:pPr>
      <w:r w:rsidRPr="003A115E">
        <w:rPr>
          <w:lang w:val="es-ES"/>
        </w:rPr>
        <w:t>El cuestionario se envió a 35</w:t>
      </w:r>
      <w:r w:rsidR="00427C48" w:rsidRPr="003A115E">
        <w:rPr>
          <w:lang w:val="es-ES"/>
        </w:rPr>
        <w:t>3</w:t>
      </w:r>
      <w:r w:rsidRPr="003A115E">
        <w:rPr>
          <w:lang w:val="es-ES"/>
        </w:rPr>
        <w:t xml:space="preserve"> ent</w:t>
      </w:r>
      <w:r w:rsidR="00427C48" w:rsidRPr="003A115E">
        <w:rPr>
          <w:lang w:val="es-ES"/>
        </w:rPr>
        <w:t xml:space="preserve">idades locales, recibiéndose </w:t>
      </w:r>
      <w:r w:rsidR="00166114" w:rsidRPr="003A115E">
        <w:rPr>
          <w:lang w:val="es-ES"/>
        </w:rPr>
        <w:t>289</w:t>
      </w:r>
      <w:r w:rsidRPr="003A115E">
        <w:rPr>
          <w:lang w:val="es-ES"/>
        </w:rPr>
        <w:t xml:space="preserve"> respuestas, lo que sitúa e</w:t>
      </w:r>
      <w:r w:rsidR="002D07B2" w:rsidRPr="003A115E">
        <w:rPr>
          <w:lang w:val="es-ES"/>
        </w:rPr>
        <w:t>l grado de cumplimiento en el 8</w:t>
      </w:r>
      <w:r w:rsidR="00166114" w:rsidRPr="003A115E">
        <w:rPr>
          <w:lang w:val="es-ES"/>
        </w:rPr>
        <w:t>2</w:t>
      </w:r>
      <w:r w:rsidRPr="003A115E">
        <w:rPr>
          <w:lang w:val="es-ES"/>
        </w:rPr>
        <w:t xml:space="preserve"> por ciento, </w:t>
      </w:r>
      <w:r w:rsidR="004424B9" w:rsidRPr="003A115E">
        <w:rPr>
          <w:lang w:val="es-ES"/>
        </w:rPr>
        <w:t>cifra similar al</w:t>
      </w:r>
      <w:r w:rsidRPr="003A115E">
        <w:rPr>
          <w:lang w:val="es-ES"/>
        </w:rPr>
        <w:t xml:space="preserve"> ejercicio anterior. Entre las entidades que no respondieron destaca, por población, el Ayuntamiento de </w:t>
      </w:r>
      <w:r w:rsidR="004424B9" w:rsidRPr="003A115E">
        <w:rPr>
          <w:lang w:val="es-ES"/>
        </w:rPr>
        <w:t>Huarte</w:t>
      </w:r>
      <w:r w:rsidRPr="003A115E">
        <w:rPr>
          <w:lang w:val="es-ES"/>
        </w:rPr>
        <w:t>.</w:t>
      </w:r>
    </w:p>
    <w:p w14:paraId="5B75847D" w14:textId="01B826D0" w:rsidR="000E3227" w:rsidRPr="003A115E" w:rsidRDefault="00524B48" w:rsidP="00DA0A16">
      <w:pPr>
        <w:pStyle w:val="atitulo2"/>
        <w:rPr>
          <w:color w:val="auto"/>
        </w:rPr>
      </w:pPr>
      <w:bookmarkStart w:id="93" w:name="_Toc123547416"/>
      <w:bookmarkStart w:id="94" w:name="_Toc183679759"/>
      <w:r w:rsidRPr="003A115E">
        <w:rPr>
          <w:color w:val="auto"/>
        </w:rPr>
        <w:t>IX.2 Control</w:t>
      </w:r>
      <w:r w:rsidR="000E3227" w:rsidRPr="003A115E">
        <w:rPr>
          <w:color w:val="auto"/>
        </w:rPr>
        <w:t xml:space="preserve"> interno</w:t>
      </w:r>
      <w:bookmarkEnd w:id="93"/>
      <w:bookmarkEnd w:id="94"/>
    </w:p>
    <w:p w14:paraId="425A6740" w14:textId="6C612CE5" w:rsidR="002A3542" w:rsidRPr="003A115E" w:rsidRDefault="79B4F94C" w:rsidP="00F020C8">
      <w:pPr>
        <w:pStyle w:val="texto"/>
        <w:rPr>
          <w:b/>
          <w:bCs/>
          <w:lang w:val="es-ES"/>
        </w:rPr>
      </w:pPr>
      <w:r w:rsidRPr="003A115E">
        <w:rPr>
          <w:lang w:val="es-ES"/>
        </w:rPr>
        <w:t>La normativa distingue tres modalidades de control interno: función interventora, control financiero y control de eficacia.</w:t>
      </w:r>
    </w:p>
    <w:p w14:paraId="78ABE364" w14:textId="4610B68F" w:rsidR="00577A16" w:rsidRPr="003A115E" w:rsidRDefault="79B4F94C" w:rsidP="000001CA">
      <w:pPr>
        <w:pStyle w:val="texto"/>
        <w:spacing w:after="240"/>
        <w:rPr>
          <w:lang w:val="es-ES"/>
        </w:rPr>
      </w:pPr>
      <w:r w:rsidRPr="003A115E">
        <w:rPr>
          <w:lang w:val="es-ES"/>
        </w:rPr>
        <w:t xml:space="preserve">La tabla siguiente muestra </w:t>
      </w:r>
      <w:r w:rsidR="00BA3751" w:rsidRPr="003A115E">
        <w:rPr>
          <w:lang w:val="es-ES"/>
        </w:rPr>
        <w:t>el tipo de</w:t>
      </w:r>
      <w:r w:rsidRPr="003A115E">
        <w:rPr>
          <w:lang w:val="es-ES"/>
        </w:rPr>
        <w:t xml:space="preserve"> controles practicados por las entidades locales dentro del ámbito de la función interventora:</w:t>
      </w:r>
    </w:p>
    <w:p w14:paraId="6F2EB589" w14:textId="3BD2DE56" w:rsidR="00577A16" w:rsidRPr="003A115E" w:rsidRDefault="00E0794A" w:rsidP="0186A00D">
      <w:pPr>
        <w:pStyle w:val="texto"/>
        <w:spacing w:after="40"/>
        <w:jc w:val="right"/>
        <w:rPr>
          <w:rFonts w:ascii="Arial Narrow" w:hAnsi="Arial Narrow"/>
          <w:sz w:val="18"/>
          <w:szCs w:val="18"/>
          <w:lang w:val="es-ES"/>
        </w:rPr>
      </w:pPr>
      <w:r w:rsidRPr="003A115E">
        <w:rPr>
          <w:rFonts w:ascii="Arial Narrow" w:hAnsi="Arial Narrow"/>
          <w:sz w:val="18"/>
          <w:szCs w:val="18"/>
          <w:lang w:val="es-ES"/>
        </w:rPr>
        <w:t>(</w:t>
      </w:r>
      <w:r w:rsidR="00577A16" w:rsidRPr="003A115E">
        <w:rPr>
          <w:rFonts w:ascii="Arial Narrow" w:hAnsi="Arial Narrow"/>
          <w:sz w:val="18"/>
          <w:szCs w:val="18"/>
          <w:lang w:val="es-ES"/>
        </w:rPr>
        <w:t>Nº</w:t>
      </w:r>
      <w:r w:rsidRPr="003A115E">
        <w:rPr>
          <w:rFonts w:ascii="Arial Narrow" w:hAnsi="Arial Narrow"/>
          <w:sz w:val="18"/>
          <w:szCs w:val="18"/>
          <w:lang w:val="es-ES"/>
        </w:rPr>
        <w:t xml:space="preserve"> de entidades locales)</w:t>
      </w:r>
    </w:p>
    <w:tbl>
      <w:tblPr>
        <w:tblW w:w="5000" w:type="pct"/>
        <w:tblCellMar>
          <w:left w:w="70" w:type="dxa"/>
          <w:right w:w="70" w:type="dxa"/>
        </w:tblCellMar>
        <w:tblLook w:val="04A0" w:firstRow="1" w:lastRow="0" w:firstColumn="1" w:lastColumn="0" w:noHBand="0" w:noVBand="1"/>
      </w:tblPr>
      <w:tblGrid>
        <w:gridCol w:w="2787"/>
        <w:gridCol w:w="600"/>
        <w:gridCol w:w="601"/>
        <w:gridCol w:w="599"/>
        <w:gridCol w:w="601"/>
        <w:gridCol w:w="599"/>
        <w:gridCol w:w="601"/>
        <w:gridCol w:w="599"/>
        <w:gridCol w:w="601"/>
        <w:gridCol w:w="599"/>
        <w:gridCol w:w="601"/>
      </w:tblGrid>
      <w:tr w:rsidR="000A742F" w:rsidRPr="003A115E" w14:paraId="59AD592A" w14:textId="77777777" w:rsidTr="004D2232">
        <w:trPr>
          <w:trHeight w:val="276"/>
        </w:trPr>
        <w:tc>
          <w:tcPr>
            <w:tcW w:w="1585" w:type="pct"/>
            <w:vMerge w:val="restart"/>
            <w:tcBorders>
              <w:top w:val="single" w:sz="4" w:space="0" w:color="auto"/>
              <w:left w:val="nil"/>
              <w:bottom w:val="single" w:sz="2" w:space="0" w:color="auto"/>
              <w:right w:val="single" w:sz="2" w:space="0" w:color="auto"/>
            </w:tcBorders>
            <w:shd w:val="clear" w:color="auto" w:fill="FABF8F" w:themeFill="accent6" w:themeFillTint="99"/>
            <w:noWrap/>
            <w:vAlign w:val="center"/>
            <w:hideMark/>
          </w:tcPr>
          <w:p w14:paraId="0A6EFEDB" w14:textId="77777777" w:rsidR="006603F3" w:rsidRPr="003A115E" w:rsidRDefault="006603F3" w:rsidP="00B7602B">
            <w:pPr>
              <w:pStyle w:val="cuadroCabe"/>
            </w:pPr>
            <w:r w:rsidRPr="003A115E">
              <w:t>Tipo de ente local</w:t>
            </w:r>
          </w:p>
        </w:tc>
        <w:tc>
          <w:tcPr>
            <w:tcW w:w="683" w:type="pct"/>
            <w:gridSpan w:val="2"/>
            <w:vMerge w:val="restart"/>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7EC8288D" w14:textId="77777777" w:rsidR="00D8030F" w:rsidRPr="003A115E" w:rsidRDefault="006603F3" w:rsidP="00D8030F">
            <w:pPr>
              <w:pStyle w:val="cuadroCabe"/>
              <w:jc w:val="right"/>
              <w:rPr>
                <w:lang w:val="es-ES"/>
              </w:rPr>
            </w:pPr>
            <w:r w:rsidRPr="003A115E">
              <w:rPr>
                <w:lang w:val="es-ES"/>
              </w:rPr>
              <w:t xml:space="preserve">Total </w:t>
            </w:r>
          </w:p>
          <w:p w14:paraId="5F33D55F" w14:textId="56290596" w:rsidR="006603F3" w:rsidRPr="003A115E" w:rsidRDefault="006603F3" w:rsidP="00D8030F">
            <w:pPr>
              <w:pStyle w:val="cuadroCabe"/>
              <w:jc w:val="right"/>
            </w:pPr>
            <w:r w:rsidRPr="003A115E">
              <w:rPr>
                <w:lang w:val="es-ES"/>
              </w:rPr>
              <w:t>respuestas</w:t>
            </w:r>
          </w:p>
        </w:tc>
        <w:tc>
          <w:tcPr>
            <w:tcW w:w="683" w:type="pct"/>
            <w:gridSpan w:val="2"/>
            <w:vMerge w:val="restart"/>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628D9818" w14:textId="77777777" w:rsidR="006603F3" w:rsidRPr="003A115E" w:rsidRDefault="006603F3" w:rsidP="00D8030F">
            <w:pPr>
              <w:pStyle w:val="cuadroCabe"/>
              <w:jc w:val="right"/>
            </w:pPr>
            <w:r w:rsidRPr="003A115E">
              <w:t>Intervención formal pago</w:t>
            </w:r>
          </w:p>
        </w:tc>
        <w:tc>
          <w:tcPr>
            <w:tcW w:w="683" w:type="pct"/>
            <w:gridSpan w:val="2"/>
            <w:vMerge w:val="restart"/>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6D10B0D9" w14:textId="77777777" w:rsidR="006603F3" w:rsidRPr="003A115E" w:rsidRDefault="006603F3" w:rsidP="00D8030F">
            <w:pPr>
              <w:pStyle w:val="cuadroCabe"/>
              <w:jc w:val="right"/>
            </w:pPr>
            <w:r w:rsidRPr="003A115E">
              <w:t>Intervención material pago</w:t>
            </w:r>
          </w:p>
        </w:tc>
        <w:tc>
          <w:tcPr>
            <w:tcW w:w="683" w:type="pct"/>
            <w:gridSpan w:val="2"/>
            <w:vMerge w:val="restart"/>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345D76C2" w14:textId="77777777" w:rsidR="006603F3" w:rsidRPr="003A115E" w:rsidRDefault="006603F3" w:rsidP="00D8030F">
            <w:pPr>
              <w:pStyle w:val="cuadroCabe"/>
              <w:jc w:val="right"/>
            </w:pPr>
            <w:r w:rsidRPr="003A115E">
              <w:t>Comprobación inversiones</w:t>
            </w:r>
          </w:p>
        </w:tc>
        <w:tc>
          <w:tcPr>
            <w:tcW w:w="683" w:type="pct"/>
            <w:gridSpan w:val="2"/>
            <w:vMerge w:val="restart"/>
            <w:tcBorders>
              <w:top w:val="single" w:sz="4" w:space="0" w:color="auto"/>
              <w:left w:val="single" w:sz="2" w:space="0" w:color="auto"/>
              <w:bottom w:val="single" w:sz="2" w:space="0" w:color="auto"/>
            </w:tcBorders>
            <w:shd w:val="clear" w:color="auto" w:fill="FABF8F" w:themeFill="accent6" w:themeFillTint="99"/>
            <w:vAlign w:val="center"/>
            <w:hideMark/>
          </w:tcPr>
          <w:p w14:paraId="00A1C91F" w14:textId="77777777" w:rsidR="006603F3" w:rsidRPr="003A115E" w:rsidRDefault="006603F3" w:rsidP="00D8030F">
            <w:pPr>
              <w:pStyle w:val="cuadroCabe"/>
              <w:jc w:val="right"/>
            </w:pPr>
            <w:r w:rsidRPr="003A115E">
              <w:t>Comprobación subvenciones</w:t>
            </w:r>
          </w:p>
        </w:tc>
      </w:tr>
      <w:tr w:rsidR="000A742F" w:rsidRPr="003A115E" w14:paraId="3AF7F949" w14:textId="77777777" w:rsidTr="004D2232">
        <w:trPr>
          <w:trHeight w:val="276"/>
        </w:trPr>
        <w:tc>
          <w:tcPr>
            <w:tcW w:w="1585" w:type="pct"/>
            <w:vMerge/>
            <w:tcBorders>
              <w:top w:val="single" w:sz="2" w:space="0" w:color="auto"/>
              <w:bottom w:val="single" w:sz="2" w:space="0" w:color="auto"/>
              <w:right w:val="single" w:sz="2" w:space="0" w:color="auto"/>
            </w:tcBorders>
            <w:shd w:val="clear" w:color="auto" w:fill="FABF8F" w:themeFill="accent6" w:themeFillTint="99"/>
            <w:vAlign w:val="center"/>
            <w:hideMark/>
          </w:tcPr>
          <w:p w14:paraId="6A429538" w14:textId="77777777" w:rsidR="006603F3" w:rsidRPr="003A115E" w:rsidRDefault="006603F3" w:rsidP="00CC28BD">
            <w:pPr>
              <w:pStyle w:val="cuadroCabe"/>
              <w:rPr>
                <w:rFonts w:ascii="Arial Narrow" w:hAnsi="Arial Narrow" w:cs="Calibri"/>
                <w:sz w:val="16"/>
                <w:szCs w:val="16"/>
              </w:rPr>
            </w:pPr>
          </w:p>
        </w:tc>
        <w:tc>
          <w:tcPr>
            <w:tcW w:w="683" w:type="pct"/>
            <w:gridSpan w:val="2"/>
            <w:vMerge/>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hideMark/>
          </w:tcPr>
          <w:p w14:paraId="17637F68" w14:textId="77777777" w:rsidR="006603F3" w:rsidRPr="003A115E" w:rsidRDefault="006603F3" w:rsidP="00D8030F">
            <w:pPr>
              <w:pStyle w:val="cuadroCabe"/>
              <w:jc w:val="right"/>
              <w:rPr>
                <w:rFonts w:ascii="Arial Narrow" w:hAnsi="Arial Narrow" w:cs="Calibri"/>
                <w:sz w:val="16"/>
                <w:szCs w:val="16"/>
              </w:rPr>
            </w:pPr>
          </w:p>
        </w:tc>
        <w:tc>
          <w:tcPr>
            <w:tcW w:w="683" w:type="pct"/>
            <w:gridSpan w:val="2"/>
            <w:vMerge/>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hideMark/>
          </w:tcPr>
          <w:p w14:paraId="5F1B6822" w14:textId="77777777" w:rsidR="006603F3" w:rsidRPr="003A115E" w:rsidRDefault="006603F3" w:rsidP="00D8030F">
            <w:pPr>
              <w:pStyle w:val="cuadroCabe"/>
              <w:jc w:val="right"/>
              <w:rPr>
                <w:rFonts w:ascii="Arial Narrow" w:hAnsi="Arial Narrow" w:cs="Calibri"/>
                <w:sz w:val="16"/>
                <w:szCs w:val="16"/>
              </w:rPr>
            </w:pPr>
          </w:p>
        </w:tc>
        <w:tc>
          <w:tcPr>
            <w:tcW w:w="683" w:type="pct"/>
            <w:gridSpan w:val="2"/>
            <w:vMerge/>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hideMark/>
          </w:tcPr>
          <w:p w14:paraId="3976D8C3" w14:textId="77777777" w:rsidR="006603F3" w:rsidRPr="003A115E" w:rsidRDefault="006603F3" w:rsidP="00D8030F">
            <w:pPr>
              <w:pStyle w:val="cuadroCabe"/>
              <w:jc w:val="right"/>
              <w:rPr>
                <w:rFonts w:ascii="Arial Narrow" w:hAnsi="Arial Narrow" w:cs="Calibri"/>
                <w:sz w:val="16"/>
                <w:szCs w:val="16"/>
              </w:rPr>
            </w:pPr>
          </w:p>
        </w:tc>
        <w:tc>
          <w:tcPr>
            <w:tcW w:w="683" w:type="pct"/>
            <w:gridSpan w:val="2"/>
            <w:vMerge/>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hideMark/>
          </w:tcPr>
          <w:p w14:paraId="1F6686B6" w14:textId="77777777" w:rsidR="006603F3" w:rsidRPr="003A115E" w:rsidRDefault="006603F3" w:rsidP="00D8030F">
            <w:pPr>
              <w:pStyle w:val="cuadroCabe"/>
              <w:jc w:val="right"/>
              <w:rPr>
                <w:rFonts w:ascii="Arial Narrow" w:hAnsi="Arial Narrow" w:cs="Calibri"/>
                <w:sz w:val="16"/>
                <w:szCs w:val="16"/>
              </w:rPr>
            </w:pPr>
          </w:p>
        </w:tc>
        <w:tc>
          <w:tcPr>
            <w:tcW w:w="683" w:type="pct"/>
            <w:gridSpan w:val="2"/>
            <w:vMerge/>
            <w:tcBorders>
              <w:top w:val="single" w:sz="2" w:space="0" w:color="auto"/>
              <w:left w:val="single" w:sz="2" w:space="0" w:color="auto"/>
              <w:bottom w:val="single" w:sz="2" w:space="0" w:color="auto"/>
            </w:tcBorders>
            <w:shd w:val="clear" w:color="auto" w:fill="FABF8F" w:themeFill="accent6" w:themeFillTint="99"/>
            <w:vAlign w:val="center"/>
            <w:hideMark/>
          </w:tcPr>
          <w:p w14:paraId="3B4AADBD" w14:textId="77777777" w:rsidR="006603F3" w:rsidRPr="003A115E" w:rsidRDefault="006603F3" w:rsidP="00D8030F">
            <w:pPr>
              <w:pStyle w:val="cuadroCabe"/>
              <w:jc w:val="right"/>
              <w:rPr>
                <w:rFonts w:ascii="Arial Narrow" w:hAnsi="Arial Narrow" w:cs="Calibri"/>
                <w:sz w:val="16"/>
                <w:szCs w:val="16"/>
              </w:rPr>
            </w:pPr>
          </w:p>
        </w:tc>
      </w:tr>
      <w:tr w:rsidR="000A742F" w:rsidRPr="003A115E" w14:paraId="788A2034" w14:textId="77777777" w:rsidTr="004D2232">
        <w:trPr>
          <w:trHeight w:val="255"/>
        </w:trPr>
        <w:tc>
          <w:tcPr>
            <w:tcW w:w="1585" w:type="pct"/>
            <w:vMerge/>
            <w:tcBorders>
              <w:top w:val="single" w:sz="2" w:space="0" w:color="auto"/>
              <w:bottom w:val="single" w:sz="4" w:space="0" w:color="auto"/>
              <w:right w:val="single" w:sz="2" w:space="0" w:color="auto"/>
            </w:tcBorders>
            <w:shd w:val="clear" w:color="auto" w:fill="FABF8F" w:themeFill="accent6" w:themeFillTint="99"/>
            <w:vAlign w:val="center"/>
            <w:hideMark/>
          </w:tcPr>
          <w:p w14:paraId="56234640" w14:textId="77777777" w:rsidR="006603F3" w:rsidRPr="003A115E" w:rsidRDefault="006603F3" w:rsidP="00CC28BD">
            <w:pPr>
              <w:pStyle w:val="cuadroCabe"/>
              <w:rPr>
                <w:rFonts w:ascii="Arial Narrow" w:hAnsi="Arial Narrow" w:cs="Calibri"/>
                <w:sz w:val="16"/>
                <w:szCs w:val="16"/>
              </w:rPr>
            </w:pPr>
          </w:p>
        </w:tc>
        <w:tc>
          <w:tcPr>
            <w:tcW w:w="341"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224AF233" w14:textId="77777777" w:rsidR="006603F3" w:rsidRPr="003A115E" w:rsidRDefault="006603F3" w:rsidP="00D8030F">
            <w:pPr>
              <w:pStyle w:val="cuadroCabe"/>
              <w:jc w:val="right"/>
              <w:rPr>
                <w:rFonts w:cs="Arial"/>
                <w:szCs w:val="18"/>
              </w:rPr>
            </w:pPr>
            <w:r w:rsidRPr="003A115E">
              <w:rPr>
                <w:rFonts w:cs="Arial"/>
                <w:szCs w:val="18"/>
              </w:rPr>
              <w:t>2021</w:t>
            </w:r>
          </w:p>
        </w:tc>
        <w:tc>
          <w:tcPr>
            <w:tcW w:w="342" w:type="pct"/>
            <w:tcBorders>
              <w:top w:val="single" w:sz="2" w:space="0" w:color="auto"/>
              <w:bottom w:val="single" w:sz="4" w:space="0" w:color="auto"/>
              <w:right w:val="single" w:sz="2" w:space="0" w:color="auto"/>
            </w:tcBorders>
            <w:shd w:val="clear" w:color="auto" w:fill="FABF8F" w:themeFill="accent6" w:themeFillTint="99"/>
            <w:noWrap/>
            <w:vAlign w:val="center"/>
            <w:hideMark/>
          </w:tcPr>
          <w:p w14:paraId="303A460D" w14:textId="77777777" w:rsidR="006603F3" w:rsidRPr="003A115E" w:rsidRDefault="006603F3" w:rsidP="00D8030F">
            <w:pPr>
              <w:pStyle w:val="cuadroCabe"/>
              <w:jc w:val="right"/>
              <w:rPr>
                <w:rFonts w:cs="Arial"/>
                <w:szCs w:val="18"/>
              </w:rPr>
            </w:pPr>
            <w:r w:rsidRPr="003A115E">
              <w:rPr>
                <w:rFonts w:cs="Arial"/>
                <w:szCs w:val="18"/>
              </w:rPr>
              <w:t>2022</w:t>
            </w:r>
          </w:p>
        </w:tc>
        <w:tc>
          <w:tcPr>
            <w:tcW w:w="341"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469E2B0D" w14:textId="77777777" w:rsidR="006603F3" w:rsidRPr="003A115E" w:rsidRDefault="006603F3" w:rsidP="00D8030F">
            <w:pPr>
              <w:pStyle w:val="cuadroCabe"/>
              <w:jc w:val="right"/>
              <w:rPr>
                <w:rFonts w:cs="Arial"/>
                <w:szCs w:val="18"/>
              </w:rPr>
            </w:pPr>
            <w:r w:rsidRPr="003A115E">
              <w:rPr>
                <w:rFonts w:cs="Arial"/>
                <w:szCs w:val="18"/>
              </w:rPr>
              <w:t>2021</w:t>
            </w:r>
          </w:p>
        </w:tc>
        <w:tc>
          <w:tcPr>
            <w:tcW w:w="342" w:type="pct"/>
            <w:tcBorders>
              <w:top w:val="single" w:sz="2" w:space="0" w:color="auto"/>
              <w:bottom w:val="single" w:sz="4" w:space="0" w:color="auto"/>
              <w:right w:val="single" w:sz="2" w:space="0" w:color="auto"/>
            </w:tcBorders>
            <w:shd w:val="clear" w:color="auto" w:fill="FABF8F" w:themeFill="accent6" w:themeFillTint="99"/>
            <w:noWrap/>
            <w:vAlign w:val="center"/>
            <w:hideMark/>
          </w:tcPr>
          <w:p w14:paraId="3CE672C1" w14:textId="77777777" w:rsidR="006603F3" w:rsidRPr="003A115E" w:rsidRDefault="006603F3" w:rsidP="00D8030F">
            <w:pPr>
              <w:pStyle w:val="cuadroCabe"/>
              <w:jc w:val="right"/>
              <w:rPr>
                <w:rFonts w:cs="Arial"/>
                <w:szCs w:val="18"/>
              </w:rPr>
            </w:pPr>
            <w:r w:rsidRPr="003A115E">
              <w:rPr>
                <w:rFonts w:cs="Arial"/>
                <w:szCs w:val="18"/>
              </w:rPr>
              <w:t>2022</w:t>
            </w:r>
          </w:p>
        </w:tc>
        <w:tc>
          <w:tcPr>
            <w:tcW w:w="341"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6FCD3891" w14:textId="77777777" w:rsidR="006603F3" w:rsidRPr="003A115E" w:rsidRDefault="006603F3" w:rsidP="00D8030F">
            <w:pPr>
              <w:pStyle w:val="cuadroCabe"/>
              <w:jc w:val="right"/>
              <w:rPr>
                <w:rFonts w:cs="Arial"/>
                <w:szCs w:val="18"/>
              </w:rPr>
            </w:pPr>
            <w:r w:rsidRPr="003A115E">
              <w:rPr>
                <w:rFonts w:cs="Arial"/>
                <w:szCs w:val="18"/>
              </w:rPr>
              <w:t>2021</w:t>
            </w:r>
          </w:p>
        </w:tc>
        <w:tc>
          <w:tcPr>
            <w:tcW w:w="342" w:type="pct"/>
            <w:tcBorders>
              <w:top w:val="single" w:sz="2" w:space="0" w:color="auto"/>
              <w:bottom w:val="single" w:sz="4" w:space="0" w:color="auto"/>
              <w:right w:val="single" w:sz="2" w:space="0" w:color="auto"/>
            </w:tcBorders>
            <w:shd w:val="clear" w:color="auto" w:fill="FABF8F" w:themeFill="accent6" w:themeFillTint="99"/>
            <w:noWrap/>
            <w:vAlign w:val="center"/>
            <w:hideMark/>
          </w:tcPr>
          <w:p w14:paraId="2F000671" w14:textId="77777777" w:rsidR="006603F3" w:rsidRPr="003A115E" w:rsidRDefault="006603F3" w:rsidP="00D8030F">
            <w:pPr>
              <w:pStyle w:val="cuadroCabe"/>
              <w:jc w:val="right"/>
              <w:rPr>
                <w:rFonts w:cs="Arial"/>
                <w:szCs w:val="18"/>
              </w:rPr>
            </w:pPr>
            <w:r w:rsidRPr="003A115E">
              <w:rPr>
                <w:rFonts w:cs="Arial"/>
                <w:szCs w:val="18"/>
              </w:rPr>
              <w:t>2022</w:t>
            </w:r>
          </w:p>
        </w:tc>
        <w:tc>
          <w:tcPr>
            <w:tcW w:w="341"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2F03E8F4" w14:textId="77777777" w:rsidR="006603F3" w:rsidRPr="003A115E" w:rsidRDefault="006603F3" w:rsidP="00D8030F">
            <w:pPr>
              <w:pStyle w:val="cuadroCabe"/>
              <w:jc w:val="right"/>
              <w:rPr>
                <w:rFonts w:cs="Arial"/>
                <w:szCs w:val="18"/>
              </w:rPr>
            </w:pPr>
            <w:r w:rsidRPr="003A115E">
              <w:rPr>
                <w:rFonts w:cs="Arial"/>
                <w:szCs w:val="18"/>
              </w:rPr>
              <w:t>2021</w:t>
            </w:r>
          </w:p>
        </w:tc>
        <w:tc>
          <w:tcPr>
            <w:tcW w:w="342" w:type="pct"/>
            <w:tcBorders>
              <w:top w:val="single" w:sz="2" w:space="0" w:color="auto"/>
              <w:bottom w:val="single" w:sz="4" w:space="0" w:color="auto"/>
              <w:right w:val="single" w:sz="2" w:space="0" w:color="auto"/>
            </w:tcBorders>
            <w:shd w:val="clear" w:color="auto" w:fill="FABF8F" w:themeFill="accent6" w:themeFillTint="99"/>
            <w:noWrap/>
            <w:vAlign w:val="center"/>
            <w:hideMark/>
          </w:tcPr>
          <w:p w14:paraId="440CB28E" w14:textId="77777777" w:rsidR="006603F3" w:rsidRPr="003A115E" w:rsidRDefault="006603F3" w:rsidP="00D8030F">
            <w:pPr>
              <w:pStyle w:val="cuadroCabe"/>
              <w:jc w:val="right"/>
              <w:rPr>
                <w:rFonts w:cs="Arial"/>
                <w:szCs w:val="18"/>
              </w:rPr>
            </w:pPr>
            <w:r w:rsidRPr="003A115E">
              <w:rPr>
                <w:rFonts w:cs="Arial"/>
                <w:szCs w:val="18"/>
              </w:rPr>
              <w:t>2022</w:t>
            </w:r>
          </w:p>
        </w:tc>
        <w:tc>
          <w:tcPr>
            <w:tcW w:w="341"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362ACA3A" w14:textId="77777777" w:rsidR="006603F3" w:rsidRPr="003A115E" w:rsidRDefault="006603F3" w:rsidP="00D8030F">
            <w:pPr>
              <w:pStyle w:val="cuadroCabe"/>
              <w:jc w:val="right"/>
              <w:rPr>
                <w:rFonts w:cs="Arial"/>
                <w:szCs w:val="18"/>
              </w:rPr>
            </w:pPr>
            <w:r w:rsidRPr="003A115E">
              <w:rPr>
                <w:rFonts w:cs="Arial"/>
                <w:szCs w:val="18"/>
              </w:rPr>
              <w:t>2021</w:t>
            </w:r>
          </w:p>
        </w:tc>
        <w:tc>
          <w:tcPr>
            <w:tcW w:w="341" w:type="pct"/>
            <w:tcBorders>
              <w:top w:val="single" w:sz="2" w:space="0" w:color="auto"/>
              <w:bottom w:val="single" w:sz="4" w:space="0" w:color="auto"/>
            </w:tcBorders>
            <w:shd w:val="clear" w:color="auto" w:fill="FABF8F" w:themeFill="accent6" w:themeFillTint="99"/>
            <w:noWrap/>
            <w:vAlign w:val="center"/>
            <w:hideMark/>
          </w:tcPr>
          <w:p w14:paraId="229CE857" w14:textId="77777777" w:rsidR="006603F3" w:rsidRPr="003A115E" w:rsidRDefault="006603F3" w:rsidP="00D8030F">
            <w:pPr>
              <w:pStyle w:val="cuadroCabe"/>
              <w:jc w:val="right"/>
              <w:rPr>
                <w:rFonts w:cs="Arial"/>
                <w:szCs w:val="18"/>
              </w:rPr>
            </w:pPr>
            <w:r w:rsidRPr="003A115E">
              <w:rPr>
                <w:rFonts w:cs="Arial"/>
                <w:szCs w:val="18"/>
              </w:rPr>
              <w:t>2022</w:t>
            </w:r>
          </w:p>
        </w:tc>
      </w:tr>
      <w:tr w:rsidR="000A742F" w:rsidRPr="003A115E" w14:paraId="20FA1578" w14:textId="77777777" w:rsidTr="00113116">
        <w:trPr>
          <w:trHeight w:val="198"/>
        </w:trPr>
        <w:tc>
          <w:tcPr>
            <w:tcW w:w="1585" w:type="pct"/>
            <w:tcBorders>
              <w:top w:val="single" w:sz="4" w:space="0" w:color="auto"/>
              <w:left w:val="nil"/>
              <w:bottom w:val="single" w:sz="2" w:space="0" w:color="auto"/>
              <w:right w:val="single" w:sz="2" w:space="0" w:color="auto"/>
            </w:tcBorders>
            <w:shd w:val="clear" w:color="auto" w:fill="auto"/>
            <w:noWrap/>
            <w:vAlign w:val="center"/>
            <w:hideMark/>
          </w:tcPr>
          <w:p w14:paraId="6602597C" w14:textId="77777777" w:rsidR="006603F3" w:rsidRPr="003A115E" w:rsidRDefault="006603F3" w:rsidP="00F823E0">
            <w:pPr>
              <w:pStyle w:val="cuatexto"/>
              <w:rPr>
                <w:szCs w:val="20"/>
              </w:rPr>
            </w:pPr>
            <w:r w:rsidRPr="003A115E">
              <w:rPr>
                <w:szCs w:val="20"/>
              </w:rPr>
              <w:t>Ayuntamientos</w:t>
            </w:r>
          </w:p>
        </w:tc>
        <w:tc>
          <w:tcPr>
            <w:tcW w:w="341" w:type="pct"/>
            <w:tcBorders>
              <w:top w:val="single" w:sz="4" w:space="0" w:color="auto"/>
              <w:left w:val="single" w:sz="2" w:space="0" w:color="auto"/>
              <w:bottom w:val="single" w:sz="2" w:space="0" w:color="auto"/>
            </w:tcBorders>
            <w:shd w:val="clear" w:color="auto" w:fill="auto"/>
            <w:noWrap/>
            <w:vAlign w:val="center"/>
            <w:hideMark/>
          </w:tcPr>
          <w:p w14:paraId="032FC7C9" w14:textId="77777777" w:rsidR="006603F3" w:rsidRPr="003A115E" w:rsidRDefault="006603F3" w:rsidP="00D8030F">
            <w:pPr>
              <w:pStyle w:val="cuatexto"/>
              <w:jc w:val="right"/>
              <w:rPr>
                <w:szCs w:val="20"/>
              </w:rPr>
            </w:pPr>
            <w:r w:rsidRPr="003A115E">
              <w:rPr>
                <w:szCs w:val="20"/>
              </w:rPr>
              <w:t>240</w:t>
            </w:r>
          </w:p>
        </w:tc>
        <w:tc>
          <w:tcPr>
            <w:tcW w:w="342" w:type="pct"/>
            <w:tcBorders>
              <w:top w:val="single" w:sz="4" w:space="0" w:color="auto"/>
              <w:bottom w:val="single" w:sz="2" w:space="0" w:color="auto"/>
              <w:right w:val="single" w:sz="2" w:space="0" w:color="auto"/>
            </w:tcBorders>
            <w:shd w:val="clear" w:color="auto" w:fill="auto"/>
            <w:noWrap/>
            <w:vAlign w:val="center"/>
            <w:hideMark/>
          </w:tcPr>
          <w:p w14:paraId="5B102669" w14:textId="77777777" w:rsidR="006603F3" w:rsidRPr="003A115E" w:rsidRDefault="006603F3" w:rsidP="00D8030F">
            <w:pPr>
              <w:pStyle w:val="cuatexto"/>
              <w:jc w:val="right"/>
              <w:rPr>
                <w:szCs w:val="20"/>
              </w:rPr>
            </w:pPr>
            <w:r w:rsidRPr="003A115E">
              <w:rPr>
                <w:szCs w:val="20"/>
              </w:rPr>
              <w:t>233</w:t>
            </w:r>
          </w:p>
        </w:tc>
        <w:tc>
          <w:tcPr>
            <w:tcW w:w="341" w:type="pct"/>
            <w:tcBorders>
              <w:top w:val="single" w:sz="4" w:space="0" w:color="auto"/>
              <w:left w:val="single" w:sz="2" w:space="0" w:color="auto"/>
              <w:bottom w:val="single" w:sz="2" w:space="0" w:color="auto"/>
            </w:tcBorders>
            <w:shd w:val="clear" w:color="auto" w:fill="auto"/>
            <w:noWrap/>
            <w:vAlign w:val="center"/>
            <w:hideMark/>
          </w:tcPr>
          <w:p w14:paraId="159E736D" w14:textId="77777777" w:rsidR="006603F3" w:rsidRPr="003A115E" w:rsidRDefault="006603F3" w:rsidP="00D8030F">
            <w:pPr>
              <w:pStyle w:val="cuatexto"/>
              <w:jc w:val="right"/>
              <w:rPr>
                <w:szCs w:val="20"/>
              </w:rPr>
            </w:pPr>
            <w:r w:rsidRPr="003A115E">
              <w:rPr>
                <w:szCs w:val="20"/>
              </w:rPr>
              <w:t>225</w:t>
            </w:r>
          </w:p>
        </w:tc>
        <w:tc>
          <w:tcPr>
            <w:tcW w:w="342" w:type="pct"/>
            <w:tcBorders>
              <w:top w:val="single" w:sz="4" w:space="0" w:color="auto"/>
              <w:bottom w:val="single" w:sz="2" w:space="0" w:color="auto"/>
              <w:right w:val="single" w:sz="2" w:space="0" w:color="auto"/>
            </w:tcBorders>
            <w:shd w:val="clear" w:color="auto" w:fill="auto"/>
            <w:noWrap/>
            <w:vAlign w:val="center"/>
            <w:hideMark/>
          </w:tcPr>
          <w:p w14:paraId="7ABEC894" w14:textId="77777777" w:rsidR="006603F3" w:rsidRPr="003A115E" w:rsidRDefault="006603F3" w:rsidP="00D8030F">
            <w:pPr>
              <w:pStyle w:val="cuatexto"/>
              <w:jc w:val="right"/>
              <w:rPr>
                <w:szCs w:val="20"/>
              </w:rPr>
            </w:pPr>
            <w:r w:rsidRPr="003A115E">
              <w:rPr>
                <w:szCs w:val="20"/>
              </w:rPr>
              <w:t>210</w:t>
            </w:r>
          </w:p>
        </w:tc>
        <w:tc>
          <w:tcPr>
            <w:tcW w:w="341" w:type="pct"/>
            <w:tcBorders>
              <w:top w:val="single" w:sz="4" w:space="0" w:color="auto"/>
              <w:left w:val="single" w:sz="2" w:space="0" w:color="auto"/>
              <w:bottom w:val="single" w:sz="2" w:space="0" w:color="auto"/>
            </w:tcBorders>
            <w:shd w:val="clear" w:color="auto" w:fill="auto"/>
            <w:noWrap/>
            <w:vAlign w:val="center"/>
            <w:hideMark/>
          </w:tcPr>
          <w:p w14:paraId="0421C783" w14:textId="77777777" w:rsidR="006603F3" w:rsidRPr="003A115E" w:rsidRDefault="006603F3" w:rsidP="00D8030F">
            <w:pPr>
              <w:pStyle w:val="cuatexto"/>
              <w:jc w:val="right"/>
              <w:rPr>
                <w:szCs w:val="20"/>
              </w:rPr>
            </w:pPr>
            <w:r w:rsidRPr="003A115E">
              <w:rPr>
                <w:szCs w:val="20"/>
              </w:rPr>
              <w:t>225</w:t>
            </w:r>
          </w:p>
        </w:tc>
        <w:tc>
          <w:tcPr>
            <w:tcW w:w="342" w:type="pct"/>
            <w:tcBorders>
              <w:top w:val="single" w:sz="4" w:space="0" w:color="auto"/>
              <w:bottom w:val="single" w:sz="2" w:space="0" w:color="auto"/>
              <w:right w:val="single" w:sz="2" w:space="0" w:color="auto"/>
            </w:tcBorders>
            <w:shd w:val="clear" w:color="auto" w:fill="auto"/>
            <w:noWrap/>
            <w:vAlign w:val="center"/>
            <w:hideMark/>
          </w:tcPr>
          <w:p w14:paraId="1EEF95E1" w14:textId="77777777" w:rsidR="006603F3" w:rsidRPr="003A115E" w:rsidRDefault="006603F3" w:rsidP="00D8030F">
            <w:pPr>
              <w:pStyle w:val="cuatexto"/>
              <w:jc w:val="right"/>
              <w:rPr>
                <w:szCs w:val="20"/>
              </w:rPr>
            </w:pPr>
            <w:r w:rsidRPr="003A115E">
              <w:rPr>
                <w:szCs w:val="20"/>
              </w:rPr>
              <w:t>207</w:t>
            </w:r>
          </w:p>
        </w:tc>
        <w:tc>
          <w:tcPr>
            <w:tcW w:w="341" w:type="pct"/>
            <w:tcBorders>
              <w:top w:val="single" w:sz="4" w:space="0" w:color="auto"/>
              <w:left w:val="single" w:sz="2" w:space="0" w:color="auto"/>
              <w:bottom w:val="single" w:sz="2" w:space="0" w:color="auto"/>
            </w:tcBorders>
            <w:shd w:val="clear" w:color="auto" w:fill="auto"/>
            <w:noWrap/>
            <w:vAlign w:val="center"/>
            <w:hideMark/>
          </w:tcPr>
          <w:p w14:paraId="68558F6F" w14:textId="77777777" w:rsidR="006603F3" w:rsidRPr="003A115E" w:rsidRDefault="006603F3" w:rsidP="00D8030F">
            <w:pPr>
              <w:pStyle w:val="cuatexto"/>
              <w:jc w:val="right"/>
              <w:rPr>
                <w:szCs w:val="20"/>
              </w:rPr>
            </w:pPr>
            <w:r w:rsidRPr="003A115E">
              <w:rPr>
                <w:szCs w:val="20"/>
              </w:rPr>
              <w:t>206</w:t>
            </w:r>
          </w:p>
        </w:tc>
        <w:tc>
          <w:tcPr>
            <w:tcW w:w="342" w:type="pct"/>
            <w:tcBorders>
              <w:top w:val="single" w:sz="4" w:space="0" w:color="auto"/>
              <w:bottom w:val="single" w:sz="2" w:space="0" w:color="auto"/>
              <w:right w:val="single" w:sz="2" w:space="0" w:color="auto"/>
            </w:tcBorders>
            <w:shd w:val="clear" w:color="auto" w:fill="auto"/>
            <w:noWrap/>
            <w:vAlign w:val="center"/>
            <w:hideMark/>
          </w:tcPr>
          <w:p w14:paraId="356C8618" w14:textId="77777777" w:rsidR="006603F3" w:rsidRPr="003A115E" w:rsidRDefault="006603F3" w:rsidP="00D8030F">
            <w:pPr>
              <w:pStyle w:val="cuatexto"/>
              <w:jc w:val="right"/>
              <w:rPr>
                <w:szCs w:val="20"/>
              </w:rPr>
            </w:pPr>
            <w:r w:rsidRPr="003A115E">
              <w:rPr>
                <w:szCs w:val="20"/>
              </w:rPr>
              <w:t>192</w:t>
            </w:r>
          </w:p>
        </w:tc>
        <w:tc>
          <w:tcPr>
            <w:tcW w:w="341" w:type="pct"/>
            <w:tcBorders>
              <w:top w:val="single" w:sz="4" w:space="0" w:color="auto"/>
              <w:left w:val="single" w:sz="2" w:space="0" w:color="auto"/>
              <w:bottom w:val="single" w:sz="2" w:space="0" w:color="auto"/>
            </w:tcBorders>
            <w:shd w:val="clear" w:color="auto" w:fill="auto"/>
            <w:noWrap/>
            <w:vAlign w:val="center"/>
            <w:hideMark/>
          </w:tcPr>
          <w:p w14:paraId="1F61085C" w14:textId="77777777" w:rsidR="006603F3" w:rsidRPr="003A115E" w:rsidRDefault="006603F3" w:rsidP="00D8030F">
            <w:pPr>
              <w:pStyle w:val="cuatexto"/>
              <w:jc w:val="right"/>
              <w:rPr>
                <w:szCs w:val="20"/>
              </w:rPr>
            </w:pPr>
            <w:r w:rsidRPr="003A115E">
              <w:rPr>
                <w:szCs w:val="20"/>
              </w:rPr>
              <w:t>220</w:t>
            </w:r>
          </w:p>
        </w:tc>
        <w:tc>
          <w:tcPr>
            <w:tcW w:w="341" w:type="pct"/>
            <w:tcBorders>
              <w:top w:val="single" w:sz="4" w:space="0" w:color="auto"/>
              <w:bottom w:val="single" w:sz="2" w:space="0" w:color="auto"/>
            </w:tcBorders>
            <w:shd w:val="clear" w:color="auto" w:fill="auto"/>
            <w:noWrap/>
            <w:vAlign w:val="center"/>
            <w:hideMark/>
          </w:tcPr>
          <w:p w14:paraId="688A6964" w14:textId="77777777" w:rsidR="006603F3" w:rsidRPr="003A115E" w:rsidRDefault="006603F3" w:rsidP="00D8030F">
            <w:pPr>
              <w:pStyle w:val="cuatexto"/>
              <w:jc w:val="right"/>
              <w:rPr>
                <w:szCs w:val="20"/>
              </w:rPr>
            </w:pPr>
            <w:r w:rsidRPr="003A115E">
              <w:rPr>
                <w:szCs w:val="20"/>
              </w:rPr>
              <w:t>211</w:t>
            </w:r>
          </w:p>
        </w:tc>
      </w:tr>
      <w:tr w:rsidR="000A742F" w:rsidRPr="003A115E" w14:paraId="14489868" w14:textId="77777777" w:rsidTr="00113116">
        <w:trPr>
          <w:trHeight w:val="198"/>
        </w:trPr>
        <w:tc>
          <w:tcPr>
            <w:tcW w:w="1585" w:type="pct"/>
            <w:tcBorders>
              <w:top w:val="single" w:sz="2" w:space="0" w:color="auto"/>
              <w:left w:val="nil"/>
              <w:bottom w:val="single" w:sz="2" w:space="0" w:color="auto"/>
              <w:right w:val="single" w:sz="2" w:space="0" w:color="auto"/>
            </w:tcBorders>
            <w:shd w:val="clear" w:color="auto" w:fill="auto"/>
            <w:noWrap/>
            <w:vAlign w:val="center"/>
            <w:hideMark/>
          </w:tcPr>
          <w:p w14:paraId="351664E7" w14:textId="77777777" w:rsidR="006603F3" w:rsidRPr="003A115E" w:rsidRDefault="006603F3" w:rsidP="00F823E0">
            <w:pPr>
              <w:pStyle w:val="cuatexto"/>
              <w:rPr>
                <w:szCs w:val="20"/>
              </w:rPr>
            </w:pPr>
            <w:r w:rsidRPr="003A115E">
              <w:rPr>
                <w:szCs w:val="20"/>
              </w:rPr>
              <w:t>Hasta 1.000 habitantes</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3729B042" w14:textId="77777777" w:rsidR="006603F3" w:rsidRPr="003A115E" w:rsidRDefault="006603F3" w:rsidP="00D8030F">
            <w:pPr>
              <w:pStyle w:val="cuatexto"/>
              <w:jc w:val="right"/>
              <w:rPr>
                <w:szCs w:val="20"/>
              </w:rPr>
            </w:pPr>
            <w:r w:rsidRPr="003A115E">
              <w:rPr>
                <w:szCs w:val="20"/>
              </w:rPr>
              <w:t>165</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555BB29C" w14:textId="77777777" w:rsidR="006603F3" w:rsidRPr="003A115E" w:rsidRDefault="006603F3" w:rsidP="00D8030F">
            <w:pPr>
              <w:pStyle w:val="cuatexto"/>
              <w:jc w:val="right"/>
              <w:rPr>
                <w:szCs w:val="20"/>
              </w:rPr>
            </w:pPr>
            <w:r w:rsidRPr="003A115E">
              <w:rPr>
                <w:szCs w:val="20"/>
              </w:rPr>
              <w:t>160</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39DFF452" w14:textId="77777777" w:rsidR="006603F3" w:rsidRPr="003A115E" w:rsidRDefault="006603F3" w:rsidP="00D8030F">
            <w:pPr>
              <w:pStyle w:val="cuatexto"/>
              <w:jc w:val="right"/>
              <w:rPr>
                <w:szCs w:val="20"/>
              </w:rPr>
            </w:pPr>
            <w:r w:rsidRPr="003A115E">
              <w:rPr>
                <w:szCs w:val="20"/>
              </w:rPr>
              <w:t>154</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5FACCBF9" w14:textId="77777777" w:rsidR="006603F3" w:rsidRPr="003A115E" w:rsidRDefault="006603F3" w:rsidP="00D8030F">
            <w:pPr>
              <w:pStyle w:val="cuatexto"/>
              <w:jc w:val="right"/>
              <w:rPr>
                <w:szCs w:val="20"/>
              </w:rPr>
            </w:pPr>
            <w:r w:rsidRPr="003A115E">
              <w:rPr>
                <w:szCs w:val="20"/>
              </w:rPr>
              <w:t>142</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0319F5AA" w14:textId="77777777" w:rsidR="006603F3" w:rsidRPr="003A115E" w:rsidRDefault="006603F3" w:rsidP="00D8030F">
            <w:pPr>
              <w:pStyle w:val="cuatexto"/>
              <w:jc w:val="right"/>
              <w:rPr>
                <w:szCs w:val="20"/>
              </w:rPr>
            </w:pPr>
            <w:r w:rsidRPr="003A115E">
              <w:rPr>
                <w:szCs w:val="20"/>
              </w:rPr>
              <w:t>154</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15F224F2" w14:textId="77777777" w:rsidR="006603F3" w:rsidRPr="003A115E" w:rsidRDefault="006603F3" w:rsidP="00D8030F">
            <w:pPr>
              <w:pStyle w:val="cuatexto"/>
              <w:jc w:val="right"/>
              <w:rPr>
                <w:szCs w:val="20"/>
              </w:rPr>
            </w:pPr>
            <w:r w:rsidRPr="003A115E">
              <w:rPr>
                <w:szCs w:val="20"/>
              </w:rPr>
              <w:t>136</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05801583" w14:textId="77777777" w:rsidR="006603F3" w:rsidRPr="003A115E" w:rsidRDefault="006603F3" w:rsidP="00D8030F">
            <w:pPr>
              <w:pStyle w:val="cuatexto"/>
              <w:jc w:val="right"/>
              <w:rPr>
                <w:szCs w:val="20"/>
              </w:rPr>
            </w:pPr>
            <w:r w:rsidRPr="003A115E">
              <w:rPr>
                <w:szCs w:val="20"/>
              </w:rPr>
              <w:t>148</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1DC5F28C" w14:textId="77777777" w:rsidR="006603F3" w:rsidRPr="003A115E" w:rsidRDefault="006603F3" w:rsidP="00D8030F">
            <w:pPr>
              <w:pStyle w:val="cuatexto"/>
              <w:jc w:val="right"/>
              <w:rPr>
                <w:szCs w:val="20"/>
              </w:rPr>
            </w:pPr>
            <w:r w:rsidRPr="003A115E">
              <w:rPr>
                <w:szCs w:val="20"/>
              </w:rPr>
              <w:t>137</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4DF6A1ED" w14:textId="77777777" w:rsidR="006603F3" w:rsidRPr="003A115E" w:rsidRDefault="006603F3" w:rsidP="00D8030F">
            <w:pPr>
              <w:pStyle w:val="cuatexto"/>
              <w:jc w:val="right"/>
              <w:rPr>
                <w:szCs w:val="20"/>
              </w:rPr>
            </w:pPr>
            <w:r w:rsidRPr="003A115E">
              <w:rPr>
                <w:szCs w:val="20"/>
              </w:rPr>
              <w:t>150</w:t>
            </w:r>
          </w:p>
        </w:tc>
        <w:tc>
          <w:tcPr>
            <w:tcW w:w="341" w:type="pct"/>
            <w:tcBorders>
              <w:top w:val="single" w:sz="2" w:space="0" w:color="auto"/>
              <w:bottom w:val="single" w:sz="2" w:space="0" w:color="auto"/>
            </w:tcBorders>
            <w:shd w:val="clear" w:color="auto" w:fill="auto"/>
            <w:noWrap/>
            <w:vAlign w:val="center"/>
            <w:hideMark/>
          </w:tcPr>
          <w:p w14:paraId="09AEDC5D" w14:textId="77777777" w:rsidR="006603F3" w:rsidRPr="003A115E" w:rsidRDefault="006603F3" w:rsidP="00D8030F">
            <w:pPr>
              <w:pStyle w:val="cuatexto"/>
              <w:jc w:val="right"/>
              <w:rPr>
                <w:szCs w:val="20"/>
              </w:rPr>
            </w:pPr>
            <w:r w:rsidRPr="003A115E">
              <w:rPr>
                <w:szCs w:val="20"/>
              </w:rPr>
              <w:t>145</w:t>
            </w:r>
          </w:p>
        </w:tc>
      </w:tr>
      <w:tr w:rsidR="000A742F" w:rsidRPr="003A115E" w14:paraId="442DF453" w14:textId="77777777" w:rsidTr="00113116">
        <w:trPr>
          <w:trHeight w:val="198"/>
        </w:trPr>
        <w:tc>
          <w:tcPr>
            <w:tcW w:w="1585" w:type="pct"/>
            <w:tcBorders>
              <w:top w:val="single" w:sz="2" w:space="0" w:color="auto"/>
              <w:left w:val="nil"/>
              <w:bottom w:val="single" w:sz="2" w:space="0" w:color="auto"/>
              <w:right w:val="single" w:sz="2" w:space="0" w:color="auto"/>
            </w:tcBorders>
            <w:shd w:val="clear" w:color="auto" w:fill="auto"/>
            <w:noWrap/>
            <w:vAlign w:val="center"/>
            <w:hideMark/>
          </w:tcPr>
          <w:p w14:paraId="400B7F3C" w14:textId="77777777" w:rsidR="006603F3" w:rsidRPr="003A115E" w:rsidRDefault="006603F3" w:rsidP="00F823E0">
            <w:pPr>
              <w:pStyle w:val="cuatexto"/>
              <w:rPr>
                <w:szCs w:val="20"/>
              </w:rPr>
            </w:pPr>
            <w:r w:rsidRPr="003A115E">
              <w:rPr>
                <w:szCs w:val="20"/>
              </w:rPr>
              <w:t>De 1.001 a 5.000 habitantes</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141CF625" w14:textId="77777777" w:rsidR="006603F3" w:rsidRPr="003A115E" w:rsidRDefault="006603F3" w:rsidP="00D8030F">
            <w:pPr>
              <w:pStyle w:val="cuatexto"/>
              <w:jc w:val="right"/>
              <w:rPr>
                <w:szCs w:val="20"/>
              </w:rPr>
            </w:pPr>
            <w:r w:rsidRPr="003A115E">
              <w:rPr>
                <w:szCs w:val="20"/>
              </w:rPr>
              <w:t>56</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361B98A6" w14:textId="77777777" w:rsidR="006603F3" w:rsidRPr="003A115E" w:rsidRDefault="006603F3" w:rsidP="00D8030F">
            <w:pPr>
              <w:pStyle w:val="cuatexto"/>
              <w:jc w:val="right"/>
              <w:rPr>
                <w:szCs w:val="20"/>
              </w:rPr>
            </w:pPr>
            <w:r w:rsidRPr="003A115E">
              <w:rPr>
                <w:szCs w:val="20"/>
              </w:rPr>
              <w:t>54</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5BBBDC6A" w14:textId="77777777" w:rsidR="006603F3" w:rsidRPr="003A115E" w:rsidRDefault="006603F3" w:rsidP="00D8030F">
            <w:pPr>
              <w:pStyle w:val="cuatexto"/>
              <w:jc w:val="right"/>
              <w:rPr>
                <w:szCs w:val="20"/>
              </w:rPr>
            </w:pPr>
            <w:r w:rsidRPr="003A115E">
              <w:rPr>
                <w:szCs w:val="20"/>
              </w:rPr>
              <w:t>54</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5103AC9E" w14:textId="77777777" w:rsidR="006603F3" w:rsidRPr="003A115E" w:rsidRDefault="006603F3" w:rsidP="00D8030F">
            <w:pPr>
              <w:pStyle w:val="cuatexto"/>
              <w:jc w:val="right"/>
              <w:rPr>
                <w:szCs w:val="20"/>
              </w:rPr>
            </w:pPr>
            <w:r w:rsidRPr="003A115E">
              <w:rPr>
                <w:szCs w:val="20"/>
              </w:rPr>
              <w:t>50</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150208A3" w14:textId="77777777" w:rsidR="006603F3" w:rsidRPr="003A115E" w:rsidRDefault="006603F3" w:rsidP="00D8030F">
            <w:pPr>
              <w:pStyle w:val="cuatexto"/>
              <w:jc w:val="right"/>
              <w:rPr>
                <w:szCs w:val="20"/>
              </w:rPr>
            </w:pPr>
            <w:r w:rsidRPr="003A115E">
              <w:rPr>
                <w:szCs w:val="20"/>
              </w:rPr>
              <w:t>56</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0A120386" w14:textId="77777777" w:rsidR="006603F3" w:rsidRPr="003A115E" w:rsidRDefault="006603F3" w:rsidP="00D8030F">
            <w:pPr>
              <w:pStyle w:val="cuatexto"/>
              <w:jc w:val="right"/>
              <w:rPr>
                <w:szCs w:val="20"/>
              </w:rPr>
            </w:pPr>
            <w:r w:rsidRPr="003A115E">
              <w:rPr>
                <w:szCs w:val="20"/>
              </w:rPr>
              <w:t>52</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701DE8E5" w14:textId="77777777" w:rsidR="006603F3" w:rsidRPr="003A115E" w:rsidRDefault="006603F3" w:rsidP="00D8030F">
            <w:pPr>
              <w:pStyle w:val="cuatexto"/>
              <w:jc w:val="right"/>
              <w:rPr>
                <w:szCs w:val="20"/>
              </w:rPr>
            </w:pPr>
            <w:r w:rsidRPr="003A115E">
              <w:rPr>
                <w:szCs w:val="20"/>
              </w:rPr>
              <w:t>49</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467C8264" w14:textId="77777777" w:rsidR="006603F3" w:rsidRPr="003A115E" w:rsidRDefault="006603F3" w:rsidP="00D8030F">
            <w:pPr>
              <w:pStyle w:val="cuatexto"/>
              <w:jc w:val="right"/>
              <w:rPr>
                <w:szCs w:val="20"/>
              </w:rPr>
            </w:pPr>
            <w:r w:rsidRPr="003A115E">
              <w:rPr>
                <w:szCs w:val="20"/>
              </w:rPr>
              <w:t>45</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31A31111" w14:textId="77777777" w:rsidR="006603F3" w:rsidRPr="003A115E" w:rsidRDefault="006603F3" w:rsidP="00D8030F">
            <w:pPr>
              <w:pStyle w:val="cuatexto"/>
              <w:jc w:val="right"/>
              <w:rPr>
                <w:szCs w:val="20"/>
              </w:rPr>
            </w:pPr>
            <w:r w:rsidRPr="003A115E">
              <w:rPr>
                <w:szCs w:val="20"/>
              </w:rPr>
              <w:t>53</w:t>
            </w:r>
          </w:p>
        </w:tc>
        <w:tc>
          <w:tcPr>
            <w:tcW w:w="341" w:type="pct"/>
            <w:tcBorders>
              <w:top w:val="single" w:sz="2" w:space="0" w:color="auto"/>
              <w:bottom w:val="single" w:sz="2" w:space="0" w:color="auto"/>
            </w:tcBorders>
            <w:shd w:val="clear" w:color="auto" w:fill="auto"/>
            <w:noWrap/>
            <w:vAlign w:val="center"/>
            <w:hideMark/>
          </w:tcPr>
          <w:p w14:paraId="57D291BD" w14:textId="77777777" w:rsidR="006603F3" w:rsidRPr="003A115E" w:rsidRDefault="006603F3" w:rsidP="00D8030F">
            <w:pPr>
              <w:pStyle w:val="cuatexto"/>
              <w:jc w:val="right"/>
              <w:rPr>
                <w:szCs w:val="20"/>
              </w:rPr>
            </w:pPr>
            <w:r w:rsidRPr="003A115E">
              <w:rPr>
                <w:szCs w:val="20"/>
              </w:rPr>
              <w:t>51</w:t>
            </w:r>
          </w:p>
        </w:tc>
      </w:tr>
      <w:tr w:rsidR="000A742F" w:rsidRPr="003A115E" w14:paraId="7B1445EB" w14:textId="77777777" w:rsidTr="00113116">
        <w:trPr>
          <w:trHeight w:val="198"/>
        </w:trPr>
        <w:tc>
          <w:tcPr>
            <w:tcW w:w="1585" w:type="pct"/>
            <w:tcBorders>
              <w:top w:val="single" w:sz="2" w:space="0" w:color="auto"/>
              <w:left w:val="nil"/>
              <w:bottom w:val="single" w:sz="2" w:space="0" w:color="auto"/>
              <w:right w:val="single" w:sz="2" w:space="0" w:color="auto"/>
            </w:tcBorders>
            <w:shd w:val="clear" w:color="auto" w:fill="auto"/>
            <w:noWrap/>
            <w:vAlign w:val="center"/>
            <w:hideMark/>
          </w:tcPr>
          <w:p w14:paraId="3202E6E0" w14:textId="77777777" w:rsidR="006603F3" w:rsidRPr="003A115E" w:rsidRDefault="006603F3" w:rsidP="00F823E0">
            <w:pPr>
              <w:pStyle w:val="cuatexto"/>
              <w:rPr>
                <w:szCs w:val="20"/>
              </w:rPr>
            </w:pPr>
            <w:r w:rsidRPr="003A115E">
              <w:rPr>
                <w:szCs w:val="20"/>
              </w:rPr>
              <w:t>De 5.001 a 10.000 habitantes</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345FE73B" w14:textId="77777777" w:rsidR="006603F3" w:rsidRPr="003A115E" w:rsidRDefault="006603F3" w:rsidP="00D8030F">
            <w:pPr>
              <w:pStyle w:val="cuatexto"/>
              <w:jc w:val="right"/>
              <w:rPr>
                <w:szCs w:val="20"/>
              </w:rPr>
            </w:pPr>
            <w:r w:rsidRPr="003A115E">
              <w:rPr>
                <w:szCs w:val="20"/>
              </w:rPr>
              <w:t>8</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5E36A3B0" w14:textId="77777777" w:rsidR="006603F3" w:rsidRPr="003A115E" w:rsidRDefault="006603F3" w:rsidP="00D8030F">
            <w:pPr>
              <w:pStyle w:val="cuatexto"/>
              <w:jc w:val="right"/>
              <w:rPr>
                <w:szCs w:val="20"/>
              </w:rPr>
            </w:pPr>
            <w:r w:rsidRPr="003A115E">
              <w:rPr>
                <w:szCs w:val="20"/>
              </w:rPr>
              <w:t>7</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71328E4C" w14:textId="77777777" w:rsidR="006603F3" w:rsidRPr="003A115E" w:rsidRDefault="006603F3" w:rsidP="00D8030F">
            <w:pPr>
              <w:pStyle w:val="cuatexto"/>
              <w:jc w:val="right"/>
              <w:rPr>
                <w:szCs w:val="20"/>
              </w:rPr>
            </w:pPr>
            <w:r w:rsidRPr="003A115E">
              <w:rPr>
                <w:szCs w:val="20"/>
              </w:rPr>
              <w:t>7</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3B89E103" w14:textId="77777777" w:rsidR="006603F3" w:rsidRPr="003A115E" w:rsidRDefault="006603F3" w:rsidP="00D8030F">
            <w:pPr>
              <w:pStyle w:val="cuatexto"/>
              <w:jc w:val="right"/>
              <w:rPr>
                <w:szCs w:val="20"/>
              </w:rPr>
            </w:pPr>
            <w:r w:rsidRPr="003A115E">
              <w:rPr>
                <w:szCs w:val="20"/>
              </w:rPr>
              <w:t>6</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3389FD0B" w14:textId="77777777" w:rsidR="006603F3" w:rsidRPr="003A115E" w:rsidRDefault="006603F3" w:rsidP="00D8030F">
            <w:pPr>
              <w:pStyle w:val="cuatexto"/>
              <w:jc w:val="right"/>
              <w:rPr>
                <w:szCs w:val="20"/>
              </w:rPr>
            </w:pPr>
            <w:r w:rsidRPr="003A115E">
              <w:rPr>
                <w:szCs w:val="20"/>
              </w:rPr>
              <w:t>6</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4FBD5760" w14:textId="77777777" w:rsidR="006603F3" w:rsidRPr="003A115E" w:rsidRDefault="006603F3" w:rsidP="00D8030F">
            <w:pPr>
              <w:pStyle w:val="cuatexto"/>
              <w:jc w:val="right"/>
              <w:rPr>
                <w:szCs w:val="20"/>
              </w:rPr>
            </w:pPr>
            <w:r w:rsidRPr="003A115E">
              <w:rPr>
                <w:szCs w:val="20"/>
              </w:rPr>
              <w:t>7</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2DCDE98C" w14:textId="77777777" w:rsidR="006603F3" w:rsidRPr="003A115E" w:rsidRDefault="006603F3" w:rsidP="00D8030F">
            <w:pPr>
              <w:pStyle w:val="cuatexto"/>
              <w:jc w:val="right"/>
              <w:rPr>
                <w:szCs w:val="20"/>
              </w:rPr>
            </w:pPr>
            <w:r w:rsidRPr="003A115E">
              <w:rPr>
                <w:szCs w:val="20"/>
              </w:rPr>
              <w:t>4</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4F857A5F" w14:textId="77777777" w:rsidR="006603F3" w:rsidRPr="003A115E" w:rsidRDefault="006603F3" w:rsidP="00D8030F">
            <w:pPr>
              <w:pStyle w:val="cuatexto"/>
              <w:jc w:val="right"/>
              <w:rPr>
                <w:szCs w:val="20"/>
              </w:rPr>
            </w:pPr>
            <w:r w:rsidRPr="003A115E">
              <w:rPr>
                <w:szCs w:val="20"/>
              </w:rPr>
              <w:t>3</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4EB47889" w14:textId="77777777" w:rsidR="006603F3" w:rsidRPr="003A115E" w:rsidRDefault="006603F3" w:rsidP="00D8030F">
            <w:pPr>
              <w:pStyle w:val="cuatexto"/>
              <w:jc w:val="right"/>
              <w:rPr>
                <w:szCs w:val="20"/>
              </w:rPr>
            </w:pPr>
            <w:r w:rsidRPr="003A115E">
              <w:rPr>
                <w:szCs w:val="20"/>
              </w:rPr>
              <w:t>8</w:t>
            </w:r>
          </w:p>
        </w:tc>
        <w:tc>
          <w:tcPr>
            <w:tcW w:w="341" w:type="pct"/>
            <w:tcBorders>
              <w:top w:val="single" w:sz="2" w:space="0" w:color="auto"/>
              <w:bottom w:val="single" w:sz="2" w:space="0" w:color="auto"/>
            </w:tcBorders>
            <w:shd w:val="clear" w:color="auto" w:fill="auto"/>
            <w:noWrap/>
            <w:vAlign w:val="center"/>
            <w:hideMark/>
          </w:tcPr>
          <w:p w14:paraId="7C80FA6E" w14:textId="77777777" w:rsidR="006603F3" w:rsidRPr="003A115E" w:rsidRDefault="006603F3" w:rsidP="00D8030F">
            <w:pPr>
              <w:pStyle w:val="cuatexto"/>
              <w:jc w:val="right"/>
              <w:rPr>
                <w:szCs w:val="20"/>
              </w:rPr>
            </w:pPr>
            <w:r w:rsidRPr="003A115E">
              <w:rPr>
                <w:szCs w:val="20"/>
              </w:rPr>
              <w:t>6</w:t>
            </w:r>
          </w:p>
        </w:tc>
      </w:tr>
      <w:tr w:rsidR="000A742F" w:rsidRPr="003A115E" w14:paraId="3A3030EE" w14:textId="77777777" w:rsidTr="00113116">
        <w:trPr>
          <w:trHeight w:val="198"/>
        </w:trPr>
        <w:tc>
          <w:tcPr>
            <w:tcW w:w="1585" w:type="pct"/>
            <w:tcBorders>
              <w:top w:val="single" w:sz="2" w:space="0" w:color="auto"/>
              <w:left w:val="nil"/>
              <w:bottom w:val="single" w:sz="2" w:space="0" w:color="auto"/>
              <w:right w:val="single" w:sz="2" w:space="0" w:color="auto"/>
            </w:tcBorders>
            <w:shd w:val="clear" w:color="auto" w:fill="auto"/>
            <w:noWrap/>
            <w:vAlign w:val="center"/>
            <w:hideMark/>
          </w:tcPr>
          <w:p w14:paraId="53CB413B" w14:textId="77777777" w:rsidR="006603F3" w:rsidRPr="003A115E" w:rsidRDefault="006603F3" w:rsidP="00F823E0">
            <w:pPr>
              <w:pStyle w:val="cuatexto"/>
              <w:rPr>
                <w:szCs w:val="20"/>
              </w:rPr>
            </w:pPr>
            <w:r w:rsidRPr="003A115E">
              <w:rPr>
                <w:szCs w:val="20"/>
              </w:rPr>
              <w:t>De 10.001 a 20.000 habitantes</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37924DD3" w14:textId="77777777" w:rsidR="006603F3" w:rsidRPr="003A115E" w:rsidRDefault="006603F3" w:rsidP="00D8030F">
            <w:pPr>
              <w:pStyle w:val="cuatexto"/>
              <w:jc w:val="right"/>
              <w:rPr>
                <w:szCs w:val="20"/>
              </w:rPr>
            </w:pPr>
            <w:r w:rsidRPr="003A115E">
              <w:rPr>
                <w:szCs w:val="20"/>
              </w:rPr>
              <w:t>8</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02C065E2" w14:textId="77777777" w:rsidR="006603F3" w:rsidRPr="003A115E" w:rsidRDefault="006603F3" w:rsidP="00D8030F">
            <w:pPr>
              <w:pStyle w:val="cuatexto"/>
              <w:jc w:val="right"/>
              <w:rPr>
                <w:szCs w:val="20"/>
              </w:rPr>
            </w:pPr>
            <w:r w:rsidRPr="003A115E">
              <w:rPr>
                <w:szCs w:val="20"/>
              </w:rPr>
              <w:t>8</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2A11347E" w14:textId="77777777" w:rsidR="006603F3" w:rsidRPr="003A115E" w:rsidRDefault="006603F3" w:rsidP="00D8030F">
            <w:pPr>
              <w:pStyle w:val="cuatexto"/>
              <w:jc w:val="right"/>
              <w:rPr>
                <w:szCs w:val="20"/>
              </w:rPr>
            </w:pPr>
            <w:r w:rsidRPr="003A115E">
              <w:rPr>
                <w:szCs w:val="20"/>
              </w:rPr>
              <w:t>8</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711791C0" w14:textId="77777777" w:rsidR="006603F3" w:rsidRPr="003A115E" w:rsidRDefault="006603F3" w:rsidP="00D8030F">
            <w:pPr>
              <w:pStyle w:val="cuatexto"/>
              <w:jc w:val="right"/>
              <w:rPr>
                <w:szCs w:val="20"/>
              </w:rPr>
            </w:pPr>
            <w:r w:rsidRPr="003A115E">
              <w:rPr>
                <w:szCs w:val="20"/>
              </w:rPr>
              <w:t>8</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303F6AA3" w14:textId="77777777" w:rsidR="006603F3" w:rsidRPr="003A115E" w:rsidRDefault="006603F3" w:rsidP="00D8030F">
            <w:pPr>
              <w:pStyle w:val="cuatexto"/>
              <w:jc w:val="right"/>
              <w:rPr>
                <w:szCs w:val="20"/>
              </w:rPr>
            </w:pPr>
            <w:r w:rsidRPr="003A115E">
              <w:rPr>
                <w:szCs w:val="20"/>
              </w:rPr>
              <w:t>8</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0BEABAAC" w14:textId="77777777" w:rsidR="006603F3" w:rsidRPr="003A115E" w:rsidRDefault="006603F3" w:rsidP="00D8030F">
            <w:pPr>
              <w:pStyle w:val="cuatexto"/>
              <w:jc w:val="right"/>
              <w:rPr>
                <w:szCs w:val="20"/>
              </w:rPr>
            </w:pPr>
            <w:r w:rsidRPr="003A115E">
              <w:rPr>
                <w:szCs w:val="20"/>
              </w:rPr>
              <w:t>8</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47080897" w14:textId="77777777" w:rsidR="006603F3" w:rsidRPr="003A115E" w:rsidRDefault="006603F3" w:rsidP="00D8030F">
            <w:pPr>
              <w:pStyle w:val="cuatexto"/>
              <w:jc w:val="right"/>
              <w:rPr>
                <w:szCs w:val="20"/>
              </w:rPr>
            </w:pPr>
            <w:r w:rsidRPr="003A115E">
              <w:rPr>
                <w:szCs w:val="20"/>
              </w:rPr>
              <w:t>4</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1A3E53DC" w14:textId="77777777" w:rsidR="006603F3" w:rsidRPr="003A115E" w:rsidRDefault="006603F3" w:rsidP="00D8030F">
            <w:pPr>
              <w:pStyle w:val="cuatexto"/>
              <w:jc w:val="right"/>
              <w:rPr>
                <w:szCs w:val="20"/>
              </w:rPr>
            </w:pPr>
            <w:r w:rsidRPr="003A115E">
              <w:rPr>
                <w:szCs w:val="20"/>
              </w:rPr>
              <w:t>6</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6423F1F1" w14:textId="77777777" w:rsidR="006603F3" w:rsidRPr="003A115E" w:rsidRDefault="006603F3" w:rsidP="00D8030F">
            <w:pPr>
              <w:pStyle w:val="cuatexto"/>
              <w:jc w:val="right"/>
              <w:rPr>
                <w:szCs w:val="20"/>
              </w:rPr>
            </w:pPr>
            <w:r w:rsidRPr="003A115E">
              <w:rPr>
                <w:szCs w:val="20"/>
              </w:rPr>
              <w:t>6</w:t>
            </w:r>
          </w:p>
        </w:tc>
        <w:tc>
          <w:tcPr>
            <w:tcW w:w="341" w:type="pct"/>
            <w:tcBorders>
              <w:top w:val="single" w:sz="2" w:space="0" w:color="auto"/>
              <w:bottom w:val="single" w:sz="2" w:space="0" w:color="auto"/>
            </w:tcBorders>
            <w:shd w:val="clear" w:color="auto" w:fill="auto"/>
            <w:noWrap/>
            <w:vAlign w:val="center"/>
            <w:hideMark/>
          </w:tcPr>
          <w:p w14:paraId="52058E48" w14:textId="77777777" w:rsidR="006603F3" w:rsidRPr="003A115E" w:rsidRDefault="006603F3" w:rsidP="00D8030F">
            <w:pPr>
              <w:pStyle w:val="cuatexto"/>
              <w:jc w:val="right"/>
              <w:rPr>
                <w:szCs w:val="20"/>
              </w:rPr>
            </w:pPr>
            <w:r w:rsidRPr="003A115E">
              <w:rPr>
                <w:szCs w:val="20"/>
              </w:rPr>
              <w:t>7</w:t>
            </w:r>
          </w:p>
        </w:tc>
      </w:tr>
      <w:tr w:rsidR="000A742F" w:rsidRPr="003A115E" w14:paraId="2B686864" w14:textId="77777777" w:rsidTr="00113116">
        <w:trPr>
          <w:trHeight w:val="198"/>
        </w:trPr>
        <w:tc>
          <w:tcPr>
            <w:tcW w:w="1585" w:type="pct"/>
            <w:tcBorders>
              <w:top w:val="single" w:sz="2" w:space="0" w:color="auto"/>
              <w:left w:val="nil"/>
              <w:bottom w:val="single" w:sz="2" w:space="0" w:color="auto"/>
              <w:right w:val="single" w:sz="2" w:space="0" w:color="auto"/>
            </w:tcBorders>
            <w:shd w:val="clear" w:color="auto" w:fill="auto"/>
            <w:noWrap/>
            <w:vAlign w:val="center"/>
            <w:hideMark/>
          </w:tcPr>
          <w:p w14:paraId="65D1ECF4" w14:textId="77777777" w:rsidR="006603F3" w:rsidRPr="003A115E" w:rsidRDefault="006603F3" w:rsidP="00F823E0">
            <w:pPr>
              <w:pStyle w:val="cuatexto"/>
              <w:rPr>
                <w:szCs w:val="20"/>
              </w:rPr>
            </w:pPr>
            <w:r w:rsidRPr="003A115E">
              <w:rPr>
                <w:szCs w:val="20"/>
              </w:rPr>
              <w:t>Más de 20.000 habitantes</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417C4C52" w14:textId="77777777" w:rsidR="006603F3" w:rsidRPr="003A115E" w:rsidRDefault="006603F3" w:rsidP="00D8030F">
            <w:pPr>
              <w:pStyle w:val="cuatexto"/>
              <w:jc w:val="right"/>
              <w:rPr>
                <w:szCs w:val="20"/>
              </w:rPr>
            </w:pPr>
            <w:r w:rsidRPr="003A115E">
              <w:rPr>
                <w:szCs w:val="20"/>
              </w:rPr>
              <w:t>3</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5888AD0B" w14:textId="77777777" w:rsidR="006603F3" w:rsidRPr="003A115E" w:rsidRDefault="006603F3" w:rsidP="00D8030F">
            <w:pPr>
              <w:pStyle w:val="cuatexto"/>
              <w:jc w:val="right"/>
              <w:rPr>
                <w:szCs w:val="20"/>
              </w:rPr>
            </w:pPr>
            <w:r w:rsidRPr="003A115E">
              <w:rPr>
                <w:szCs w:val="20"/>
              </w:rPr>
              <w:t>4</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0E63753C" w14:textId="77777777" w:rsidR="006603F3" w:rsidRPr="003A115E" w:rsidRDefault="006603F3" w:rsidP="00D8030F">
            <w:pPr>
              <w:pStyle w:val="cuatexto"/>
              <w:jc w:val="right"/>
              <w:rPr>
                <w:szCs w:val="20"/>
              </w:rPr>
            </w:pPr>
            <w:r w:rsidRPr="003A115E">
              <w:rPr>
                <w:szCs w:val="20"/>
              </w:rPr>
              <w:t>2</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18954A67" w14:textId="77777777" w:rsidR="006603F3" w:rsidRPr="003A115E" w:rsidRDefault="006603F3" w:rsidP="00D8030F">
            <w:pPr>
              <w:pStyle w:val="cuatexto"/>
              <w:jc w:val="right"/>
              <w:rPr>
                <w:szCs w:val="20"/>
              </w:rPr>
            </w:pPr>
            <w:r w:rsidRPr="003A115E">
              <w:rPr>
                <w:szCs w:val="20"/>
              </w:rPr>
              <w:t>4</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32540F76" w14:textId="77777777" w:rsidR="006603F3" w:rsidRPr="003A115E" w:rsidRDefault="006603F3" w:rsidP="00D8030F">
            <w:pPr>
              <w:pStyle w:val="cuatexto"/>
              <w:jc w:val="right"/>
              <w:rPr>
                <w:szCs w:val="20"/>
              </w:rPr>
            </w:pPr>
            <w:r w:rsidRPr="003A115E">
              <w:rPr>
                <w:szCs w:val="20"/>
              </w:rPr>
              <w:t>1</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5DE1E4A0" w14:textId="77777777" w:rsidR="006603F3" w:rsidRPr="003A115E" w:rsidRDefault="006603F3" w:rsidP="00D8030F">
            <w:pPr>
              <w:pStyle w:val="cuatexto"/>
              <w:jc w:val="right"/>
              <w:rPr>
                <w:szCs w:val="20"/>
              </w:rPr>
            </w:pPr>
            <w:r w:rsidRPr="003A115E">
              <w:rPr>
                <w:szCs w:val="20"/>
              </w:rPr>
              <w:t>4</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3E0CC842" w14:textId="77777777" w:rsidR="006603F3" w:rsidRPr="003A115E" w:rsidRDefault="006603F3" w:rsidP="00D8030F">
            <w:pPr>
              <w:pStyle w:val="cuatexto"/>
              <w:jc w:val="right"/>
              <w:rPr>
                <w:szCs w:val="20"/>
              </w:rPr>
            </w:pPr>
            <w:r w:rsidRPr="003A115E">
              <w:rPr>
                <w:szCs w:val="20"/>
              </w:rPr>
              <w:t>1</w:t>
            </w:r>
          </w:p>
        </w:tc>
        <w:tc>
          <w:tcPr>
            <w:tcW w:w="342" w:type="pct"/>
            <w:tcBorders>
              <w:top w:val="single" w:sz="2" w:space="0" w:color="auto"/>
              <w:bottom w:val="single" w:sz="2" w:space="0" w:color="auto"/>
              <w:right w:val="single" w:sz="2" w:space="0" w:color="auto"/>
            </w:tcBorders>
            <w:shd w:val="clear" w:color="auto" w:fill="auto"/>
            <w:noWrap/>
            <w:vAlign w:val="center"/>
            <w:hideMark/>
          </w:tcPr>
          <w:p w14:paraId="0B6B68AB" w14:textId="77777777" w:rsidR="006603F3" w:rsidRPr="003A115E" w:rsidRDefault="006603F3" w:rsidP="00D8030F">
            <w:pPr>
              <w:pStyle w:val="cuatexto"/>
              <w:jc w:val="right"/>
              <w:rPr>
                <w:szCs w:val="20"/>
              </w:rPr>
            </w:pPr>
            <w:r w:rsidRPr="003A115E">
              <w:rPr>
                <w:szCs w:val="20"/>
              </w:rPr>
              <w:t>1</w:t>
            </w:r>
          </w:p>
        </w:tc>
        <w:tc>
          <w:tcPr>
            <w:tcW w:w="341" w:type="pct"/>
            <w:tcBorders>
              <w:top w:val="single" w:sz="2" w:space="0" w:color="auto"/>
              <w:left w:val="single" w:sz="2" w:space="0" w:color="auto"/>
              <w:bottom w:val="single" w:sz="2" w:space="0" w:color="auto"/>
            </w:tcBorders>
            <w:shd w:val="clear" w:color="auto" w:fill="auto"/>
            <w:noWrap/>
            <w:vAlign w:val="center"/>
            <w:hideMark/>
          </w:tcPr>
          <w:p w14:paraId="329B0FAF" w14:textId="77777777" w:rsidR="006603F3" w:rsidRPr="003A115E" w:rsidRDefault="006603F3" w:rsidP="00D8030F">
            <w:pPr>
              <w:pStyle w:val="cuatexto"/>
              <w:jc w:val="right"/>
              <w:rPr>
                <w:szCs w:val="20"/>
              </w:rPr>
            </w:pPr>
            <w:r w:rsidRPr="003A115E">
              <w:rPr>
                <w:szCs w:val="20"/>
              </w:rPr>
              <w:t>3</w:t>
            </w:r>
          </w:p>
        </w:tc>
        <w:tc>
          <w:tcPr>
            <w:tcW w:w="341" w:type="pct"/>
            <w:tcBorders>
              <w:top w:val="single" w:sz="2" w:space="0" w:color="auto"/>
              <w:bottom w:val="single" w:sz="2" w:space="0" w:color="auto"/>
            </w:tcBorders>
            <w:shd w:val="clear" w:color="auto" w:fill="auto"/>
            <w:noWrap/>
            <w:vAlign w:val="center"/>
            <w:hideMark/>
          </w:tcPr>
          <w:p w14:paraId="01B582D2" w14:textId="77777777" w:rsidR="006603F3" w:rsidRPr="003A115E" w:rsidRDefault="006603F3" w:rsidP="00D8030F">
            <w:pPr>
              <w:pStyle w:val="cuatexto"/>
              <w:jc w:val="right"/>
              <w:rPr>
                <w:szCs w:val="20"/>
              </w:rPr>
            </w:pPr>
            <w:r w:rsidRPr="003A115E">
              <w:rPr>
                <w:szCs w:val="20"/>
              </w:rPr>
              <w:t>2</w:t>
            </w:r>
          </w:p>
        </w:tc>
      </w:tr>
      <w:tr w:rsidR="000A742F" w:rsidRPr="003A115E" w14:paraId="32AFE802" w14:textId="77777777" w:rsidTr="004D2232">
        <w:trPr>
          <w:trHeight w:val="198"/>
        </w:trPr>
        <w:tc>
          <w:tcPr>
            <w:tcW w:w="1585" w:type="pct"/>
            <w:tcBorders>
              <w:top w:val="single" w:sz="2" w:space="0" w:color="auto"/>
              <w:left w:val="nil"/>
              <w:bottom w:val="single" w:sz="4" w:space="0" w:color="auto"/>
              <w:right w:val="single" w:sz="2" w:space="0" w:color="auto"/>
            </w:tcBorders>
            <w:shd w:val="clear" w:color="auto" w:fill="auto"/>
            <w:noWrap/>
            <w:vAlign w:val="center"/>
            <w:hideMark/>
          </w:tcPr>
          <w:p w14:paraId="5F797D59" w14:textId="77777777" w:rsidR="006603F3" w:rsidRPr="003A115E" w:rsidRDefault="006603F3" w:rsidP="00F823E0">
            <w:pPr>
              <w:pStyle w:val="cuatexto"/>
              <w:rPr>
                <w:szCs w:val="20"/>
              </w:rPr>
            </w:pPr>
            <w:r w:rsidRPr="003A115E">
              <w:rPr>
                <w:szCs w:val="20"/>
              </w:rPr>
              <w:t>Mancomunidades y Agrupaciones</w:t>
            </w:r>
          </w:p>
        </w:tc>
        <w:tc>
          <w:tcPr>
            <w:tcW w:w="341" w:type="pct"/>
            <w:tcBorders>
              <w:top w:val="single" w:sz="2" w:space="0" w:color="auto"/>
              <w:left w:val="single" w:sz="2" w:space="0" w:color="auto"/>
              <w:bottom w:val="single" w:sz="4" w:space="0" w:color="auto"/>
            </w:tcBorders>
            <w:shd w:val="clear" w:color="auto" w:fill="auto"/>
            <w:noWrap/>
            <w:vAlign w:val="center"/>
            <w:hideMark/>
          </w:tcPr>
          <w:p w14:paraId="52CAB8F1" w14:textId="77777777" w:rsidR="006603F3" w:rsidRPr="003A115E" w:rsidRDefault="006603F3" w:rsidP="00D8030F">
            <w:pPr>
              <w:pStyle w:val="cuatexto"/>
              <w:jc w:val="right"/>
              <w:rPr>
                <w:szCs w:val="20"/>
              </w:rPr>
            </w:pPr>
            <w:r w:rsidRPr="003A115E">
              <w:rPr>
                <w:szCs w:val="20"/>
              </w:rPr>
              <w:t>62</w:t>
            </w:r>
          </w:p>
        </w:tc>
        <w:tc>
          <w:tcPr>
            <w:tcW w:w="342" w:type="pct"/>
            <w:tcBorders>
              <w:top w:val="single" w:sz="2" w:space="0" w:color="auto"/>
              <w:bottom w:val="single" w:sz="4" w:space="0" w:color="auto"/>
              <w:right w:val="single" w:sz="2" w:space="0" w:color="auto"/>
            </w:tcBorders>
            <w:shd w:val="clear" w:color="auto" w:fill="auto"/>
            <w:noWrap/>
            <w:vAlign w:val="center"/>
            <w:hideMark/>
          </w:tcPr>
          <w:p w14:paraId="4625C7D2" w14:textId="77777777" w:rsidR="006603F3" w:rsidRPr="003A115E" w:rsidRDefault="006603F3" w:rsidP="00D8030F">
            <w:pPr>
              <w:pStyle w:val="cuatexto"/>
              <w:jc w:val="right"/>
              <w:rPr>
                <w:szCs w:val="20"/>
              </w:rPr>
            </w:pPr>
            <w:r w:rsidRPr="003A115E">
              <w:rPr>
                <w:szCs w:val="20"/>
              </w:rPr>
              <w:t>56</w:t>
            </w:r>
          </w:p>
        </w:tc>
        <w:tc>
          <w:tcPr>
            <w:tcW w:w="341" w:type="pct"/>
            <w:tcBorders>
              <w:top w:val="single" w:sz="2" w:space="0" w:color="auto"/>
              <w:left w:val="single" w:sz="2" w:space="0" w:color="auto"/>
              <w:bottom w:val="single" w:sz="4" w:space="0" w:color="auto"/>
            </w:tcBorders>
            <w:shd w:val="clear" w:color="auto" w:fill="auto"/>
            <w:noWrap/>
            <w:vAlign w:val="center"/>
            <w:hideMark/>
          </w:tcPr>
          <w:p w14:paraId="326FAE10" w14:textId="77777777" w:rsidR="006603F3" w:rsidRPr="003A115E" w:rsidRDefault="006603F3" w:rsidP="00D8030F">
            <w:pPr>
              <w:pStyle w:val="cuatexto"/>
              <w:jc w:val="right"/>
              <w:rPr>
                <w:szCs w:val="20"/>
              </w:rPr>
            </w:pPr>
            <w:r w:rsidRPr="003A115E">
              <w:rPr>
                <w:szCs w:val="20"/>
              </w:rPr>
              <w:t>56</w:t>
            </w:r>
          </w:p>
        </w:tc>
        <w:tc>
          <w:tcPr>
            <w:tcW w:w="342" w:type="pct"/>
            <w:tcBorders>
              <w:top w:val="single" w:sz="2" w:space="0" w:color="auto"/>
              <w:bottom w:val="single" w:sz="4" w:space="0" w:color="auto"/>
              <w:right w:val="single" w:sz="2" w:space="0" w:color="auto"/>
            </w:tcBorders>
            <w:shd w:val="clear" w:color="auto" w:fill="auto"/>
            <w:noWrap/>
            <w:vAlign w:val="center"/>
            <w:hideMark/>
          </w:tcPr>
          <w:p w14:paraId="01756F70" w14:textId="77777777" w:rsidR="006603F3" w:rsidRPr="003A115E" w:rsidRDefault="006603F3" w:rsidP="00D8030F">
            <w:pPr>
              <w:pStyle w:val="cuatexto"/>
              <w:jc w:val="right"/>
              <w:rPr>
                <w:szCs w:val="20"/>
              </w:rPr>
            </w:pPr>
            <w:r w:rsidRPr="003A115E">
              <w:rPr>
                <w:szCs w:val="20"/>
              </w:rPr>
              <w:t>49</w:t>
            </w:r>
          </w:p>
        </w:tc>
        <w:tc>
          <w:tcPr>
            <w:tcW w:w="341" w:type="pct"/>
            <w:tcBorders>
              <w:top w:val="single" w:sz="2" w:space="0" w:color="auto"/>
              <w:left w:val="single" w:sz="2" w:space="0" w:color="auto"/>
              <w:bottom w:val="single" w:sz="4" w:space="0" w:color="auto"/>
            </w:tcBorders>
            <w:shd w:val="clear" w:color="auto" w:fill="auto"/>
            <w:noWrap/>
            <w:vAlign w:val="center"/>
            <w:hideMark/>
          </w:tcPr>
          <w:p w14:paraId="1140C414" w14:textId="77777777" w:rsidR="006603F3" w:rsidRPr="003A115E" w:rsidRDefault="006603F3" w:rsidP="00D8030F">
            <w:pPr>
              <w:pStyle w:val="cuatexto"/>
              <w:jc w:val="right"/>
              <w:rPr>
                <w:szCs w:val="20"/>
              </w:rPr>
            </w:pPr>
            <w:r w:rsidRPr="003A115E">
              <w:rPr>
                <w:szCs w:val="20"/>
              </w:rPr>
              <w:t>58</w:t>
            </w:r>
          </w:p>
        </w:tc>
        <w:tc>
          <w:tcPr>
            <w:tcW w:w="342" w:type="pct"/>
            <w:tcBorders>
              <w:top w:val="single" w:sz="2" w:space="0" w:color="auto"/>
              <w:bottom w:val="single" w:sz="4" w:space="0" w:color="auto"/>
              <w:right w:val="single" w:sz="2" w:space="0" w:color="auto"/>
            </w:tcBorders>
            <w:shd w:val="clear" w:color="auto" w:fill="auto"/>
            <w:noWrap/>
            <w:vAlign w:val="center"/>
            <w:hideMark/>
          </w:tcPr>
          <w:p w14:paraId="7CAEE311" w14:textId="77777777" w:rsidR="006603F3" w:rsidRPr="003A115E" w:rsidRDefault="006603F3" w:rsidP="00D8030F">
            <w:pPr>
              <w:pStyle w:val="cuatexto"/>
              <w:jc w:val="right"/>
              <w:rPr>
                <w:szCs w:val="20"/>
              </w:rPr>
            </w:pPr>
            <w:r w:rsidRPr="003A115E">
              <w:rPr>
                <w:szCs w:val="20"/>
              </w:rPr>
              <w:t>51</w:t>
            </w:r>
          </w:p>
        </w:tc>
        <w:tc>
          <w:tcPr>
            <w:tcW w:w="341" w:type="pct"/>
            <w:tcBorders>
              <w:top w:val="single" w:sz="2" w:space="0" w:color="auto"/>
              <w:left w:val="single" w:sz="2" w:space="0" w:color="auto"/>
              <w:bottom w:val="single" w:sz="4" w:space="0" w:color="auto"/>
            </w:tcBorders>
            <w:shd w:val="clear" w:color="auto" w:fill="auto"/>
            <w:noWrap/>
            <w:vAlign w:val="center"/>
            <w:hideMark/>
          </w:tcPr>
          <w:p w14:paraId="5C4A0A88" w14:textId="77777777" w:rsidR="006603F3" w:rsidRPr="003A115E" w:rsidRDefault="006603F3" w:rsidP="00D8030F">
            <w:pPr>
              <w:pStyle w:val="cuatexto"/>
              <w:jc w:val="right"/>
              <w:rPr>
                <w:szCs w:val="20"/>
              </w:rPr>
            </w:pPr>
            <w:r w:rsidRPr="003A115E">
              <w:rPr>
                <w:szCs w:val="20"/>
              </w:rPr>
              <w:t>56</w:t>
            </w:r>
          </w:p>
        </w:tc>
        <w:tc>
          <w:tcPr>
            <w:tcW w:w="342" w:type="pct"/>
            <w:tcBorders>
              <w:top w:val="single" w:sz="2" w:space="0" w:color="auto"/>
              <w:bottom w:val="single" w:sz="4" w:space="0" w:color="auto"/>
              <w:right w:val="single" w:sz="2" w:space="0" w:color="auto"/>
            </w:tcBorders>
            <w:shd w:val="clear" w:color="auto" w:fill="auto"/>
            <w:noWrap/>
            <w:vAlign w:val="center"/>
            <w:hideMark/>
          </w:tcPr>
          <w:p w14:paraId="1F82F5AD" w14:textId="77777777" w:rsidR="006603F3" w:rsidRPr="003A115E" w:rsidRDefault="006603F3" w:rsidP="00D8030F">
            <w:pPr>
              <w:pStyle w:val="cuatexto"/>
              <w:jc w:val="right"/>
              <w:rPr>
                <w:szCs w:val="20"/>
              </w:rPr>
            </w:pPr>
            <w:r w:rsidRPr="003A115E">
              <w:rPr>
                <w:szCs w:val="20"/>
              </w:rPr>
              <w:t>50</w:t>
            </w:r>
          </w:p>
        </w:tc>
        <w:tc>
          <w:tcPr>
            <w:tcW w:w="341" w:type="pct"/>
            <w:tcBorders>
              <w:top w:val="single" w:sz="2" w:space="0" w:color="auto"/>
              <w:left w:val="single" w:sz="2" w:space="0" w:color="auto"/>
              <w:bottom w:val="single" w:sz="4" w:space="0" w:color="auto"/>
            </w:tcBorders>
            <w:shd w:val="clear" w:color="auto" w:fill="auto"/>
            <w:noWrap/>
            <w:vAlign w:val="center"/>
            <w:hideMark/>
          </w:tcPr>
          <w:p w14:paraId="7E17A165" w14:textId="77777777" w:rsidR="006603F3" w:rsidRPr="003A115E" w:rsidRDefault="006603F3" w:rsidP="00D8030F">
            <w:pPr>
              <w:pStyle w:val="cuatexto"/>
              <w:jc w:val="right"/>
              <w:rPr>
                <w:szCs w:val="20"/>
              </w:rPr>
            </w:pPr>
            <w:r w:rsidRPr="003A115E">
              <w:rPr>
                <w:szCs w:val="20"/>
              </w:rPr>
              <w:t>58</w:t>
            </w:r>
          </w:p>
        </w:tc>
        <w:tc>
          <w:tcPr>
            <w:tcW w:w="341" w:type="pct"/>
            <w:tcBorders>
              <w:top w:val="single" w:sz="2" w:space="0" w:color="auto"/>
              <w:bottom w:val="single" w:sz="4" w:space="0" w:color="auto"/>
            </w:tcBorders>
            <w:shd w:val="clear" w:color="auto" w:fill="auto"/>
            <w:noWrap/>
            <w:vAlign w:val="center"/>
            <w:hideMark/>
          </w:tcPr>
          <w:p w14:paraId="6B979EB1" w14:textId="77777777" w:rsidR="006603F3" w:rsidRPr="003A115E" w:rsidRDefault="006603F3" w:rsidP="00D8030F">
            <w:pPr>
              <w:pStyle w:val="cuatexto"/>
              <w:jc w:val="right"/>
              <w:rPr>
                <w:szCs w:val="20"/>
              </w:rPr>
            </w:pPr>
            <w:r w:rsidRPr="003A115E">
              <w:rPr>
                <w:szCs w:val="20"/>
              </w:rPr>
              <w:t>49</w:t>
            </w:r>
          </w:p>
        </w:tc>
      </w:tr>
      <w:tr w:rsidR="000A742F" w:rsidRPr="003A115E" w14:paraId="56A4B78A" w14:textId="77777777" w:rsidTr="004D2232">
        <w:trPr>
          <w:trHeight w:val="255"/>
        </w:trPr>
        <w:tc>
          <w:tcPr>
            <w:tcW w:w="1585" w:type="pct"/>
            <w:tcBorders>
              <w:top w:val="single" w:sz="4" w:space="0" w:color="auto"/>
              <w:left w:val="nil"/>
              <w:bottom w:val="single" w:sz="2" w:space="0" w:color="auto"/>
              <w:right w:val="single" w:sz="2" w:space="0" w:color="auto"/>
            </w:tcBorders>
            <w:shd w:val="clear" w:color="auto" w:fill="FABF8F" w:themeFill="accent6" w:themeFillTint="99"/>
            <w:noWrap/>
            <w:vAlign w:val="center"/>
            <w:hideMark/>
          </w:tcPr>
          <w:p w14:paraId="21646A5F" w14:textId="77777777" w:rsidR="006603F3" w:rsidRPr="003A115E" w:rsidRDefault="006603F3" w:rsidP="00F823E0">
            <w:pPr>
              <w:pStyle w:val="cuadroCabe"/>
            </w:pPr>
            <w:r w:rsidRPr="003A115E">
              <w:t>Total</w:t>
            </w:r>
          </w:p>
        </w:tc>
        <w:tc>
          <w:tcPr>
            <w:tcW w:w="341" w:type="pct"/>
            <w:tcBorders>
              <w:top w:val="single" w:sz="4" w:space="0" w:color="auto"/>
              <w:left w:val="single" w:sz="2" w:space="0" w:color="auto"/>
              <w:bottom w:val="single" w:sz="2" w:space="0" w:color="auto"/>
            </w:tcBorders>
            <w:shd w:val="clear" w:color="auto" w:fill="FABF8F" w:themeFill="accent6" w:themeFillTint="99"/>
            <w:noWrap/>
            <w:vAlign w:val="center"/>
            <w:hideMark/>
          </w:tcPr>
          <w:p w14:paraId="24518998" w14:textId="77777777" w:rsidR="006603F3" w:rsidRPr="003A115E" w:rsidRDefault="006603F3" w:rsidP="00D8030F">
            <w:pPr>
              <w:pStyle w:val="cuadroCabe"/>
              <w:jc w:val="right"/>
            </w:pPr>
            <w:r w:rsidRPr="003A115E">
              <w:t>302</w:t>
            </w:r>
          </w:p>
        </w:tc>
        <w:tc>
          <w:tcPr>
            <w:tcW w:w="342" w:type="pct"/>
            <w:tcBorders>
              <w:top w:val="single" w:sz="4" w:space="0" w:color="auto"/>
              <w:bottom w:val="single" w:sz="2" w:space="0" w:color="auto"/>
              <w:right w:val="single" w:sz="2" w:space="0" w:color="auto"/>
            </w:tcBorders>
            <w:shd w:val="clear" w:color="auto" w:fill="FABF8F" w:themeFill="accent6" w:themeFillTint="99"/>
            <w:noWrap/>
            <w:vAlign w:val="center"/>
            <w:hideMark/>
          </w:tcPr>
          <w:p w14:paraId="67183FD8" w14:textId="77777777" w:rsidR="006603F3" w:rsidRPr="003A115E" w:rsidRDefault="006603F3" w:rsidP="00D8030F">
            <w:pPr>
              <w:pStyle w:val="cuadroCabe"/>
              <w:jc w:val="right"/>
            </w:pPr>
            <w:r w:rsidRPr="003A115E">
              <w:t>289</w:t>
            </w:r>
          </w:p>
        </w:tc>
        <w:tc>
          <w:tcPr>
            <w:tcW w:w="341" w:type="pct"/>
            <w:tcBorders>
              <w:top w:val="single" w:sz="4" w:space="0" w:color="auto"/>
              <w:left w:val="single" w:sz="2" w:space="0" w:color="auto"/>
              <w:bottom w:val="single" w:sz="2" w:space="0" w:color="auto"/>
            </w:tcBorders>
            <w:shd w:val="clear" w:color="auto" w:fill="FABF8F" w:themeFill="accent6" w:themeFillTint="99"/>
            <w:noWrap/>
            <w:vAlign w:val="center"/>
            <w:hideMark/>
          </w:tcPr>
          <w:p w14:paraId="28562114" w14:textId="77777777" w:rsidR="006603F3" w:rsidRPr="003A115E" w:rsidRDefault="006603F3" w:rsidP="00D8030F">
            <w:pPr>
              <w:pStyle w:val="cuadroCabe"/>
              <w:jc w:val="right"/>
            </w:pPr>
            <w:r w:rsidRPr="003A115E">
              <w:t>281</w:t>
            </w:r>
          </w:p>
        </w:tc>
        <w:tc>
          <w:tcPr>
            <w:tcW w:w="342" w:type="pct"/>
            <w:tcBorders>
              <w:top w:val="single" w:sz="4" w:space="0" w:color="auto"/>
              <w:bottom w:val="single" w:sz="2" w:space="0" w:color="auto"/>
              <w:right w:val="single" w:sz="2" w:space="0" w:color="auto"/>
            </w:tcBorders>
            <w:shd w:val="clear" w:color="auto" w:fill="FABF8F" w:themeFill="accent6" w:themeFillTint="99"/>
            <w:noWrap/>
            <w:vAlign w:val="center"/>
            <w:hideMark/>
          </w:tcPr>
          <w:p w14:paraId="0B3FCD6B" w14:textId="77777777" w:rsidR="006603F3" w:rsidRPr="003A115E" w:rsidRDefault="006603F3" w:rsidP="00D8030F">
            <w:pPr>
              <w:pStyle w:val="cuadroCabe"/>
              <w:jc w:val="right"/>
            </w:pPr>
            <w:r w:rsidRPr="003A115E">
              <w:t>259</w:t>
            </w:r>
          </w:p>
        </w:tc>
        <w:tc>
          <w:tcPr>
            <w:tcW w:w="341" w:type="pct"/>
            <w:tcBorders>
              <w:top w:val="single" w:sz="4" w:space="0" w:color="auto"/>
              <w:left w:val="single" w:sz="2" w:space="0" w:color="auto"/>
              <w:bottom w:val="single" w:sz="2" w:space="0" w:color="auto"/>
            </w:tcBorders>
            <w:shd w:val="clear" w:color="auto" w:fill="FABF8F" w:themeFill="accent6" w:themeFillTint="99"/>
            <w:noWrap/>
            <w:vAlign w:val="center"/>
            <w:hideMark/>
          </w:tcPr>
          <w:p w14:paraId="29B82A7C" w14:textId="77777777" w:rsidR="006603F3" w:rsidRPr="003A115E" w:rsidRDefault="006603F3" w:rsidP="00D8030F">
            <w:pPr>
              <w:pStyle w:val="cuadroCabe"/>
              <w:jc w:val="right"/>
            </w:pPr>
            <w:r w:rsidRPr="003A115E">
              <w:t>283</w:t>
            </w:r>
          </w:p>
        </w:tc>
        <w:tc>
          <w:tcPr>
            <w:tcW w:w="342" w:type="pct"/>
            <w:tcBorders>
              <w:top w:val="single" w:sz="4" w:space="0" w:color="auto"/>
              <w:bottom w:val="single" w:sz="2" w:space="0" w:color="auto"/>
              <w:right w:val="single" w:sz="2" w:space="0" w:color="auto"/>
            </w:tcBorders>
            <w:shd w:val="clear" w:color="auto" w:fill="FABF8F" w:themeFill="accent6" w:themeFillTint="99"/>
            <w:noWrap/>
            <w:vAlign w:val="center"/>
            <w:hideMark/>
          </w:tcPr>
          <w:p w14:paraId="19429BC2" w14:textId="77777777" w:rsidR="006603F3" w:rsidRPr="003A115E" w:rsidRDefault="006603F3" w:rsidP="00D8030F">
            <w:pPr>
              <w:pStyle w:val="cuadroCabe"/>
              <w:jc w:val="right"/>
            </w:pPr>
            <w:r w:rsidRPr="003A115E">
              <w:t>258</w:t>
            </w:r>
          </w:p>
        </w:tc>
        <w:tc>
          <w:tcPr>
            <w:tcW w:w="341" w:type="pct"/>
            <w:tcBorders>
              <w:top w:val="single" w:sz="4" w:space="0" w:color="auto"/>
              <w:left w:val="single" w:sz="2" w:space="0" w:color="auto"/>
              <w:bottom w:val="single" w:sz="2" w:space="0" w:color="auto"/>
            </w:tcBorders>
            <w:shd w:val="clear" w:color="auto" w:fill="FABF8F" w:themeFill="accent6" w:themeFillTint="99"/>
            <w:noWrap/>
            <w:vAlign w:val="center"/>
            <w:hideMark/>
          </w:tcPr>
          <w:p w14:paraId="2B5E2A9C" w14:textId="77777777" w:rsidR="006603F3" w:rsidRPr="003A115E" w:rsidRDefault="006603F3" w:rsidP="00D8030F">
            <w:pPr>
              <w:pStyle w:val="cuadroCabe"/>
              <w:jc w:val="right"/>
            </w:pPr>
            <w:r w:rsidRPr="003A115E">
              <w:t>262</w:t>
            </w:r>
          </w:p>
        </w:tc>
        <w:tc>
          <w:tcPr>
            <w:tcW w:w="342" w:type="pct"/>
            <w:tcBorders>
              <w:top w:val="single" w:sz="4" w:space="0" w:color="auto"/>
              <w:bottom w:val="single" w:sz="2" w:space="0" w:color="auto"/>
              <w:right w:val="single" w:sz="2" w:space="0" w:color="auto"/>
            </w:tcBorders>
            <w:shd w:val="clear" w:color="auto" w:fill="FABF8F" w:themeFill="accent6" w:themeFillTint="99"/>
            <w:noWrap/>
            <w:vAlign w:val="center"/>
            <w:hideMark/>
          </w:tcPr>
          <w:p w14:paraId="569560F0" w14:textId="77777777" w:rsidR="006603F3" w:rsidRPr="003A115E" w:rsidRDefault="006603F3" w:rsidP="00D8030F">
            <w:pPr>
              <w:pStyle w:val="cuadroCabe"/>
              <w:jc w:val="right"/>
            </w:pPr>
            <w:r w:rsidRPr="003A115E">
              <w:t>242</w:t>
            </w:r>
          </w:p>
        </w:tc>
        <w:tc>
          <w:tcPr>
            <w:tcW w:w="341" w:type="pct"/>
            <w:tcBorders>
              <w:top w:val="single" w:sz="4" w:space="0" w:color="auto"/>
              <w:left w:val="single" w:sz="2" w:space="0" w:color="auto"/>
              <w:bottom w:val="single" w:sz="2" w:space="0" w:color="auto"/>
            </w:tcBorders>
            <w:shd w:val="clear" w:color="auto" w:fill="FABF8F" w:themeFill="accent6" w:themeFillTint="99"/>
            <w:noWrap/>
            <w:vAlign w:val="center"/>
            <w:hideMark/>
          </w:tcPr>
          <w:p w14:paraId="3BB4AEDB" w14:textId="77777777" w:rsidR="006603F3" w:rsidRPr="003A115E" w:rsidRDefault="006603F3" w:rsidP="00D8030F">
            <w:pPr>
              <w:pStyle w:val="cuadroCabe"/>
              <w:jc w:val="right"/>
            </w:pPr>
            <w:r w:rsidRPr="003A115E">
              <w:t>278</w:t>
            </w:r>
          </w:p>
        </w:tc>
        <w:tc>
          <w:tcPr>
            <w:tcW w:w="341" w:type="pct"/>
            <w:tcBorders>
              <w:top w:val="single" w:sz="4" w:space="0" w:color="auto"/>
              <w:bottom w:val="single" w:sz="2" w:space="0" w:color="auto"/>
            </w:tcBorders>
            <w:shd w:val="clear" w:color="auto" w:fill="FABF8F" w:themeFill="accent6" w:themeFillTint="99"/>
            <w:noWrap/>
            <w:vAlign w:val="center"/>
            <w:hideMark/>
          </w:tcPr>
          <w:p w14:paraId="1DA4CEF8" w14:textId="77777777" w:rsidR="006603F3" w:rsidRPr="003A115E" w:rsidRDefault="006603F3" w:rsidP="00D8030F">
            <w:pPr>
              <w:pStyle w:val="cuadroCabe"/>
              <w:jc w:val="right"/>
            </w:pPr>
            <w:r w:rsidRPr="003A115E">
              <w:t>260</w:t>
            </w:r>
          </w:p>
        </w:tc>
      </w:tr>
      <w:tr w:rsidR="000A742F" w:rsidRPr="003A115E" w14:paraId="2DB3FDD9" w14:textId="77777777" w:rsidTr="004D2232">
        <w:trPr>
          <w:trHeight w:val="255"/>
        </w:trPr>
        <w:tc>
          <w:tcPr>
            <w:tcW w:w="1585" w:type="pct"/>
            <w:tcBorders>
              <w:top w:val="single" w:sz="2" w:space="0" w:color="auto"/>
              <w:left w:val="nil"/>
              <w:bottom w:val="single" w:sz="4" w:space="0" w:color="auto"/>
              <w:right w:val="single" w:sz="2" w:space="0" w:color="auto"/>
            </w:tcBorders>
            <w:shd w:val="clear" w:color="auto" w:fill="FABF8F" w:themeFill="accent6" w:themeFillTint="99"/>
            <w:noWrap/>
            <w:vAlign w:val="center"/>
            <w:hideMark/>
          </w:tcPr>
          <w:p w14:paraId="082212DC" w14:textId="77777777" w:rsidR="00113116" w:rsidRPr="003A115E" w:rsidRDefault="00113116" w:rsidP="00F823E0">
            <w:pPr>
              <w:pStyle w:val="cuadroCabe"/>
            </w:pPr>
            <w:r w:rsidRPr="003A115E">
              <w:t>% s/ total respuestas</w:t>
            </w:r>
          </w:p>
        </w:tc>
        <w:tc>
          <w:tcPr>
            <w:tcW w:w="683" w:type="pct"/>
            <w:gridSpan w:val="2"/>
            <w:tcBorders>
              <w:top w:val="single" w:sz="2" w:space="0" w:color="auto"/>
              <w:left w:val="single" w:sz="2" w:space="0" w:color="auto"/>
              <w:bottom w:val="single" w:sz="4" w:space="0" w:color="auto"/>
              <w:right w:val="single" w:sz="2" w:space="0" w:color="auto"/>
            </w:tcBorders>
            <w:shd w:val="clear" w:color="auto" w:fill="FABF8F" w:themeFill="accent6" w:themeFillTint="99"/>
            <w:noWrap/>
            <w:vAlign w:val="center"/>
            <w:hideMark/>
          </w:tcPr>
          <w:p w14:paraId="3BD16833" w14:textId="47D2F734" w:rsidR="00113116" w:rsidRPr="003A115E" w:rsidRDefault="00113116" w:rsidP="00D8030F">
            <w:pPr>
              <w:pStyle w:val="cuadroCabe"/>
              <w:jc w:val="right"/>
            </w:pPr>
          </w:p>
        </w:tc>
        <w:tc>
          <w:tcPr>
            <w:tcW w:w="341"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6B973D73" w14:textId="057049A0" w:rsidR="00113116" w:rsidRPr="003A115E" w:rsidRDefault="00113116" w:rsidP="00D8030F">
            <w:pPr>
              <w:pStyle w:val="cuadroCabe"/>
              <w:jc w:val="right"/>
            </w:pPr>
            <w:r w:rsidRPr="003A115E">
              <w:t>93</w:t>
            </w:r>
          </w:p>
        </w:tc>
        <w:tc>
          <w:tcPr>
            <w:tcW w:w="342" w:type="pct"/>
            <w:tcBorders>
              <w:top w:val="single" w:sz="2" w:space="0" w:color="auto"/>
              <w:bottom w:val="single" w:sz="4" w:space="0" w:color="auto"/>
              <w:right w:val="single" w:sz="2" w:space="0" w:color="auto"/>
            </w:tcBorders>
            <w:shd w:val="clear" w:color="auto" w:fill="FABF8F" w:themeFill="accent6" w:themeFillTint="99"/>
            <w:noWrap/>
            <w:vAlign w:val="center"/>
            <w:hideMark/>
          </w:tcPr>
          <w:p w14:paraId="241D4536" w14:textId="5AE43CFA" w:rsidR="00113116" w:rsidRPr="003A115E" w:rsidRDefault="00113116" w:rsidP="00D8030F">
            <w:pPr>
              <w:pStyle w:val="cuadroCabe"/>
              <w:jc w:val="right"/>
            </w:pPr>
            <w:r w:rsidRPr="003A115E">
              <w:t>90</w:t>
            </w:r>
          </w:p>
        </w:tc>
        <w:tc>
          <w:tcPr>
            <w:tcW w:w="341"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11F4F9C5" w14:textId="2FF15A45" w:rsidR="00113116" w:rsidRPr="003A115E" w:rsidRDefault="00113116" w:rsidP="00D8030F">
            <w:pPr>
              <w:pStyle w:val="cuadroCabe"/>
              <w:jc w:val="right"/>
            </w:pPr>
            <w:r w:rsidRPr="003A115E">
              <w:t>94</w:t>
            </w:r>
          </w:p>
        </w:tc>
        <w:tc>
          <w:tcPr>
            <w:tcW w:w="342" w:type="pct"/>
            <w:tcBorders>
              <w:top w:val="single" w:sz="2" w:space="0" w:color="auto"/>
              <w:bottom w:val="single" w:sz="4" w:space="0" w:color="auto"/>
              <w:right w:val="single" w:sz="2" w:space="0" w:color="auto"/>
            </w:tcBorders>
            <w:shd w:val="clear" w:color="auto" w:fill="FABF8F" w:themeFill="accent6" w:themeFillTint="99"/>
            <w:noWrap/>
            <w:vAlign w:val="center"/>
            <w:hideMark/>
          </w:tcPr>
          <w:p w14:paraId="7E1EA32D" w14:textId="04F2F4B5" w:rsidR="00113116" w:rsidRPr="003A115E" w:rsidRDefault="00113116" w:rsidP="00D8030F">
            <w:pPr>
              <w:pStyle w:val="cuadroCabe"/>
              <w:jc w:val="right"/>
            </w:pPr>
            <w:r w:rsidRPr="003A115E">
              <w:t>89</w:t>
            </w:r>
          </w:p>
        </w:tc>
        <w:tc>
          <w:tcPr>
            <w:tcW w:w="341"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7866E06B" w14:textId="2BC4943B" w:rsidR="00113116" w:rsidRPr="003A115E" w:rsidRDefault="00113116" w:rsidP="00D8030F">
            <w:pPr>
              <w:pStyle w:val="cuadroCabe"/>
              <w:jc w:val="right"/>
            </w:pPr>
            <w:r w:rsidRPr="003A115E">
              <w:t>87</w:t>
            </w:r>
          </w:p>
        </w:tc>
        <w:tc>
          <w:tcPr>
            <w:tcW w:w="342" w:type="pct"/>
            <w:tcBorders>
              <w:top w:val="single" w:sz="2" w:space="0" w:color="auto"/>
              <w:bottom w:val="single" w:sz="4" w:space="0" w:color="auto"/>
              <w:right w:val="single" w:sz="2" w:space="0" w:color="auto"/>
            </w:tcBorders>
            <w:shd w:val="clear" w:color="auto" w:fill="FABF8F" w:themeFill="accent6" w:themeFillTint="99"/>
            <w:noWrap/>
            <w:vAlign w:val="center"/>
            <w:hideMark/>
          </w:tcPr>
          <w:p w14:paraId="1DBC5871" w14:textId="1F2A7904" w:rsidR="00113116" w:rsidRPr="003A115E" w:rsidRDefault="00113116" w:rsidP="00D8030F">
            <w:pPr>
              <w:pStyle w:val="cuadroCabe"/>
              <w:jc w:val="right"/>
            </w:pPr>
            <w:r w:rsidRPr="003A115E">
              <w:t>84</w:t>
            </w:r>
          </w:p>
        </w:tc>
        <w:tc>
          <w:tcPr>
            <w:tcW w:w="341" w:type="pct"/>
            <w:tcBorders>
              <w:top w:val="single" w:sz="2" w:space="0" w:color="auto"/>
              <w:left w:val="single" w:sz="2" w:space="0" w:color="auto"/>
              <w:bottom w:val="single" w:sz="4" w:space="0" w:color="auto"/>
            </w:tcBorders>
            <w:shd w:val="clear" w:color="auto" w:fill="FABF8F" w:themeFill="accent6" w:themeFillTint="99"/>
            <w:noWrap/>
            <w:vAlign w:val="center"/>
            <w:hideMark/>
          </w:tcPr>
          <w:p w14:paraId="5D99AC5C" w14:textId="6CA64A00" w:rsidR="00113116" w:rsidRPr="003A115E" w:rsidRDefault="00113116" w:rsidP="00D8030F">
            <w:pPr>
              <w:pStyle w:val="cuadroCabe"/>
              <w:jc w:val="right"/>
            </w:pPr>
            <w:r w:rsidRPr="003A115E">
              <w:t>92</w:t>
            </w:r>
          </w:p>
        </w:tc>
        <w:tc>
          <w:tcPr>
            <w:tcW w:w="341" w:type="pct"/>
            <w:tcBorders>
              <w:top w:val="single" w:sz="2" w:space="0" w:color="auto"/>
              <w:bottom w:val="single" w:sz="4" w:space="0" w:color="auto"/>
            </w:tcBorders>
            <w:shd w:val="clear" w:color="auto" w:fill="FABF8F" w:themeFill="accent6" w:themeFillTint="99"/>
            <w:noWrap/>
            <w:vAlign w:val="center"/>
            <w:hideMark/>
          </w:tcPr>
          <w:p w14:paraId="6B761FEF" w14:textId="2043CC31" w:rsidR="00113116" w:rsidRPr="003A115E" w:rsidRDefault="00113116" w:rsidP="00D8030F">
            <w:pPr>
              <w:pStyle w:val="cuadroCabe"/>
              <w:jc w:val="right"/>
            </w:pPr>
            <w:r w:rsidRPr="003A115E">
              <w:t>90</w:t>
            </w:r>
          </w:p>
        </w:tc>
      </w:tr>
    </w:tbl>
    <w:p w14:paraId="0876B982" w14:textId="78DEFA28" w:rsidR="000E3227" w:rsidRPr="003A115E" w:rsidRDefault="000E3227" w:rsidP="00BD116E">
      <w:pPr>
        <w:pStyle w:val="texto"/>
        <w:spacing w:before="240"/>
        <w:rPr>
          <w:lang w:val="es-ES"/>
        </w:rPr>
      </w:pPr>
      <w:r w:rsidRPr="003A115E">
        <w:rPr>
          <w:lang w:val="es-ES"/>
        </w:rPr>
        <w:t xml:space="preserve">La Ley Foral 22/2020, de 29 de diciembre, de modificación de la LFAL, extendió a todas las entidades locales la posibilidad de que el pleno, a propuesta del presidente y previo informe del órgano interventor, pueda limitar el alcance de la fiscalización previa, lo que permite una mayor agilidad en la gestión. A fin de </w:t>
      </w:r>
      <w:r w:rsidR="009E24C8" w:rsidRPr="003A115E">
        <w:rPr>
          <w:lang w:val="es-ES"/>
        </w:rPr>
        <w:t xml:space="preserve">que </w:t>
      </w:r>
      <w:r w:rsidR="00FB4B12" w:rsidRPr="003A115E">
        <w:rPr>
          <w:lang w:val="es-ES"/>
        </w:rPr>
        <w:t>esta medida</w:t>
      </w:r>
      <w:r w:rsidRPr="003A115E">
        <w:rPr>
          <w:lang w:val="es-ES"/>
        </w:rPr>
        <w:t xml:space="preserve"> no redunde en un deterioro de las garantías que aporta el control intern</w:t>
      </w:r>
      <w:r w:rsidR="00FB4B12" w:rsidRPr="003A115E">
        <w:rPr>
          <w:lang w:val="es-ES"/>
        </w:rPr>
        <w:t>o</w:t>
      </w:r>
      <w:r w:rsidRPr="003A115E">
        <w:rPr>
          <w:lang w:val="es-ES"/>
        </w:rPr>
        <w:t xml:space="preserve">, las obligaciones o gastos correspondientes, deben someterse a una fiscalización plena posterior mediante técnicas de muestreo o auditoría. Esta </w:t>
      </w:r>
      <w:r w:rsidRPr="003A115E">
        <w:rPr>
          <w:lang w:val="es-ES"/>
        </w:rPr>
        <w:lastRenderedPageBreak/>
        <w:t xml:space="preserve">reforma de la LFAL entró en vigor </w:t>
      </w:r>
      <w:r w:rsidR="00C60265" w:rsidRPr="003A115E">
        <w:rPr>
          <w:lang w:val="es-ES"/>
        </w:rPr>
        <w:t>en el ejercicio 2021</w:t>
      </w:r>
      <w:r w:rsidRPr="003A115E">
        <w:rPr>
          <w:lang w:val="es-ES"/>
        </w:rPr>
        <w:t xml:space="preserve">. De acuerdo con la información recibida, el pleno ha acordado aplicar dicho régimen en </w:t>
      </w:r>
      <w:r w:rsidR="00C60265" w:rsidRPr="003A115E">
        <w:rPr>
          <w:lang w:val="es-ES"/>
        </w:rPr>
        <w:t>12</w:t>
      </w:r>
      <w:r w:rsidRPr="003A115E">
        <w:rPr>
          <w:lang w:val="es-ES"/>
        </w:rPr>
        <w:t xml:space="preserve"> entidades locales además del Ayuntamiento de Pamplona, que venía aplicándolo ya con anterioridad.</w:t>
      </w:r>
    </w:p>
    <w:p w14:paraId="5FA97995" w14:textId="56D04892" w:rsidR="000E3227" w:rsidRPr="003A115E" w:rsidRDefault="79B4F94C" w:rsidP="000E3227">
      <w:pPr>
        <w:pStyle w:val="texto"/>
        <w:spacing w:after="240"/>
        <w:rPr>
          <w:lang w:val="es-ES"/>
        </w:rPr>
      </w:pPr>
      <w:r w:rsidRPr="003A115E">
        <w:rPr>
          <w:lang w:val="es-ES"/>
        </w:rPr>
        <w:t>En relación con las otras dos modalidades de control interno económico-financiero reguladas por la LFAL, de los 2</w:t>
      </w:r>
      <w:r w:rsidR="00694017" w:rsidRPr="003A115E">
        <w:rPr>
          <w:lang w:val="es-ES"/>
        </w:rPr>
        <w:t>2</w:t>
      </w:r>
      <w:r w:rsidR="0095069A" w:rsidRPr="003A115E">
        <w:rPr>
          <w:lang w:val="es-ES"/>
        </w:rPr>
        <w:t>8</w:t>
      </w:r>
      <w:r w:rsidRPr="003A115E">
        <w:rPr>
          <w:lang w:val="es-ES"/>
        </w:rPr>
        <w:t xml:space="preserve"> órganos interventores que han informado al respecto, el </w:t>
      </w:r>
      <w:r w:rsidR="00124161" w:rsidRPr="003A115E">
        <w:rPr>
          <w:lang w:val="es-ES"/>
        </w:rPr>
        <w:t>59</w:t>
      </w:r>
      <w:r w:rsidRPr="003A115E">
        <w:rPr>
          <w:lang w:val="es-ES"/>
        </w:rPr>
        <w:t xml:space="preserve"> y el </w:t>
      </w:r>
      <w:r w:rsidR="00124161" w:rsidRPr="003A115E">
        <w:rPr>
          <w:lang w:val="es-ES"/>
        </w:rPr>
        <w:t>44</w:t>
      </w:r>
      <w:r w:rsidRPr="003A115E">
        <w:rPr>
          <w:lang w:val="es-ES"/>
        </w:rPr>
        <w:t xml:space="preserve"> por ciento declaran realizar el control financiero y el control de eficacia, respectivamente. Entre las entidades locales que no ejercen las tres modalidades de control interno legalmente establecidas, destacan, por su población, los ayuntamientos de Pamplona y Tudela.</w:t>
      </w:r>
    </w:p>
    <w:p w14:paraId="4047F260" w14:textId="53C3B58D" w:rsidR="000E3227" w:rsidRPr="003A115E" w:rsidRDefault="000E3227" w:rsidP="000E3227">
      <w:pPr>
        <w:pStyle w:val="texto"/>
        <w:rPr>
          <w:lang w:val="es-ES"/>
        </w:rPr>
      </w:pPr>
      <w:r w:rsidRPr="003A115E">
        <w:rPr>
          <w:lang w:val="es-ES"/>
        </w:rPr>
        <w:t>En general, la función interventora se ejerce y comprende el contenido exigido por la normativa, mientras que las funciones de control financiero y control de eficacia tienen una implantación bastante menor. Esta situación viene propiciada por la escasa regulación de estas funciones existente en Navarra, donde la materia no ha sido objeto de desarrollo reglamentario, a diferencia de lo sucedido en el Estado, donde resulta de aplicación el Real Decreto 424/2017, de 28 de abril, por el que se regula el régimen jurídico del control interno de las entidades del Sector Público Local.</w:t>
      </w:r>
    </w:p>
    <w:p w14:paraId="081C5338" w14:textId="501C251B" w:rsidR="00714F90" w:rsidRPr="003A115E" w:rsidRDefault="005D35FB" w:rsidP="000E3227">
      <w:pPr>
        <w:pStyle w:val="texto"/>
        <w:rPr>
          <w:lang w:val="es-ES"/>
        </w:rPr>
      </w:pPr>
      <w:r w:rsidRPr="003A115E">
        <w:rPr>
          <w:lang w:val="es-ES"/>
        </w:rPr>
        <w:t>El 57 por ciento de los</w:t>
      </w:r>
      <w:r w:rsidR="005B1D44" w:rsidRPr="003A115E">
        <w:rPr>
          <w:lang w:val="es-ES"/>
        </w:rPr>
        <w:t xml:space="preserve"> cuestionario</w:t>
      </w:r>
      <w:r w:rsidRPr="003A115E">
        <w:rPr>
          <w:lang w:val="es-ES"/>
        </w:rPr>
        <w:t>s</w:t>
      </w:r>
      <w:r w:rsidR="005B1D44" w:rsidRPr="003A115E">
        <w:rPr>
          <w:lang w:val="es-ES"/>
        </w:rPr>
        <w:t xml:space="preserve"> </w:t>
      </w:r>
      <w:r w:rsidR="00D03163" w:rsidRPr="003A115E">
        <w:rPr>
          <w:lang w:val="es-ES"/>
        </w:rPr>
        <w:t xml:space="preserve">remitidos </w:t>
      </w:r>
      <w:r w:rsidR="005B1D44" w:rsidRPr="003A115E">
        <w:rPr>
          <w:lang w:val="es-ES"/>
        </w:rPr>
        <w:t xml:space="preserve">ponen de manifiesto </w:t>
      </w:r>
      <w:r w:rsidR="00A42A96" w:rsidRPr="003A115E">
        <w:rPr>
          <w:lang w:val="es-ES"/>
        </w:rPr>
        <w:t>carencia de medios en los órganos de intervención. En concreto destacan las siguientes</w:t>
      </w:r>
      <w:r w:rsidR="00CA2929" w:rsidRPr="003A115E">
        <w:rPr>
          <w:lang w:val="es-ES"/>
        </w:rPr>
        <w:t>:</w:t>
      </w:r>
      <w:r w:rsidR="005422AA" w:rsidRPr="003A115E">
        <w:rPr>
          <w:lang w:val="es-ES"/>
        </w:rPr>
        <w:t xml:space="preserve"> </w:t>
      </w:r>
    </w:p>
    <w:p w14:paraId="53CB2691" w14:textId="449B6EE2" w:rsidR="00CA2929" w:rsidRPr="003A115E" w:rsidRDefault="00CA2929" w:rsidP="00CA2929">
      <w:pPr>
        <w:pStyle w:val="texto"/>
        <w:numPr>
          <w:ilvl w:val="0"/>
          <w:numId w:val="14"/>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lang w:val="es-ES"/>
        </w:rPr>
      </w:pPr>
      <w:r w:rsidRPr="003A115E">
        <w:rPr>
          <w:lang w:val="es-ES"/>
        </w:rPr>
        <w:t>Falta de formación específica del personal que se dedica a las funciones de control interno, en especial</w:t>
      </w:r>
      <w:r w:rsidR="00F27F72" w:rsidRPr="003A115E">
        <w:rPr>
          <w:lang w:val="es-ES"/>
        </w:rPr>
        <w:t>,</w:t>
      </w:r>
      <w:r w:rsidRPr="003A115E">
        <w:rPr>
          <w:lang w:val="es-ES"/>
        </w:rPr>
        <w:t xml:space="preserve"> </w:t>
      </w:r>
      <w:r w:rsidR="00F27F72" w:rsidRPr="003A115E">
        <w:rPr>
          <w:lang w:val="es-ES"/>
        </w:rPr>
        <w:t>en la figura de “secretario-interventor”.</w:t>
      </w:r>
    </w:p>
    <w:p w14:paraId="19F9B583" w14:textId="4C3FC706" w:rsidR="00F27F72" w:rsidRPr="003A115E" w:rsidRDefault="00F27F72" w:rsidP="00CA2929">
      <w:pPr>
        <w:pStyle w:val="texto"/>
        <w:numPr>
          <w:ilvl w:val="0"/>
          <w:numId w:val="14"/>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lang w:val="es-ES"/>
        </w:rPr>
      </w:pPr>
      <w:r w:rsidRPr="003A115E">
        <w:rPr>
          <w:lang w:val="es-ES"/>
        </w:rPr>
        <w:t>F</w:t>
      </w:r>
      <w:r w:rsidR="002A5A28" w:rsidRPr="003A115E">
        <w:rPr>
          <w:lang w:val="es-ES"/>
        </w:rPr>
        <w:t xml:space="preserve">alta de personal y </w:t>
      </w:r>
      <w:r w:rsidRPr="003A115E">
        <w:rPr>
          <w:lang w:val="es-ES"/>
        </w:rPr>
        <w:t xml:space="preserve">tiempo para llevar a cabo todas las tareas </w:t>
      </w:r>
      <w:r w:rsidR="00C3150B" w:rsidRPr="003A115E">
        <w:rPr>
          <w:lang w:val="es-ES"/>
        </w:rPr>
        <w:t>que tiene asignadas el órgano de control</w:t>
      </w:r>
      <w:r w:rsidR="002A5A28" w:rsidRPr="003A115E">
        <w:rPr>
          <w:lang w:val="es-ES"/>
        </w:rPr>
        <w:t>, a</w:t>
      </w:r>
      <w:r w:rsidR="00E76F7D" w:rsidRPr="003A115E">
        <w:rPr>
          <w:lang w:val="es-ES"/>
        </w:rPr>
        <w:t>demás de ejercer estas funciones en</w:t>
      </w:r>
      <w:r w:rsidR="00152A03" w:rsidRPr="003A115E">
        <w:rPr>
          <w:lang w:val="es-ES"/>
        </w:rPr>
        <w:t xml:space="preserve"> </w:t>
      </w:r>
      <w:r w:rsidR="00AD18B4" w:rsidRPr="003A115E">
        <w:rPr>
          <w:lang w:val="es-ES"/>
        </w:rPr>
        <w:t>varias</w:t>
      </w:r>
      <w:r w:rsidR="00152A03" w:rsidRPr="003A115E">
        <w:rPr>
          <w:lang w:val="es-ES"/>
        </w:rPr>
        <w:t xml:space="preserve"> entidades</w:t>
      </w:r>
      <w:r w:rsidR="00E76F7D" w:rsidRPr="003A115E">
        <w:rPr>
          <w:lang w:val="es-ES"/>
        </w:rPr>
        <w:t xml:space="preserve"> locales</w:t>
      </w:r>
      <w:r w:rsidR="00152A03" w:rsidRPr="003A115E">
        <w:rPr>
          <w:lang w:val="es-ES"/>
        </w:rPr>
        <w:t>.</w:t>
      </w:r>
      <w:r w:rsidR="005B18E8" w:rsidRPr="003A115E">
        <w:rPr>
          <w:lang w:val="es-ES"/>
        </w:rPr>
        <w:t xml:space="preserve"> </w:t>
      </w:r>
    </w:p>
    <w:p w14:paraId="72E6F908" w14:textId="0E69D703" w:rsidR="000E3227" w:rsidRPr="003A115E" w:rsidRDefault="000E3227" w:rsidP="00DA0A16">
      <w:pPr>
        <w:pStyle w:val="atitulo2"/>
        <w:spacing w:before="240"/>
        <w:rPr>
          <w:color w:val="auto"/>
        </w:rPr>
      </w:pPr>
      <w:bookmarkStart w:id="95" w:name="_Toc123547417"/>
      <w:bookmarkStart w:id="96" w:name="_Toc183679760"/>
      <w:r w:rsidRPr="003A115E">
        <w:rPr>
          <w:color w:val="auto"/>
        </w:rPr>
        <w:t>IX.3 Reparos</w:t>
      </w:r>
      <w:bookmarkEnd w:id="95"/>
      <w:bookmarkEnd w:id="96"/>
    </w:p>
    <w:p w14:paraId="0558EE2D" w14:textId="72C564A7" w:rsidR="005D3728" w:rsidRPr="003A115E" w:rsidRDefault="79B4F94C" w:rsidP="004E1A08">
      <w:pPr>
        <w:pStyle w:val="texto"/>
        <w:spacing w:after="240"/>
        <w:rPr>
          <w:szCs w:val="26"/>
        </w:rPr>
      </w:pPr>
      <w:r w:rsidRPr="003A115E">
        <w:rPr>
          <w:lang w:val="es-ES"/>
        </w:rPr>
        <w:t>De</w:t>
      </w:r>
      <w:r w:rsidRPr="003A115E">
        <w:rPr>
          <w:szCs w:val="26"/>
        </w:rPr>
        <w:t xml:space="preserve"> las </w:t>
      </w:r>
      <w:r w:rsidR="008260B8" w:rsidRPr="003A115E">
        <w:rPr>
          <w:szCs w:val="26"/>
        </w:rPr>
        <w:t>289</w:t>
      </w:r>
      <w:r w:rsidRPr="003A115E">
        <w:rPr>
          <w:szCs w:val="26"/>
        </w:rPr>
        <w:t xml:space="preserve"> entidades locales que han proporcionado información</w:t>
      </w:r>
      <w:r w:rsidR="008260B8" w:rsidRPr="003A115E">
        <w:rPr>
          <w:szCs w:val="26"/>
        </w:rPr>
        <w:t>, se han formulado reparos en 30</w:t>
      </w:r>
      <w:r w:rsidRPr="003A115E">
        <w:rPr>
          <w:szCs w:val="26"/>
        </w:rPr>
        <w:t xml:space="preserve"> ayuntamientos</w:t>
      </w:r>
      <w:r w:rsidR="00502AAC" w:rsidRPr="003A115E">
        <w:rPr>
          <w:szCs w:val="26"/>
        </w:rPr>
        <w:t xml:space="preserve">, que supone un </w:t>
      </w:r>
      <w:r w:rsidR="00D903EF" w:rsidRPr="003A115E">
        <w:rPr>
          <w:szCs w:val="26"/>
        </w:rPr>
        <w:t>diez</w:t>
      </w:r>
      <w:r w:rsidR="00502AAC" w:rsidRPr="003A115E">
        <w:rPr>
          <w:szCs w:val="26"/>
        </w:rPr>
        <w:t xml:space="preserve"> por ciento, cifra similar a la del ejercicio anterior</w:t>
      </w:r>
      <w:r w:rsidRPr="003A115E">
        <w:rPr>
          <w:szCs w:val="26"/>
        </w:rPr>
        <w:t xml:space="preserve">. </w:t>
      </w:r>
      <w:r w:rsidR="6D43019B" w:rsidRPr="003A115E">
        <w:rPr>
          <w:szCs w:val="26"/>
        </w:rPr>
        <w:t>Los órganos interventores han interpuesto</w:t>
      </w:r>
      <w:r w:rsidRPr="003A115E">
        <w:rPr>
          <w:szCs w:val="26"/>
        </w:rPr>
        <w:t xml:space="preserve"> </w:t>
      </w:r>
      <w:r w:rsidR="00CC2B10" w:rsidRPr="003A115E">
        <w:rPr>
          <w:szCs w:val="26"/>
        </w:rPr>
        <w:t>188</w:t>
      </w:r>
      <w:r w:rsidRPr="003A115E">
        <w:rPr>
          <w:szCs w:val="26"/>
        </w:rPr>
        <w:t xml:space="preserve"> reparos, que afectan a </w:t>
      </w:r>
      <w:r w:rsidR="00CC2B10" w:rsidRPr="003A115E">
        <w:rPr>
          <w:szCs w:val="26"/>
        </w:rPr>
        <w:t>7,15</w:t>
      </w:r>
      <w:r w:rsidRPr="003A115E">
        <w:rPr>
          <w:szCs w:val="26"/>
        </w:rPr>
        <w:t xml:space="preserve"> millones de gasto, según se muestra en la tabla siguiente:</w:t>
      </w:r>
    </w:p>
    <w:tbl>
      <w:tblPr>
        <w:tblW w:w="5000" w:type="pct"/>
        <w:tblCellMar>
          <w:left w:w="70" w:type="dxa"/>
          <w:right w:w="70" w:type="dxa"/>
        </w:tblCellMar>
        <w:tblLook w:val="04A0" w:firstRow="1" w:lastRow="0" w:firstColumn="1" w:lastColumn="0" w:noHBand="0" w:noVBand="1"/>
      </w:tblPr>
      <w:tblGrid>
        <w:gridCol w:w="2767"/>
        <w:gridCol w:w="688"/>
        <w:gridCol w:w="689"/>
        <w:gridCol w:w="691"/>
        <w:gridCol w:w="691"/>
        <w:gridCol w:w="995"/>
        <w:gridCol w:w="995"/>
        <w:gridCol w:w="585"/>
        <w:gridCol w:w="687"/>
      </w:tblGrid>
      <w:tr w:rsidR="000A742F" w:rsidRPr="003A115E" w14:paraId="6D739085" w14:textId="77777777" w:rsidTr="005F3A0D">
        <w:trPr>
          <w:trHeight w:val="255"/>
        </w:trPr>
        <w:tc>
          <w:tcPr>
            <w:tcW w:w="1574" w:type="pct"/>
            <w:tcBorders>
              <w:top w:val="single" w:sz="4" w:space="0" w:color="auto"/>
              <w:left w:val="nil"/>
              <w:bottom w:val="single" w:sz="2" w:space="0" w:color="auto"/>
              <w:right w:val="single" w:sz="2" w:space="0" w:color="auto"/>
            </w:tcBorders>
            <w:shd w:val="clear" w:color="auto" w:fill="FABF8F" w:themeFill="accent6" w:themeFillTint="99"/>
            <w:vAlign w:val="center"/>
            <w:hideMark/>
          </w:tcPr>
          <w:p w14:paraId="5A13D6DE" w14:textId="77777777" w:rsidR="00D02C29" w:rsidRPr="003A115E" w:rsidRDefault="00D02C29" w:rsidP="00CC28BD">
            <w:pPr>
              <w:pStyle w:val="cuadroCabe"/>
            </w:pPr>
            <w:r w:rsidRPr="003A115E">
              <w:t>Tipo de ente local</w:t>
            </w:r>
          </w:p>
        </w:tc>
        <w:tc>
          <w:tcPr>
            <w:tcW w:w="784"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4626EEEB" w14:textId="77777777" w:rsidR="00D02C29" w:rsidRPr="003A115E" w:rsidRDefault="00D02C29" w:rsidP="00790DB8">
            <w:pPr>
              <w:pStyle w:val="cuadroCabe"/>
              <w:jc w:val="center"/>
            </w:pPr>
            <w:r w:rsidRPr="003A115E">
              <w:t>Nº Entidades</w:t>
            </w:r>
          </w:p>
        </w:tc>
        <w:tc>
          <w:tcPr>
            <w:tcW w:w="785"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5EA89944" w14:textId="77777777" w:rsidR="00D02C29" w:rsidRPr="003A115E" w:rsidRDefault="00D02C29" w:rsidP="00790DB8">
            <w:pPr>
              <w:pStyle w:val="cuadroCabe"/>
              <w:jc w:val="center"/>
            </w:pPr>
            <w:r w:rsidRPr="003A115E">
              <w:t>Nº Reparos</w:t>
            </w:r>
          </w:p>
        </w:tc>
        <w:tc>
          <w:tcPr>
            <w:tcW w:w="1132"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050CB520" w14:textId="77777777" w:rsidR="00D02C29" w:rsidRPr="003A115E" w:rsidRDefault="00D02C29" w:rsidP="00790DB8">
            <w:pPr>
              <w:pStyle w:val="cuadroCabe"/>
              <w:jc w:val="center"/>
            </w:pPr>
            <w:r w:rsidRPr="003A115E">
              <w:t>Importe (euros)</w:t>
            </w:r>
          </w:p>
        </w:tc>
        <w:tc>
          <w:tcPr>
            <w:tcW w:w="724" w:type="pct"/>
            <w:gridSpan w:val="2"/>
            <w:tcBorders>
              <w:top w:val="single" w:sz="4" w:space="0" w:color="auto"/>
              <w:left w:val="single" w:sz="2" w:space="0" w:color="auto"/>
              <w:bottom w:val="single" w:sz="2" w:space="0" w:color="auto"/>
              <w:right w:val="nil"/>
            </w:tcBorders>
            <w:shd w:val="clear" w:color="auto" w:fill="FABF8F" w:themeFill="accent6" w:themeFillTint="99"/>
            <w:vAlign w:val="center"/>
            <w:hideMark/>
          </w:tcPr>
          <w:p w14:paraId="538D43EC" w14:textId="77777777" w:rsidR="00D02C29" w:rsidRPr="003A115E" w:rsidRDefault="00D02C29" w:rsidP="00790DB8">
            <w:pPr>
              <w:pStyle w:val="cuadroCabe"/>
              <w:jc w:val="center"/>
            </w:pPr>
            <w:r w:rsidRPr="003A115E">
              <w:t>Sin importe</w:t>
            </w:r>
          </w:p>
        </w:tc>
      </w:tr>
      <w:tr w:rsidR="000A742F" w:rsidRPr="003A115E" w14:paraId="5F8A0516" w14:textId="77777777" w:rsidTr="005F3A0D">
        <w:trPr>
          <w:trHeight w:val="255"/>
        </w:trPr>
        <w:tc>
          <w:tcPr>
            <w:tcW w:w="1574" w:type="pct"/>
            <w:tcBorders>
              <w:top w:val="single" w:sz="2" w:space="0" w:color="auto"/>
              <w:left w:val="nil"/>
              <w:bottom w:val="single" w:sz="4" w:space="0" w:color="auto"/>
              <w:right w:val="single" w:sz="2" w:space="0" w:color="auto"/>
            </w:tcBorders>
            <w:shd w:val="clear" w:color="auto" w:fill="FABF8F" w:themeFill="accent6" w:themeFillTint="99"/>
            <w:vAlign w:val="center"/>
            <w:hideMark/>
          </w:tcPr>
          <w:p w14:paraId="057C2BB7" w14:textId="3454C2D1" w:rsidR="00D02C29" w:rsidRPr="003A115E" w:rsidRDefault="00D02C29" w:rsidP="005D3728">
            <w:pPr>
              <w:pStyle w:val="cuadroCabe"/>
            </w:pPr>
          </w:p>
        </w:tc>
        <w:tc>
          <w:tcPr>
            <w:tcW w:w="392" w:type="pct"/>
            <w:tcBorders>
              <w:top w:val="single" w:sz="2" w:space="0" w:color="auto"/>
              <w:left w:val="single" w:sz="2" w:space="0" w:color="auto"/>
              <w:bottom w:val="single" w:sz="4" w:space="0" w:color="auto"/>
              <w:right w:val="nil"/>
            </w:tcBorders>
            <w:shd w:val="clear" w:color="auto" w:fill="FABF8F" w:themeFill="accent6" w:themeFillTint="99"/>
            <w:noWrap/>
            <w:vAlign w:val="center"/>
            <w:hideMark/>
          </w:tcPr>
          <w:p w14:paraId="07A5C674" w14:textId="77777777" w:rsidR="00D02C29" w:rsidRPr="003A115E" w:rsidRDefault="00D02C29" w:rsidP="00790DB8">
            <w:pPr>
              <w:pStyle w:val="cuadroCabe"/>
              <w:jc w:val="right"/>
            </w:pPr>
            <w:r w:rsidRPr="003A115E">
              <w:t>2021</w:t>
            </w:r>
          </w:p>
        </w:tc>
        <w:tc>
          <w:tcPr>
            <w:tcW w:w="392" w:type="pct"/>
            <w:tcBorders>
              <w:top w:val="single" w:sz="2" w:space="0" w:color="auto"/>
              <w:left w:val="nil"/>
              <w:bottom w:val="single" w:sz="4" w:space="0" w:color="auto"/>
              <w:right w:val="single" w:sz="2" w:space="0" w:color="auto"/>
            </w:tcBorders>
            <w:shd w:val="clear" w:color="auto" w:fill="FABF8F" w:themeFill="accent6" w:themeFillTint="99"/>
            <w:noWrap/>
            <w:vAlign w:val="center"/>
            <w:hideMark/>
          </w:tcPr>
          <w:p w14:paraId="7DBB01BD" w14:textId="77777777" w:rsidR="00D02C29" w:rsidRPr="003A115E" w:rsidRDefault="00D02C29" w:rsidP="00790DB8">
            <w:pPr>
              <w:pStyle w:val="cuadroCabe"/>
              <w:jc w:val="right"/>
            </w:pPr>
            <w:r w:rsidRPr="003A115E">
              <w:t>2022</w:t>
            </w:r>
          </w:p>
        </w:tc>
        <w:tc>
          <w:tcPr>
            <w:tcW w:w="393" w:type="pct"/>
            <w:tcBorders>
              <w:top w:val="single" w:sz="2" w:space="0" w:color="auto"/>
              <w:left w:val="single" w:sz="2" w:space="0" w:color="auto"/>
              <w:bottom w:val="single" w:sz="4" w:space="0" w:color="auto"/>
              <w:right w:val="nil"/>
            </w:tcBorders>
            <w:shd w:val="clear" w:color="auto" w:fill="FABF8F" w:themeFill="accent6" w:themeFillTint="99"/>
            <w:noWrap/>
            <w:vAlign w:val="center"/>
            <w:hideMark/>
          </w:tcPr>
          <w:p w14:paraId="0A3EB94F" w14:textId="77777777" w:rsidR="00D02C29" w:rsidRPr="003A115E" w:rsidRDefault="00D02C29" w:rsidP="00790DB8">
            <w:pPr>
              <w:pStyle w:val="cuadroCabe"/>
              <w:jc w:val="right"/>
            </w:pPr>
            <w:r w:rsidRPr="003A115E">
              <w:t>2021</w:t>
            </w:r>
          </w:p>
        </w:tc>
        <w:tc>
          <w:tcPr>
            <w:tcW w:w="393" w:type="pct"/>
            <w:tcBorders>
              <w:top w:val="single" w:sz="2" w:space="0" w:color="auto"/>
              <w:left w:val="nil"/>
              <w:bottom w:val="single" w:sz="4" w:space="0" w:color="auto"/>
              <w:right w:val="single" w:sz="2" w:space="0" w:color="auto"/>
            </w:tcBorders>
            <w:shd w:val="clear" w:color="auto" w:fill="FABF8F" w:themeFill="accent6" w:themeFillTint="99"/>
            <w:noWrap/>
            <w:vAlign w:val="center"/>
            <w:hideMark/>
          </w:tcPr>
          <w:p w14:paraId="2357B2BD" w14:textId="77777777" w:rsidR="00D02C29" w:rsidRPr="003A115E" w:rsidRDefault="00D02C29" w:rsidP="00790DB8">
            <w:pPr>
              <w:pStyle w:val="cuadroCabe"/>
              <w:jc w:val="right"/>
            </w:pPr>
            <w:r w:rsidRPr="003A115E">
              <w:t>2022</w:t>
            </w:r>
          </w:p>
        </w:tc>
        <w:tc>
          <w:tcPr>
            <w:tcW w:w="566" w:type="pct"/>
            <w:tcBorders>
              <w:top w:val="single" w:sz="2" w:space="0" w:color="auto"/>
              <w:left w:val="single" w:sz="2" w:space="0" w:color="auto"/>
              <w:bottom w:val="single" w:sz="4" w:space="0" w:color="auto"/>
              <w:right w:val="nil"/>
            </w:tcBorders>
            <w:shd w:val="clear" w:color="auto" w:fill="FABF8F" w:themeFill="accent6" w:themeFillTint="99"/>
            <w:noWrap/>
            <w:vAlign w:val="center"/>
            <w:hideMark/>
          </w:tcPr>
          <w:p w14:paraId="7670C87C" w14:textId="77777777" w:rsidR="00D02C29" w:rsidRPr="003A115E" w:rsidRDefault="00D02C29" w:rsidP="00790DB8">
            <w:pPr>
              <w:pStyle w:val="cuadroCabe"/>
              <w:jc w:val="right"/>
            </w:pPr>
            <w:r w:rsidRPr="003A115E">
              <w:t>2021</w:t>
            </w:r>
          </w:p>
        </w:tc>
        <w:tc>
          <w:tcPr>
            <w:tcW w:w="566" w:type="pct"/>
            <w:tcBorders>
              <w:top w:val="single" w:sz="2" w:space="0" w:color="auto"/>
              <w:left w:val="nil"/>
              <w:bottom w:val="single" w:sz="4" w:space="0" w:color="auto"/>
              <w:right w:val="single" w:sz="2" w:space="0" w:color="auto"/>
            </w:tcBorders>
            <w:shd w:val="clear" w:color="auto" w:fill="FABF8F" w:themeFill="accent6" w:themeFillTint="99"/>
            <w:noWrap/>
            <w:vAlign w:val="center"/>
            <w:hideMark/>
          </w:tcPr>
          <w:p w14:paraId="5FC8365B" w14:textId="77777777" w:rsidR="00D02C29" w:rsidRPr="003A115E" w:rsidRDefault="00D02C29" w:rsidP="00790DB8">
            <w:pPr>
              <w:pStyle w:val="cuadroCabe"/>
              <w:jc w:val="right"/>
            </w:pPr>
            <w:r w:rsidRPr="003A115E">
              <w:t>2022</w:t>
            </w:r>
          </w:p>
        </w:tc>
        <w:tc>
          <w:tcPr>
            <w:tcW w:w="333" w:type="pct"/>
            <w:tcBorders>
              <w:top w:val="single" w:sz="2" w:space="0" w:color="auto"/>
              <w:left w:val="single" w:sz="2" w:space="0" w:color="auto"/>
              <w:bottom w:val="single" w:sz="4" w:space="0" w:color="auto"/>
              <w:right w:val="nil"/>
            </w:tcBorders>
            <w:shd w:val="clear" w:color="auto" w:fill="FABF8F" w:themeFill="accent6" w:themeFillTint="99"/>
            <w:noWrap/>
            <w:vAlign w:val="center"/>
            <w:hideMark/>
          </w:tcPr>
          <w:p w14:paraId="1EDA1DE6" w14:textId="77777777" w:rsidR="00D02C29" w:rsidRPr="003A115E" w:rsidRDefault="00D02C29" w:rsidP="00790DB8">
            <w:pPr>
              <w:pStyle w:val="cuadroCabe"/>
              <w:jc w:val="right"/>
            </w:pPr>
            <w:r w:rsidRPr="003A115E">
              <w:t>2021</w:t>
            </w:r>
          </w:p>
        </w:tc>
        <w:tc>
          <w:tcPr>
            <w:tcW w:w="391" w:type="pct"/>
            <w:tcBorders>
              <w:top w:val="single" w:sz="2" w:space="0" w:color="auto"/>
              <w:left w:val="nil"/>
              <w:bottom w:val="single" w:sz="4" w:space="0" w:color="auto"/>
              <w:right w:val="nil"/>
            </w:tcBorders>
            <w:shd w:val="clear" w:color="auto" w:fill="FABF8F" w:themeFill="accent6" w:themeFillTint="99"/>
            <w:noWrap/>
            <w:vAlign w:val="center"/>
            <w:hideMark/>
          </w:tcPr>
          <w:p w14:paraId="30B9B60E" w14:textId="77777777" w:rsidR="00D02C29" w:rsidRPr="003A115E" w:rsidRDefault="00D02C29" w:rsidP="00790DB8">
            <w:pPr>
              <w:pStyle w:val="cuadroCabe"/>
              <w:jc w:val="right"/>
            </w:pPr>
            <w:r w:rsidRPr="003A115E">
              <w:t>2022</w:t>
            </w:r>
          </w:p>
        </w:tc>
      </w:tr>
      <w:tr w:rsidR="000A742F" w:rsidRPr="003A115E" w14:paraId="5685C462" w14:textId="77777777" w:rsidTr="00D903EF">
        <w:trPr>
          <w:trHeight w:val="198"/>
        </w:trPr>
        <w:tc>
          <w:tcPr>
            <w:tcW w:w="1574" w:type="pct"/>
            <w:tcBorders>
              <w:top w:val="single" w:sz="4" w:space="0" w:color="auto"/>
              <w:left w:val="nil"/>
              <w:bottom w:val="single" w:sz="2" w:space="0" w:color="auto"/>
              <w:right w:val="single" w:sz="2" w:space="0" w:color="auto"/>
            </w:tcBorders>
            <w:shd w:val="clear" w:color="auto" w:fill="auto"/>
            <w:noWrap/>
            <w:vAlign w:val="center"/>
            <w:hideMark/>
          </w:tcPr>
          <w:p w14:paraId="4CF1FA34" w14:textId="73B2F3A6" w:rsidR="00D02C29" w:rsidRPr="003A115E" w:rsidRDefault="00A74477" w:rsidP="00A0522B">
            <w:pPr>
              <w:pStyle w:val="cuatexto"/>
            </w:pPr>
            <w:r w:rsidRPr="003A115E">
              <w:t>0</w:t>
            </w:r>
            <w:r w:rsidR="00D02C29" w:rsidRPr="003A115E">
              <w:t>Ayuntamientos</w:t>
            </w:r>
          </w:p>
        </w:tc>
        <w:tc>
          <w:tcPr>
            <w:tcW w:w="392" w:type="pct"/>
            <w:tcBorders>
              <w:top w:val="single" w:sz="4" w:space="0" w:color="auto"/>
              <w:left w:val="single" w:sz="2" w:space="0" w:color="auto"/>
              <w:bottom w:val="single" w:sz="2" w:space="0" w:color="auto"/>
              <w:right w:val="nil"/>
            </w:tcBorders>
            <w:shd w:val="clear" w:color="auto" w:fill="auto"/>
            <w:noWrap/>
            <w:vAlign w:val="center"/>
            <w:hideMark/>
          </w:tcPr>
          <w:p w14:paraId="7A18753A" w14:textId="77777777" w:rsidR="00D02C29" w:rsidRPr="003A115E" w:rsidRDefault="00D02C29" w:rsidP="00790DB8">
            <w:pPr>
              <w:pStyle w:val="cuatexto"/>
              <w:jc w:val="right"/>
            </w:pPr>
            <w:r w:rsidRPr="003A115E">
              <w:t>31</w:t>
            </w:r>
          </w:p>
        </w:tc>
        <w:tc>
          <w:tcPr>
            <w:tcW w:w="392" w:type="pct"/>
            <w:tcBorders>
              <w:top w:val="single" w:sz="4" w:space="0" w:color="auto"/>
              <w:left w:val="nil"/>
              <w:bottom w:val="single" w:sz="2" w:space="0" w:color="auto"/>
              <w:right w:val="single" w:sz="2" w:space="0" w:color="auto"/>
            </w:tcBorders>
            <w:shd w:val="clear" w:color="auto" w:fill="auto"/>
            <w:noWrap/>
            <w:vAlign w:val="center"/>
            <w:hideMark/>
          </w:tcPr>
          <w:p w14:paraId="17563832" w14:textId="77777777" w:rsidR="00D02C29" w:rsidRPr="003A115E" w:rsidRDefault="00D02C29" w:rsidP="00790DB8">
            <w:pPr>
              <w:pStyle w:val="cuatexto"/>
              <w:jc w:val="right"/>
            </w:pPr>
            <w:r w:rsidRPr="003A115E">
              <w:t>28</w:t>
            </w:r>
          </w:p>
        </w:tc>
        <w:tc>
          <w:tcPr>
            <w:tcW w:w="393" w:type="pct"/>
            <w:tcBorders>
              <w:top w:val="single" w:sz="4" w:space="0" w:color="auto"/>
              <w:left w:val="single" w:sz="2" w:space="0" w:color="auto"/>
              <w:bottom w:val="single" w:sz="2" w:space="0" w:color="auto"/>
              <w:right w:val="nil"/>
            </w:tcBorders>
            <w:shd w:val="clear" w:color="auto" w:fill="auto"/>
            <w:noWrap/>
            <w:vAlign w:val="center"/>
            <w:hideMark/>
          </w:tcPr>
          <w:p w14:paraId="61B68F08" w14:textId="77777777" w:rsidR="00D02C29" w:rsidRPr="003A115E" w:rsidRDefault="00D02C29" w:rsidP="00790DB8">
            <w:pPr>
              <w:pStyle w:val="cuatexto"/>
              <w:jc w:val="right"/>
            </w:pPr>
            <w:r w:rsidRPr="003A115E">
              <w:t>127</w:t>
            </w:r>
          </w:p>
        </w:tc>
        <w:tc>
          <w:tcPr>
            <w:tcW w:w="393" w:type="pct"/>
            <w:tcBorders>
              <w:top w:val="single" w:sz="4" w:space="0" w:color="auto"/>
              <w:left w:val="nil"/>
              <w:bottom w:val="single" w:sz="2" w:space="0" w:color="auto"/>
              <w:right w:val="single" w:sz="2" w:space="0" w:color="auto"/>
            </w:tcBorders>
            <w:shd w:val="clear" w:color="auto" w:fill="auto"/>
            <w:noWrap/>
            <w:vAlign w:val="center"/>
            <w:hideMark/>
          </w:tcPr>
          <w:p w14:paraId="339A20F1" w14:textId="77777777" w:rsidR="00D02C29" w:rsidRPr="003A115E" w:rsidRDefault="00D02C29" w:rsidP="00790DB8">
            <w:pPr>
              <w:pStyle w:val="cuatexto"/>
              <w:jc w:val="right"/>
            </w:pPr>
            <w:r w:rsidRPr="003A115E">
              <w:t>181</w:t>
            </w:r>
          </w:p>
        </w:tc>
        <w:tc>
          <w:tcPr>
            <w:tcW w:w="566" w:type="pct"/>
            <w:tcBorders>
              <w:top w:val="single" w:sz="4" w:space="0" w:color="auto"/>
              <w:left w:val="single" w:sz="2" w:space="0" w:color="auto"/>
              <w:bottom w:val="single" w:sz="2" w:space="0" w:color="auto"/>
              <w:right w:val="nil"/>
            </w:tcBorders>
            <w:shd w:val="clear" w:color="auto" w:fill="auto"/>
            <w:noWrap/>
            <w:vAlign w:val="center"/>
            <w:hideMark/>
          </w:tcPr>
          <w:p w14:paraId="3AEE7AC5" w14:textId="77777777" w:rsidR="00D02C29" w:rsidRPr="003A115E" w:rsidRDefault="00D02C29" w:rsidP="00790DB8">
            <w:pPr>
              <w:pStyle w:val="cuatexto"/>
              <w:jc w:val="right"/>
            </w:pPr>
            <w:r w:rsidRPr="003A115E">
              <w:t>2.215.170</w:t>
            </w:r>
          </w:p>
        </w:tc>
        <w:tc>
          <w:tcPr>
            <w:tcW w:w="566" w:type="pct"/>
            <w:tcBorders>
              <w:top w:val="single" w:sz="4" w:space="0" w:color="auto"/>
              <w:left w:val="nil"/>
              <w:bottom w:val="single" w:sz="2" w:space="0" w:color="auto"/>
              <w:right w:val="single" w:sz="2" w:space="0" w:color="auto"/>
            </w:tcBorders>
            <w:shd w:val="clear" w:color="auto" w:fill="auto"/>
            <w:noWrap/>
            <w:vAlign w:val="center"/>
            <w:hideMark/>
          </w:tcPr>
          <w:p w14:paraId="69E89A66" w14:textId="709485E8" w:rsidR="00D02C29" w:rsidRPr="003A115E" w:rsidRDefault="00D02C29" w:rsidP="00790DB8">
            <w:pPr>
              <w:pStyle w:val="cuatexto"/>
              <w:jc w:val="right"/>
            </w:pPr>
            <w:r w:rsidRPr="003A115E">
              <w:t>6.163.809</w:t>
            </w:r>
          </w:p>
        </w:tc>
        <w:tc>
          <w:tcPr>
            <w:tcW w:w="333" w:type="pct"/>
            <w:tcBorders>
              <w:top w:val="single" w:sz="4" w:space="0" w:color="auto"/>
              <w:left w:val="single" w:sz="2" w:space="0" w:color="auto"/>
              <w:bottom w:val="single" w:sz="2" w:space="0" w:color="auto"/>
              <w:right w:val="nil"/>
            </w:tcBorders>
            <w:shd w:val="clear" w:color="auto" w:fill="auto"/>
            <w:noWrap/>
            <w:vAlign w:val="center"/>
            <w:hideMark/>
          </w:tcPr>
          <w:p w14:paraId="1B783C29" w14:textId="77777777" w:rsidR="00D02C29" w:rsidRPr="003A115E" w:rsidRDefault="00D02C29" w:rsidP="00790DB8">
            <w:pPr>
              <w:pStyle w:val="cuatexto"/>
              <w:jc w:val="right"/>
            </w:pPr>
            <w:r w:rsidRPr="003A115E">
              <w:t>23</w:t>
            </w:r>
          </w:p>
        </w:tc>
        <w:tc>
          <w:tcPr>
            <w:tcW w:w="391" w:type="pct"/>
            <w:tcBorders>
              <w:top w:val="single" w:sz="4" w:space="0" w:color="auto"/>
              <w:left w:val="nil"/>
              <w:bottom w:val="single" w:sz="4" w:space="0" w:color="auto"/>
            </w:tcBorders>
            <w:shd w:val="clear" w:color="auto" w:fill="auto"/>
            <w:noWrap/>
            <w:vAlign w:val="center"/>
            <w:hideMark/>
          </w:tcPr>
          <w:p w14:paraId="6EA8A318" w14:textId="77777777" w:rsidR="00D02C29" w:rsidRPr="003A115E" w:rsidRDefault="00D02C29" w:rsidP="00790DB8">
            <w:pPr>
              <w:pStyle w:val="cuatexto"/>
              <w:jc w:val="right"/>
            </w:pPr>
            <w:r w:rsidRPr="003A115E">
              <w:t>15</w:t>
            </w:r>
          </w:p>
        </w:tc>
      </w:tr>
      <w:tr w:rsidR="000A742F" w:rsidRPr="003A115E" w14:paraId="5F0E7BA1" w14:textId="77777777" w:rsidTr="00D903EF">
        <w:trPr>
          <w:trHeight w:val="198"/>
        </w:trPr>
        <w:tc>
          <w:tcPr>
            <w:tcW w:w="1574" w:type="pct"/>
            <w:tcBorders>
              <w:top w:val="single" w:sz="2" w:space="0" w:color="auto"/>
              <w:left w:val="nil"/>
              <w:bottom w:val="single" w:sz="2" w:space="0" w:color="auto"/>
              <w:right w:val="single" w:sz="2" w:space="0" w:color="auto"/>
            </w:tcBorders>
            <w:shd w:val="clear" w:color="auto" w:fill="auto"/>
            <w:noWrap/>
            <w:vAlign w:val="center"/>
            <w:hideMark/>
          </w:tcPr>
          <w:p w14:paraId="64CBB665" w14:textId="77777777" w:rsidR="00D02C29" w:rsidRPr="003A115E" w:rsidRDefault="00D02C29" w:rsidP="00A0522B">
            <w:pPr>
              <w:pStyle w:val="cuatexto"/>
            </w:pPr>
            <w:r w:rsidRPr="003A115E">
              <w:t>Hasta 1.000 habitantes</w:t>
            </w:r>
          </w:p>
        </w:tc>
        <w:tc>
          <w:tcPr>
            <w:tcW w:w="392" w:type="pct"/>
            <w:tcBorders>
              <w:top w:val="single" w:sz="2" w:space="0" w:color="auto"/>
              <w:left w:val="single" w:sz="2" w:space="0" w:color="auto"/>
              <w:bottom w:val="single" w:sz="2" w:space="0" w:color="auto"/>
              <w:right w:val="nil"/>
            </w:tcBorders>
            <w:shd w:val="clear" w:color="auto" w:fill="auto"/>
            <w:noWrap/>
            <w:vAlign w:val="center"/>
            <w:hideMark/>
          </w:tcPr>
          <w:p w14:paraId="762135E0" w14:textId="77777777" w:rsidR="00D02C29" w:rsidRPr="003A115E" w:rsidRDefault="00D02C29" w:rsidP="00790DB8">
            <w:pPr>
              <w:pStyle w:val="cuatexto"/>
              <w:jc w:val="right"/>
            </w:pPr>
            <w:r w:rsidRPr="003A115E">
              <w:t>11</w:t>
            </w:r>
          </w:p>
        </w:tc>
        <w:tc>
          <w:tcPr>
            <w:tcW w:w="392" w:type="pct"/>
            <w:tcBorders>
              <w:top w:val="single" w:sz="2" w:space="0" w:color="auto"/>
              <w:left w:val="nil"/>
              <w:bottom w:val="single" w:sz="2" w:space="0" w:color="auto"/>
              <w:right w:val="single" w:sz="2" w:space="0" w:color="auto"/>
            </w:tcBorders>
            <w:shd w:val="clear" w:color="auto" w:fill="auto"/>
            <w:noWrap/>
            <w:vAlign w:val="center"/>
            <w:hideMark/>
          </w:tcPr>
          <w:p w14:paraId="731CD5DF" w14:textId="77777777" w:rsidR="00D02C29" w:rsidRPr="003A115E" w:rsidRDefault="00D02C29" w:rsidP="00790DB8">
            <w:pPr>
              <w:pStyle w:val="cuatexto"/>
              <w:jc w:val="right"/>
            </w:pPr>
            <w:r w:rsidRPr="003A115E">
              <w:t>8</w:t>
            </w:r>
          </w:p>
        </w:tc>
        <w:tc>
          <w:tcPr>
            <w:tcW w:w="393" w:type="pct"/>
            <w:tcBorders>
              <w:top w:val="single" w:sz="2" w:space="0" w:color="auto"/>
              <w:left w:val="single" w:sz="2" w:space="0" w:color="auto"/>
              <w:bottom w:val="single" w:sz="2" w:space="0" w:color="auto"/>
              <w:right w:val="nil"/>
            </w:tcBorders>
            <w:shd w:val="clear" w:color="auto" w:fill="auto"/>
            <w:noWrap/>
            <w:vAlign w:val="center"/>
            <w:hideMark/>
          </w:tcPr>
          <w:p w14:paraId="3445C3D3" w14:textId="77777777" w:rsidR="00D02C29" w:rsidRPr="003A115E" w:rsidRDefault="00D02C29" w:rsidP="00790DB8">
            <w:pPr>
              <w:pStyle w:val="cuatexto"/>
              <w:jc w:val="right"/>
            </w:pPr>
            <w:r w:rsidRPr="003A115E">
              <w:t>22</w:t>
            </w:r>
          </w:p>
        </w:tc>
        <w:tc>
          <w:tcPr>
            <w:tcW w:w="393" w:type="pct"/>
            <w:tcBorders>
              <w:top w:val="single" w:sz="2" w:space="0" w:color="auto"/>
              <w:left w:val="nil"/>
              <w:bottom w:val="single" w:sz="2" w:space="0" w:color="auto"/>
              <w:right w:val="single" w:sz="2" w:space="0" w:color="auto"/>
            </w:tcBorders>
            <w:shd w:val="clear" w:color="auto" w:fill="auto"/>
            <w:noWrap/>
            <w:vAlign w:val="center"/>
            <w:hideMark/>
          </w:tcPr>
          <w:p w14:paraId="73763A35" w14:textId="77777777" w:rsidR="00D02C29" w:rsidRPr="003A115E" w:rsidRDefault="00D02C29" w:rsidP="00790DB8">
            <w:pPr>
              <w:pStyle w:val="cuatexto"/>
              <w:jc w:val="right"/>
            </w:pPr>
            <w:r w:rsidRPr="003A115E">
              <w:t>15</w:t>
            </w:r>
          </w:p>
        </w:tc>
        <w:tc>
          <w:tcPr>
            <w:tcW w:w="566" w:type="pct"/>
            <w:tcBorders>
              <w:top w:val="single" w:sz="2" w:space="0" w:color="auto"/>
              <w:left w:val="single" w:sz="2" w:space="0" w:color="auto"/>
              <w:bottom w:val="single" w:sz="2" w:space="0" w:color="auto"/>
              <w:right w:val="nil"/>
            </w:tcBorders>
            <w:shd w:val="clear" w:color="auto" w:fill="auto"/>
            <w:noWrap/>
            <w:vAlign w:val="center"/>
            <w:hideMark/>
          </w:tcPr>
          <w:p w14:paraId="19A40B2D" w14:textId="77777777" w:rsidR="00D02C29" w:rsidRPr="003A115E" w:rsidRDefault="00D02C29" w:rsidP="00790DB8">
            <w:pPr>
              <w:pStyle w:val="cuatexto"/>
              <w:jc w:val="right"/>
            </w:pPr>
            <w:r w:rsidRPr="003A115E">
              <w:t>93.434</w:t>
            </w:r>
          </w:p>
        </w:tc>
        <w:tc>
          <w:tcPr>
            <w:tcW w:w="566" w:type="pct"/>
            <w:tcBorders>
              <w:top w:val="single" w:sz="2" w:space="0" w:color="auto"/>
              <w:left w:val="nil"/>
              <w:bottom w:val="single" w:sz="2" w:space="0" w:color="auto"/>
              <w:right w:val="single" w:sz="2" w:space="0" w:color="auto"/>
            </w:tcBorders>
            <w:shd w:val="clear" w:color="auto" w:fill="auto"/>
            <w:noWrap/>
            <w:vAlign w:val="center"/>
            <w:hideMark/>
          </w:tcPr>
          <w:p w14:paraId="454D8401" w14:textId="5897154F" w:rsidR="00D02C29" w:rsidRPr="003A115E" w:rsidRDefault="00D02C29" w:rsidP="00790DB8">
            <w:pPr>
              <w:pStyle w:val="cuatexto"/>
              <w:jc w:val="right"/>
            </w:pPr>
            <w:r w:rsidRPr="003A115E">
              <w:t>105.576</w:t>
            </w:r>
          </w:p>
        </w:tc>
        <w:tc>
          <w:tcPr>
            <w:tcW w:w="333" w:type="pct"/>
            <w:tcBorders>
              <w:top w:val="single" w:sz="2" w:space="0" w:color="auto"/>
              <w:left w:val="single" w:sz="2" w:space="0" w:color="auto"/>
              <w:bottom w:val="single" w:sz="2" w:space="0" w:color="auto"/>
              <w:right w:val="nil"/>
            </w:tcBorders>
            <w:shd w:val="clear" w:color="auto" w:fill="auto"/>
            <w:noWrap/>
            <w:vAlign w:val="center"/>
            <w:hideMark/>
          </w:tcPr>
          <w:p w14:paraId="49CDFF37" w14:textId="77777777" w:rsidR="00D02C29" w:rsidRPr="003A115E" w:rsidRDefault="00D02C29" w:rsidP="00790DB8">
            <w:pPr>
              <w:pStyle w:val="cuatexto"/>
              <w:jc w:val="right"/>
            </w:pPr>
            <w:r w:rsidRPr="003A115E">
              <w:t>0</w:t>
            </w:r>
          </w:p>
        </w:tc>
        <w:tc>
          <w:tcPr>
            <w:tcW w:w="391" w:type="pct"/>
            <w:tcBorders>
              <w:top w:val="single" w:sz="4" w:space="0" w:color="auto"/>
              <w:left w:val="nil"/>
              <w:bottom w:val="single" w:sz="2" w:space="0" w:color="auto"/>
              <w:right w:val="nil"/>
            </w:tcBorders>
            <w:shd w:val="clear" w:color="auto" w:fill="auto"/>
            <w:noWrap/>
            <w:vAlign w:val="center"/>
            <w:hideMark/>
          </w:tcPr>
          <w:p w14:paraId="7EC4CD8C" w14:textId="77777777" w:rsidR="00D02C29" w:rsidRPr="003A115E" w:rsidRDefault="00D02C29" w:rsidP="00790DB8">
            <w:pPr>
              <w:pStyle w:val="cuatexto"/>
              <w:jc w:val="right"/>
            </w:pPr>
            <w:r w:rsidRPr="003A115E">
              <w:t>3</w:t>
            </w:r>
          </w:p>
        </w:tc>
      </w:tr>
      <w:tr w:rsidR="000A742F" w:rsidRPr="003A115E" w14:paraId="6916D36C" w14:textId="77777777" w:rsidTr="00D903EF">
        <w:trPr>
          <w:trHeight w:val="198"/>
        </w:trPr>
        <w:tc>
          <w:tcPr>
            <w:tcW w:w="1574" w:type="pct"/>
            <w:tcBorders>
              <w:top w:val="single" w:sz="2" w:space="0" w:color="auto"/>
              <w:left w:val="nil"/>
              <w:bottom w:val="single" w:sz="2" w:space="0" w:color="auto"/>
              <w:right w:val="single" w:sz="2" w:space="0" w:color="auto"/>
            </w:tcBorders>
            <w:shd w:val="clear" w:color="auto" w:fill="auto"/>
            <w:noWrap/>
            <w:vAlign w:val="center"/>
            <w:hideMark/>
          </w:tcPr>
          <w:p w14:paraId="49A9AE6C" w14:textId="77777777" w:rsidR="00D02C29" w:rsidRPr="003A115E" w:rsidRDefault="00D02C29" w:rsidP="00A0522B">
            <w:pPr>
              <w:pStyle w:val="cuatexto"/>
            </w:pPr>
            <w:r w:rsidRPr="003A115E">
              <w:t>De 1.001 a 5.000 hab.</w:t>
            </w:r>
          </w:p>
        </w:tc>
        <w:tc>
          <w:tcPr>
            <w:tcW w:w="392" w:type="pct"/>
            <w:tcBorders>
              <w:top w:val="single" w:sz="2" w:space="0" w:color="auto"/>
              <w:left w:val="single" w:sz="2" w:space="0" w:color="auto"/>
              <w:bottom w:val="single" w:sz="2" w:space="0" w:color="auto"/>
              <w:right w:val="nil"/>
            </w:tcBorders>
            <w:shd w:val="clear" w:color="auto" w:fill="auto"/>
            <w:noWrap/>
            <w:vAlign w:val="center"/>
            <w:hideMark/>
          </w:tcPr>
          <w:p w14:paraId="0D954466" w14:textId="77777777" w:rsidR="00D02C29" w:rsidRPr="003A115E" w:rsidRDefault="00D02C29" w:rsidP="00790DB8">
            <w:pPr>
              <w:pStyle w:val="cuatexto"/>
              <w:jc w:val="right"/>
            </w:pPr>
            <w:r w:rsidRPr="003A115E">
              <w:t>13</w:t>
            </w:r>
          </w:p>
        </w:tc>
        <w:tc>
          <w:tcPr>
            <w:tcW w:w="392" w:type="pct"/>
            <w:tcBorders>
              <w:top w:val="single" w:sz="2" w:space="0" w:color="auto"/>
              <w:left w:val="nil"/>
              <w:bottom w:val="single" w:sz="2" w:space="0" w:color="auto"/>
              <w:right w:val="single" w:sz="2" w:space="0" w:color="auto"/>
            </w:tcBorders>
            <w:shd w:val="clear" w:color="auto" w:fill="auto"/>
            <w:noWrap/>
            <w:vAlign w:val="center"/>
            <w:hideMark/>
          </w:tcPr>
          <w:p w14:paraId="326DA465" w14:textId="77777777" w:rsidR="00D02C29" w:rsidRPr="003A115E" w:rsidRDefault="00D02C29" w:rsidP="00790DB8">
            <w:pPr>
              <w:pStyle w:val="cuatexto"/>
              <w:jc w:val="right"/>
            </w:pPr>
            <w:r w:rsidRPr="003A115E">
              <w:t>11</w:t>
            </w:r>
          </w:p>
        </w:tc>
        <w:tc>
          <w:tcPr>
            <w:tcW w:w="393" w:type="pct"/>
            <w:tcBorders>
              <w:top w:val="single" w:sz="2" w:space="0" w:color="auto"/>
              <w:left w:val="single" w:sz="2" w:space="0" w:color="auto"/>
              <w:bottom w:val="single" w:sz="2" w:space="0" w:color="auto"/>
              <w:right w:val="nil"/>
            </w:tcBorders>
            <w:shd w:val="clear" w:color="auto" w:fill="auto"/>
            <w:noWrap/>
            <w:vAlign w:val="center"/>
            <w:hideMark/>
          </w:tcPr>
          <w:p w14:paraId="33487808" w14:textId="77777777" w:rsidR="00D02C29" w:rsidRPr="003A115E" w:rsidRDefault="00D02C29" w:rsidP="00790DB8">
            <w:pPr>
              <w:pStyle w:val="cuatexto"/>
              <w:jc w:val="right"/>
            </w:pPr>
            <w:r w:rsidRPr="003A115E">
              <w:t>56</w:t>
            </w:r>
          </w:p>
        </w:tc>
        <w:tc>
          <w:tcPr>
            <w:tcW w:w="393" w:type="pct"/>
            <w:tcBorders>
              <w:top w:val="single" w:sz="2" w:space="0" w:color="auto"/>
              <w:left w:val="nil"/>
              <w:bottom w:val="single" w:sz="2" w:space="0" w:color="auto"/>
              <w:right w:val="single" w:sz="2" w:space="0" w:color="auto"/>
            </w:tcBorders>
            <w:shd w:val="clear" w:color="auto" w:fill="auto"/>
            <w:noWrap/>
            <w:vAlign w:val="center"/>
            <w:hideMark/>
          </w:tcPr>
          <w:p w14:paraId="7E318D5D" w14:textId="77777777" w:rsidR="00D02C29" w:rsidRPr="003A115E" w:rsidRDefault="00D02C29" w:rsidP="00790DB8">
            <w:pPr>
              <w:pStyle w:val="cuatexto"/>
              <w:jc w:val="right"/>
            </w:pPr>
            <w:r w:rsidRPr="003A115E">
              <w:t>53</w:t>
            </w:r>
          </w:p>
        </w:tc>
        <w:tc>
          <w:tcPr>
            <w:tcW w:w="566" w:type="pct"/>
            <w:tcBorders>
              <w:top w:val="single" w:sz="2" w:space="0" w:color="auto"/>
              <w:left w:val="single" w:sz="2" w:space="0" w:color="auto"/>
              <w:bottom w:val="single" w:sz="2" w:space="0" w:color="auto"/>
              <w:right w:val="nil"/>
            </w:tcBorders>
            <w:shd w:val="clear" w:color="auto" w:fill="auto"/>
            <w:noWrap/>
            <w:vAlign w:val="center"/>
            <w:hideMark/>
          </w:tcPr>
          <w:p w14:paraId="4E092D68" w14:textId="77777777" w:rsidR="00D02C29" w:rsidRPr="003A115E" w:rsidRDefault="00D02C29" w:rsidP="00790DB8">
            <w:pPr>
              <w:pStyle w:val="cuatexto"/>
              <w:jc w:val="right"/>
            </w:pPr>
            <w:r w:rsidRPr="003A115E">
              <w:t>1.134.295</w:t>
            </w:r>
          </w:p>
        </w:tc>
        <w:tc>
          <w:tcPr>
            <w:tcW w:w="566" w:type="pct"/>
            <w:tcBorders>
              <w:top w:val="single" w:sz="2" w:space="0" w:color="auto"/>
              <w:left w:val="nil"/>
              <w:bottom w:val="single" w:sz="2" w:space="0" w:color="auto"/>
              <w:right w:val="single" w:sz="2" w:space="0" w:color="auto"/>
            </w:tcBorders>
            <w:shd w:val="clear" w:color="auto" w:fill="auto"/>
            <w:noWrap/>
            <w:vAlign w:val="center"/>
            <w:hideMark/>
          </w:tcPr>
          <w:p w14:paraId="511FDC1A" w14:textId="624E41CF" w:rsidR="00D02C29" w:rsidRPr="003A115E" w:rsidRDefault="00D02C29" w:rsidP="00790DB8">
            <w:pPr>
              <w:pStyle w:val="cuatexto"/>
              <w:jc w:val="right"/>
            </w:pPr>
            <w:r w:rsidRPr="003A115E">
              <w:t>722.113</w:t>
            </w:r>
          </w:p>
        </w:tc>
        <w:tc>
          <w:tcPr>
            <w:tcW w:w="333" w:type="pct"/>
            <w:tcBorders>
              <w:top w:val="single" w:sz="2" w:space="0" w:color="auto"/>
              <w:left w:val="single" w:sz="2" w:space="0" w:color="auto"/>
              <w:bottom w:val="single" w:sz="2" w:space="0" w:color="auto"/>
              <w:right w:val="nil"/>
            </w:tcBorders>
            <w:shd w:val="clear" w:color="auto" w:fill="auto"/>
            <w:noWrap/>
            <w:vAlign w:val="center"/>
            <w:hideMark/>
          </w:tcPr>
          <w:p w14:paraId="4E4BABCF" w14:textId="77777777" w:rsidR="00D02C29" w:rsidRPr="003A115E" w:rsidRDefault="00D02C29" w:rsidP="00790DB8">
            <w:pPr>
              <w:pStyle w:val="cuatexto"/>
              <w:jc w:val="right"/>
            </w:pPr>
            <w:r w:rsidRPr="003A115E">
              <w:t>12</w:t>
            </w:r>
          </w:p>
        </w:tc>
        <w:tc>
          <w:tcPr>
            <w:tcW w:w="391" w:type="pct"/>
            <w:tcBorders>
              <w:top w:val="single" w:sz="2" w:space="0" w:color="auto"/>
              <w:left w:val="nil"/>
              <w:bottom w:val="single" w:sz="2" w:space="0" w:color="auto"/>
              <w:right w:val="nil"/>
            </w:tcBorders>
            <w:shd w:val="clear" w:color="auto" w:fill="auto"/>
            <w:noWrap/>
            <w:vAlign w:val="center"/>
            <w:hideMark/>
          </w:tcPr>
          <w:p w14:paraId="480B0049" w14:textId="77777777" w:rsidR="00D02C29" w:rsidRPr="003A115E" w:rsidRDefault="00D02C29" w:rsidP="00790DB8">
            <w:pPr>
              <w:pStyle w:val="cuatexto"/>
              <w:jc w:val="right"/>
            </w:pPr>
            <w:r w:rsidRPr="003A115E">
              <w:t>4</w:t>
            </w:r>
          </w:p>
        </w:tc>
      </w:tr>
      <w:tr w:rsidR="000A742F" w:rsidRPr="003A115E" w14:paraId="4967ACBF" w14:textId="77777777" w:rsidTr="00D903EF">
        <w:trPr>
          <w:trHeight w:val="198"/>
        </w:trPr>
        <w:tc>
          <w:tcPr>
            <w:tcW w:w="1574" w:type="pct"/>
            <w:tcBorders>
              <w:top w:val="single" w:sz="2" w:space="0" w:color="auto"/>
              <w:left w:val="nil"/>
              <w:bottom w:val="single" w:sz="2" w:space="0" w:color="auto"/>
              <w:right w:val="single" w:sz="2" w:space="0" w:color="auto"/>
            </w:tcBorders>
            <w:shd w:val="clear" w:color="auto" w:fill="auto"/>
            <w:noWrap/>
            <w:vAlign w:val="center"/>
            <w:hideMark/>
          </w:tcPr>
          <w:p w14:paraId="2BB9CD72" w14:textId="77777777" w:rsidR="00D02C29" w:rsidRPr="003A115E" w:rsidRDefault="00D02C29" w:rsidP="00A0522B">
            <w:pPr>
              <w:pStyle w:val="cuatexto"/>
            </w:pPr>
            <w:r w:rsidRPr="003A115E">
              <w:t>De 5.001 a 10.000 hab.</w:t>
            </w:r>
          </w:p>
        </w:tc>
        <w:tc>
          <w:tcPr>
            <w:tcW w:w="392" w:type="pct"/>
            <w:tcBorders>
              <w:top w:val="single" w:sz="2" w:space="0" w:color="auto"/>
              <w:left w:val="single" w:sz="2" w:space="0" w:color="auto"/>
              <w:bottom w:val="single" w:sz="2" w:space="0" w:color="auto"/>
              <w:right w:val="nil"/>
            </w:tcBorders>
            <w:shd w:val="clear" w:color="auto" w:fill="auto"/>
            <w:noWrap/>
            <w:vAlign w:val="center"/>
            <w:hideMark/>
          </w:tcPr>
          <w:p w14:paraId="120B67E2" w14:textId="77777777" w:rsidR="00D02C29" w:rsidRPr="003A115E" w:rsidRDefault="00D02C29" w:rsidP="00790DB8">
            <w:pPr>
              <w:pStyle w:val="cuatexto"/>
              <w:jc w:val="right"/>
            </w:pPr>
            <w:r w:rsidRPr="003A115E">
              <w:t>3</w:t>
            </w:r>
          </w:p>
        </w:tc>
        <w:tc>
          <w:tcPr>
            <w:tcW w:w="392" w:type="pct"/>
            <w:tcBorders>
              <w:top w:val="single" w:sz="2" w:space="0" w:color="auto"/>
              <w:left w:val="nil"/>
              <w:bottom w:val="single" w:sz="2" w:space="0" w:color="auto"/>
              <w:right w:val="single" w:sz="2" w:space="0" w:color="auto"/>
            </w:tcBorders>
            <w:shd w:val="clear" w:color="auto" w:fill="auto"/>
            <w:noWrap/>
            <w:vAlign w:val="center"/>
            <w:hideMark/>
          </w:tcPr>
          <w:p w14:paraId="5A9CF7EE" w14:textId="77777777" w:rsidR="00D02C29" w:rsidRPr="003A115E" w:rsidRDefault="00D02C29" w:rsidP="00790DB8">
            <w:pPr>
              <w:pStyle w:val="cuatexto"/>
              <w:jc w:val="right"/>
            </w:pPr>
            <w:r w:rsidRPr="003A115E">
              <w:t>3</w:t>
            </w:r>
          </w:p>
        </w:tc>
        <w:tc>
          <w:tcPr>
            <w:tcW w:w="393" w:type="pct"/>
            <w:tcBorders>
              <w:top w:val="single" w:sz="2" w:space="0" w:color="auto"/>
              <w:left w:val="single" w:sz="2" w:space="0" w:color="auto"/>
              <w:bottom w:val="single" w:sz="2" w:space="0" w:color="auto"/>
              <w:right w:val="nil"/>
            </w:tcBorders>
            <w:shd w:val="clear" w:color="auto" w:fill="auto"/>
            <w:noWrap/>
            <w:vAlign w:val="center"/>
            <w:hideMark/>
          </w:tcPr>
          <w:p w14:paraId="52E05374" w14:textId="77777777" w:rsidR="00D02C29" w:rsidRPr="003A115E" w:rsidRDefault="00D02C29" w:rsidP="00790DB8">
            <w:pPr>
              <w:pStyle w:val="cuatexto"/>
              <w:jc w:val="right"/>
            </w:pPr>
            <w:r w:rsidRPr="003A115E">
              <w:t>27</w:t>
            </w:r>
          </w:p>
        </w:tc>
        <w:tc>
          <w:tcPr>
            <w:tcW w:w="393" w:type="pct"/>
            <w:tcBorders>
              <w:top w:val="single" w:sz="2" w:space="0" w:color="auto"/>
              <w:left w:val="nil"/>
              <w:bottom w:val="single" w:sz="2" w:space="0" w:color="auto"/>
              <w:right w:val="single" w:sz="2" w:space="0" w:color="auto"/>
            </w:tcBorders>
            <w:shd w:val="clear" w:color="auto" w:fill="auto"/>
            <w:noWrap/>
            <w:vAlign w:val="center"/>
            <w:hideMark/>
          </w:tcPr>
          <w:p w14:paraId="02EE7BDC" w14:textId="77777777" w:rsidR="00D02C29" w:rsidRPr="003A115E" w:rsidRDefault="00D02C29" w:rsidP="00790DB8">
            <w:pPr>
              <w:pStyle w:val="cuatexto"/>
              <w:jc w:val="right"/>
            </w:pPr>
            <w:r w:rsidRPr="003A115E">
              <w:t>35</w:t>
            </w:r>
          </w:p>
        </w:tc>
        <w:tc>
          <w:tcPr>
            <w:tcW w:w="566" w:type="pct"/>
            <w:tcBorders>
              <w:top w:val="single" w:sz="2" w:space="0" w:color="auto"/>
              <w:left w:val="single" w:sz="2" w:space="0" w:color="auto"/>
              <w:bottom w:val="single" w:sz="2" w:space="0" w:color="auto"/>
              <w:right w:val="nil"/>
            </w:tcBorders>
            <w:shd w:val="clear" w:color="auto" w:fill="auto"/>
            <w:noWrap/>
            <w:vAlign w:val="center"/>
            <w:hideMark/>
          </w:tcPr>
          <w:p w14:paraId="12125DEC" w14:textId="77777777" w:rsidR="00D02C29" w:rsidRPr="003A115E" w:rsidRDefault="00D02C29" w:rsidP="00790DB8">
            <w:pPr>
              <w:pStyle w:val="cuatexto"/>
              <w:jc w:val="right"/>
            </w:pPr>
            <w:r w:rsidRPr="003A115E">
              <w:t>296.124</w:t>
            </w:r>
          </w:p>
        </w:tc>
        <w:tc>
          <w:tcPr>
            <w:tcW w:w="566" w:type="pct"/>
            <w:tcBorders>
              <w:top w:val="single" w:sz="2" w:space="0" w:color="auto"/>
              <w:left w:val="nil"/>
              <w:bottom w:val="single" w:sz="2" w:space="0" w:color="auto"/>
              <w:right w:val="single" w:sz="2" w:space="0" w:color="auto"/>
            </w:tcBorders>
            <w:shd w:val="clear" w:color="auto" w:fill="auto"/>
            <w:noWrap/>
            <w:vAlign w:val="center"/>
            <w:hideMark/>
          </w:tcPr>
          <w:p w14:paraId="65A9E6A6" w14:textId="76744487" w:rsidR="00D02C29" w:rsidRPr="003A115E" w:rsidRDefault="00D02C29" w:rsidP="00790DB8">
            <w:pPr>
              <w:pStyle w:val="cuatexto"/>
              <w:jc w:val="right"/>
            </w:pPr>
            <w:r w:rsidRPr="003A115E">
              <w:t>1.072.066</w:t>
            </w:r>
          </w:p>
        </w:tc>
        <w:tc>
          <w:tcPr>
            <w:tcW w:w="333" w:type="pct"/>
            <w:tcBorders>
              <w:top w:val="single" w:sz="2" w:space="0" w:color="auto"/>
              <w:left w:val="single" w:sz="2" w:space="0" w:color="auto"/>
              <w:bottom w:val="single" w:sz="2" w:space="0" w:color="auto"/>
              <w:right w:val="nil"/>
            </w:tcBorders>
            <w:shd w:val="clear" w:color="auto" w:fill="auto"/>
            <w:noWrap/>
            <w:vAlign w:val="center"/>
            <w:hideMark/>
          </w:tcPr>
          <w:p w14:paraId="42025CD3" w14:textId="77777777" w:rsidR="00D02C29" w:rsidRPr="003A115E" w:rsidRDefault="00D02C29" w:rsidP="00790DB8">
            <w:pPr>
              <w:pStyle w:val="cuatexto"/>
              <w:jc w:val="right"/>
            </w:pPr>
            <w:r w:rsidRPr="003A115E">
              <w:t>8</w:t>
            </w:r>
          </w:p>
        </w:tc>
        <w:tc>
          <w:tcPr>
            <w:tcW w:w="391" w:type="pct"/>
            <w:tcBorders>
              <w:top w:val="single" w:sz="2" w:space="0" w:color="auto"/>
              <w:left w:val="nil"/>
              <w:bottom w:val="single" w:sz="2" w:space="0" w:color="auto"/>
              <w:right w:val="nil"/>
            </w:tcBorders>
            <w:shd w:val="clear" w:color="auto" w:fill="auto"/>
            <w:noWrap/>
            <w:vAlign w:val="center"/>
            <w:hideMark/>
          </w:tcPr>
          <w:p w14:paraId="6FAFE16B" w14:textId="77777777" w:rsidR="00D02C29" w:rsidRPr="003A115E" w:rsidRDefault="00D02C29" w:rsidP="00790DB8">
            <w:pPr>
              <w:pStyle w:val="cuatexto"/>
              <w:jc w:val="right"/>
            </w:pPr>
            <w:r w:rsidRPr="003A115E">
              <w:t>4</w:t>
            </w:r>
          </w:p>
        </w:tc>
      </w:tr>
      <w:tr w:rsidR="000A742F" w:rsidRPr="003A115E" w14:paraId="79D64411" w14:textId="77777777" w:rsidTr="00D903EF">
        <w:trPr>
          <w:trHeight w:val="198"/>
        </w:trPr>
        <w:tc>
          <w:tcPr>
            <w:tcW w:w="1574" w:type="pct"/>
            <w:tcBorders>
              <w:top w:val="single" w:sz="2" w:space="0" w:color="auto"/>
              <w:left w:val="nil"/>
              <w:bottom w:val="single" w:sz="2" w:space="0" w:color="auto"/>
              <w:right w:val="single" w:sz="2" w:space="0" w:color="auto"/>
            </w:tcBorders>
            <w:shd w:val="clear" w:color="auto" w:fill="auto"/>
            <w:noWrap/>
            <w:vAlign w:val="center"/>
            <w:hideMark/>
          </w:tcPr>
          <w:p w14:paraId="295B045D" w14:textId="77777777" w:rsidR="00D02C29" w:rsidRPr="003A115E" w:rsidRDefault="00D02C29" w:rsidP="00A0522B">
            <w:pPr>
              <w:pStyle w:val="cuatexto"/>
            </w:pPr>
            <w:r w:rsidRPr="003A115E">
              <w:t>De 10.001 a 20.000 hab.</w:t>
            </w:r>
          </w:p>
        </w:tc>
        <w:tc>
          <w:tcPr>
            <w:tcW w:w="392" w:type="pct"/>
            <w:tcBorders>
              <w:top w:val="single" w:sz="2" w:space="0" w:color="auto"/>
              <w:left w:val="single" w:sz="2" w:space="0" w:color="auto"/>
              <w:bottom w:val="single" w:sz="2" w:space="0" w:color="auto"/>
              <w:right w:val="nil"/>
            </w:tcBorders>
            <w:shd w:val="clear" w:color="auto" w:fill="auto"/>
            <w:noWrap/>
            <w:vAlign w:val="center"/>
            <w:hideMark/>
          </w:tcPr>
          <w:p w14:paraId="23C3299F" w14:textId="77777777" w:rsidR="00D02C29" w:rsidRPr="003A115E" w:rsidRDefault="00D02C29" w:rsidP="00790DB8">
            <w:pPr>
              <w:pStyle w:val="cuatexto"/>
              <w:jc w:val="right"/>
            </w:pPr>
            <w:r w:rsidRPr="003A115E">
              <w:t>3</w:t>
            </w:r>
          </w:p>
        </w:tc>
        <w:tc>
          <w:tcPr>
            <w:tcW w:w="392" w:type="pct"/>
            <w:tcBorders>
              <w:top w:val="single" w:sz="2" w:space="0" w:color="auto"/>
              <w:left w:val="nil"/>
              <w:bottom w:val="single" w:sz="2" w:space="0" w:color="auto"/>
              <w:right w:val="single" w:sz="2" w:space="0" w:color="auto"/>
            </w:tcBorders>
            <w:shd w:val="clear" w:color="auto" w:fill="auto"/>
            <w:noWrap/>
            <w:vAlign w:val="center"/>
            <w:hideMark/>
          </w:tcPr>
          <w:p w14:paraId="11207754" w14:textId="77777777" w:rsidR="00D02C29" w:rsidRPr="003A115E" w:rsidRDefault="00D02C29" w:rsidP="00790DB8">
            <w:pPr>
              <w:pStyle w:val="cuatexto"/>
              <w:jc w:val="right"/>
            </w:pPr>
            <w:r w:rsidRPr="003A115E">
              <w:t>4</w:t>
            </w:r>
          </w:p>
        </w:tc>
        <w:tc>
          <w:tcPr>
            <w:tcW w:w="393" w:type="pct"/>
            <w:tcBorders>
              <w:top w:val="single" w:sz="2" w:space="0" w:color="auto"/>
              <w:left w:val="single" w:sz="2" w:space="0" w:color="auto"/>
              <w:bottom w:val="single" w:sz="2" w:space="0" w:color="auto"/>
              <w:right w:val="nil"/>
            </w:tcBorders>
            <w:shd w:val="clear" w:color="auto" w:fill="auto"/>
            <w:noWrap/>
            <w:vAlign w:val="center"/>
            <w:hideMark/>
          </w:tcPr>
          <w:p w14:paraId="258E9EB2" w14:textId="77777777" w:rsidR="00D02C29" w:rsidRPr="003A115E" w:rsidRDefault="00D02C29" w:rsidP="00790DB8">
            <w:pPr>
              <w:pStyle w:val="cuatexto"/>
              <w:jc w:val="right"/>
            </w:pPr>
            <w:r w:rsidRPr="003A115E">
              <w:t>13</w:t>
            </w:r>
          </w:p>
        </w:tc>
        <w:tc>
          <w:tcPr>
            <w:tcW w:w="393" w:type="pct"/>
            <w:tcBorders>
              <w:top w:val="single" w:sz="2" w:space="0" w:color="auto"/>
              <w:left w:val="nil"/>
              <w:bottom w:val="single" w:sz="2" w:space="0" w:color="auto"/>
              <w:right w:val="single" w:sz="2" w:space="0" w:color="auto"/>
            </w:tcBorders>
            <w:shd w:val="clear" w:color="auto" w:fill="auto"/>
            <w:noWrap/>
            <w:vAlign w:val="center"/>
            <w:hideMark/>
          </w:tcPr>
          <w:p w14:paraId="6B6AC996" w14:textId="77777777" w:rsidR="00D02C29" w:rsidRPr="003A115E" w:rsidRDefault="00D02C29" w:rsidP="00790DB8">
            <w:pPr>
              <w:pStyle w:val="cuatexto"/>
              <w:jc w:val="right"/>
            </w:pPr>
            <w:r w:rsidRPr="003A115E">
              <w:t>23</w:t>
            </w:r>
          </w:p>
        </w:tc>
        <w:tc>
          <w:tcPr>
            <w:tcW w:w="566" w:type="pct"/>
            <w:tcBorders>
              <w:top w:val="single" w:sz="2" w:space="0" w:color="auto"/>
              <w:left w:val="single" w:sz="2" w:space="0" w:color="auto"/>
              <w:bottom w:val="single" w:sz="2" w:space="0" w:color="auto"/>
              <w:right w:val="nil"/>
            </w:tcBorders>
            <w:shd w:val="clear" w:color="auto" w:fill="auto"/>
            <w:noWrap/>
            <w:vAlign w:val="center"/>
            <w:hideMark/>
          </w:tcPr>
          <w:p w14:paraId="7AC45ECC" w14:textId="77777777" w:rsidR="00D02C29" w:rsidRPr="003A115E" w:rsidRDefault="00D02C29" w:rsidP="00790DB8">
            <w:pPr>
              <w:pStyle w:val="cuatexto"/>
              <w:jc w:val="right"/>
            </w:pPr>
            <w:r w:rsidRPr="003A115E">
              <w:t>555.856</w:t>
            </w:r>
          </w:p>
        </w:tc>
        <w:tc>
          <w:tcPr>
            <w:tcW w:w="566" w:type="pct"/>
            <w:tcBorders>
              <w:top w:val="single" w:sz="2" w:space="0" w:color="auto"/>
              <w:left w:val="nil"/>
              <w:bottom w:val="single" w:sz="2" w:space="0" w:color="auto"/>
              <w:right w:val="single" w:sz="2" w:space="0" w:color="auto"/>
            </w:tcBorders>
            <w:shd w:val="clear" w:color="auto" w:fill="auto"/>
            <w:noWrap/>
            <w:vAlign w:val="center"/>
            <w:hideMark/>
          </w:tcPr>
          <w:p w14:paraId="5A75BA1C" w14:textId="7770E0C1" w:rsidR="00D02C29" w:rsidRPr="003A115E" w:rsidRDefault="00D02C29" w:rsidP="00790DB8">
            <w:pPr>
              <w:pStyle w:val="cuatexto"/>
              <w:jc w:val="right"/>
            </w:pPr>
            <w:r w:rsidRPr="003A115E">
              <w:t>1.577.054</w:t>
            </w:r>
          </w:p>
        </w:tc>
        <w:tc>
          <w:tcPr>
            <w:tcW w:w="333" w:type="pct"/>
            <w:tcBorders>
              <w:top w:val="single" w:sz="2" w:space="0" w:color="auto"/>
              <w:left w:val="single" w:sz="2" w:space="0" w:color="auto"/>
              <w:bottom w:val="single" w:sz="2" w:space="0" w:color="auto"/>
              <w:right w:val="nil"/>
            </w:tcBorders>
            <w:shd w:val="clear" w:color="auto" w:fill="auto"/>
            <w:noWrap/>
            <w:vAlign w:val="center"/>
            <w:hideMark/>
          </w:tcPr>
          <w:p w14:paraId="7171A3B4" w14:textId="77777777" w:rsidR="00D02C29" w:rsidRPr="003A115E" w:rsidRDefault="00D02C29" w:rsidP="00790DB8">
            <w:pPr>
              <w:pStyle w:val="cuatexto"/>
              <w:jc w:val="right"/>
            </w:pPr>
            <w:r w:rsidRPr="003A115E">
              <w:t>0</w:t>
            </w:r>
          </w:p>
        </w:tc>
        <w:tc>
          <w:tcPr>
            <w:tcW w:w="391" w:type="pct"/>
            <w:tcBorders>
              <w:top w:val="single" w:sz="2" w:space="0" w:color="auto"/>
              <w:left w:val="nil"/>
              <w:bottom w:val="single" w:sz="2" w:space="0" w:color="auto"/>
              <w:right w:val="nil"/>
            </w:tcBorders>
            <w:shd w:val="clear" w:color="auto" w:fill="auto"/>
            <w:noWrap/>
            <w:vAlign w:val="center"/>
            <w:hideMark/>
          </w:tcPr>
          <w:p w14:paraId="2FA220EF" w14:textId="77777777" w:rsidR="00D02C29" w:rsidRPr="003A115E" w:rsidRDefault="00D02C29" w:rsidP="00790DB8">
            <w:pPr>
              <w:pStyle w:val="cuatexto"/>
              <w:jc w:val="right"/>
            </w:pPr>
            <w:r w:rsidRPr="003A115E">
              <w:t>0</w:t>
            </w:r>
          </w:p>
        </w:tc>
      </w:tr>
      <w:tr w:rsidR="000A742F" w:rsidRPr="003A115E" w14:paraId="4D2C0A71" w14:textId="77777777" w:rsidTr="00D903EF">
        <w:trPr>
          <w:trHeight w:val="198"/>
        </w:trPr>
        <w:tc>
          <w:tcPr>
            <w:tcW w:w="1574" w:type="pct"/>
            <w:tcBorders>
              <w:top w:val="single" w:sz="2" w:space="0" w:color="auto"/>
              <w:left w:val="nil"/>
              <w:bottom w:val="single" w:sz="2" w:space="0" w:color="auto"/>
              <w:right w:val="single" w:sz="2" w:space="0" w:color="auto"/>
            </w:tcBorders>
            <w:shd w:val="clear" w:color="auto" w:fill="auto"/>
            <w:noWrap/>
            <w:vAlign w:val="center"/>
            <w:hideMark/>
          </w:tcPr>
          <w:p w14:paraId="2BFE38D0" w14:textId="77777777" w:rsidR="00D02C29" w:rsidRPr="003A115E" w:rsidRDefault="00D02C29" w:rsidP="00A0522B">
            <w:pPr>
              <w:pStyle w:val="cuatexto"/>
            </w:pPr>
            <w:r w:rsidRPr="003A115E">
              <w:t>Más de 20.000 hab.</w:t>
            </w:r>
          </w:p>
        </w:tc>
        <w:tc>
          <w:tcPr>
            <w:tcW w:w="392" w:type="pct"/>
            <w:tcBorders>
              <w:top w:val="single" w:sz="2" w:space="0" w:color="auto"/>
              <w:left w:val="single" w:sz="2" w:space="0" w:color="auto"/>
              <w:bottom w:val="single" w:sz="2" w:space="0" w:color="auto"/>
              <w:right w:val="nil"/>
            </w:tcBorders>
            <w:shd w:val="clear" w:color="auto" w:fill="auto"/>
            <w:noWrap/>
            <w:vAlign w:val="center"/>
            <w:hideMark/>
          </w:tcPr>
          <w:p w14:paraId="52D6481F" w14:textId="77777777" w:rsidR="00D02C29" w:rsidRPr="003A115E" w:rsidRDefault="00D02C29" w:rsidP="00790DB8">
            <w:pPr>
              <w:pStyle w:val="cuatexto"/>
              <w:jc w:val="right"/>
            </w:pPr>
            <w:r w:rsidRPr="003A115E">
              <w:t>1</w:t>
            </w:r>
          </w:p>
        </w:tc>
        <w:tc>
          <w:tcPr>
            <w:tcW w:w="392" w:type="pct"/>
            <w:tcBorders>
              <w:top w:val="single" w:sz="2" w:space="0" w:color="auto"/>
              <w:left w:val="nil"/>
              <w:bottom w:val="single" w:sz="2" w:space="0" w:color="auto"/>
              <w:right w:val="single" w:sz="2" w:space="0" w:color="auto"/>
            </w:tcBorders>
            <w:shd w:val="clear" w:color="auto" w:fill="auto"/>
            <w:noWrap/>
            <w:vAlign w:val="center"/>
            <w:hideMark/>
          </w:tcPr>
          <w:p w14:paraId="0199AED3" w14:textId="77777777" w:rsidR="00D02C29" w:rsidRPr="003A115E" w:rsidRDefault="00D02C29" w:rsidP="00790DB8">
            <w:pPr>
              <w:pStyle w:val="cuatexto"/>
              <w:jc w:val="right"/>
            </w:pPr>
            <w:r w:rsidRPr="003A115E">
              <w:t>2</w:t>
            </w:r>
          </w:p>
        </w:tc>
        <w:tc>
          <w:tcPr>
            <w:tcW w:w="393" w:type="pct"/>
            <w:tcBorders>
              <w:top w:val="single" w:sz="2" w:space="0" w:color="auto"/>
              <w:left w:val="single" w:sz="2" w:space="0" w:color="auto"/>
              <w:bottom w:val="single" w:sz="2" w:space="0" w:color="auto"/>
              <w:right w:val="nil"/>
            </w:tcBorders>
            <w:shd w:val="clear" w:color="auto" w:fill="auto"/>
            <w:noWrap/>
            <w:vAlign w:val="center"/>
            <w:hideMark/>
          </w:tcPr>
          <w:p w14:paraId="7FD474CB" w14:textId="77777777" w:rsidR="00D02C29" w:rsidRPr="003A115E" w:rsidRDefault="00D02C29" w:rsidP="00790DB8">
            <w:pPr>
              <w:pStyle w:val="cuatexto"/>
              <w:jc w:val="right"/>
            </w:pPr>
            <w:r w:rsidRPr="003A115E">
              <w:t>9</w:t>
            </w:r>
          </w:p>
        </w:tc>
        <w:tc>
          <w:tcPr>
            <w:tcW w:w="393" w:type="pct"/>
            <w:tcBorders>
              <w:top w:val="single" w:sz="2" w:space="0" w:color="auto"/>
              <w:left w:val="nil"/>
              <w:bottom w:val="single" w:sz="2" w:space="0" w:color="auto"/>
              <w:right w:val="single" w:sz="2" w:space="0" w:color="auto"/>
            </w:tcBorders>
            <w:shd w:val="clear" w:color="auto" w:fill="auto"/>
            <w:noWrap/>
            <w:vAlign w:val="center"/>
            <w:hideMark/>
          </w:tcPr>
          <w:p w14:paraId="14918D08" w14:textId="77777777" w:rsidR="00D02C29" w:rsidRPr="003A115E" w:rsidRDefault="00D02C29" w:rsidP="00790DB8">
            <w:pPr>
              <w:pStyle w:val="cuatexto"/>
              <w:jc w:val="right"/>
            </w:pPr>
            <w:r w:rsidRPr="003A115E">
              <w:t>55</w:t>
            </w:r>
          </w:p>
        </w:tc>
        <w:tc>
          <w:tcPr>
            <w:tcW w:w="566" w:type="pct"/>
            <w:tcBorders>
              <w:top w:val="single" w:sz="2" w:space="0" w:color="auto"/>
              <w:left w:val="single" w:sz="2" w:space="0" w:color="auto"/>
              <w:bottom w:val="single" w:sz="2" w:space="0" w:color="auto"/>
              <w:right w:val="nil"/>
            </w:tcBorders>
            <w:shd w:val="clear" w:color="auto" w:fill="auto"/>
            <w:noWrap/>
            <w:vAlign w:val="center"/>
            <w:hideMark/>
          </w:tcPr>
          <w:p w14:paraId="2EDC1F89" w14:textId="77777777" w:rsidR="00D02C29" w:rsidRPr="003A115E" w:rsidRDefault="00D02C29" w:rsidP="00790DB8">
            <w:pPr>
              <w:pStyle w:val="cuatexto"/>
              <w:jc w:val="right"/>
            </w:pPr>
            <w:r w:rsidRPr="003A115E">
              <w:t>135.461</w:t>
            </w:r>
          </w:p>
        </w:tc>
        <w:tc>
          <w:tcPr>
            <w:tcW w:w="566" w:type="pct"/>
            <w:tcBorders>
              <w:top w:val="single" w:sz="2" w:space="0" w:color="auto"/>
              <w:left w:val="nil"/>
              <w:bottom w:val="single" w:sz="2" w:space="0" w:color="auto"/>
              <w:right w:val="single" w:sz="2" w:space="0" w:color="auto"/>
            </w:tcBorders>
            <w:shd w:val="clear" w:color="auto" w:fill="auto"/>
            <w:noWrap/>
            <w:vAlign w:val="center"/>
            <w:hideMark/>
          </w:tcPr>
          <w:p w14:paraId="4DB28404" w14:textId="6BF49848" w:rsidR="00D02C29" w:rsidRPr="003A115E" w:rsidRDefault="00D02C29" w:rsidP="00790DB8">
            <w:pPr>
              <w:pStyle w:val="cuatexto"/>
              <w:jc w:val="right"/>
            </w:pPr>
            <w:r w:rsidRPr="003A115E">
              <w:t>2.687.000</w:t>
            </w:r>
          </w:p>
        </w:tc>
        <w:tc>
          <w:tcPr>
            <w:tcW w:w="333" w:type="pct"/>
            <w:tcBorders>
              <w:top w:val="single" w:sz="2" w:space="0" w:color="auto"/>
              <w:left w:val="single" w:sz="2" w:space="0" w:color="auto"/>
              <w:bottom w:val="single" w:sz="2" w:space="0" w:color="auto"/>
              <w:right w:val="nil"/>
            </w:tcBorders>
            <w:shd w:val="clear" w:color="auto" w:fill="auto"/>
            <w:noWrap/>
            <w:vAlign w:val="center"/>
            <w:hideMark/>
          </w:tcPr>
          <w:p w14:paraId="547F5E99" w14:textId="77777777" w:rsidR="00D02C29" w:rsidRPr="003A115E" w:rsidRDefault="00D02C29" w:rsidP="00790DB8">
            <w:pPr>
              <w:pStyle w:val="cuatexto"/>
              <w:jc w:val="right"/>
            </w:pPr>
            <w:r w:rsidRPr="003A115E">
              <w:t>3</w:t>
            </w:r>
          </w:p>
        </w:tc>
        <w:tc>
          <w:tcPr>
            <w:tcW w:w="391" w:type="pct"/>
            <w:tcBorders>
              <w:top w:val="single" w:sz="2" w:space="0" w:color="auto"/>
              <w:left w:val="nil"/>
              <w:bottom w:val="single" w:sz="2" w:space="0" w:color="auto"/>
              <w:right w:val="nil"/>
            </w:tcBorders>
            <w:shd w:val="clear" w:color="auto" w:fill="auto"/>
            <w:noWrap/>
            <w:vAlign w:val="center"/>
            <w:hideMark/>
          </w:tcPr>
          <w:p w14:paraId="355D08EC" w14:textId="77777777" w:rsidR="00D02C29" w:rsidRPr="003A115E" w:rsidRDefault="00D02C29" w:rsidP="00790DB8">
            <w:pPr>
              <w:pStyle w:val="cuatexto"/>
              <w:jc w:val="right"/>
            </w:pPr>
            <w:r w:rsidRPr="003A115E">
              <w:t>4</w:t>
            </w:r>
          </w:p>
        </w:tc>
      </w:tr>
      <w:tr w:rsidR="000A742F" w:rsidRPr="003A115E" w14:paraId="01991B95" w14:textId="77777777" w:rsidTr="00D903EF">
        <w:trPr>
          <w:trHeight w:val="198"/>
        </w:trPr>
        <w:tc>
          <w:tcPr>
            <w:tcW w:w="1574" w:type="pct"/>
            <w:tcBorders>
              <w:top w:val="single" w:sz="2" w:space="0" w:color="auto"/>
              <w:left w:val="nil"/>
              <w:bottom w:val="single" w:sz="4" w:space="0" w:color="auto"/>
              <w:right w:val="single" w:sz="2" w:space="0" w:color="auto"/>
            </w:tcBorders>
            <w:shd w:val="clear" w:color="auto" w:fill="auto"/>
            <w:noWrap/>
            <w:vAlign w:val="center"/>
            <w:hideMark/>
          </w:tcPr>
          <w:p w14:paraId="2D99808C" w14:textId="77777777" w:rsidR="00D02C29" w:rsidRPr="003A115E" w:rsidRDefault="00D02C29" w:rsidP="00A0522B">
            <w:pPr>
              <w:pStyle w:val="cuatexto"/>
            </w:pPr>
            <w:r w:rsidRPr="003A115E">
              <w:t>Mancomunidades y agrupaciones</w:t>
            </w:r>
          </w:p>
        </w:tc>
        <w:tc>
          <w:tcPr>
            <w:tcW w:w="392" w:type="pct"/>
            <w:tcBorders>
              <w:top w:val="single" w:sz="2" w:space="0" w:color="auto"/>
              <w:left w:val="single" w:sz="2" w:space="0" w:color="auto"/>
              <w:bottom w:val="single" w:sz="4" w:space="0" w:color="auto"/>
              <w:right w:val="nil"/>
            </w:tcBorders>
            <w:shd w:val="clear" w:color="auto" w:fill="auto"/>
            <w:noWrap/>
            <w:vAlign w:val="center"/>
            <w:hideMark/>
          </w:tcPr>
          <w:p w14:paraId="74E5391F" w14:textId="77777777" w:rsidR="00D02C29" w:rsidRPr="003A115E" w:rsidRDefault="00D02C29" w:rsidP="00790DB8">
            <w:pPr>
              <w:pStyle w:val="cuatexto"/>
              <w:jc w:val="right"/>
            </w:pPr>
            <w:r w:rsidRPr="003A115E">
              <w:t>0</w:t>
            </w:r>
          </w:p>
        </w:tc>
        <w:tc>
          <w:tcPr>
            <w:tcW w:w="392" w:type="pct"/>
            <w:tcBorders>
              <w:top w:val="single" w:sz="2" w:space="0" w:color="auto"/>
              <w:left w:val="nil"/>
              <w:bottom w:val="single" w:sz="4" w:space="0" w:color="auto"/>
              <w:right w:val="single" w:sz="2" w:space="0" w:color="auto"/>
            </w:tcBorders>
            <w:shd w:val="clear" w:color="auto" w:fill="auto"/>
            <w:noWrap/>
            <w:vAlign w:val="center"/>
            <w:hideMark/>
          </w:tcPr>
          <w:p w14:paraId="18CD584B" w14:textId="77777777" w:rsidR="00D02C29" w:rsidRPr="003A115E" w:rsidRDefault="00D02C29" w:rsidP="00790DB8">
            <w:pPr>
              <w:pStyle w:val="cuatexto"/>
              <w:jc w:val="right"/>
            </w:pPr>
            <w:r w:rsidRPr="003A115E">
              <w:t>2</w:t>
            </w:r>
          </w:p>
        </w:tc>
        <w:tc>
          <w:tcPr>
            <w:tcW w:w="393" w:type="pct"/>
            <w:tcBorders>
              <w:top w:val="single" w:sz="2" w:space="0" w:color="auto"/>
              <w:left w:val="single" w:sz="2" w:space="0" w:color="auto"/>
              <w:bottom w:val="single" w:sz="4" w:space="0" w:color="auto"/>
              <w:right w:val="nil"/>
            </w:tcBorders>
            <w:shd w:val="clear" w:color="auto" w:fill="auto"/>
            <w:noWrap/>
            <w:vAlign w:val="center"/>
            <w:hideMark/>
          </w:tcPr>
          <w:p w14:paraId="18C0FCCE" w14:textId="77777777" w:rsidR="00D02C29" w:rsidRPr="003A115E" w:rsidRDefault="00D02C29" w:rsidP="00790DB8">
            <w:pPr>
              <w:pStyle w:val="cuatexto"/>
              <w:jc w:val="right"/>
            </w:pPr>
            <w:r w:rsidRPr="003A115E">
              <w:t>0</w:t>
            </w:r>
          </w:p>
        </w:tc>
        <w:tc>
          <w:tcPr>
            <w:tcW w:w="393" w:type="pct"/>
            <w:tcBorders>
              <w:top w:val="single" w:sz="2" w:space="0" w:color="auto"/>
              <w:left w:val="nil"/>
              <w:bottom w:val="single" w:sz="4" w:space="0" w:color="auto"/>
              <w:right w:val="single" w:sz="2" w:space="0" w:color="auto"/>
            </w:tcBorders>
            <w:shd w:val="clear" w:color="auto" w:fill="auto"/>
            <w:noWrap/>
            <w:vAlign w:val="center"/>
            <w:hideMark/>
          </w:tcPr>
          <w:p w14:paraId="3EAF3038" w14:textId="77777777" w:rsidR="00D02C29" w:rsidRPr="003A115E" w:rsidRDefault="00D02C29" w:rsidP="00790DB8">
            <w:pPr>
              <w:pStyle w:val="cuatexto"/>
              <w:jc w:val="right"/>
            </w:pPr>
            <w:r w:rsidRPr="003A115E">
              <w:t>7</w:t>
            </w:r>
          </w:p>
        </w:tc>
        <w:tc>
          <w:tcPr>
            <w:tcW w:w="566" w:type="pct"/>
            <w:tcBorders>
              <w:top w:val="single" w:sz="2" w:space="0" w:color="auto"/>
              <w:left w:val="single" w:sz="2" w:space="0" w:color="auto"/>
              <w:bottom w:val="single" w:sz="4" w:space="0" w:color="auto"/>
              <w:right w:val="nil"/>
            </w:tcBorders>
            <w:shd w:val="clear" w:color="auto" w:fill="auto"/>
            <w:noWrap/>
            <w:vAlign w:val="center"/>
            <w:hideMark/>
          </w:tcPr>
          <w:p w14:paraId="61D9B5D3" w14:textId="77777777" w:rsidR="00D02C29" w:rsidRPr="003A115E" w:rsidRDefault="00D02C29" w:rsidP="00790DB8">
            <w:pPr>
              <w:pStyle w:val="cuatexto"/>
              <w:jc w:val="right"/>
            </w:pPr>
            <w:r w:rsidRPr="003A115E">
              <w:t>0</w:t>
            </w:r>
          </w:p>
        </w:tc>
        <w:tc>
          <w:tcPr>
            <w:tcW w:w="566" w:type="pct"/>
            <w:tcBorders>
              <w:top w:val="single" w:sz="2" w:space="0" w:color="auto"/>
              <w:left w:val="nil"/>
              <w:bottom w:val="single" w:sz="4" w:space="0" w:color="auto"/>
              <w:right w:val="single" w:sz="2" w:space="0" w:color="auto"/>
            </w:tcBorders>
            <w:shd w:val="clear" w:color="auto" w:fill="auto"/>
            <w:noWrap/>
            <w:vAlign w:val="center"/>
            <w:hideMark/>
          </w:tcPr>
          <w:p w14:paraId="7821458D" w14:textId="375513E5" w:rsidR="00D02C29" w:rsidRPr="003A115E" w:rsidRDefault="00D02C29" w:rsidP="00790DB8">
            <w:pPr>
              <w:pStyle w:val="cuatexto"/>
              <w:jc w:val="right"/>
            </w:pPr>
            <w:r w:rsidRPr="003A115E">
              <w:t>983.614</w:t>
            </w:r>
          </w:p>
        </w:tc>
        <w:tc>
          <w:tcPr>
            <w:tcW w:w="333" w:type="pct"/>
            <w:tcBorders>
              <w:top w:val="single" w:sz="2" w:space="0" w:color="auto"/>
              <w:left w:val="single" w:sz="2" w:space="0" w:color="auto"/>
              <w:bottom w:val="single" w:sz="4" w:space="0" w:color="auto"/>
              <w:right w:val="nil"/>
            </w:tcBorders>
            <w:shd w:val="clear" w:color="auto" w:fill="auto"/>
            <w:noWrap/>
            <w:vAlign w:val="center"/>
            <w:hideMark/>
          </w:tcPr>
          <w:p w14:paraId="2F7633A0" w14:textId="77777777" w:rsidR="00D02C29" w:rsidRPr="003A115E" w:rsidRDefault="00D02C29" w:rsidP="00790DB8">
            <w:pPr>
              <w:pStyle w:val="cuatexto"/>
              <w:jc w:val="right"/>
            </w:pPr>
            <w:r w:rsidRPr="003A115E">
              <w:t>0</w:t>
            </w:r>
          </w:p>
        </w:tc>
        <w:tc>
          <w:tcPr>
            <w:tcW w:w="391" w:type="pct"/>
            <w:tcBorders>
              <w:top w:val="single" w:sz="2" w:space="0" w:color="auto"/>
              <w:left w:val="nil"/>
              <w:bottom w:val="single" w:sz="4" w:space="0" w:color="auto"/>
              <w:right w:val="nil"/>
            </w:tcBorders>
            <w:shd w:val="clear" w:color="auto" w:fill="auto"/>
            <w:noWrap/>
            <w:vAlign w:val="center"/>
            <w:hideMark/>
          </w:tcPr>
          <w:p w14:paraId="64A74F46" w14:textId="77777777" w:rsidR="00D02C29" w:rsidRPr="003A115E" w:rsidRDefault="00D02C29" w:rsidP="00790DB8">
            <w:pPr>
              <w:pStyle w:val="cuatexto"/>
              <w:jc w:val="right"/>
            </w:pPr>
            <w:r w:rsidRPr="003A115E">
              <w:t>0</w:t>
            </w:r>
          </w:p>
        </w:tc>
      </w:tr>
      <w:tr w:rsidR="000A742F" w:rsidRPr="003A115E" w14:paraId="741FF9FE" w14:textId="77777777" w:rsidTr="005F3A0D">
        <w:trPr>
          <w:trHeight w:val="255"/>
        </w:trPr>
        <w:tc>
          <w:tcPr>
            <w:tcW w:w="1574"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9C3CCDD" w14:textId="77777777" w:rsidR="00D02C29" w:rsidRPr="003A115E" w:rsidRDefault="00D02C29" w:rsidP="00A0522B">
            <w:pPr>
              <w:pStyle w:val="cuadroCabe"/>
            </w:pPr>
            <w:r w:rsidRPr="003A115E">
              <w:t>Total</w:t>
            </w:r>
          </w:p>
        </w:tc>
        <w:tc>
          <w:tcPr>
            <w:tcW w:w="392"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17971ACC" w14:textId="77777777" w:rsidR="00D02C29" w:rsidRPr="003A115E" w:rsidRDefault="00D02C29" w:rsidP="00790DB8">
            <w:pPr>
              <w:pStyle w:val="cuadroCabe"/>
              <w:jc w:val="right"/>
            </w:pPr>
            <w:r w:rsidRPr="003A115E">
              <w:t>31</w:t>
            </w:r>
          </w:p>
        </w:tc>
        <w:tc>
          <w:tcPr>
            <w:tcW w:w="392"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AEBC141" w14:textId="77777777" w:rsidR="00D02C29" w:rsidRPr="003A115E" w:rsidRDefault="00D02C29" w:rsidP="00790DB8">
            <w:pPr>
              <w:pStyle w:val="cuadroCabe"/>
              <w:jc w:val="right"/>
            </w:pPr>
            <w:r w:rsidRPr="003A115E">
              <w:t>30</w:t>
            </w:r>
          </w:p>
        </w:tc>
        <w:tc>
          <w:tcPr>
            <w:tcW w:w="393"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6161967B" w14:textId="77777777" w:rsidR="00D02C29" w:rsidRPr="003A115E" w:rsidRDefault="00D02C29" w:rsidP="00790DB8">
            <w:pPr>
              <w:pStyle w:val="cuadroCabe"/>
              <w:jc w:val="right"/>
            </w:pPr>
            <w:r w:rsidRPr="003A115E">
              <w:t>127</w:t>
            </w:r>
          </w:p>
        </w:tc>
        <w:tc>
          <w:tcPr>
            <w:tcW w:w="393"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77D6CB8A" w14:textId="77777777" w:rsidR="00D02C29" w:rsidRPr="003A115E" w:rsidRDefault="00D02C29" w:rsidP="00790DB8">
            <w:pPr>
              <w:pStyle w:val="cuadroCabe"/>
              <w:jc w:val="right"/>
            </w:pPr>
            <w:r w:rsidRPr="003A115E">
              <w:t>188</w:t>
            </w:r>
          </w:p>
        </w:tc>
        <w:tc>
          <w:tcPr>
            <w:tcW w:w="566"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064B6BB1" w14:textId="77777777" w:rsidR="00D02C29" w:rsidRPr="003A115E" w:rsidRDefault="00D02C29" w:rsidP="00790DB8">
            <w:pPr>
              <w:pStyle w:val="cuadroCabe"/>
              <w:jc w:val="right"/>
            </w:pPr>
            <w:r w:rsidRPr="003A115E">
              <w:t>2.215.170</w:t>
            </w:r>
          </w:p>
        </w:tc>
        <w:tc>
          <w:tcPr>
            <w:tcW w:w="566"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166F10D6" w14:textId="684EBB1F" w:rsidR="00D02C29" w:rsidRPr="003A115E" w:rsidRDefault="00D02C29" w:rsidP="00790DB8">
            <w:pPr>
              <w:pStyle w:val="cuadroCabe"/>
              <w:jc w:val="right"/>
            </w:pPr>
            <w:r w:rsidRPr="003A115E">
              <w:t>7.147.424</w:t>
            </w:r>
          </w:p>
        </w:tc>
        <w:tc>
          <w:tcPr>
            <w:tcW w:w="333"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3DE5A9AC" w14:textId="77777777" w:rsidR="00D02C29" w:rsidRPr="003A115E" w:rsidRDefault="00D02C29" w:rsidP="00790DB8">
            <w:pPr>
              <w:pStyle w:val="cuadroCabe"/>
              <w:jc w:val="right"/>
            </w:pPr>
            <w:r w:rsidRPr="003A115E">
              <w:t>23</w:t>
            </w:r>
          </w:p>
        </w:tc>
        <w:tc>
          <w:tcPr>
            <w:tcW w:w="391" w:type="pct"/>
            <w:tcBorders>
              <w:top w:val="single" w:sz="4" w:space="0" w:color="auto"/>
              <w:left w:val="nil"/>
              <w:bottom w:val="single" w:sz="4" w:space="0" w:color="auto"/>
              <w:right w:val="nil"/>
            </w:tcBorders>
            <w:shd w:val="clear" w:color="auto" w:fill="FABF8F" w:themeFill="accent6" w:themeFillTint="99"/>
            <w:noWrap/>
            <w:vAlign w:val="center"/>
            <w:hideMark/>
          </w:tcPr>
          <w:p w14:paraId="2EAB13B6" w14:textId="77777777" w:rsidR="00D02C29" w:rsidRPr="003A115E" w:rsidRDefault="00D02C29" w:rsidP="00790DB8">
            <w:pPr>
              <w:pStyle w:val="cuadroCabe"/>
              <w:jc w:val="right"/>
            </w:pPr>
            <w:r w:rsidRPr="003A115E">
              <w:t>15</w:t>
            </w:r>
          </w:p>
        </w:tc>
      </w:tr>
    </w:tbl>
    <w:p w14:paraId="2C5D0A05" w14:textId="34FA02A1" w:rsidR="000E3227" w:rsidRPr="003A115E" w:rsidRDefault="000E3227" w:rsidP="00CC28BD">
      <w:pPr>
        <w:tabs>
          <w:tab w:val="left" w:pos="1630"/>
          <w:tab w:val="left" w:pos="2480"/>
          <w:tab w:val="left" w:pos="3189"/>
          <w:tab w:val="left" w:pos="4039"/>
          <w:tab w:val="left" w:pos="4748"/>
          <w:tab w:val="left" w:pos="5740"/>
          <w:tab w:val="left" w:pos="6733"/>
          <w:tab w:val="left" w:pos="7725"/>
        </w:tabs>
        <w:spacing w:before="240" w:after="240"/>
        <w:ind w:left="68" w:firstLine="215"/>
        <w:jc w:val="both"/>
        <w:rPr>
          <w:rFonts w:cs="Arial"/>
          <w:spacing w:val="6"/>
          <w:sz w:val="26"/>
        </w:rPr>
      </w:pPr>
      <w:r w:rsidRPr="003A115E">
        <w:rPr>
          <w:rFonts w:cs="Arial"/>
          <w:spacing w:val="6"/>
          <w:sz w:val="26"/>
        </w:rPr>
        <w:lastRenderedPageBreak/>
        <w:t>En las tablas siguientes se desglosan las áreas de gestión afectadas por los reparos y sus motivaciones</w:t>
      </w:r>
      <w:r w:rsidRPr="003A115E">
        <w:rPr>
          <w:rFonts w:cs="Arial"/>
          <w:i/>
          <w:spacing w:val="6"/>
          <w:sz w:val="26"/>
        </w:rPr>
        <w:t>:</w:t>
      </w:r>
      <w:r w:rsidR="00E86A10" w:rsidRPr="003A115E">
        <w:rPr>
          <w:rFonts w:cs="Arial"/>
          <w:i/>
          <w:spacing w:val="6"/>
          <w:sz w:val="26"/>
        </w:rPr>
        <w:t xml:space="preserve"> </w:t>
      </w:r>
    </w:p>
    <w:tbl>
      <w:tblPr>
        <w:tblW w:w="8789" w:type="dxa"/>
        <w:tblCellMar>
          <w:left w:w="70" w:type="dxa"/>
          <w:right w:w="70" w:type="dxa"/>
        </w:tblCellMar>
        <w:tblLook w:val="04A0" w:firstRow="1" w:lastRow="0" w:firstColumn="1" w:lastColumn="0" w:noHBand="0" w:noVBand="1"/>
      </w:tblPr>
      <w:tblGrid>
        <w:gridCol w:w="2808"/>
        <w:gridCol w:w="1252"/>
        <w:gridCol w:w="686"/>
        <w:gridCol w:w="1392"/>
        <w:gridCol w:w="997"/>
        <w:gridCol w:w="828"/>
        <w:gridCol w:w="826"/>
      </w:tblGrid>
      <w:tr w:rsidR="000A742F" w:rsidRPr="003A115E" w14:paraId="0C9D69BA" w14:textId="77777777" w:rsidTr="000001CA">
        <w:trPr>
          <w:trHeight w:val="255"/>
        </w:trPr>
        <w:tc>
          <w:tcPr>
            <w:tcW w:w="1598" w:type="pct"/>
            <w:vMerge w:val="restart"/>
            <w:tcBorders>
              <w:top w:val="single" w:sz="4" w:space="0" w:color="auto"/>
              <w:left w:val="nil"/>
              <w:bottom w:val="single" w:sz="4" w:space="0" w:color="auto"/>
            </w:tcBorders>
            <w:shd w:val="clear" w:color="auto" w:fill="FABF8F" w:themeFill="accent6" w:themeFillTint="99"/>
            <w:noWrap/>
            <w:vAlign w:val="center"/>
            <w:hideMark/>
          </w:tcPr>
          <w:p w14:paraId="4D494610" w14:textId="77777777" w:rsidR="004F21F7" w:rsidRPr="003A115E" w:rsidRDefault="004F21F7" w:rsidP="00A0522B">
            <w:pPr>
              <w:pStyle w:val="cuadroCabe"/>
            </w:pPr>
            <w:r w:rsidRPr="003A115E">
              <w:t>Área de gestión</w:t>
            </w:r>
          </w:p>
        </w:tc>
        <w:tc>
          <w:tcPr>
            <w:tcW w:w="1102" w:type="pct"/>
            <w:gridSpan w:val="2"/>
            <w:tcBorders>
              <w:top w:val="single" w:sz="4" w:space="0" w:color="auto"/>
              <w:bottom w:val="single" w:sz="2" w:space="0" w:color="auto"/>
              <w:right w:val="single" w:sz="2" w:space="0" w:color="auto"/>
            </w:tcBorders>
            <w:shd w:val="clear" w:color="auto" w:fill="FABF8F" w:themeFill="accent6" w:themeFillTint="99"/>
            <w:vAlign w:val="center"/>
            <w:hideMark/>
          </w:tcPr>
          <w:p w14:paraId="0F11BA2B" w14:textId="77777777" w:rsidR="004F21F7" w:rsidRPr="003A115E" w:rsidRDefault="004F21F7" w:rsidP="00A0522B">
            <w:pPr>
              <w:pStyle w:val="cuadroCabe"/>
              <w:jc w:val="right"/>
            </w:pPr>
            <w:r w:rsidRPr="003A115E">
              <w:rPr>
                <w:lang w:val="es-ES"/>
              </w:rPr>
              <w:t>Nº Reparos</w:t>
            </w:r>
          </w:p>
        </w:tc>
        <w:tc>
          <w:tcPr>
            <w:tcW w:w="1359"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hideMark/>
          </w:tcPr>
          <w:p w14:paraId="361FBBBE" w14:textId="77777777" w:rsidR="004F21F7" w:rsidRPr="003A115E" w:rsidRDefault="004F21F7" w:rsidP="00A0522B">
            <w:pPr>
              <w:pStyle w:val="cuadroCabe"/>
              <w:jc w:val="right"/>
            </w:pPr>
            <w:r w:rsidRPr="003A115E">
              <w:t>Importe (euros)</w:t>
            </w:r>
          </w:p>
        </w:tc>
        <w:tc>
          <w:tcPr>
            <w:tcW w:w="942" w:type="pct"/>
            <w:gridSpan w:val="2"/>
            <w:tcBorders>
              <w:top w:val="single" w:sz="4" w:space="0" w:color="auto"/>
              <w:left w:val="single" w:sz="2" w:space="0" w:color="auto"/>
              <w:bottom w:val="single" w:sz="2" w:space="0" w:color="auto"/>
              <w:right w:val="nil"/>
            </w:tcBorders>
            <w:shd w:val="clear" w:color="auto" w:fill="FABF8F" w:themeFill="accent6" w:themeFillTint="99"/>
            <w:vAlign w:val="center"/>
            <w:hideMark/>
          </w:tcPr>
          <w:p w14:paraId="7A7243BC" w14:textId="77777777" w:rsidR="004F21F7" w:rsidRPr="003A115E" w:rsidRDefault="004F21F7" w:rsidP="00A0522B">
            <w:pPr>
              <w:pStyle w:val="cuadroCabe"/>
              <w:jc w:val="right"/>
            </w:pPr>
            <w:r w:rsidRPr="003A115E">
              <w:t>Sin Importe</w:t>
            </w:r>
          </w:p>
        </w:tc>
      </w:tr>
      <w:tr w:rsidR="000A742F" w:rsidRPr="003A115E" w14:paraId="106A31C4" w14:textId="77777777" w:rsidTr="000001CA">
        <w:trPr>
          <w:trHeight w:val="255"/>
        </w:trPr>
        <w:tc>
          <w:tcPr>
            <w:tcW w:w="1598" w:type="pct"/>
            <w:vMerge/>
            <w:tcBorders>
              <w:top w:val="single" w:sz="4" w:space="0" w:color="auto"/>
              <w:bottom w:val="single" w:sz="4" w:space="0" w:color="auto"/>
            </w:tcBorders>
            <w:vAlign w:val="center"/>
            <w:hideMark/>
          </w:tcPr>
          <w:p w14:paraId="0DEDC3BD" w14:textId="77777777" w:rsidR="004F21F7" w:rsidRPr="003A115E" w:rsidRDefault="004F21F7" w:rsidP="004F21F7">
            <w:pPr>
              <w:rPr>
                <w:rFonts w:ascii="Arial Narrow" w:hAnsi="Arial Narrow" w:cs="Calibri"/>
                <w:sz w:val="16"/>
                <w:szCs w:val="16"/>
              </w:rPr>
            </w:pPr>
          </w:p>
        </w:tc>
        <w:tc>
          <w:tcPr>
            <w:tcW w:w="712" w:type="pct"/>
            <w:tcBorders>
              <w:top w:val="single" w:sz="2" w:space="0" w:color="auto"/>
              <w:bottom w:val="single" w:sz="4" w:space="0" w:color="auto"/>
              <w:right w:val="nil"/>
            </w:tcBorders>
            <w:shd w:val="clear" w:color="auto" w:fill="FABF8F" w:themeFill="accent6" w:themeFillTint="99"/>
            <w:noWrap/>
            <w:vAlign w:val="center"/>
            <w:hideMark/>
          </w:tcPr>
          <w:p w14:paraId="757AE1DA" w14:textId="77777777" w:rsidR="004F21F7" w:rsidRPr="003A115E" w:rsidRDefault="004F21F7" w:rsidP="00A0522B">
            <w:pPr>
              <w:jc w:val="right"/>
              <w:rPr>
                <w:rFonts w:ascii="Arial" w:hAnsi="Arial" w:cs="Arial"/>
                <w:sz w:val="18"/>
                <w:szCs w:val="18"/>
              </w:rPr>
            </w:pPr>
            <w:r w:rsidRPr="003A115E">
              <w:rPr>
                <w:rFonts w:ascii="Arial" w:hAnsi="Arial" w:cs="Arial"/>
                <w:sz w:val="18"/>
                <w:szCs w:val="18"/>
              </w:rPr>
              <w:t>2021</w:t>
            </w:r>
          </w:p>
        </w:tc>
        <w:tc>
          <w:tcPr>
            <w:tcW w:w="390" w:type="pct"/>
            <w:tcBorders>
              <w:top w:val="single" w:sz="2" w:space="0" w:color="auto"/>
              <w:left w:val="nil"/>
              <w:bottom w:val="single" w:sz="4" w:space="0" w:color="auto"/>
              <w:right w:val="single" w:sz="2" w:space="0" w:color="auto"/>
            </w:tcBorders>
            <w:shd w:val="clear" w:color="auto" w:fill="FABF8F" w:themeFill="accent6" w:themeFillTint="99"/>
            <w:noWrap/>
            <w:vAlign w:val="center"/>
            <w:hideMark/>
          </w:tcPr>
          <w:p w14:paraId="0637713E" w14:textId="77777777" w:rsidR="004F21F7" w:rsidRPr="003A115E" w:rsidRDefault="004F21F7" w:rsidP="00A0522B">
            <w:pPr>
              <w:jc w:val="right"/>
              <w:rPr>
                <w:rFonts w:ascii="Arial" w:hAnsi="Arial" w:cs="Arial"/>
                <w:sz w:val="18"/>
                <w:szCs w:val="18"/>
              </w:rPr>
            </w:pPr>
            <w:r w:rsidRPr="003A115E">
              <w:rPr>
                <w:rFonts w:ascii="Arial" w:hAnsi="Arial" w:cs="Arial"/>
                <w:sz w:val="18"/>
                <w:szCs w:val="18"/>
              </w:rPr>
              <w:t>2022</w:t>
            </w:r>
          </w:p>
        </w:tc>
        <w:tc>
          <w:tcPr>
            <w:tcW w:w="792" w:type="pct"/>
            <w:tcBorders>
              <w:top w:val="single" w:sz="2" w:space="0" w:color="auto"/>
              <w:left w:val="single" w:sz="2" w:space="0" w:color="auto"/>
              <w:bottom w:val="single" w:sz="4" w:space="0" w:color="auto"/>
              <w:right w:val="nil"/>
            </w:tcBorders>
            <w:shd w:val="clear" w:color="auto" w:fill="FABF8F" w:themeFill="accent6" w:themeFillTint="99"/>
            <w:noWrap/>
            <w:vAlign w:val="center"/>
            <w:hideMark/>
          </w:tcPr>
          <w:p w14:paraId="1800138B" w14:textId="77777777" w:rsidR="004F21F7" w:rsidRPr="003A115E" w:rsidRDefault="004F21F7" w:rsidP="00A0522B">
            <w:pPr>
              <w:jc w:val="right"/>
              <w:rPr>
                <w:rFonts w:ascii="Arial" w:hAnsi="Arial" w:cs="Arial"/>
                <w:sz w:val="18"/>
                <w:szCs w:val="18"/>
              </w:rPr>
            </w:pPr>
            <w:r w:rsidRPr="003A115E">
              <w:rPr>
                <w:rFonts w:ascii="Arial" w:hAnsi="Arial" w:cs="Arial"/>
                <w:sz w:val="18"/>
                <w:szCs w:val="18"/>
              </w:rPr>
              <w:t>2021</w:t>
            </w:r>
          </w:p>
        </w:tc>
        <w:tc>
          <w:tcPr>
            <w:tcW w:w="566" w:type="pct"/>
            <w:tcBorders>
              <w:top w:val="single" w:sz="2" w:space="0" w:color="auto"/>
              <w:left w:val="nil"/>
              <w:bottom w:val="single" w:sz="4" w:space="0" w:color="auto"/>
              <w:right w:val="single" w:sz="2" w:space="0" w:color="auto"/>
            </w:tcBorders>
            <w:shd w:val="clear" w:color="auto" w:fill="FABF8F" w:themeFill="accent6" w:themeFillTint="99"/>
            <w:noWrap/>
            <w:vAlign w:val="center"/>
            <w:hideMark/>
          </w:tcPr>
          <w:p w14:paraId="55FA81ED" w14:textId="77777777" w:rsidR="004F21F7" w:rsidRPr="003A115E" w:rsidRDefault="004F21F7" w:rsidP="00A0522B">
            <w:pPr>
              <w:jc w:val="right"/>
              <w:rPr>
                <w:rFonts w:ascii="Arial" w:hAnsi="Arial" w:cs="Arial"/>
                <w:sz w:val="18"/>
                <w:szCs w:val="18"/>
              </w:rPr>
            </w:pPr>
            <w:r w:rsidRPr="003A115E">
              <w:rPr>
                <w:rFonts w:ascii="Arial" w:hAnsi="Arial" w:cs="Arial"/>
                <w:sz w:val="18"/>
                <w:szCs w:val="18"/>
              </w:rPr>
              <w:t>2022</w:t>
            </w:r>
          </w:p>
        </w:tc>
        <w:tc>
          <w:tcPr>
            <w:tcW w:w="471" w:type="pct"/>
            <w:tcBorders>
              <w:top w:val="single" w:sz="2" w:space="0" w:color="auto"/>
              <w:left w:val="single" w:sz="2" w:space="0" w:color="auto"/>
              <w:bottom w:val="single" w:sz="4" w:space="0" w:color="auto"/>
              <w:right w:val="nil"/>
            </w:tcBorders>
            <w:shd w:val="clear" w:color="auto" w:fill="FABF8F" w:themeFill="accent6" w:themeFillTint="99"/>
            <w:noWrap/>
            <w:vAlign w:val="center"/>
            <w:hideMark/>
          </w:tcPr>
          <w:p w14:paraId="0657576A" w14:textId="77777777" w:rsidR="004F21F7" w:rsidRPr="003A115E" w:rsidRDefault="004F21F7" w:rsidP="00A0522B">
            <w:pPr>
              <w:jc w:val="right"/>
              <w:rPr>
                <w:rFonts w:ascii="Arial" w:hAnsi="Arial" w:cs="Arial"/>
                <w:sz w:val="18"/>
                <w:szCs w:val="18"/>
              </w:rPr>
            </w:pPr>
            <w:r w:rsidRPr="003A115E">
              <w:rPr>
                <w:rFonts w:ascii="Arial" w:hAnsi="Arial" w:cs="Arial"/>
                <w:sz w:val="18"/>
                <w:szCs w:val="18"/>
              </w:rPr>
              <w:t>2021</w:t>
            </w:r>
          </w:p>
        </w:tc>
        <w:tc>
          <w:tcPr>
            <w:tcW w:w="470" w:type="pct"/>
            <w:tcBorders>
              <w:top w:val="single" w:sz="2" w:space="0" w:color="auto"/>
              <w:left w:val="nil"/>
              <w:bottom w:val="single" w:sz="4" w:space="0" w:color="auto"/>
              <w:right w:val="nil"/>
            </w:tcBorders>
            <w:shd w:val="clear" w:color="auto" w:fill="FABF8F" w:themeFill="accent6" w:themeFillTint="99"/>
            <w:noWrap/>
            <w:vAlign w:val="center"/>
            <w:hideMark/>
          </w:tcPr>
          <w:p w14:paraId="5FC129B7" w14:textId="77777777" w:rsidR="004F21F7" w:rsidRPr="003A115E" w:rsidRDefault="004F21F7" w:rsidP="00A0522B">
            <w:pPr>
              <w:jc w:val="right"/>
              <w:rPr>
                <w:rFonts w:ascii="Arial" w:hAnsi="Arial" w:cs="Arial"/>
                <w:sz w:val="18"/>
                <w:szCs w:val="18"/>
              </w:rPr>
            </w:pPr>
            <w:r w:rsidRPr="003A115E">
              <w:rPr>
                <w:rFonts w:ascii="Arial" w:hAnsi="Arial" w:cs="Arial"/>
                <w:sz w:val="18"/>
                <w:szCs w:val="18"/>
              </w:rPr>
              <w:t>2022</w:t>
            </w:r>
          </w:p>
        </w:tc>
      </w:tr>
      <w:tr w:rsidR="000A742F" w:rsidRPr="003A115E" w14:paraId="0214659D" w14:textId="77777777" w:rsidTr="000001CA">
        <w:trPr>
          <w:trHeight w:val="198"/>
        </w:trPr>
        <w:tc>
          <w:tcPr>
            <w:tcW w:w="1598" w:type="pct"/>
            <w:tcBorders>
              <w:top w:val="single" w:sz="4" w:space="0" w:color="auto"/>
              <w:left w:val="nil"/>
              <w:bottom w:val="single" w:sz="2" w:space="0" w:color="auto"/>
              <w:right w:val="nil"/>
            </w:tcBorders>
            <w:shd w:val="clear" w:color="auto" w:fill="auto"/>
            <w:noWrap/>
            <w:vAlign w:val="center"/>
            <w:hideMark/>
          </w:tcPr>
          <w:p w14:paraId="5503EF57" w14:textId="77777777" w:rsidR="004F21F7" w:rsidRPr="003A115E" w:rsidRDefault="004F21F7" w:rsidP="00A0522B">
            <w:pPr>
              <w:pStyle w:val="cuatexto"/>
            </w:pPr>
            <w:r w:rsidRPr="003A115E">
              <w:t>Contratación</w:t>
            </w:r>
          </w:p>
        </w:tc>
        <w:tc>
          <w:tcPr>
            <w:tcW w:w="712" w:type="pct"/>
            <w:tcBorders>
              <w:top w:val="single" w:sz="4" w:space="0" w:color="auto"/>
              <w:left w:val="nil"/>
              <w:bottom w:val="single" w:sz="2" w:space="0" w:color="auto"/>
              <w:right w:val="nil"/>
            </w:tcBorders>
            <w:shd w:val="clear" w:color="auto" w:fill="auto"/>
            <w:noWrap/>
            <w:vAlign w:val="center"/>
            <w:hideMark/>
          </w:tcPr>
          <w:p w14:paraId="1301ACDB" w14:textId="77777777" w:rsidR="004F21F7" w:rsidRPr="003A115E" w:rsidRDefault="004F21F7" w:rsidP="00A0522B">
            <w:pPr>
              <w:pStyle w:val="cuatexto"/>
              <w:jc w:val="right"/>
            </w:pPr>
            <w:r w:rsidRPr="003A115E">
              <w:t>86</w:t>
            </w:r>
          </w:p>
        </w:tc>
        <w:tc>
          <w:tcPr>
            <w:tcW w:w="390" w:type="pct"/>
            <w:tcBorders>
              <w:top w:val="single" w:sz="4" w:space="0" w:color="auto"/>
              <w:left w:val="nil"/>
              <w:bottom w:val="single" w:sz="2" w:space="0" w:color="auto"/>
              <w:right w:val="single" w:sz="2" w:space="0" w:color="auto"/>
            </w:tcBorders>
            <w:shd w:val="clear" w:color="auto" w:fill="auto"/>
            <w:noWrap/>
            <w:vAlign w:val="center"/>
            <w:hideMark/>
          </w:tcPr>
          <w:p w14:paraId="425115A4" w14:textId="77777777" w:rsidR="004F21F7" w:rsidRPr="003A115E" w:rsidRDefault="004F21F7" w:rsidP="00A0522B">
            <w:pPr>
              <w:pStyle w:val="cuatexto"/>
              <w:jc w:val="right"/>
            </w:pPr>
            <w:r w:rsidRPr="003A115E">
              <w:t>141</w:t>
            </w:r>
          </w:p>
        </w:tc>
        <w:tc>
          <w:tcPr>
            <w:tcW w:w="792" w:type="pct"/>
            <w:tcBorders>
              <w:top w:val="single" w:sz="4" w:space="0" w:color="auto"/>
              <w:left w:val="single" w:sz="2" w:space="0" w:color="auto"/>
              <w:bottom w:val="single" w:sz="2" w:space="0" w:color="auto"/>
              <w:right w:val="nil"/>
            </w:tcBorders>
            <w:shd w:val="clear" w:color="auto" w:fill="auto"/>
            <w:noWrap/>
            <w:vAlign w:val="center"/>
            <w:hideMark/>
          </w:tcPr>
          <w:p w14:paraId="3BB80461" w14:textId="77777777" w:rsidR="004F21F7" w:rsidRPr="003A115E" w:rsidRDefault="004F21F7" w:rsidP="00A0522B">
            <w:pPr>
              <w:pStyle w:val="cuatexto"/>
              <w:jc w:val="right"/>
            </w:pPr>
            <w:r w:rsidRPr="003A115E">
              <w:t>2.159.814</w:t>
            </w:r>
          </w:p>
        </w:tc>
        <w:tc>
          <w:tcPr>
            <w:tcW w:w="566" w:type="pct"/>
            <w:tcBorders>
              <w:top w:val="single" w:sz="4" w:space="0" w:color="auto"/>
              <w:left w:val="nil"/>
              <w:bottom w:val="single" w:sz="2" w:space="0" w:color="auto"/>
              <w:right w:val="single" w:sz="2" w:space="0" w:color="auto"/>
            </w:tcBorders>
            <w:shd w:val="clear" w:color="auto" w:fill="auto"/>
            <w:noWrap/>
            <w:vAlign w:val="center"/>
            <w:hideMark/>
          </w:tcPr>
          <w:p w14:paraId="1D8CC1E0" w14:textId="77777777" w:rsidR="004F21F7" w:rsidRPr="003A115E" w:rsidRDefault="004F21F7" w:rsidP="00A0522B">
            <w:pPr>
              <w:pStyle w:val="cuatexto"/>
              <w:jc w:val="right"/>
            </w:pPr>
            <w:r w:rsidRPr="003A115E">
              <w:t>5.532.258</w:t>
            </w:r>
          </w:p>
        </w:tc>
        <w:tc>
          <w:tcPr>
            <w:tcW w:w="471" w:type="pct"/>
            <w:tcBorders>
              <w:top w:val="single" w:sz="4" w:space="0" w:color="auto"/>
              <w:left w:val="single" w:sz="2" w:space="0" w:color="auto"/>
              <w:bottom w:val="single" w:sz="2" w:space="0" w:color="auto"/>
              <w:right w:val="nil"/>
            </w:tcBorders>
            <w:shd w:val="clear" w:color="auto" w:fill="auto"/>
            <w:noWrap/>
            <w:vAlign w:val="center"/>
            <w:hideMark/>
          </w:tcPr>
          <w:p w14:paraId="3BF6708A" w14:textId="77777777" w:rsidR="004F21F7" w:rsidRPr="003A115E" w:rsidRDefault="004F21F7" w:rsidP="00A0522B">
            <w:pPr>
              <w:pStyle w:val="cuatexto"/>
              <w:jc w:val="right"/>
            </w:pPr>
            <w:r w:rsidRPr="003A115E">
              <w:t>5</w:t>
            </w:r>
          </w:p>
        </w:tc>
        <w:tc>
          <w:tcPr>
            <w:tcW w:w="470" w:type="pct"/>
            <w:tcBorders>
              <w:top w:val="single" w:sz="4" w:space="0" w:color="auto"/>
              <w:left w:val="nil"/>
              <w:bottom w:val="single" w:sz="2" w:space="0" w:color="auto"/>
              <w:right w:val="nil"/>
            </w:tcBorders>
            <w:shd w:val="clear" w:color="auto" w:fill="auto"/>
            <w:noWrap/>
            <w:vAlign w:val="center"/>
            <w:hideMark/>
          </w:tcPr>
          <w:p w14:paraId="78482084" w14:textId="788A9ECD" w:rsidR="004F21F7" w:rsidRPr="003A115E" w:rsidRDefault="004F21F7" w:rsidP="00A0522B">
            <w:pPr>
              <w:pStyle w:val="cuatexto"/>
              <w:jc w:val="right"/>
            </w:pPr>
            <w:r w:rsidRPr="003A115E">
              <w:t>6</w:t>
            </w:r>
          </w:p>
        </w:tc>
      </w:tr>
      <w:tr w:rsidR="000A742F" w:rsidRPr="003A115E" w14:paraId="640569A7" w14:textId="77777777" w:rsidTr="000001CA">
        <w:trPr>
          <w:trHeight w:val="198"/>
        </w:trPr>
        <w:tc>
          <w:tcPr>
            <w:tcW w:w="1598" w:type="pct"/>
            <w:tcBorders>
              <w:top w:val="single" w:sz="2" w:space="0" w:color="auto"/>
              <w:left w:val="nil"/>
              <w:bottom w:val="single" w:sz="2" w:space="0" w:color="auto"/>
              <w:right w:val="nil"/>
            </w:tcBorders>
            <w:shd w:val="clear" w:color="auto" w:fill="auto"/>
            <w:noWrap/>
            <w:vAlign w:val="center"/>
            <w:hideMark/>
          </w:tcPr>
          <w:p w14:paraId="638ADCAC" w14:textId="77777777" w:rsidR="004F21F7" w:rsidRPr="003A115E" w:rsidRDefault="004F21F7" w:rsidP="00A0522B">
            <w:pPr>
              <w:pStyle w:val="cuatexto"/>
            </w:pPr>
            <w:r w:rsidRPr="003A115E">
              <w:t>Personal</w:t>
            </w:r>
          </w:p>
        </w:tc>
        <w:tc>
          <w:tcPr>
            <w:tcW w:w="712" w:type="pct"/>
            <w:tcBorders>
              <w:top w:val="single" w:sz="2" w:space="0" w:color="auto"/>
              <w:left w:val="nil"/>
              <w:bottom w:val="single" w:sz="2" w:space="0" w:color="auto"/>
              <w:right w:val="nil"/>
            </w:tcBorders>
            <w:shd w:val="clear" w:color="auto" w:fill="auto"/>
            <w:noWrap/>
            <w:vAlign w:val="center"/>
            <w:hideMark/>
          </w:tcPr>
          <w:p w14:paraId="6140ABDE" w14:textId="77777777" w:rsidR="004F21F7" w:rsidRPr="003A115E" w:rsidRDefault="004F21F7" w:rsidP="00A0522B">
            <w:pPr>
              <w:pStyle w:val="cuatexto"/>
              <w:jc w:val="right"/>
            </w:pPr>
            <w:r w:rsidRPr="003A115E">
              <w:t>17</w:t>
            </w:r>
          </w:p>
        </w:tc>
        <w:tc>
          <w:tcPr>
            <w:tcW w:w="390" w:type="pct"/>
            <w:tcBorders>
              <w:top w:val="single" w:sz="2" w:space="0" w:color="auto"/>
              <w:left w:val="nil"/>
              <w:bottom w:val="single" w:sz="2" w:space="0" w:color="auto"/>
              <w:right w:val="single" w:sz="2" w:space="0" w:color="auto"/>
            </w:tcBorders>
            <w:shd w:val="clear" w:color="auto" w:fill="auto"/>
            <w:noWrap/>
            <w:vAlign w:val="center"/>
            <w:hideMark/>
          </w:tcPr>
          <w:p w14:paraId="090E5E62" w14:textId="77777777" w:rsidR="004F21F7" w:rsidRPr="003A115E" w:rsidRDefault="004F21F7" w:rsidP="00A0522B">
            <w:pPr>
              <w:pStyle w:val="cuatexto"/>
              <w:jc w:val="right"/>
            </w:pPr>
            <w:r w:rsidRPr="003A115E">
              <w:t>12</w:t>
            </w:r>
          </w:p>
        </w:tc>
        <w:tc>
          <w:tcPr>
            <w:tcW w:w="792" w:type="pct"/>
            <w:tcBorders>
              <w:top w:val="single" w:sz="2" w:space="0" w:color="auto"/>
              <w:left w:val="single" w:sz="2" w:space="0" w:color="auto"/>
              <w:bottom w:val="single" w:sz="2" w:space="0" w:color="auto"/>
              <w:right w:val="nil"/>
            </w:tcBorders>
            <w:shd w:val="clear" w:color="auto" w:fill="auto"/>
            <w:noWrap/>
            <w:vAlign w:val="center"/>
            <w:hideMark/>
          </w:tcPr>
          <w:p w14:paraId="07479D50" w14:textId="77777777" w:rsidR="004F21F7" w:rsidRPr="003A115E" w:rsidRDefault="004F21F7" w:rsidP="00A0522B">
            <w:pPr>
              <w:pStyle w:val="cuatexto"/>
              <w:jc w:val="right"/>
            </w:pPr>
            <w:r w:rsidRPr="003A115E">
              <w:t>14.226</w:t>
            </w:r>
          </w:p>
        </w:tc>
        <w:tc>
          <w:tcPr>
            <w:tcW w:w="566" w:type="pct"/>
            <w:tcBorders>
              <w:top w:val="single" w:sz="2" w:space="0" w:color="auto"/>
              <w:left w:val="nil"/>
              <w:bottom w:val="single" w:sz="2" w:space="0" w:color="auto"/>
              <w:right w:val="single" w:sz="2" w:space="0" w:color="auto"/>
            </w:tcBorders>
            <w:shd w:val="clear" w:color="auto" w:fill="auto"/>
            <w:noWrap/>
            <w:vAlign w:val="center"/>
            <w:hideMark/>
          </w:tcPr>
          <w:p w14:paraId="616AB305" w14:textId="77777777" w:rsidR="004F21F7" w:rsidRPr="003A115E" w:rsidRDefault="004F21F7" w:rsidP="00A0522B">
            <w:pPr>
              <w:pStyle w:val="cuatexto"/>
              <w:jc w:val="right"/>
            </w:pPr>
            <w:r w:rsidRPr="003A115E">
              <w:t>57.171</w:t>
            </w:r>
          </w:p>
        </w:tc>
        <w:tc>
          <w:tcPr>
            <w:tcW w:w="471" w:type="pct"/>
            <w:tcBorders>
              <w:top w:val="single" w:sz="2" w:space="0" w:color="auto"/>
              <w:left w:val="single" w:sz="2" w:space="0" w:color="auto"/>
              <w:bottom w:val="single" w:sz="2" w:space="0" w:color="auto"/>
              <w:right w:val="nil"/>
            </w:tcBorders>
            <w:shd w:val="clear" w:color="auto" w:fill="auto"/>
            <w:noWrap/>
            <w:vAlign w:val="center"/>
            <w:hideMark/>
          </w:tcPr>
          <w:p w14:paraId="5562A00E" w14:textId="77777777" w:rsidR="004F21F7" w:rsidRPr="003A115E" w:rsidRDefault="004F21F7" w:rsidP="00A0522B">
            <w:pPr>
              <w:pStyle w:val="cuatexto"/>
              <w:jc w:val="right"/>
            </w:pPr>
            <w:r w:rsidRPr="003A115E">
              <w:t>4</w:t>
            </w:r>
          </w:p>
        </w:tc>
        <w:tc>
          <w:tcPr>
            <w:tcW w:w="470" w:type="pct"/>
            <w:tcBorders>
              <w:top w:val="single" w:sz="2" w:space="0" w:color="auto"/>
              <w:left w:val="nil"/>
              <w:bottom w:val="single" w:sz="2" w:space="0" w:color="auto"/>
              <w:right w:val="nil"/>
            </w:tcBorders>
            <w:shd w:val="clear" w:color="auto" w:fill="auto"/>
            <w:noWrap/>
            <w:vAlign w:val="center"/>
            <w:hideMark/>
          </w:tcPr>
          <w:p w14:paraId="43A31FBD" w14:textId="55FCB759" w:rsidR="004F21F7" w:rsidRPr="003A115E" w:rsidRDefault="004F21F7" w:rsidP="00A0522B">
            <w:pPr>
              <w:pStyle w:val="cuatexto"/>
              <w:jc w:val="right"/>
            </w:pPr>
            <w:r w:rsidRPr="003A115E">
              <w:t>5</w:t>
            </w:r>
          </w:p>
        </w:tc>
      </w:tr>
      <w:tr w:rsidR="000A742F" w:rsidRPr="003A115E" w14:paraId="5349DEA2" w14:textId="77777777" w:rsidTr="000001CA">
        <w:trPr>
          <w:trHeight w:val="198"/>
        </w:trPr>
        <w:tc>
          <w:tcPr>
            <w:tcW w:w="1598" w:type="pct"/>
            <w:tcBorders>
              <w:top w:val="single" w:sz="2" w:space="0" w:color="auto"/>
              <w:left w:val="nil"/>
              <w:bottom w:val="single" w:sz="2" w:space="0" w:color="auto"/>
              <w:right w:val="nil"/>
            </w:tcBorders>
            <w:shd w:val="clear" w:color="auto" w:fill="auto"/>
            <w:noWrap/>
            <w:vAlign w:val="center"/>
            <w:hideMark/>
          </w:tcPr>
          <w:p w14:paraId="3EB31D42" w14:textId="77777777" w:rsidR="004F21F7" w:rsidRPr="003A115E" w:rsidRDefault="004F21F7" w:rsidP="00A0522B">
            <w:pPr>
              <w:pStyle w:val="cuatexto"/>
            </w:pPr>
            <w:r w:rsidRPr="003A115E">
              <w:t>Subvenciones</w:t>
            </w:r>
          </w:p>
        </w:tc>
        <w:tc>
          <w:tcPr>
            <w:tcW w:w="712" w:type="pct"/>
            <w:tcBorders>
              <w:top w:val="single" w:sz="2" w:space="0" w:color="auto"/>
              <w:left w:val="nil"/>
              <w:bottom w:val="single" w:sz="2" w:space="0" w:color="auto"/>
              <w:right w:val="nil"/>
            </w:tcBorders>
            <w:shd w:val="clear" w:color="auto" w:fill="auto"/>
            <w:noWrap/>
            <w:vAlign w:val="center"/>
            <w:hideMark/>
          </w:tcPr>
          <w:p w14:paraId="787654E6" w14:textId="77777777" w:rsidR="004F21F7" w:rsidRPr="003A115E" w:rsidRDefault="004F21F7" w:rsidP="00A0522B">
            <w:pPr>
              <w:pStyle w:val="cuatexto"/>
              <w:jc w:val="right"/>
            </w:pPr>
            <w:r w:rsidRPr="003A115E">
              <w:t>10</w:t>
            </w:r>
          </w:p>
        </w:tc>
        <w:tc>
          <w:tcPr>
            <w:tcW w:w="390" w:type="pct"/>
            <w:tcBorders>
              <w:top w:val="single" w:sz="2" w:space="0" w:color="auto"/>
              <w:left w:val="nil"/>
              <w:bottom w:val="single" w:sz="2" w:space="0" w:color="auto"/>
              <w:right w:val="single" w:sz="2" w:space="0" w:color="auto"/>
            </w:tcBorders>
            <w:shd w:val="clear" w:color="auto" w:fill="auto"/>
            <w:noWrap/>
            <w:vAlign w:val="center"/>
            <w:hideMark/>
          </w:tcPr>
          <w:p w14:paraId="6EA3F948" w14:textId="77777777" w:rsidR="004F21F7" w:rsidRPr="003A115E" w:rsidRDefault="004F21F7" w:rsidP="00A0522B">
            <w:pPr>
              <w:pStyle w:val="cuatexto"/>
              <w:jc w:val="right"/>
            </w:pPr>
            <w:r w:rsidRPr="003A115E">
              <w:t>17</w:t>
            </w:r>
          </w:p>
        </w:tc>
        <w:tc>
          <w:tcPr>
            <w:tcW w:w="792" w:type="pct"/>
            <w:tcBorders>
              <w:top w:val="single" w:sz="2" w:space="0" w:color="auto"/>
              <w:left w:val="single" w:sz="2" w:space="0" w:color="auto"/>
              <w:bottom w:val="single" w:sz="2" w:space="0" w:color="auto"/>
              <w:right w:val="nil"/>
            </w:tcBorders>
            <w:shd w:val="clear" w:color="auto" w:fill="auto"/>
            <w:noWrap/>
            <w:vAlign w:val="center"/>
            <w:hideMark/>
          </w:tcPr>
          <w:p w14:paraId="239F3791" w14:textId="77777777" w:rsidR="004F21F7" w:rsidRPr="003A115E" w:rsidRDefault="004F21F7" w:rsidP="00A0522B">
            <w:pPr>
              <w:pStyle w:val="cuatexto"/>
              <w:jc w:val="right"/>
            </w:pPr>
            <w:r w:rsidRPr="003A115E">
              <w:t>29.610</w:t>
            </w:r>
          </w:p>
        </w:tc>
        <w:tc>
          <w:tcPr>
            <w:tcW w:w="566" w:type="pct"/>
            <w:tcBorders>
              <w:top w:val="single" w:sz="2" w:space="0" w:color="auto"/>
              <w:left w:val="nil"/>
              <w:bottom w:val="single" w:sz="2" w:space="0" w:color="auto"/>
              <w:right w:val="single" w:sz="2" w:space="0" w:color="auto"/>
            </w:tcBorders>
            <w:shd w:val="clear" w:color="auto" w:fill="auto"/>
            <w:noWrap/>
            <w:vAlign w:val="center"/>
            <w:hideMark/>
          </w:tcPr>
          <w:p w14:paraId="2E238B9F" w14:textId="77777777" w:rsidR="004F21F7" w:rsidRPr="003A115E" w:rsidRDefault="004F21F7" w:rsidP="00A0522B">
            <w:pPr>
              <w:pStyle w:val="cuatexto"/>
              <w:jc w:val="right"/>
            </w:pPr>
            <w:r w:rsidRPr="003A115E">
              <w:t>149.938</w:t>
            </w:r>
          </w:p>
        </w:tc>
        <w:tc>
          <w:tcPr>
            <w:tcW w:w="471" w:type="pct"/>
            <w:tcBorders>
              <w:top w:val="single" w:sz="2" w:space="0" w:color="auto"/>
              <w:left w:val="single" w:sz="2" w:space="0" w:color="auto"/>
              <w:bottom w:val="single" w:sz="2" w:space="0" w:color="auto"/>
              <w:right w:val="nil"/>
            </w:tcBorders>
            <w:shd w:val="clear" w:color="auto" w:fill="auto"/>
            <w:noWrap/>
            <w:vAlign w:val="center"/>
            <w:hideMark/>
          </w:tcPr>
          <w:p w14:paraId="24B0135A" w14:textId="77777777" w:rsidR="004F21F7" w:rsidRPr="003A115E" w:rsidRDefault="004F21F7" w:rsidP="00A0522B">
            <w:pPr>
              <w:pStyle w:val="cuatexto"/>
              <w:jc w:val="right"/>
            </w:pPr>
            <w:r w:rsidRPr="003A115E">
              <w:t>3</w:t>
            </w:r>
          </w:p>
        </w:tc>
        <w:tc>
          <w:tcPr>
            <w:tcW w:w="470" w:type="pct"/>
            <w:tcBorders>
              <w:top w:val="single" w:sz="2" w:space="0" w:color="auto"/>
              <w:left w:val="nil"/>
              <w:bottom w:val="single" w:sz="2" w:space="0" w:color="auto"/>
              <w:right w:val="nil"/>
            </w:tcBorders>
            <w:shd w:val="clear" w:color="auto" w:fill="auto"/>
            <w:noWrap/>
            <w:vAlign w:val="center"/>
            <w:hideMark/>
          </w:tcPr>
          <w:p w14:paraId="11E32D34" w14:textId="77E6F583" w:rsidR="004F21F7" w:rsidRPr="003A115E" w:rsidRDefault="004F21F7" w:rsidP="00A0522B">
            <w:pPr>
              <w:pStyle w:val="cuatexto"/>
              <w:jc w:val="right"/>
            </w:pPr>
            <w:r w:rsidRPr="003A115E">
              <w:t>1</w:t>
            </w:r>
          </w:p>
        </w:tc>
      </w:tr>
      <w:tr w:rsidR="000A742F" w:rsidRPr="003A115E" w14:paraId="1A1398EF" w14:textId="77777777" w:rsidTr="000001CA">
        <w:trPr>
          <w:trHeight w:val="198"/>
        </w:trPr>
        <w:tc>
          <w:tcPr>
            <w:tcW w:w="1598" w:type="pct"/>
            <w:tcBorders>
              <w:top w:val="single" w:sz="2" w:space="0" w:color="auto"/>
              <w:left w:val="nil"/>
              <w:bottom w:val="single" w:sz="4" w:space="0" w:color="auto"/>
              <w:right w:val="nil"/>
            </w:tcBorders>
            <w:shd w:val="clear" w:color="auto" w:fill="auto"/>
            <w:noWrap/>
            <w:vAlign w:val="center"/>
            <w:hideMark/>
          </w:tcPr>
          <w:p w14:paraId="53EED646" w14:textId="77777777" w:rsidR="004F21F7" w:rsidRPr="003A115E" w:rsidRDefault="004F21F7" w:rsidP="00A0522B">
            <w:pPr>
              <w:pStyle w:val="cuatexto"/>
            </w:pPr>
            <w:r w:rsidRPr="003A115E">
              <w:t>Otros/No indicado</w:t>
            </w:r>
          </w:p>
        </w:tc>
        <w:tc>
          <w:tcPr>
            <w:tcW w:w="712" w:type="pct"/>
            <w:tcBorders>
              <w:top w:val="single" w:sz="2" w:space="0" w:color="auto"/>
              <w:left w:val="nil"/>
              <w:bottom w:val="single" w:sz="4" w:space="0" w:color="auto"/>
              <w:right w:val="nil"/>
            </w:tcBorders>
            <w:shd w:val="clear" w:color="auto" w:fill="auto"/>
            <w:noWrap/>
            <w:vAlign w:val="center"/>
            <w:hideMark/>
          </w:tcPr>
          <w:p w14:paraId="0C9F2B14" w14:textId="77777777" w:rsidR="004F21F7" w:rsidRPr="003A115E" w:rsidRDefault="004F21F7" w:rsidP="00A0522B">
            <w:pPr>
              <w:pStyle w:val="cuatexto"/>
              <w:jc w:val="right"/>
            </w:pPr>
            <w:r w:rsidRPr="003A115E">
              <w:t>14</w:t>
            </w:r>
          </w:p>
        </w:tc>
        <w:tc>
          <w:tcPr>
            <w:tcW w:w="390" w:type="pct"/>
            <w:tcBorders>
              <w:top w:val="single" w:sz="2" w:space="0" w:color="auto"/>
              <w:left w:val="nil"/>
              <w:bottom w:val="single" w:sz="4" w:space="0" w:color="auto"/>
              <w:right w:val="single" w:sz="2" w:space="0" w:color="auto"/>
            </w:tcBorders>
            <w:shd w:val="clear" w:color="auto" w:fill="auto"/>
            <w:noWrap/>
            <w:vAlign w:val="center"/>
            <w:hideMark/>
          </w:tcPr>
          <w:p w14:paraId="5144441B" w14:textId="77777777" w:rsidR="004F21F7" w:rsidRPr="003A115E" w:rsidRDefault="004F21F7" w:rsidP="00A0522B">
            <w:pPr>
              <w:pStyle w:val="cuatexto"/>
              <w:jc w:val="right"/>
            </w:pPr>
            <w:r w:rsidRPr="003A115E">
              <w:t>18</w:t>
            </w:r>
          </w:p>
        </w:tc>
        <w:tc>
          <w:tcPr>
            <w:tcW w:w="792" w:type="pct"/>
            <w:tcBorders>
              <w:top w:val="single" w:sz="2" w:space="0" w:color="auto"/>
              <w:left w:val="single" w:sz="2" w:space="0" w:color="auto"/>
              <w:bottom w:val="single" w:sz="4" w:space="0" w:color="auto"/>
              <w:right w:val="nil"/>
            </w:tcBorders>
            <w:shd w:val="clear" w:color="auto" w:fill="auto"/>
            <w:noWrap/>
            <w:vAlign w:val="center"/>
            <w:hideMark/>
          </w:tcPr>
          <w:p w14:paraId="42F58F3C" w14:textId="77777777" w:rsidR="004F21F7" w:rsidRPr="003A115E" w:rsidRDefault="004F21F7" w:rsidP="00A0522B">
            <w:pPr>
              <w:pStyle w:val="cuatexto"/>
              <w:jc w:val="right"/>
            </w:pPr>
            <w:r w:rsidRPr="003A115E">
              <w:t>11.520</w:t>
            </w:r>
          </w:p>
        </w:tc>
        <w:tc>
          <w:tcPr>
            <w:tcW w:w="566" w:type="pct"/>
            <w:tcBorders>
              <w:top w:val="single" w:sz="2" w:space="0" w:color="auto"/>
              <w:left w:val="nil"/>
              <w:bottom w:val="single" w:sz="4" w:space="0" w:color="auto"/>
              <w:right w:val="single" w:sz="2" w:space="0" w:color="auto"/>
            </w:tcBorders>
            <w:shd w:val="clear" w:color="auto" w:fill="auto"/>
            <w:noWrap/>
            <w:vAlign w:val="center"/>
            <w:hideMark/>
          </w:tcPr>
          <w:p w14:paraId="6184B8F3" w14:textId="77777777" w:rsidR="004F21F7" w:rsidRPr="003A115E" w:rsidRDefault="004F21F7" w:rsidP="00A0522B">
            <w:pPr>
              <w:pStyle w:val="cuatexto"/>
              <w:jc w:val="right"/>
            </w:pPr>
            <w:r w:rsidRPr="003A115E">
              <w:t>1.408.057</w:t>
            </w:r>
          </w:p>
        </w:tc>
        <w:tc>
          <w:tcPr>
            <w:tcW w:w="471" w:type="pct"/>
            <w:tcBorders>
              <w:top w:val="single" w:sz="2" w:space="0" w:color="auto"/>
              <w:left w:val="single" w:sz="2" w:space="0" w:color="auto"/>
              <w:bottom w:val="single" w:sz="4" w:space="0" w:color="auto"/>
              <w:right w:val="nil"/>
            </w:tcBorders>
            <w:shd w:val="clear" w:color="auto" w:fill="auto"/>
            <w:noWrap/>
            <w:vAlign w:val="center"/>
            <w:hideMark/>
          </w:tcPr>
          <w:p w14:paraId="3BB83F68" w14:textId="77777777" w:rsidR="004F21F7" w:rsidRPr="003A115E" w:rsidRDefault="004F21F7" w:rsidP="00A0522B">
            <w:pPr>
              <w:pStyle w:val="cuatexto"/>
              <w:jc w:val="right"/>
            </w:pPr>
            <w:r w:rsidRPr="003A115E">
              <w:t>11</w:t>
            </w:r>
          </w:p>
        </w:tc>
        <w:tc>
          <w:tcPr>
            <w:tcW w:w="470" w:type="pct"/>
            <w:tcBorders>
              <w:top w:val="single" w:sz="2" w:space="0" w:color="auto"/>
              <w:left w:val="nil"/>
              <w:bottom w:val="single" w:sz="4" w:space="0" w:color="auto"/>
              <w:right w:val="nil"/>
            </w:tcBorders>
            <w:shd w:val="clear" w:color="auto" w:fill="auto"/>
            <w:noWrap/>
            <w:vAlign w:val="center"/>
            <w:hideMark/>
          </w:tcPr>
          <w:p w14:paraId="26655FA9" w14:textId="40A7518B" w:rsidR="004F21F7" w:rsidRPr="003A115E" w:rsidRDefault="004F21F7" w:rsidP="00A0522B">
            <w:pPr>
              <w:pStyle w:val="cuatexto"/>
              <w:jc w:val="right"/>
            </w:pPr>
            <w:r w:rsidRPr="003A115E">
              <w:t>3</w:t>
            </w:r>
          </w:p>
        </w:tc>
      </w:tr>
      <w:tr w:rsidR="000A742F" w:rsidRPr="003A115E" w14:paraId="71EC94D8" w14:textId="77777777" w:rsidTr="000001CA">
        <w:trPr>
          <w:trHeight w:val="255"/>
        </w:trPr>
        <w:tc>
          <w:tcPr>
            <w:tcW w:w="1598" w:type="pct"/>
            <w:tcBorders>
              <w:top w:val="single" w:sz="4" w:space="0" w:color="auto"/>
              <w:left w:val="nil"/>
              <w:bottom w:val="single" w:sz="4" w:space="0" w:color="auto"/>
              <w:right w:val="nil"/>
            </w:tcBorders>
            <w:shd w:val="clear" w:color="auto" w:fill="FABF8F" w:themeFill="accent6" w:themeFillTint="99"/>
            <w:noWrap/>
            <w:vAlign w:val="center"/>
            <w:hideMark/>
          </w:tcPr>
          <w:p w14:paraId="7CDEC7B0" w14:textId="77777777" w:rsidR="004F21F7" w:rsidRPr="003A115E" w:rsidRDefault="004F21F7" w:rsidP="00A0522B">
            <w:pPr>
              <w:pStyle w:val="cuadroCabe"/>
            </w:pPr>
            <w:r w:rsidRPr="003A115E">
              <w:t>Total</w:t>
            </w:r>
          </w:p>
        </w:tc>
        <w:tc>
          <w:tcPr>
            <w:tcW w:w="712" w:type="pct"/>
            <w:tcBorders>
              <w:top w:val="single" w:sz="4" w:space="0" w:color="auto"/>
              <w:left w:val="nil"/>
              <w:bottom w:val="single" w:sz="4" w:space="0" w:color="auto"/>
              <w:right w:val="nil"/>
            </w:tcBorders>
            <w:shd w:val="clear" w:color="auto" w:fill="FABF8F" w:themeFill="accent6" w:themeFillTint="99"/>
            <w:noWrap/>
            <w:vAlign w:val="center"/>
            <w:hideMark/>
          </w:tcPr>
          <w:p w14:paraId="099F93FE" w14:textId="77777777" w:rsidR="004F21F7" w:rsidRPr="003A115E" w:rsidRDefault="004F21F7" w:rsidP="00A0522B">
            <w:pPr>
              <w:pStyle w:val="cuadroCabe"/>
              <w:jc w:val="right"/>
            </w:pPr>
            <w:r w:rsidRPr="003A115E">
              <w:t>127</w:t>
            </w:r>
          </w:p>
        </w:tc>
        <w:tc>
          <w:tcPr>
            <w:tcW w:w="390"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49FD1DDC" w14:textId="77777777" w:rsidR="004F21F7" w:rsidRPr="003A115E" w:rsidRDefault="004F21F7" w:rsidP="00A0522B">
            <w:pPr>
              <w:pStyle w:val="cuadroCabe"/>
              <w:jc w:val="right"/>
            </w:pPr>
            <w:r w:rsidRPr="003A115E">
              <w:t>188</w:t>
            </w:r>
          </w:p>
        </w:tc>
        <w:tc>
          <w:tcPr>
            <w:tcW w:w="792"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0E6F6FAB" w14:textId="77777777" w:rsidR="004F21F7" w:rsidRPr="003A115E" w:rsidRDefault="004F21F7" w:rsidP="00A0522B">
            <w:pPr>
              <w:pStyle w:val="cuadroCabe"/>
              <w:jc w:val="right"/>
            </w:pPr>
            <w:r w:rsidRPr="003A115E">
              <w:t>2.215.170</w:t>
            </w:r>
          </w:p>
        </w:tc>
        <w:tc>
          <w:tcPr>
            <w:tcW w:w="566"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41BB86E" w14:textId="77777777" w:rsidR="004F21F7" w:rsidRPr="003A115E" w:rsidRDefault="004F21F7" w:rsidP="00A0522B">
            <w:pPr>
              <w:pStyle w:val="cuadroCabe"/>
              <w:jc w:val="right"/>
            </w:pPr>
            <w:r w:rsidRPr="003A115E">
              <w:t>7.147.424</w:t>
            </w:r>
          </w:p>
        </w:tc>
        <w:tc>
          <w:tcPr>
            <w:tcW w:w="471"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167F2E7A" w14:textId="77777777" w:rsidR="004F21F7" w:rsidRPr="003A115E" w:rsidRDefault="004F21F7" w:rsidP="00A0522B">
            <w:pPr>
              <w:pStyle w:val="cuadroCabe"/>
              <w:jc w:val="right"/>
            </w:pPr>
            <w:r w:rsidRPr="003A115E">
              <w:t>23</w:t>
            </w:r>
          </w:p>
        </w:tc>
        <w:tc>
          <w:tcPr>
            <w:tcW w:w="470" w:type="pct"/>
            <w:tcBorders>
              <w:top w:val="single" w:sz="4" w:space="0" w:color="auto"/>
              <w:left w:val="nil"/>
              <w:bottom w:val="single" w:sz="4" w:space="0" w:color="auto"/>
              <w:right w:val="nil"/>
            </w:tcBorders>
            <w:shd w:val="clear" w:color="auto" w:fill="FABF8F" w:themeFill="accent6" w:themeFillTint="99"/>
            <w:noWrap/>
            <w:vAlign w:val="center"/>
            <w:hideMark/>
          </w:tcPr>
          <w:p w14:paraId="2826C1FB" w14:textId="30A8B4A8" w:rsidR="004F21F7" w:rsidRPr="003A115E" w:rsidRDefault="004F21F7" w:rsidP="00A0522B">
            <w:pPr>
              <w:pStyle w:val="cuadroCabe"/>
              <w:jc w:val="right"/>
            </w:pPr>
            <w:r w:rsidRPr="003A115E">
              <w:t>15</w:t>
            </w:r>
          </w:p>
        </w:tc>
      </w:tr>
    </w:tbl>
    <w:p w14:paraId="606726BD" w14:textId="29027A08" w:rsidR="004E4A7D" w:rsidRPr="003A115E" w:rsidRDefault="004E4A7D" w:rsidP="000E3227">
      <w:pPr>
        <w:tabs>
          <w:tab w:val="left" w:pos="1630"/>
          <w:tab w:val="left" w:pos="2480"/>
          <w:tab w:val="left" w:pos="3189"/>
          <w:tab w:val="left" w:pos="4039"/>
          <w:tab w:val="left" w:pos="4748"/>
          <w:tab w:val="left" w:pos="5740"/>
          <w:tab w:val="left" w:pos="6733"/>
          <w:tab w:val="left" w:pos="7725"/>
        </w:tabs>
        <w:spacing w:after="120"/>
        <w:ind w:left="68" w:firstLine="215"/>
        <w:rPr>
          <w:rFonts w:cs="Arial"/>
          <w:i/>
          <w:spacing w:val="6"/>
          <w:sz w:val="26"/>
        </w:rPr>
      </w:pPr>
    </w:p>
    <w:p w14:paraId="5F105CF2" w14:textId="4A0049D7" w:rsidR="004E4A7D" w:rsidRPr="003A115E" w:rsidRDefault="004E4A7D">
      <w:pPr>
        <w:rPr>
          <w:rFonts w:cs="Arial"/>
          <w:i/>
          <w:spacing w:val="6"/>
          <w:sz w:val="26"/>
        </w:rPr>
      </w:pPr>
    </w:p>
    <w:tbl>
      <w:tblPr>
        <w:tblW w:w="5001" w:type="pct"/>
        <w:tblLayout w:type="fixed"/>
        <w:tblCellMar>
          <w:left w:w="70" w:type="dxa"/>
          <w:right w:w="70" w:type="dxa"/>
        </w:tblCellMar>
        <w:tblLook w:val="04A0" w:firstRow="1" w:lastRow="0" w:firstColumn="1" w:lastColumn="0" w:noHBand="0" w:noVBand="1"/>
      </w:tblPr>
      <w:tblGrid>
        <w:gridCol w:w="3024"/>
        <w:gridCol w:w="1229"/>
        <w:gridCol w:w="566"/>
        <w:gridCol w:w="1102"/>
        <w:gridCol w:w="1169"/>
        <w:gridCol w:w="1148"/>
        <w:gridCol w:w="552"/>
      </w:tblGrid>
      <w:tr w:rsidR="000A742F" w:rsidRPr="003A115E" w14:paraId="7065CE9C" w14:textId="77777777" w:rsidTr="00612DE2">
        <w:trPr>
          <w:trHeight w:val="255"/>
        </w:trPr>
        <w:tc>
          <w:tcPr>
            <w:tcW w:w="1720" w:type="pct"/>
            <w:vMerge w:val="restart"/>
            <w:tcBorders>
              <w:top w:val="single" w:sz="4" w:space="0" w:color="auto"/>
              <w:left w:val="nil"/>
              <w:bottom w:val="single" w:sz="4" w:space="0" w:color="auto"/>
              <w:right w:val="nil"/>
            </w:tcBorders>
            <w:shd w:val="clear" w:color="auto" w:fill="FABF8F" w:themeFill="accent6" w:themeFillTint="99"/>
            <w:noWrap/>
            <w:vAlign w:val="center"/>
            <w:hideMark/>
          </w:tcPr>
          <w:p w14:paraId="233457EE" w14:textId="77777777" w:rsidR="008E47CC" w:rsidRPr="003A115E" w:rsidRDefault="008E47CC" w:rsidP="005D3728">
            <w:pPr>
              <w:pStyle w:val="cuadroCabe"/>
              <w:rPr>
                <w:rFonts w:cs="Arial"/>
                <w:szCs w:val="18"/>
              </w:rPr>
            </w:pPr>
            <w:r w:rsidRPr="003A115E">
              <w:rPr>
                <w:rFonts w:cs="Arial"/>
                <w:szCs w:val="18"/>
              </w:rPr>
              <w:t>Infracción / causa del reparo</w:t>
            </w:r>
          </w:p>
        </w:tc>
        <w:tc>
          <w:tcPr>
            <w:tcW w:w="1021" w:type="pct"/>
            <w:gridSpan w:val="2"/>
            <w:tcBorders>
              <w:top w:val="single" w:sz="4" w:space="0" w:color="auto"/>
              <w:left w:val="nil"/>
              <w:bottom w:val="single" w:sz="2" w:space="0" w:color="auto"/>
              <w:right w:val="single" w:sz="2" w:space="0" w:color="auto"/>
            </w:tcBorders>
            <w:shd w:val="clear" w:color="auto" w:fill="FABF8F" w:themeFill="accent6" w:themeFillTint="99"/>
            <w:tcMar>
              <w:left w:w="0" w:type="dxa"/>
              <w:right w:w="0" w:type="dxa"/>
            </w:tcMar>
            <w:vAlign w:val="center"/>
            <w:hideMark/>
          </w:tcPr>
          <w:p w14:paraId="2A1E071A" w14:textId="77777777" w:rsidR="008E47CC" w:rsidRPr="003A115E" w:rsidRDefault="008E47CC" w:rsidP="00AA0375">
            <w:pPr>
              <w:pStyle w:val="cuadroCabe"/>
              <w:jc w:val="right"/>
              <w:rPr>
                <w:rFonts w:cs="Arial"/>
                <w:szCs w:val="18"/>
              </w:rPr>
            </w:pPr>
            <w:r w:rsidRPr="003A115E">
              <w:rPr>
                <w:rFonts w:cs="Arial"/>
                <w:szCs w:val="18"/>
                <w:lang w:val="es-ES"/>
              </w:rPr>
              <w:t>Nº Reparos</w:t>
            </w:r>
          </w:p>
        </w:tc>
        <w:tc>
          <w:tcPr>
            <w:tcW w:w="1292" w:type="pct"/>
            <w:gridSpan w:val="2"/>
            <w:tcBorders>
              <w:top w:val="single" w:sz="4" w:space="0" w:color="auto"/>
              <w:left w:val="single" w:sz="2" w:space="0" w:color="auto"/>
              <w:bottom w:val="single" w:sz="2" w:space="0" w:color="auto"/>
              <w:right w:val="single" w:sz="2" w:space="0" w:color="auto"/>
            </w:tcBorders>
            <w:shd w:val="clear" w:color="auto" w:fill="FABF8F" w:themeFill="accent6" w:themeFillTint="99"/>
            <w:tcMar>
              <w:left w:w="0" w:type="dxa"/>
              <w:right w:w="0" w:type="dxa"/>
            </w:tcMar>
            <w:vAlign w:val="center"/>
            <w:hideMark/>
          </w:tcPr>
          <w:p w14:paraId="5D03286A" w14:textId="77777777" w:rsidR="008E47CC" w:rsidRPr="003A115E" w:rsidRDefault="008E47CC" w:rsidP="00CC28BD">
            <w:pPr>
              <w:pStyle w:val="cuadroCabe"/>
              <w:jc w:val="center"/>
              <w:rPr>
                <w:rFonts w:cs="Arial"/>
                <w:szCs w:val="18"/>
              </w:rPr>
            </w:pPr>
            <w:r w:rsidRPr="003A115E">
              <w:rPr>
                <w:rFonts w:cs="Arial"/>
                <w:szCs w:val="18"/>
              </w:rPr>
              <w:t>Importe (euros)</w:t>
            </w:r>
          </w:p>
        </w:tc>
        <w:tc>
          <w:tcPr>
            <w:tcW w:w="967" w:type="pct"/>
            <w:gridSpan w:val="2"/>
            <w:tcBorders>
              <w:top w:val="single" w:sz="4" w:space="0" w:color="auto"/>
              <w:left w:val="single" w:sz="2" w:space="0" w:color="auto"/>
              <w:bottom w:val="single" w:sz="2" w:space="0" w:color="auto"/>
              <w:right w:val="nil"/>
            </w:tcBorders>
            <w:shd w:val="clear" w:color="auto" w:fill="FABF8F" w:themeFill="accent6" w:themeFillTint="99"/>
            <w:tcMar>
              <w:left w:w="0" w:type="dxa"/>
              <w:right w:w="0" w:type="dxa"/>
            </w:tcMar>
            <w:vAlign w:val="center"/>
            <w:hideMark/>
          </w:tcPr>
          <w:p w14:paraId="5D325EA5" w14:textId="629FA3A4" w:rsidR="008E47CC" w:rsidRPr="003A115E" w:rsidRDefault="008E47CC" w:rsidP="00CC28BD">
            <w:pPr>
              <w:pStyle w:val="cuadroCabe"/>
              <w:jc w:val="center"/>
              <w:rPr>
                <w:rFonts w:cs="Arial"/>
                <w:szCs w:val="18"/>
              </w:rPr>
            </w:pPr>
            <w:r w:rsidRPr="003A115E">
              <w:rPr>
                <w:rFonts w:cs="Arial"/>
                <w:szCs w:val="18"/>
              </w:rPr>
              <w:t>Sin</w:t>
            </w:r>
            <w:r w:rsidR="00EB535D" w:rsidRPr="003A115E">
              <w:rPr>
                <w:rFonts w:cs="Arial"/>
                <w:szCs w:val="18"/>
              </w:rPr>
              <w:t xml:space="preserve"> </w:t>
            </w:r>
            <w:r w:rsidRPr="003A115E">
              <w:rPr>
                <w:rFonts w:cs="Arial"/>
                <w:szCs w:val="18"/>
              </w:rPr>
              <w:t>Importe</w:t>
            </w:r>
          </w:p>
        </w:tc>
      </w:tr>
      <w:tr w:rsidR="000A742F" w:rsidRPr="003A115E" w14:paraId="437095BD" w14:textId="77777777" w:rsidTr="00612DE2">
        <w:trPr>
          <w:trHeight w:val="255"/>
        </w:trPr>
        <w:tc>
          <w:tcPr>
            <w:tcW w:w="1720" w:type="pct"/>
            <w:vMerge/>
            <w:vAlign w:val="center"/>
            <w:hideMark/>
          </w:tcPr>
          <w:p w14:paraId="0CB41B61" w14:textId="77777777" w:rsidR="008E47CC" w:rsidRPr="003A115E" w:rsidRDefault="008E47CC" w:rsidP="00CC28BD">
            <w:pPr>
              <w:pStyle w:val="cuadroCabe"/>
              <w:rPr>
                <w:rFonts w:cs="Arial"/>
                <w:szCs w:val="18"/>
              </w:rPr>
            </w:pPr>
          </w:p>
        </w:tc>
        <w:tc>
          <w:tcPr>
            <w:tcW w:w="699" w:type="pct"/>
            <w:tcBorders>
              <w:top w:val="single" w:sz="2" w:space="0" w:color="auto"/>
              <w:left w:val="nil"/>
              <w:bottom w:val="single" w:sz="4" w:space="0" w:color="auto"/>
              <w:right w:val="nil"/>
            </w:tcBorders>
            <w:shd w:val="clear" w:color="auto" w:fill="FABF8F" w:themeFill="accent6" w:themeFillTint="99"/>
            <w:noWrap/>
            <w:tcMar>
              <w:left w:w="0" w:type="dxa"/>
              <w:right w:w="0" w:type="dxa"/>
            </w:tcMar>
            <w:vAlign w:val="center"/>
            <w:hideMark/>
          </w:tcPr>
          <w:p w14:paraId="748B1082" w14:textId="77777777" w:rsidR="008E47CC" w:rsidRPr="003A115E" w:rsidRDefault="008E47CC" w:rsidP="00CC28BD">
            <w:pPr>
              <w:pStyle w:val="cuadroCabe"/>
              <w:jc w:val="right"/>
              <w:rPr>
                <w:rFonts w:cs="Arial"/>
                <w:szCs w:val="18"/>
              </w:rPr>
            </w:pPr>
            <w:r w:rsidRPr="003A115E">
              <w:rPr>
                <w:rFonts w:cs="Arial"/>
                <w:szCs w:val="18"/>
              </w:rPr>
              <w:t>2021</w:t>
            </w:r>
          </w:p>
        </w:tc>
        <w:tc>
          <w:tcPr>
            <w:tcW w:w="322" w:type="pct"/>
            <w:tcBorders>
              <w:top w:val="single" w:sz="2" w:space="0" w:color="auto"/>
              <w:left w:val="nil"/>
              <w:bottom w:val="single" w:sz="4" w:space="0" w:color="auto"/>
              <w:right w:val="single" w:sz="2" w:space="0" w:color="auto"/>
            </w:tcBorders>
            <w:shd w:val="clear" w:color="auto" w:fill="FABF8F" w:themeFill="accent6" w:themeFillTint="99"/>
            <w:noWrap/>
            <w:tcMar>
              <w:left w:w="0" w:type="dxa"/>
              <w:right w:w="0" w:type="dxa"/>
            </w:tcMar>
            <w:vAlign w:val="center"/>
            <w:hideMark/>
          </w:tcPr>
          <w:p w14:paraId="160534E1" w14:textId="77777777" w:rsidR="008E47CC" w:rsidRPr="003A115E" w:rsidRDefault="008E47CC" w:rsidP="00CC28BD">
            <w:pPr>
              <w:pStyle w:val="cuadroCabe"/>
              <w:jc w:val="right"/>
              <w:rPr>
                <w:rFonts w:cs="Arial"/>
                <w:szCs w:val="18"/>
              </w:rPr>
            </w:pPr>
            <w:r w:rsidRPr="003A115E">
              <w:rPr>
                <w:rFonts w:cs="Arial"/>
                <w:szCs w:val="18"/>
              </w:rPr>
              <w:t>2022</w:t>
            </w:r>
          </w:p>
        </w:tc>
        <w:tc>
          <w:tcPr>
            <w:tcW w:w="627" w:type="pct"/>
            <w:tcBorders>
              <w:top w:val="single" w:sz="2" w:space="0" w:color="auto"/>
              <w:left w:val="single" w:sz="2" w:space="0" w:color="auto"/>
              <w:bottom w:val="single" w:sz="4" w:space="0" w:color="auto"/>
              <w:right w:val="nil"/>
            </w:tcBorders>
            <w:shd w:val="clear" w:color="auto" w:fill="FABF8F" w:themeFill="accent6" w:themeFillTint="99"/>
            <w:noWrap/>
            <w:tcMar>
              <w:left w:w="0" w:type="dxa"/>
              <w:right w:w="0" w:type="dxa"/>
            </w:tcMar>
            <w:vAlign w:val="center"/>
            <w:hideMark/>
          </w:tcPr>
          <w:p w14:paraId="60CA53B5" w14:textId="77777777" w:rsidR="008E47CC" w:rsidRPr="003A115E" w:rsidRDefault="008E47CC" w:rsidP="00790DB8">
            <w:pPr>
              <w:pStyle w:val="cuadroCabe"/>
              <w:ind w:right="113"/>
              <w:jc w:val="right"/>
              <w:rPr>
                <w:rFonts w:cs="Arial"/>
                <w:szCs w:val="18"/>
              </w:rPr>
            </w:pPr>
            <w:r w:rsidRPr="003A115E">
              <w:rPr>
                <w:rFonts w:cs="Arial"/>
                <w:szCs w:val="18"/>
              </w:rPr>
              <w:t>2021</w:t>
            </w:r>
          </w:p>
        </w:tc>
        <w:tc>
          <w:tcPr>
            <w:tcW w:w="665" w:type="pct"/>
            <w:tcBorders>
              <w:top w:val="single" w:sz="2" w:space="0" w:color="auto"/>
              <w:left w:val="nil"/>
              <w:bottom w:val="single" w:sz="4" w:space="0" w:color="auto"/>
              <w:right w:val="single" w:sz="2" w:space="0" w:color="auto"/>
            </w:tcBorders>
            <w:shd w:val="clear" w:color="auto" w:fill="FABF8F" w:themeFill="accent6" w:themeFillTint="99"/>
            <w:noWrap/>
            <w:tcMar>
              <w:left w:w="0" w:type="dxa"/>
              <w:right w:w="0" w:type="dxa"/>
            </w:tcMar>
            <w:vAlign w:val="center"/>
            <w:hideMark/>
          </w:tcPr>
          <w:p w14:paraId="4CFA3AE4" w14:textId="77777777" w:rsidR="008E47CC" w:rsidRPr="003A115E" w:rsidRDefault="008E47CC" w:rsidP="00790DB8">
            <w:pPr>
              <w:pStyle w:val="cuatexto"/>
              <w:ind w:right="7"/>
              <w:jc w:val="right"/>
              <w:rPr>
                <w:rFonts w:ascii="Arial" w:hAnsi="Arial" w:cs="Arial"/>
                <w:sz w:val="18"/>
                <w:szCs w:val="18"/>
              </w:rPr>
            </w:pPr>
            <w:r w:rsidRPr="003A115E">
              <w:t>2022</w:t>
            </w:r>
          </w:p>
        </w:tc>
        <w:tc>
          <w:tcPr>
            <w:tcW w:w="653" w:type="pct"/>
            <w:tcBorders>
              <w:top w:val="single" w:sz="2" w:space="0" w:color="auto"/>
              <w:left w:val="single" w:sz="2" w:space="0" w:color="auto"/>
              <w:bottom w:val="single" w:sz="4" w:space="0" w:color="auto"/>
              <w:right w:val="nil"/>
            </w:tcBorders>
            <w:shd w:val="clear" w:color="auto" w:fill="FABF8F" w:themeFill="accent6" w:themeFillTint="99"/>
            <w:noWrap/>
            <w:tcMar>
              <w:left w:w="0" w:type="dxa"/>
              <w:right w:w="0" w:type="dxa"/>
            </w:tcMar>
            <w:vAlign w:val="center"/>
            <w:hideMark/>
          </w:tcPr>
          <w:p w14:paraId="36B22B80" w14:textId="77777777" w:rsidR="008E47CC" w:rsidRPr="003A115E" w:rsidRDefault="008E47CC" w:rsidP="00CC28BD">
            <w:pPr>
              <w:pStyle w:val="cuadroCabe"/>
              <w:jc w:val="right"/>
              <w:rPr>
                <w:rFonts w:cs="Arial"/>
                <w:szCs w:val="18"/>
              </w:rPr>
            </w:pPr>
            <w:r w:rsidRPr="003A115E">
              <w:rPr>
                <w:rFonts w:cs="Arial"/>
                <w:szCs w:val="18"/>
              </w:rPr>
              <w:t>2021</w:t>
            </w:r>
          </w:p>
        </w:tc>
        <w:tc>
          <w:tcPr>
            <w:tcW w:w="314" w:type="pct"/>
            <w:tcBorders>
              <w:top w:val="single" w:sz="2" w:space="0" w:color="auto"/>
              <w:left w:val="nil"/>
              <w:bottom w:val="single" w:sz="4" w:space="0" w:color="auto"/>
              <w:right w:val="nil"/>
            </w:tcBorders>
            <w:shd w:val="clear" w:color="auto" w:fill="FABF8F" w:themeFill="accent6" w:themeFillTint="99"/>
            <w:noWrap/>
            <w:tcMar>
              <w:left w:w="0" w:type="dxa"/>
              <w:right w:w="0" w:type="dxa"/>
            </w:tcMar>
            <w:vAlign w:val="center"/>
            <w:hideMark/>
          </w:tcPr>
          <w:p w14:paraId="6C3B8BD7" w14:textId="77777777" w:rsidR="008E47CC" w:rsidRPr="003A115E" w:rsidRDefault="008E47CC" w:rsidP="00CC28BD">
            <w:pPr>
              <w:pStyle w:val="cuadroCabe"/>
              <w:jc w:val="right"/>
              <w:rPr>
                <w:rFonts w:cs="Arial"/>
                <w:szCs w:val="18"/>
              </w:rPr>
            </w:pPr>
            <w:r w:rsidRPr="003A115E">
              <w:rPr>
                <w:rFonts w:cs="Arial"/>
                <w:szCs w:val="18"/>
              </w:rPr>
              <w:t>2022</w:t>
            </w:r>
          </w:p>
        </w:tc>
      </w:tr>
      <w:tr w:rsidR="000A742F" w:rsidRPr="003A115E" w14:paraId="54D3A6A5" w14:textId="77777777" w:rsidTr="004E4A7D">
        <w:trPr>
          <w:trHeight w:val="198"/>
        </w:trPr>
        <w:tc>
          <w:tcPr>
            <w:tcW w:w="1720" w:type="pct"/>
            <w:tcBorders>
              <w:top w:val="nil"/>
              <w:left w:val="nil"/>
              <w:bottom w:val="single" w:sz="2" w:space="0" w:color="auto"/>
              <w:right w:val="nil"/>
            </w:tcBorders>
            <w:shd w:val="clear" w:color="auto" w:fill="auto"/>
            <w:noWrap/>
            <w:vAlign w:val="center"/>
            <w:hideMark/>
          </w:tcPr>
          <w:p w14:paraId="512D5D62" w14:textId="77777777" w:rsidR="008E47CC" w:rsidRPr="003A115E" w:rsidRDefault="008E47CC" w:rsidP="00A0522B">
            <w:pPr>
              <w:pStyle w:val="cuatexto"/>
            </w:pPr>
            <w:r w:rsidRPr="003A115E">
              <w:t>Insuficiencia de crédito</w:t>
            </w:r>
          </w:p>
        </w:tc>
        <w:tc>
          <w:tcPr>
            <w:tcW w:w="699" w:type="pct"/>
            <w:tcBorders>
              <w:top w:val="single" w:sz="4" w:space="0" w:color="auto"/>
              <w:left w:val="nil"/>
              <w:bottom w:val="single" w:sz="2" w:space="0" w:color="auto"/>
              <w:right w:val="nil"/>
            </w:tcBorders>
            <w:shd w:val="clear" w:color="auto" w:fill="auto"/>
            <w:noWrap/>
            <w:vAlign w:val="center"/>
            <w:hideMark/>
          </w:tcPr>
          <w:p w14:paraId="54645DC1" w14:textId="77777777" w:rsidR="008E47CC" w:rsidRPr="003A115E" w:rsidRDefault="008E47CC" w:rsidP="00A0522B">
            <w:pPr>
              <w:pStyle w:val="cuatexto"/>
              <w:jc w:val="right"/>
            </w:pPr>
            <w:r w:rsidRPr="003A115E">
              <w:t>37</w:t>
            </w:r>
          </w:p>
        </w:tc>
        <w:tc>
          <w:tcPr>
            <w:tcW w:w="322" w:type="pct"/>
            <w:tcBorders>
              <w:top w:val="single" w:sz="4" w:space="0" w:color="auto"/>
              <w:left w:val="nil"/>
              <w:bottom w:val="single" w:sz="2" w:space="0" w:color="auto"/>
              <w:right w:val="single" w:sz="2" w:space="0" w:color="auto"/>
            </w:tcBorders>
            <w:shd w:val="clear" w:color="auto" w:fill="auto"/>
            <w:noWrap/>
            <w:vAlign w:val="center"/>
            <w:hideMark/>
          </w:tcPr>
          <w:p w14:paraId="296D9732" w14:textId="77777777" w:rsidR="008E47CC" w:rsidRPr="003A115E" w:rsidRDefault="008E47CC" w:rsidP="00A0522B">
            <w:pPr>
              <w:pStyle w:val="cuatexto"/>
              <w:jc w:val="right"/>
            </w:pPr>
            <w:r w:rsidRPr="003A115E">
              <w:t>22</w:t>
            </w:r>
          </w:p>
        </w:tc>
        <w:tc>
          <w:tcPr>
            <w:tcW w:w="627" w:type="pct"/>
            <w:tcBorders>
              <w:top w:val="single" w:sz="4" w:space="0" w:color="auto"/>
              <w:left w:val="single" w:sz="2" w:space="0" w:color="auto"/>
              <w:bottom w:val="single" w:sz="2" w:space="0" w:color="auto"/>
              <w:right w:val="nil"/>
            </w:tcBorders>
            <w:shd w:val="clear" w:color="auto" w:fill="auto"/>
            <w:noWrap/>
            <w:vAlign w:val="center"/>
            <w:hideMark/>
          </w:tcPr>
          <w:p w14:paraId="6C4E2A16" w14:textId="77777777" w:rsidR="008E47CC" w:rsidRPr="003A115E" w:rsidRDefault="008E47CC" w:rsidP="00A0522B">
            <w:pPr>
              <w:pStyle w:val="cuatexto"/>
              <w:jc w:val="right"/>
            </w:pPr>
            <w:r w:rsidRPr="003A115E">
              <w:t>142.687</w:t>
            </w:r>
          </w:p>
        </w:tc>
        <w:tc>
          <w:tcPr>
            <w:tcW w:w="665" w:type="pct"/>
            <w:tcBorders>
              <w:top w:val="single" w:sz="4" w:space="0" w:color="auto"/>
              <w:left w:val="nil"/>
              <w:bottom w:val="single" w:sz="2" w:space="0" w:color="auto"/>
              <w:right w:val="single" w:sz="2" w:space="0" w:color="auto"/>
            </w:tcBorders>
            <w:shd w:val="clear" w:color="auto" w:fill="auto"/>
            <w:noWrap/>
            <w:vAlign w:val="center"/>
            <w:hideMark/>
          </w:tcPr>
          <w:p w14:paraId="0DB16E6E" w14:textId="7D308BC3" w:rsidR="008E47CC" w:rsidRPr="003A115E" w:rsidRDefault="008E47CC" w:rsidP="00790DB8">
            <w:pPr>
              <w:pStyle w:val="cuatexto"/>
              <w:ind w:right="7"/>
              <w:jc w:val="right"/>
            </w:pPr>
            <w:r w:rsidRPr="003A115E">
              <w:t>900.653</w:t>
            </w:r>
          </w:p>
        </w:tc>
        <w:tc>
          <w:tcPr>
            <w:tcW w:w="653" w:type="pct"/>
            <w:tcBorders>
              <w:top w:val="single" w:sz="4" w:space="0" w:color="auto"/>
              <w:left w:val="single" w:sz="2" w:space="0" w:color="auto"/>
              <w:bottom w:val="single" w:sz="2" w:space="0" w:color="auto"/>
              <w:right w:val="nil"/>
            </w:tcBorders>
            <w:shd w:val="clear" w:color="auto" w:fill="auto"/>
            <w:noWrap/>
            <w:vAlign w:val="center"/>
            <w:hideMark/>
          </w:tcPr>
          <w:p w14:paraId="6AE61CBE" w14:textId="77777777" w:rsidR="008E47CC" w:rsidRPr="003A115E" w:rsidRDefault="008E47CC" w:rsidP="00A0522B">
            <w:pPr>
              <w:pStyle w:val="cuatexto"/>
              <w:jc w:val="right"/>
            </w:pPr>
            <w:r w:rsidRPr="003A115E">
              <w:t>11</w:t>
            </w:r>
          </w:p>
        </w:tc>
        <w:tc>
          <w:tcPr>
            <w:tcW w:w="314" w:type="pct"/>
            <w:tcBorders>
              <w:top w:val="single" w:sz="4" w:space="0" w:color="auto"/>
              <w:left w:val="nil"/>
              <w:bottom w:val="single" w:sz="2" w:space="0" w:color="auto"/>
              <w:right w:val="nil"/>
            </w:tcBorders>
            <w:shd w:val="clear" w:color="auto" w:fill="auto"/>
            <w:noWrap/>
            <w:vAlign w:val="center"/>
            <w:hideMark/>
          </w:tcPr>
          <w:p w14:paraId="18E99A5D" w14:textId="77777777" w:rsidR="008E47CC" w:rsidRPr="003A115E" w:rsidRDefault="008E47CC" w:rsidP="00A0522B">
            <w:pPr>
              <w:pStyle w:val="cuatexto"/>
              <w:jc w:val="right"/>
            </w:pPr>
            <w:r w:rsidRPr="003A115E">
              <w:t>3</w:t>
            </w:r>
          </w:p>
        </w:tc>
      </w:tr>
      <w:tr w:rsidR="000A742F" w:rsidRPr="003A115E" w14:paraId="65D3BCDC" w14:textId="77777777" w:rsidTr="004E4A7D">
        <w:trPr>
          <w:trHeight w:val="198"/>
        </w:trPr>
        <w:tc>
          <w:tcPr>
            <w:tcW w:w="1720" w:type="pct"/>
            <w:tcBorders>
              <w:top w:val="single" w:sz="2" w:space="0" w:color="auto"/>
              <w:left w:val="nil"/>
              <w:bottom w:val="single" w:sz="2" w:space="0" w:color="auto"/>
              <w:right w:val="nil"/>
            </w:tcBorders>
            <w:shd w:val="clear" w:color="auto" w:fill="auto"/>
            <w:noWrap/>
            <w:vAlign w:val="center"/>
            <w:hideMark/>
          </w:tcPr>
          <w:p w14:paraId="56ACDF02" w14:textId="77777777" w:rsidR="008E47CC" w:rsidRPr="003A115E" w:rsidRDefault="008E47CC" w:rsidP="00A0522B">
            <w:pPr>
              <w:pStyle w:val="cuatexto"/>
            </w:pPr>
            <w:r w:rsidRPr="003A115E">
              <w:t>Crédito no adecuado</w:t>
            </w:r>
          </w:p>
        </w:tc>
        <w:tc>
          <w:tcPr>
            <w:tcW w:w="699" w:type="pct"/>
            <w:tcBorders>
              <w:top w:val="single" w:sz="2" w:space="0" w:color="auto"/>
              <w:left w:val="nil"/>
              <w:bottom w:val="single" w:sz="2" w:space="0" w:color="auto"/>
              <w:right w:val="nil"/>
            </w:tcBorders>
            <w:shd w:val="clear" w:color="auto" w:fill="auto"/>
            <w:noWrap/>
            <w:vAlign w:val="center"/>
            <w:hideMark/>
          </w:tcPr>
          <w:p w14:paraId="40F42C1D" w14:textId="77777777" w:rsidR="008E47CC" w:rsidRPr="003A115E" w:rsidRDefault="008E47CC" w:rsidP="00A0522B">
            <w:pPr>
              <w:pStyle w:val="cuatexto"/>
              <w:jc w:val="right"/>
            </w:pPr>
            <w:r w:rsidRPr="003A115E">
              <w:t>1</w:t>
            </w:r>
          </w:p>
        </w:tc>
        <w:tc>
          <w:tcPr>
            <w:tcW w:w="322" w:type="pct"/>
            <w:tcBorders>
              <w:top w:val="single" w:sz="2" w:space="0" w:color="auto"/>
              <w:left w:val="nil"/>
              <w:bottom w:val="single" w:sz="2" w:space="0" w:color="auto"/>
              <w:right w:val="single" w:sz="2" w:space="0" w:color="auto"/>
            </w:tcBorders>
            <w:shd w:val="clear" w:color="auto" w:fill="auto"/>
            <w:noWrap/>
            <w:vAlign w:val="center"/>
            <w:hideMark/>
          </w:tcPr>
          <w:p w14:paraId="724D2CF3" w14:textId="77777777" w:rsidR="008E47CC" w:rsidRPr="003A115E" w:rsidRDefault="008E47CC" w:rsidP="00A0522B">
            <w:pPr>
              <w:pStyle w:val="cuatexto"/>
              <w:jc w:val="right"/>
            </w:pPr>
            <w:r w:rsidRPr="003A115E">
              <w:t>2</w:t>
            </w:r>
          </w:p>
        </w:tc>
        <w:tc>
          <w:tcPr>
            <w:tcW w:w="627" w:type="pct"/>
            <w:tcBorders>
              <w:top w:val="single" w:sz="2" w:space="0" w:color="auto"/>
              <w:left w:val="single" w:sz="2" w:space="0" w:color="auto"/>
              <w:bottom w:val="single" w:sz="2" w:space="0" w:color="auto"/>
              <w:right w:val="nil"/>
            </w:tcBorders>
            <w:shd w:val="clear" w:color="auto" w:fill="auto"/>
            <w:noWrap/>
            <w:vAlign w:val="center"/>
            <w:hideMark/>
          </w:tcPr>
          <w:p w14:paraId="15C24D02" w14:textId="77777777" w:rsidR="008E47CC" w:rsidRPr="003A115E" w:rsidRDefault="008E47CC" w:rsidP="00A0522B">
            <w:pPr>
              <w:pStyle w:val="cuatexto"/>
              <w:jc w:val="right"/>
            </w:pPr>
            <w:r w:rsidRPr="003A115E">
              <w:t>47.825</w:t>
            </w:r>
          </w:p>
        </w:tc>
        <w:tc>
          <w:tcPr>
            <w:tcW w:w="665" w:type="pct"/>
            <w:tcBorders>
              <w:top w:val="single" w:sz="2" w:space="0" w:color="auto"/>
              <w:left w:val="nil"/>
              <w:bottom w:val="single" w:sz="2" w:space="0" w:color="auto"/>
              <w:right w:val="single" w:sz="2" w:space="0" w:color="auto"/>
            </w:tcBorders>
            <w:shd w:val="clear" w:color="auto" w:fill="auto"/>
            <w:noWrap/>
            <w:vAlign w:val="center"/>
            <w:hideMark/>
          </w:tcPr>
          <w:p w14:paraId="5A10FA66" w14:textId="162C9D70" w:rsidR="008E47CC" w:rsidRPr="003A115E" w:rsidRDefault="008E47CC" w:rsidP="00790DB8">
            <w:pPr>
              <w:pStyle w:val="cuatexto"/>
              <w:ind w:right="7"/>
              <w:jc w:val="right"/>
            </w:pPr>
            <w:r w:rsidRPr="003A115E">
              <w:t>7.087</w:t>
            </w:r>
          </w:p>
        </w:tc>
        <w:tc>
          <w:tcPr>
            <w:tcW w:w="653" w:type="pct"/>
            <w:tcBorders>
              <w:top w:val="single" w:sz="2" w:space="0" w:color="auto"/>
              <w:left w:val="single" w:sz="2" w:space="0" w:color="auto"/>
              <w:bottom w:val="single" w:sz="2" w:space="0" w:color="auto"/>
              <w:right w:val="nil"/>
            </w:tcBorders>
            <w:shd w:val="clear" w:color="auto" w:fill="auto"/>
            <w:noWrap/>
            <w:vAlign w:val="center"/>
            <w:hideMark/>
          </w:tcPr>
          <w:p w14:paraId="58630F7E" w14:textId="77777777" w:rsidR="008E47CC" w:rsidRPr="003A115E" w:rsidRDefault="008E47CC" w:rsidP="00A0522B">
            <w:pPr>
              <w:pStyle w:val="cuatexto"/>
              <w:jc w:val="right"/>
            </w:pPr>
            <w:r w:rsidRPr="003A115E">
              <w:t>0</w:t>
            </w:r>
          </w:p>
        </w:tc>
        <w:tc>
          <w:tcPr>
            <w:tcW w:w="314" w:type="pct"/>
            <w:tcBorders>
              <w:top w:val="single" w:sz="2" w:space="0" w:color="auto"/>
              <w:left w:val="nil"/>
              <w:bottom w:val="single" w:sz="2" w:space="0" w:color="auto"/>
              <w:right w:val="nil"/>
            </w:tcBorders>
            <w:shd w:val="clear" w:color="auto" w:fill="auto"/>
            <w:noWrap/>
            <w:vAlign w:val="center"/>
            <w:hideMark/>
          </w:tcPr>
          <w:p w14:paraId="6B5638F3" w14:textId="77777777" w:rsidR="008E47CC" w:rsidRPr="003A115E" w:rsidRDefault="008E47CC" w:rsidP="00A0522B">
            <w:pPr>
              <w:pStyle w:val="cuatexto"/>
              <w:jc w:val="right"/>
            </w:pPr>
            <w:r w:rsidRPr="003A115E">
              <w:t>0</w:t>
            </w:r>
          </w:p>
        </w:tc>
      </w:tr>
      <w:tr w:rsidR="000A742F" w:rsidRPr="003A115E" w14:paraId="02DB88F2" w14:textId="77777777" w:rsidTr="004E4A7D">
        <w:trPr>
          <w:trHeight w:val="198"/>
        </w:trPr>
        <w:tc>
          <w:tcPr>
            <w:tcW w:w="1720" w:type="pct"/>
            <w:tcBorders>
              <w:top w:val="single" w:sz="2" w:space="0" w:color="auto"/>
              <w:left w:val="nil"/>
              <w:bottom w:val="single" w:sz="2" w:space="0" w:color="auto"/>
              <w:right w:val="nil"/>
            </w:tcBorders>
            <w:shd w:val="clear" w:color="auto" w:fill="auto"/>
            <w:noWrap/>
            <w:vAlign w:val="center"/>
            <w:hideMark/>
          </w:tcPr>
          <w:p w14:paraId="0701240F" w14:textId="77777777" w:rsidR="008E47CC" w:rsidRPr="003A115E" w:rsidRDefault="008E47CC" w:rsidP="00A0522B">
            <w:pPr>
              <w:pStyle w:val="cuatexto"/>
            </w:pPr>
            <w:r w:rsidRPr="003A115E">
              <w:t>Omisión de fiscalización</w:t>
            </w:r>
          </w:p>
        </w:tc>
        <w:tc>
          <w:tcPr>
            <w:tcW w:w="699" w:type="pct"/>
            <w:tcBorders>
              <w:top w:val="single" w:sz="2" w:space="0" w:color="auto"/>
              <w:left w:val="nil"/>
              <w:bottom w:val="single" w:sz="2" w:space="0" w:color="auto"/>
              <w:right w:val="nil"/>
            </w:tcBorders>
            <w:shd w:val="clear" w:color="auto" w:fill="auto"/>
            <w:noWrap/>
            <w:vAlign w:val="center"/>
            <w:hideMark/>
          </w:tcPr>
          <w:p w14:paraId="51D108A6" w14:textId="77777777" w:rsidR="008E47CC" w:rsidRPr="003A115E" w:rsidRDefault="008E47CC" w:rsidP="00A0522B">
            <w:pPr>
              <w:pStyle w:val="cuatexto"/>
              <w:jc w:val="right"/>
            </w:pPr>
            <w:r w:rsidRPr="003A115E">
              <w:t>4</w:t>
            </w:r>
          </w:p>
        </w:tc>
        <w:tc>
          <w:tcPr>
            <w:tcW w:w="322" w:type="pct"/>
            <w:tcBorders>
              <w:top w:val="single" w:sz="2" w:space="0" w:color="auto"/>
              <w:left w:val="nil"/>
              <w:bottom w:val="single" w:sz="2" w:space="0" w:color="auto"/>
              <w:right w:val="single" w:sz="2" w:space="0" w:color="auto"/>
            </w:tcBorders>
            <w:shd w:val="clear" w:color="auto" w:fill="auto"/>
            <w:noWrap/>
            <w:vAlign w:val="center"/>
            <w:hideMark/>
          </w:tcPr>
          <w:p w14:paraId="5B45A0CB" w14:textId="77777777" w:rsidR="008E47CC" w:rsidRPr="003A115E" w:rsidRDefault="008E47CC" w:rsidP="00A0522B">
            <w:pPr>
              <w:pStyle w:val="cuatexto"/>
              <w:jc w:val="right"/>
            </w:pPr>
            <w:r w:rsidRPr="003A115E">
              <w:t>5</w:t>
            </w:r>
          </w:p>
        </w:tc>
        <w:tc>
          <w:tcPr>
            <w:tcW w:w="627" w:type="pct"/>
            <w:tcBorders>
              <w:top w:val="single" w:sz="2" w:space="0" w:color="auto"/>
              <w:left w:val="single" w:sz="2" w:space="0" w:color="auto"/>
              <w:bottom w:val="single" w:sz="2" w:space="0" w:color="auto"/>
              <w:right w:val="nil"/>
            </w:tcBorders>
            <w:shd w:val="clear" w:color="auto" w:fill="auto"/>
            <w:noWrap/>
            <w:vAlign w:val="center"/>
            <w:hideMark/>
          </w:tcPr>
          <w:p w14:paraId="19367972" w14:textId="77777777" w:rsidR="008E47CC" w:rsidRPr="003A115E" w:rsidRDefault="008E47CC" w:rsidP="00A0522B">
            <w:pPr>
              <w:pStyle w:val="cuatexto"/>
              <w:jc w:val="right"/>
            </w:pPr>
            <w:r w:rsidRPr="003A115E">
              <w:t>25.524</w:t>
            </w:r>
          </w:p>
        </w:tc>
        <w:tc>
          <w:tcPr>
            <w:tcW w:w="665" w:type="pct"/>
            <w:tcBorders>
              <w:top w:val="single" w:sz="2" w:space="0" w:color="auto"/>
              <w:left w:val="nil"/>
              <w:bottom w:val="single" w:sz="2" w:space="0" w:color="auto"/>
              <w:right w:val="single" w:sz="2" w:space="0" w:color="auto"/>
            </w:tcBorders>
            <w:shd w:val="clear" w:color="auto" w:fill="auto"/>
            <w:noWrap/>
            <w:vAlign w:val="center"/>
            <w:hideMark/>
          </w:tcPr>
          <w:p w14:paraId="59DDBAE4" w14:textId="50389868" w:rsidR="008E47CC" w:rsidRPr="003A115E" w:rsidRDefault="008E47CC" w:rsidP="00790DB8">
            <w:pPr>
              <w:pStyle w:val="cuatexto"/>
              <w:ind w:right="7"/>
              <w:jc w:val="right"/>
            </w:pPr>
            <w:r w:rsidRPr="003A115E">
              <w:t>130.160</w:t>
            </w:r>
          </w:p>
        </w:tc>
        <w:tc>
          <w:tcPr>
            <w:tcW w:w="653" w:type="pct"/>
            <w:tcBorders>
              <w:top w:val="single" w:sz="2" w:space="0" w:color="auto"/>
              <w:left w:val="single" w:sz="2" w:space="0" w:color="auto"/>
              <w:bottom w:val="single" w:sz="2" w:space="0" w:color="auto"/>
              <w:right w:val="nil"/>
            </w:tcBorders>
            <w:shd w:val="clear" w:color="auto" w:fill="auto"/>
            <w:noWrap/>
            <w:vAlign w:val="center"/>
            <w:hideMark/>
          </w:tcPr>
          <w:p w14:paraId="2A57AAAD" w14:textId="77777777" w:rsidR="008E47CC" w:rsidRPr="003A115E" w:rsidRDefault="008E47CC" w:rsidP="00A0522B">
            <w:pPr>
              <w:pStyle w:val="cuatexto"/>
              <w:jc w:val="right"/>
            </w:pPr>
            <w:r w:rsidRPr="003A115E">
              <w:t>1</w:t>
            </w:r>
          </w:p>
        </w:tc>
        <w:tc>
          <w:tcPr>
            <w:tcW w:w="314" w:type="pct"/>
            <w:tcBorders>
              <w:top w:val="single" w:sz="2" w:space="0" w:color="auto"/>
              <w:left w:val="nil"/>
              <w:bottom w:val="single" w:sz="2" w:space="0" w:color="auto"/>
              <w:right w:val="nil"/>
            </w:tcBorders>
            <w:shd w:val="clear" w:color="auto" w:fill="auto"/>
            <w:noWrap/>
            <w:vAlign w:val="center"/>
            <w:hideMark/>
          </w:tcPr>
          <w:p w14:paraId="003B6D44" w14:textId="77777777" w:rsidR="008E47CC" w:rsidRPr="003A115E" w:rsidRDefault="008E47CC" w:rsidP="00A0522B">
            <w:pPr>
              <w:pStyle w:val="cuatexto"/>
              <w:jc w:val="right"/>
            </w:pPr>
            <w:r w:rsidRPr="003A115E">
              <w:t>0</w:t>
            </w:r>
          </w:p>
        </w:tc>
      </w:tr>
      <w:tr w:rsidR="000A742F" w:rsidRPr="003A115E" w14:paraId="260F2CE2" w14:textId="77777777" w:rsidTr="004E4A7D">
        <w:trPr>
          <w:trHeight w:val="198"/>
        </w:trPr>
        <w:tc>
          <w:tcPr>
            <w:tcW w:w="1720" w:type="pct"/>
            <w:tcBorders>
              <w:top w:val="single" w:sz="2" w:space="0" w:color="auto"/>
              <w:left w:val="nil"/>
              <w:bottom w:val="single" w:sz="2" w:space="0" w:color="auto"/>
              <w:right w:val="nil"/>
            </w:tcBorders>
            <w:shd w:val="clear" w:color="auto" w:fill="auto"/>
            <w:noWrap/>
            <w:vAlign w:val="center"/>
            <w:hideMark/>
          </w:tcPr>
          <w:p w14:paraId="3B216B15" w14:textId="77777777" w:rsidR="008E47CC" w:rsidRPr="003A115E" w:rsidRDefault="008E47CC" w:rsidP="00A0522B">
            <w:pPr>
              <w:pStyle w:val="cuatexto"/>
            </w:pPr>
            <w:r w:rsidRPr="003A115E">
              <w:t>Irregularidades en la documentación justificativa</w:t>
            </w:r>
          </w:p>
        </w:tc>
        <w:tc>
          <w:tcPr>
            <w:tcW w:w="699" w:type="pct"/>
            <w:tcBorders>
              <w:top w:val="single" w:sz="2" w:space="0" w:color="auto"/>
              <w:left w:val="nil"/>
              <w:bottom w:val="single" w:sz="2" w:space="0" w:color="auto"/>
              <w:right w:val="nil"/>
            </w:tcBorders>
            <w:shd w:val="clear" w:color="auto" w:fill="auto"/>
            <w:noWrap/>
            <w:vAlign w:val="center"/>
            <w:hideMark/>
          </w:tcPr>
          <w:p w14:paraId="0C15CB34" w14:textId="77777777" w:rsidR="008E47CC" w:rsidRPr="003A115E" w:rsidRDefault="008E47CC" w:rsidP="00A0522B">
            <w:pPr>
              <w:pStyle w:val="cuatexto"/>
              <w:jc w:val="right"/>
            </w:pPr>
            <w:r w:rsidRPr="003A115E">
              <w:t>6</w:t>
            </w:r>
          </w:p>
        </w:tc>
        <w:tc>
          <w:tcPr>
            <w:tcW w:w="322" w:type="pct"/>
            <w:tcBorders>
              <w:top w:val="single" w:sz="2" w:space="0" w:color="auto"/>
              <w:left w:val="nil"/>
              <w:bottom w:val="single" w:sz="2" w:space="0" w:color="auto"/>
              <w:right w:val="single" w:sz="2" w:space="0" w:color="auto"/>
            </w:tcBorders>
            <w:shd w:val="clear" w:color="auto" w:fill="auto"/>
            <w:noWrap/>
            <w:vAlign w:val="center"/>
            <w:hideMark/>
          </w:tcPr>
          <w:p w14:paraId="3B21417D" w14:textId="77777777" w:rsidR="008E47CC" w:rsidRPr="003A115E" w:rsidRDefault="008E47CC" w:rsidP="00A0522B">
            <w:pPr>
              <w:pStyle w:val="cuatexto"/>
              <w:jc w:val="right"/>
            </w:pPr>
            <w:r w:rsidRPr="003A115E">
              <w:t>11</w:t>
            </w:r>
          </w:p>
        </w:tc>
        <w:tc>
          <w:tcPr>
            <w:tcW w:w="627" w:type="pct"/>
            <w:tcBorders>
              <w:top w:val="single" w:sz="2" w:space="0" w:color="auto"/>
              <w:left w:val="single" w:sz="2" w:space="0" w:color="auto"/>
              <w:bottom w:val="single" w:sz="2" w:space="0" w:color="auto"/>
              <w:right w:val="nil"/>
            </w:tcBorders>
            <w:shd w:val="clear" w:color="auto" w:fill="auto"/>
            <w:noWrap/>
            <w:vAlign w:val="center"/>
            <w:hideMark/>
          </w:tcPr>
          <w:p w14:paraId="05DA29B6" w14:textId="77777777" w:rsidR="008E47CC" w:rsidRPr="003A115E" w:rsidRDefault="008E47CC" w:rsidP="00A0522B">
            <w:pPr>
              <w:pStyle w:val="cuatexto"/>
              <w:jc w:val="right"/>
            </w:pPr>
            <w:r w:rsidRPr="003A115E">
              <w:t>29.170</w:t>
            </w:r>
          </w:p>
        </w:tc>
        <w:tc>
          <w:tcPr>
            <w:tcW w:w="665" w:type="pct"/>
            <w:tcBorders>
              <w:top w:val="single" w:sz="2" w:space="0" w:color="auto"/>
              <w:left w:val="nil"/>
              <w:bottom w:val="single" w:sz="2" w:space="0" w:color="auto"/>
              <w:right w:val="single" w:sz="2" w:space="0" w:color="auto"/>
            </w:tcBorders>
            <w:shd w:val="clear" w:color="auto" w:fill="auto"/>
            <w:noWrap/>
            <w:vAlign w:val="center"/>
            <w:hideMark/>
          </w:tcPr>
          <w:p w14:paraId="1D7EE1AB" w14:textId="57D144FF" w:rsidR="008E47CC" w:rsidRPr="003A115E" w:rsidRDefault="008E47CC" w:rsidP="00790DB8">
            <w:pPr>
              <w:pStyle w:val="cuatexto"/>
              <w:ind w:right="7"/>
              <w:jc w:val="right"/>
            </w:pPr>
            <w:r w:rsidRPr="003A115E">
              <w:t>22.390</w:t>
            </w:r>
          </w:p>
        </w:tc>
        <w:tc>
          <w:tcPr>
            <w:tcW w:w="653" w:type="pct"/>
            <w:tcBorders>
              <w:top w:val="single" w:sz="2" w:space="0" w:color="auto"/>
              <w:left w:val="single" w:sz="2" w:space="0" w:color="auto"/>
              <w:bottom w:val="single" w:sz="2" w:space="0" w:color="auto"/>
              <w:right w:val="nil"/>
            </w:tcBorders>
            <w:shd w:val="clear" w:color="auto" w:fill="auto"/>
            <w:noWrap/>
            <w:vAlign w:val="center"/>
            <w:hideMark/>
          </w:tcPr>
          <w:p w14:paraId="27A41997" w14:textId="77777777" w:rsidR="008E47CC" w:rsidRPr="003A115E" w:rsidRDefault="008E47CC" w:rsidP="00A0522B">
            <w:pPr>
              <w:pStyle w:val="cuatexto"/>
              <w:jc w:val="right"/>
            </w:pPr>
            <w:r w:rsidRPr="003A115E">
              <w:t>2</w:t>
            </w:r>
          </w:p>
        </w:tc>
        <w:tc>
          <w:tcPr>
            <w:tcW w:w="314" w:type="pct"/>
            <w:tcBorders>
              <w:top w:val="single" w:sz="2" w:space="0" w:color="auto"/>
              <w:left w:val="nil"/>
              <w:bottom w:val="single" w:sz="2" w:space="0" w:color="auto"/>
              <w:right w:val="nil"/>
            </w:tcBorders>
            <w:shd w:val="clear" w:color="auto" w:fill="auto"/>
            <w:noWrap/>
            <w:vAlign w:val="center"/>
            <w:hideMark/>
          </w:tcPr>
          <w:p w14:paraId="5D767FBC" w14:textId="77777777" w:rsidR="008E47CC" w:rsidRPr="003A115E" w:rsidRDefault="008E47CC" w:rsidP="00A0522B">
            <w:pPr>
              <w:pStyle w:val="cuatexto"/>
              <w:jc w:val="right"/>
            </w:pPr>
            <w:r w:rsidRPr="003A115E">
              <w:t>0</w:t>
            </w:r>
          </w:p>
        </w:tc>
      </w:tr>
      <w:tr w:rsidR="000A742F" w:rsidRPr="003A115E" w14:paraId="74990D54" w14:textId="77777777" w:rsidTr="004E4A7D">
        <w:trPr>
          <w:trHeight w:val="198"/>
        </w:trPr>
        <w:tc>
          <w:tcPr>
            <w:tcW w:w="1720" w:type="pct"/>
            <w:tcBorders>
              <w:top w:val="single" w:sz="2" w:space="0" w:color="auto"/>
              <w:left w:val="nil"/>
              <w:bottom w:val="single" w:sz="2" w:space="0" w:color="auto"/>
              <w:right w:val="nil"/>
            </w:tcBorders>
            <w:shd w:val="clear" w:color="auto" w:fill="auto"/>
            <w:noWrap/>
            <w:vAlign w:val="center"/>
            <w:hideMark/>
          </w:tcPr>
          <w:p w14:paraId="2F39AEEC" w14:textId="77777777" w:rsidR="008E47CC" w:rsidRPr="003A115E" w:rsidRDefault="008E47CC" w:rsidP="00A0522B">
            <w:pPr>
              <w:pStyle w:val="cuatexto"/>
            </w:pPr>
            <w:r w:rsidRPr="003A115E">
              <w:t>Omisión de requisitos o trámites esenciales</w:t>
            </w:r>
          </w:p>
        </w:tc>
        <w:tc>
          <w:tcPr>
            <w:tcW w:w="699" w:type="pct"/>
            <w:tcBorders>
              <w:top w:val="single" w:sz="2" w:space="0" w:color="auto"/>
              <w:left w:val="nil"/>
              <w:bottom w:val="single" w:sz="2" w:space="0" w:color="auto"/>
              <w:right w:val="nil"/>
            </w:tcBorders>
            <w:shd w:val="clear" w:color="auto" w:fill="auto"/>
            <w:noWrap/>
            <w:vAlign w:val="center"/>
            <w:hideMark/>
          </w:tcPr>
          <w:p w14:paraId="52F85EE3" w14:textId="77777777" w:rsidR="008E47CC" w:rsidRPr="003A115E" w:rsidRDefault="008E47CC" w:rsidP="00A0522B">
            <w:pPr>
              <w:pStyle w:val="cuatexto"/>
              <w:jc w:val="right"/>
            </w:pPr>
            <w:r w:rsidRPr="003A115E">
              <w:t>61</w:t>
            </w:r>
          </w:p>
        </w:tc>
        <w:tc>
          <w:tcPr>
            <w:tcW w:w="322" w:type="pct"/>
            <w:tcBorders>
              <w:top w:val="single" w:sz="2" w:space="0" w:color="auto"/>
              <w:left w:val="nil"/>
              <w:bottom w:val="single" w:sz="2" w:space="0" w:color="auto"/>
              <w:right w:val="single" w:sz="2" w:space="0" w:color="auto"/>
            </w:tcBorders>
            <w:shd w:val="clear" w:color="auto" w:fill="auto"/>
            <w:noWrap/>
            <w:vAlign w:val="center"/>
            <w:hideMark/>
          </w:tcPr>
          <w:p w14:paraId="1D5D0B6D" w14:textId="77777777" w:rsidR="008E47CC" w:rsidRPr="003A115E" w:rsidRDefault="008E47CC" w:rsidP="00A0522B">
            <w:pPr>
              <w:pStyle w:val="cuatexto"/>
              <w:jc w:val="right"/>
            </w:pPr>
            <w:r w:rsidRPr="003A115E">
              <w:t>114</w:t>
            </w:r>
          </w:p>
        </w:tc>
        <w:tc>
          <w:tcPr>
            <w:tcW w:w="627" w:type="pct"/>
            <w:tcBorders>
              <w:top w:val="single" w:sz="2" w:space="0" w:color="auto"/>
              <w:left w:val="single" w:sz="2" w:space="0" w:color="auto"/>
              <w:bottom w:val="single" w:sz="2" w:space="0" w:color="auto"/>
              <w:right w:val="nil"/>
            </w:tcBorders>
            <w:shd w:val="clear" w:color="auto" w:fill="auto"/>
            <w:noWrap/>
            <w:vAlign w:val="center"/>
            <w:hideMark/>
          </w:tcPr>
          <w:p w14:paraId="158C09BA" w14:textId="77777777" w:rsidR="008E47CC" w:rsidRPr="003A115E" w:rsidRDefault="008E47CC" w:rsidP="00A0522B">
            <w:pPr>
              <w:pStyle w:val="cuatexto"/>
              <w:jc w:val="right"/>
            </w:pPr>
            <w:r w:rsidRPr="003A115E">
              <w:t>1.892.310</w:t>
            </w:r>
          </w:p>
        </w:tc>
        <w:tc>
          <w:tcPr>
            <w:tcW w:w="665" w:type="pct"/>
            <w:tcBorders>
              <w:top w:val="single" w:sz="2" w:space="0" w:color="auto"/>
              <w:left w:val="nil"/>
              <w:bottom w:val="single" w:sz="2" w:space="0" w:color="auto"/>
              <w:right w:val="single" w:sz="2" w:space="0" w:color="auto"/>
            </w:tcBorders>
            <w:shd w:val="clear" w:color="auto" w:fill="auto"/>
            <w:noWrap/>
            <w:vAlign w:val="center"/>
            <w:hideMark/>
          </w:tcPr>
          <w:p w14:paraId="385DCFBB" w14:textId="3FF2E977" w:rsidR="008E47CC" w:rsidRPr="003A115E" w:rsidRDefault="008E47CC" w:rsidP="00790DB8">
            <w:pPr>
              <w:pStyle w:val="cuatexto"/>
              <w:ind w:right="7"/>
              <w:jc w:val="right"/>
            </w:pPr>
            <w:r w:rsidRPr="003A115E">
              <w:t>4.535.127</w:t>
            </w:r>
          </w:p>
        </w:tc>
        <w:tc>
          <w:tcPr>
            <w:tcW w:w="653" w:type="pct"/>
            <w:tcBorders>
              <w:top w:val="single" w:sz="2" w:space="0" w:color="auto"/>
              <w:left w:val="single" w:sz="2" w:space="0" w:color="auto"/>
              <w:bottom w:val="single" w:sz="2" w:space="0" w:color="auto"/>
              <w:right w:val="nil"/>
            </w:tcBorders>
            <w:shd w:val="clear" w:color="auto" w:fill="auto"/>
            <w:noWrap/>
            <w:vAlign w:val="center"/>
            <w:hideMark/>
          </w:tcPr>
          <w:p w14:paraId="01F70464" w14:textId="77777777" w:rsidR="008E47CC" w:rsidRPr="003A115E" w:rsidRDefault="008E47CC" w:rsidP="00A0522B">
            <w:pPr>
              <w:pStyle w:val="cuatexto"/>
              <w:jc w:val="right"/>
            </w:pPr>
            <w:r w:rsidRPr="003A115E">
              <w:t>3</w:t>
            </w:r>
          </w:p>
        </w:tc>
        <w:tc>
          <w:tcPr>
            <w:tcW w:w="314" w:type="pct"/>
            <w:tcBorders>
              <w:top w:val="single" w:sz="2" w:space="0" w:color="auto"/>
              <w:left w:val="nil"/>
              <w:bottom w:val="single" w:sz="2" w:space="0" w:color="auto"/>
              <w:right w:val="nil"/>
            </w:tcBorders>
            <w:shd w:val="clear" w:color="auto" w:fill="auto"/>
            <w:noWrap/>
            <w:vAlign w:val="center"/>
            <w:hideMark/>
          </w:tcPr>
          <w:p w14:paraId="7C70206E" w14:textId="77777777" w:rsidR="008E47CC" w:rsidRPr="003A115E" w:rsidRDefault="008E47CC" w:rsidP="00A0522B">
            <w:pPr>
              <w:pStyle w:val="cuatexto"/>
              <w:jc w:val="right"/>
            </w:pPr>
            <w:r w:rsidRPr="003A115E">
              <w:t>6</w:t>
            </w:r>
          </w:p>
        </w:tc>
      </w:tr>
      <w:tr w:rsidR="000A742F" w:rsidRPr="003A115E" w14:paraId="06FBFD28" w14:textId="77777777" w:rsidTr="004E4A7D">
        <w:trPr>
          <w:trHeight w:val="198"/>
        </w:trPr>
        <w:tc>
          <w:tcPr>
            <w:tcW w:w="1720" w:type="pct"/>
            <w:tcBorders>
              <w:top w:val="single" w:sz="2" w:space="0" w:color="auto"/>
              <w:left w:val="nil"/>
              <w:bottom w:val="single" w:sz="2" w:space="0" w:color="auto"/>
              <w:right w:val="nil"/>
            </w:tcBorders>
            <w:shd w:val="clear" w:color="auto" w:fill="auto"/>
            <w:noWrap/>
            <w:vAlign w:val="center"/>
            <w:hideMark/>
          </w:tcPr>
          <w:p w14:paraId="2EA1398A" w14:textId="77777777" w:rsidR="008E47CC" w:rsidRPr="003A115E" w:rsidRDefault="008E47CC" w:rsidP="00A0522B">
            <w:pPr>
              <w:pStyle w:val="cuatexto"/>
            </w:pPr>
            <w:r w:rsidRPr="003A115E">
              <w:t>Comprobación material de obras, suministros, adquisiciones y servicios</w:t>
            </w:r>
          </w:p>
        </w:tc>
        <w:tc>
          <w:tcPr>
            <w:tcW w:w="699" w:type="pct"/>
            <w:tcBorders>
              <w:top w:val="single" w:sz="2" w:space="0" w:color="auto"/>
              <w:left w:val="nil"/>
              <w:bottom w:val="single" w:sz="2" w:space="0" w:color="auto"/>
              <w:right w:val="nil"/>
            </w:tcBorders>
            <w:shd w:val="clear" w:color="auto" w:fill="auto"/>
            <w:noWrap/>
            <w:vAlign w:val="center"/>
            <w:hideMark/>
          </w:tcPr>
          <w:p w14:paraId="7A293DDE" w14:textId="10AAB4C4" w:rsidR="008E47CC" w:rsidRPr="003A115E" w:rsidRDefault="000D0B4D" w:rsidP="00A0522B">
            <w:pPr>
              <w:pStyle w:val="cuatexto"/>
              <w:jc w:val="right"/>
            </w:pPr>
            <w:r w:rsidRPr="003A115E">
              <w:t>-</w:t>
            </w:r>
          </w:p>
        </w:tc>
        <w:tc>
          <w:tcPr>
            <w:tcW w:w="322" w:type="pct"/>
            <w:tcBorders>
              <w:top w:val="single" w:sz="2" w:space="0" w:color="auto"/>
              <w:left w:val="nil"/>
              <w:bottom w:val="single" w:sz="2" w:space="0" w:color="auto"/>
              <w:right w:val="single" w:sz="2" w:space="0" w:color="auto"/>
            </w:tcBorders>
            <w:shd w:val="clear" w:color="auto" w:fill="auto"/>
            <w:noWrap/>
            <w:vAlign w:val="center"/>
            <w:hideMark/>
          </w:tcPr>
          <w:p w14:paraId="1B376C94" w14:textId="77777777" w:rsidR="008E47CC" w:rsidRPr="003A115E" w:rsidRDefault="008E47CC" w:rsidP="00A0522B">
            <w:pPr>
              <w:pStyle w:val="cuatexto"/>
              <w:jc w:val="right"/>
            </w:pPr>
            <w:r w:rsidRPr="003A115E">
              <w:t>3</w:t>
            </w:r>
          </w:p>
        </w:tc>
        <w:tc>
          <w:tcPr>
            <w:tcW w:w="627" w:type="pct"/>
            <w:tcBorders>
              <w:top w:val="single" w:sz="2" w:space="0" w:color="auto"/>
              <w:left w:val="single" w:sz="2" w:space="0" w:color="auto"/>
              <w:bottom w:val="single" w:sz="2" w:space="0" w:color="auto"/>
              <w:right w:val="nil"/>
            </w:tcBorders>
            <w:shd w:val="clear" w:color="auto" w:fill="auto"/>
            <w:noWrap/>
            <w:vAlign w:val="center"/>
            <w:hideMark/>
          </w:tcPr>
          <w:p w14:paraId="384D3837" w14:textId="673D5914" w:rsidR="008E47CC" w:rsidRPr="003A115E" w:rsidRDefault="008E47CC" w:rsidP="00A0522B">
            <w:pPr>
              <w:pStyle w:val="cuatexto"/>
              <w:jc w:val="right"/>
            </w:pPr>
            <w:r w:rsidRPr="003A115E">
              <w:t>-</w:t>
            </w:r>
          </w:p>
        </w:tc>
        <w:tc>
          <w:tcPr>
            <w:tcW w:w="665" w:type="pct"/>
            <w:tcBorders>
              <w:top w:val="single" w:sz="2" w:space="0" w:color="auto"/>
              <w:left w:val="nil"/>
              <w:bottom w:val="single" w:sz="2" w:space="0" w:color="auto"/>
              <w:right w:val="single" w:sz="2" w:space="0" w:color="auto"/>
            </w:tcBorders>
            <w:shd w:val="clear" w:color="auto" w:fill="auto"/>
            <w:noWrap/>
            <w:vAlign w:val="center"/>
            <w:hideMark/>
          </w:tcPr>
          <w:p w14:paraId="057276A4" w14:textId="0D5297AE" w:rsidR="008E47CC" w:rsidRPr="003A115E" w:rsidRDefault="008E47CC" w:rsidP="00790DB8">
            <w:pPr>
              <w:pStyle w:val="cuatexto"/>
              <w:ind w:right="7"/>
              <w:jc w:val="right"/>
            </w:pPr>
            <w:r w:rsidRPr="003A115E">
              <w:t>3.042</w:t>
            </w:r>
          </w:p>
        </w:tc>
        <w:tc>
          <w:tcPr>
            <w:tcW w:w="653" w:type="pct"/>
            <w:tcBorders>
              <w:top w:val="single" w:sz="2" w:space="0" w:color="auto"/>
              <w:left w:val="single" w:sz="2" w:space="0" w:color="auto"/>
              <w:bottom w:val="single" w:sz="2" w:space="0" w:color="auto"/>
              <w:right w:val="nil"/>
            </w:tcBorders>
            <w:shd w:val="clear" w:color="auto" w:fill="auto"/>
            <w:noWrap/>
            <w:vAlign w:val="center"/>
            <w:hideMark/>
          </w:tcPr>
          <w:p w14:paraId="133E3132" w14:textId="77777777" w:rsidR="008E47CC" w:rsidRPr="003A115E" w:rsidRDefault="008E47CC" w:rsidP="00A0522B">
            <w:pPr>
              <w:pStyle w:val="cuatexto"/>
              <w:jc w:val="right"/>
            </w:pPr>
            <w:r w:rsidRPr="003A115E">
              <w:t>0</w:t>
            </w:r>
          </w:p>
        </w:tc>
        <w:tc>
          <w:tcPr>
            <w:tcW w:w="314" w:type="pct"/>
            <w:tcBorders>
              <w:top w:val="single" w:sz="2" w:space="0" w:color="auto"/>
              <w:left w:val="nil"/>
              <w:bottom w:val="single" w:sz="2" w:space="0" w:color="auto"/>
              <w:right w:val="nil"/>
            </w:tcBorders>
            <w:shd w:val="clear" w:color="auto" w:fill="auto"/>
            <w:noWrap/>
            <w:vAlign w:val="center"/>
            <w:hideMark/>
          </w:tcPr>
          <w:p w14:paraId="53F206CE" w14:textId="77777777" w:rsidR="008E47CC" w:rsidRPr="003A115E" w:rsidRDefault="008E47CC" w:rsidP="00A0522B">
            <w:pPr>
              <w:pStyle w:val="cuatexto"/>
              <w:jc w:val="right"/>
            </w:pPr>
            <w:r w:rsidRPr="003A115E">
              <w:t>0</w:t>
            </w:r>
          </w:p>
        </w:tc>
      </w:tr>
      <w:tr w:rsidR="000A742F" w:rsidRPr="003A115E" w14:paraId="07B709AD" w14:textId="77777777" w:rsidTr="004E4A7D">
        <w:trPr>
          <w:trHeight w:val="198"/>
        </w:trPr>
        <w:tc>
          <w:tcPr>
            <w:tcW w:w="1720" w:type="pct"/>
            <w:tcBorders>
              <w:top w:val="single" w:sz="2" w:space="0" w:color="auto"/>
              <w:left w:val="nil"/>
              <w:bottom w:val="single" w:sz="2" w:space="0" w:color="auto"/>
              <w:right w:val="nil"/>
            </w:tcBorders>
            <w:shd w:val="clear" w:color="auto" w:fill="auto"/>
            <w:noWrap/>
            <w:vAlign w:val="center"/>
            <w:hideMark/>
          </w:tcPr>
          <w:p w14:paraId="0C2BA5BA" w14:textId="77777777" w:rsidR="008E47CC" w:rsidRPr="003A115E" w:rsidRDefault="008E47CC" w:rsidP="00A0522B">
            <w:pPr>
              <w:pStyle w:val="cuatexto"/>
            </w:pPr>
            <w:r w:rsidRPr="003A115E">
              <w:t>Otros actos contrarios al ordenamiento jurídico</w:t>
            </w:r>
          </w:p>
        </w:tc>
        <w:tc>
          <w:tcPr>
            <w:tcW w:w="699" w:type="pct"/>
            <w:tcBorders>
              <w:top w:val="single" w:sz="2" w:space="0" w:color="auto"/>
              <w:left w:val="nil"/>
              <w:bottom w:val="single" w:sz="2" w:space="0" w:color="auto"/>
              <w:right w:val="nil"/>
            </w:tcBorders>
            <w:shd w:val="clear" w:color="auto" w:fill="auto"/>
            <w:noWrap/>
            <w:vAlign w:val="center"/>
            <w:hideMark/>
          </w:tcPr>
          <w:p w14:paraId="01817AE9" w14:textId="77777777" w:rsidR="008E47CC" w:rsidRPr="003A115E" w:rsidRDefault="008E47CC" w:rsidP="00A0522B">
            <w:pPr>
              <w:pStyle w:val="cuatexto"/>
              <w:jc w:val="right"/>
            </w:pPr>
            <w:r w:rsidRPr="003A115E">
              <w:t>18</w:t>
            </w:r>
          </w:p>
        </w:tc>
        <w:tc>
          <w:tcPr>
            <w:tcW w:w="322" w:type="pct"/>
            <w:tcBorders>
              <w:top w:val="single" w:sz="2" w:space="0" w:color="auto"/>
              <w:left w:val="nil"/>
              <w:bottom w:val="single" w:sz="2" w:space="0" w:color="auto"/>
              <w:right w:val="single" w:sz="2" w:space="0" w:color="auto"/>
            </w:tcBorders>
            <w:shd w:val="clear" w:color="auto" w:fill="auto"/>
            <w:noWrap/>
            <w:vAlign w:val="center"/>
            <w:hideMark/>
          </w:tcPr>
          <w:p w14:paraId="5F54E1CF" w14:textId="77777777" w:rsidR="008E47CC" w:rsidRPr="003A115E" w:rsidRDefault="008E47CC" w:rsidP="00A0522B">
            <w:pPr>
              <w:pStyle w:val="cuatexto"/>
              <w:jc w:val="right"/>
            </w:pPr>
            <w:r w:rsidRPr="003A115E">
              <w:t>24</w:t>
            </w:r>
          </w:p>
        </w:tc>
        <w:tc>
          <w:tcPr>
            <w:tcW w:w="627" w:type="pct"/>
            <w:tcBorders>
              <w:top w:val="single" w:sz="2" w:space="0" w:color="auto"/>
              <w:left w:val="single" w:sz="2" w:space="0" w:color="auto"/>
              <w:bottom w:val="single" w:sz="2" w:space="0" w:color="auto"/>
              <w:right w:val="nil"/>
            </w:tcBorders>
            <w:shd w:val="clear" w:color="auto" w:fill="auto"/>
            <w:noWrap/>
            <w:vAlign w:val="center"/>
            <w:hideMark/>
          </w:tcPr>
          <w:p w14:paraId="56679FA3" w14:textId="77777777" w:rsidR="008E47CC" w:rsidRPr="003A115E" w:rsidRDefault="008E47CC" w:rsidP="00A0522B">
            <w:pPr>
              <w:pStyle w:val="cuatexto"/>
              <w:jc w:val="right"/>
            </w:pPr>
            <w:r w:rsidRPr="003A115E">
              <w:t>77.653</w:t>
            </w:r>
          </w:p>
        </w:tc>
        <w:tc>
          <w:tcPr>
            <w:tcW w:w="665" w:type="pct"/>
            <w:tcBorders>
              <w:top w:val="single" w:sz="2" w:space="0" w:color="auto"/>
              <w:left w:val="nil"/>
              <w:bottom w:val="single" w:sz="2" w:space="0" w:color="auto"/>
              <w:right w:val="single" w:sz="2" w:space="0" w:color="auto"/>
            </w:tcBorders>
            <w:shd w:val="clear" w:color="auto" w:fill="auto"/>
            <w:noWrap/>
            <w:vAlign w:val="center"/>
            <w:hideMark/>
          </w:tcPr>
          <w:p w14:paraId="6064028F" w14:textId="515695B9" w:rsidR="008E47CC" w:rsidRPr="003A115E" w:rsidRDefault="008E47CC" w:rsidP="00790DB8">
            <w:pPr>
              <w:pStyle w:val="cuatexto"/>
              <w:ind w:right="7"/>
              <w:jc w:val="right"/>
            </w:pPr>
            <w:r w:rsidRPr="003A115E">
              <w:t>288.856</w:t>
            </w:r>
          </w:p>
        </w:tc>
        <w:tc>
          <w:tcPr>
            <w:tcW w:w="653" w:type="pct"/>
            <w:tcBorders>
              <w:top w:val="single" w:sz="2" w:space="0" w:color="auto"/>
              <w:left w:val="single" w:sz="2" w:space="0" w:color="auto"/>
              <w:bottom w:val="single" w:sz="2" w:space="0" w:color="auto"/>
              <w:right w:val="nil"/>
            </w:tcBorders>
            <w:shd w:val="clear" w:color="auto" w:fill="auto"/>
            <w:noWrap/>
            <w:vAlign w:val="center"/>
            <w:hideMark/>
          </w:tcPr>
          <w:p w14:paraId="77C319B0" w14:textId="77777777" w:rsidR="008E47CC" w:rsidRPr="003A115E" w:rsidRDefault="008E47CC" w:rsidP="00A0522B">
            <w:pPr>
              <w:pStyle w:val="cuatexto"/>
              <w:jc w:val="right"/>
            </w:pPr>
            <w:r w:rsidRPr="003A115E">
              <w:t>6</w:t>
            </w:r>
          </w:p>
        </w:tc>
        <w:tc>
          <w:tcPr>
            <w:tcW w:w="314" w:type="pct"/>
            <w:tcBorders>
              <w:top w:val="single" w:sz="2" w:space="0" w:color="auto"/>
              <w:left w:val="nil"/>
              <w:bottom w:val="single" w:sz="2" w:space="0" w:color="auto"/>
              <w:right w:val="nil"/>
            </w:tcBorders>
            <w:shd w:val="clear" w:color="auto" w:fill="auto"/>
            <w:noWrap/>
            <w:vAlign w:val="center"/>
            <w:hideMark/>
          </w:tcPr>
          <w:p w14:paraId="12BD6ACE" w14:textId="77777777" w:rsidR="008E47CC" w:rsidRPr="003A115E" w:rsidRDefault="008E47CC" w:rsidP="00A0522B">
            <w:pPr>
              <w:pStyle w:val="cuatexto"/>
              <w:jc w:val="right"/>
            </w:pPr>
            <w:r w:rsidRPr="003A115E">
              <w:t>5</w:t>
            </w:r>
          </w:p>
        </w:tc>
      </w:tr>
      <w:tr w:rsidR="000A742F" w:rsidRPr="003A115E" w14:paraId="7D9A9371" w14:textId="77777777" w:rsidTr="004E4A7D">
        <w:trPr>
          <w:trHeight w:val="198"/>
        </w:trPr>
        <w:tc>
          <w:tcPr>
            <w:tcW w:w="1720" w:type="pct"/>
            <w:tcBorders>
              <w:top w:val="single" w:sz="2" w:space="0" w:color="auto"/>
              <w:left w:val="nil"/>
              <w:bottom w:val="single" w:sz="4" w:space="0" w:color="auto"/>
              <w:right w:val="nil"/>
            </w:tcBorders>
            <w:shd w:val="clear" w:color="auto" w:fill="auto"/>
            <w:noWrap/>
            <w:vAlign w:val="center"/>
            <w:hideMark/>
          </w:tcPr>
          <w:p w14:paraId="13FAE51A" w14:textId="77777777" w:rsidR="008E47CC" w:rsidRPr="003A115E" w:rsidRDefault="008E47CC" w:rsidP="0186A00D">
            <w:pPr>
              <w:pStyle w:val="cuatexto"/>
              <w:rPr>
                <w:lang w:val="es-ES"/>
              </w:rPr>
            </w:pPr>
            <w:r w:rsidRPr="003A115E">
              <w:rPr>
                <w:lang w:val="es-ES"/>
              </w:rPr>
              <w:t>Órgano no competente para aprobación  gasto</w:t>
            </w:r>
          </w:p>
        </w:tc>
        <w:tc>
          <w:tcPr>
            <w:tcW w:w="699" w:type="pct"/>
            <w:tcBorders>
              <w:top w:val="single" w:sz="2" w:space="0" w:color="auto"/>
              <w:left w:val="nil"/>
              <w:bottom w:val="single" w:sz="4" w:space="0" w:color="auto"/>
              <w:right w:val="nil"/>
            </w:tcBorders>
            <w:shd w:val="clear" w:color="auto" w:fill="auto"/>
            <w:noWrap/>
            <w:vAlign w:val="center"/>
            <w:hideMark/>
          </w:tcPr>
          <w:p w14:paraId="1B33D337" w14:textId="6A12D4B6" w:rsidR="008E47CC" w:rsidRPr="003A115E" w:rsidRDefault="000D0B4D" w:rsidP="00A0522B">
            <w:pPr>
              <w:pStyle w:val="cuatexto"/>
              <w:jc w:val="right"/>
            </w:pPr>
            <w:r w:rsidRPr="003A115E">
              <w:t>-</w:t>
            </w:r>
          </w:p>
        </w:tc>
        <w:tc>
          <w:tcPr>
            <w:tcW w:w="322" w:type="pct"/>
            <w:tcBorders>
              <w:top w:val="single" w:sz="2" w:space="0" w:color="auto"/>
              <w:left w:val="nil"/>
              <w:bottom w:val="single" w:sz="4" w:space="0" w:color="auto"/>
              <w:right w:val="single" w:sz="2" w:space="0" w:color="auto"/>
            </w:tcBorders>
            <w:shd w:val="clear" w:color="auto" w:fill="auto"/>
            <w:noWrap/>
            <w:vAlign w:val="center"/>
            <w:hideMark/>
          </w:tcPr>
          <w:p w14:paraId="2E3AA45F" w14:textId="77777777" w:rsidR="008E47CC" w:rsidRPr="003A115E" w:rsidRDefault="008E47CC" w:rsidP="00A0522B">
            <w:pPr>
              <w:pStyle w:val="cuatexto"/>
              <w:jc w:val="right"/>
            </w:pPr>
            <w:r w:rsidRPr="003A115E">
              <w:t>7</w:t>
            </w:r>
          </w:p>
        </w:tc>
        <w:tc>
          <w:tcPr>
            <w:tcW w:w="627" w:type="pct"/>
            <w:tcBorders>
              <w:top w:val="single" w:sz="2" w:space="0" w:color="auto"/>
              <w:left w:val="single" w:sz="2" w:space="0" w:color="auto"/>
              <w:bottom w:val="single" w:sz="4" w:space="0" w:color="auto"/>
              <w:right w:val="nil"/>
            </w:tcBorders>
            <w:shd w:val="clear" w:color="auto" w:fill="auto"/>
            <w:noWrap/>
            <w:vAlign w:val="center"/>
            <w:hideMark/>
          </w:tcPr>
          <w:p w14:paraId="1AC09D9E" w14:textId="7201A8E2" w:rsidR="008E47CC" w:rsidRPr="003A115E" w:rsidRDefault="008E47CC" w:rsidP="00A0522B">
            <w:pPr>
              <w:pStyle w:val="cuatexto"/>
              <w:jc w:val="right"/>
            </w:pPr>
            <w:r w:rsidRPr="003A115E">
              <w:t>-</w:t>
            </w:r>
          </w:p>
        </w:tc>
        <w:tc>
          <w:tcPr>
            <w:tcW w:w="665" w:type="pct"/>
            <w:tcBorders>
              <w:top w:val="single" w:sz="2" w:space="0" w:color="auto"/>
              <w:left w:val="nil"/>
              <w:bottom w:val="single" w:sz="4" w:space="0" w:color="auto"/>
              <w:right w:val="single" w:sz="2" w:space="0" w:color="auto"/>
            </w:tcBorders>
            <w:shd w:val="clear" w:color="auto" w:fill="auto"/>
            <w:noWrap/>
            <w:vAlign w:val="center"/>
            <w:hideMark/>
          </w:tcPr>
          <w:p w14:paraId="6A6B665A" w14:textId="02939C2B" w:rsidR="008E47CC" w:rsidRPr="003A115E" w:rsidRDefault="008E47CC" w:rsidP="00790DB8">
            <w:pPr>
              <w:pStyle w:val="cuatexto"/>
              <w:ind w:right="7"/>
              <w:jc w:val="right"/>
            </w:pPr>
            <w:r w:rsidRPr="003A115E">
              <w:t>1.260.108</w:t>
            </w:r>
          </w:p>
        </w:tc>
        <w:tc>
          <w:tcPr>
            <w:tcW w:w="653" w:type="pct"/>
            <w:tcBorders>
              <w:top w:val="single" w:sz="2" w:space="0" w:color="auto"/>
              <w:left w:val="single" w:sz="2" w:space="0" w:color="auto"/>
              <w:bottom w:val="single" w:sz="4" w:space="0" w:color="auto"/>
              <w:right w:val="nil"/>
            </w:tcBorders>
            <w:shd w:val="clear" w:color="auto" w:fill="auto"/>
            <w:noWrap/>
            <w:vAlign w:val="center"/>
            <w:hideMark/>
          </w:tcPr>
          <w:p w14:paraId="35426E20" w14:textId="77777777" w:rsidR="008E47CC" w:rsidRPr="003A115E" w:rsidRDefault="008E47CC" w:rsidP="00A0522B">
            <w:pPr>
              <w:pStyle w:val="cuatexto"/>
              <w:jc w:val="right"/>
            </w:pPr>
            <w:r w:rsidRPr="003A115E">
              <w:t>0</w:t>
            </w:r>
          </w:p>
        </w:tc>
        <w:tc>
          <w:tcPr>
            <w:tcW w:w="314" w:type="pct"/>
            <w:tcBorders>
              <w:top w:val="single" w:sz="2" w:space="0" w:color="auto"/>
              <w:left w:val="nil"/>
              <w:bottom w:val="single" w:sz="4" w:space="0" w:color="auto"/>
              <w:right w:val="nil"/>
            </w:tcBorders>
            <w:shd w:val="clear" w:color="auto" w:fill="auto"/>
            <w:noWrap/>
            <w:vAlign w:val="center"/>
            <w:hideMark/>
          </w:tcPr>
          <w:p w14:paraId="50879CE3" w14:textId="77777777" w:rsidR="008E47CC" w:rsidRPr="003A115E" w:rsidRDefault="008E47CC" w:rsidP="00A0522B">
            <w:pPr>
              <w:pStyle w:val="cuatexto"/>
              <w:jc w:val="right"/>
            </w:pPr>
            <w:r w:rsidRPr="003A115E">
              <w:t>1</w:t>
            </w:r>
          </w:p>
        </w:tc>
      </w:tr>
      <w:tr w:rsidR="000A742F" w:rsidRPr="003A115E" w14:paraId="7453F2AF" w14:textId="77777777" w:rsidTr="000C5D67">
        <w:trPr>
          <w:trHeight w:val="255"/>
        </w:trPr>
        <w:tc>
          <w:tcPr>
            <w:tcW w:w="1720" w:type="pct"/>
            <w:tcBorders>
              <w:top w:val="single" w:sz="4" w:space="0" w:color="auto"/>
              <w:left w:val="nil"/>
              <w:bottom w:val="single" w:sz="4" w:space="0" w:color="auto"/>
              <w:right w:val="nil"/>
            </w:tcBorders>
            <w:shd w:val="clear" w:color="auto" w:fill="FABF8F" w:themeFill="accent6" w:themeFillTint="99"/>
            <w:noWrap/>
            <w:vAlign w:val="center"/>
            <w:hideMark/>
          </w:tcPr>
          <w:p w14:paraId="2E17543B" w14:textId="77777777" w:rsidR="008E47CC" w:rsidRPr="003A115E" w:rsidRDefault="008E47CC" w:rsidP="00A0522B">
            <w:pPr>
              <w:pStyle w:val="cuadroCabe"/>
            </w:pPr>
            <w:r w:rsidRPr="003A115E">
              <w:t>Total</w:t>
            </w:r>
          </w:p>
        </w:tc>
        <w:tc>
          <w:tcPr>
            <w:tcW w:w="699" w:type="pct"/>
            <w:tcBorders>
              <w:top w:val="single" w:sz="4" w:space="0" w:color="auto"/>
              <w:left w:val="nil"/>
              <w:bottom w:val="single" w:sz="4" w:space="0" w:color="auto"/>
              <w:right w:val="nil"/>
            </w:tcBorders>
            <w:shd w:val="clear" w:color="auto" w:fill="FABF8F" w:themeFill="accent6" w:themeFillTint="99"/>
            <w:noWrap/>
            <w:vAlign w:val="center"/>
            <w:hideMark/>
          </w:tcPr>
          <w:p w14:paraId="500730C7" w14:textId="77777777" w:rsidR="008E47CC" w:rsidRPr="003A115E" w:rsidRDefault="008E47CC" w:rsidP="00A0522B">
            <w:pPr>
              <w:pStyle w:val="cuadroCabe"/>
              <w:jc w:val="right"/>
            </w:pPr>
            <w:r w:rsidRPr="003A115E">
              <w:t>127</w:t>
            </w:r>
          </w:p>
        </w:tc>
        <w:tc>
          <w:tcPr>
            <w:tcW w:w="322"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3EE717DD" w14:textId="77777777" w:rsidR="008E47CC" w:rsidRPr="003A115E" w:rsidRDefault="008E47CC" w:rsidP="00A0522B">
            <w:pPr>
              <w:pStyle w:val="cuadroCabe"/>
              <w:jc w:val="right"/>
            </w:pPr>
            <w:r w:rsidRPr="003A115E">
              <w:t>188</w:t>
            </w:r>
          </w:p>
        </w:tc>
        <w:tc>
          <w:tcPr>
            <w:tcW w:w="627"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428B3D65" w14:textId="77777777" w:rsidR="008E47CC" w:rsidRPr="003A115E" w:rsidRDefault="008E47CC" w:rsidP="00A0522B">
            <w:pPr>
              <w:pStyle w:val="cuadroCabe"/>
              <w:jc w:val="right"/>
            </w:pPr>
            <w:r w:rsidRPr="003A115E">
              <w:t>2.215.170</w:t>
            </w:r>
          </w:p>
        </w:tc>
        <w:tc>
          <w:tcPr>
            <w:tcW w:w="665" w:type="pct"/>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72BF29CC" w14:textId="2F210067" w:rsidR="008E47CC" w:rsidRPr="003A115E" w:rsidRDefault="008E47CC" w:rsidP="00790DB8">
            <w:pPr>
              <w:pStyle w:val="cuadroCabe"/>
              <w:ind w:right="7"/>
              <w:jc w:val="right"/>
            </w:pPr>
            <w:r w:rsidRPr="003A115E">
              <w:t>7.147.424</w:t>
            </w:r>
          </w:p>
        </w:tc>
        <w:tc>
          <w:tcPr>
            <w:tcW w:w="653" w:type="pct"/>
            <w:tcBorders>
              <w:top w:val="single" w:sz="4" w:space="0" w:color="auto"/>
              <w:left w:val="single" w:sz="2" w:space="0" w:color="auto"/>
              <w:bottom w:val="single" w:sz="4" w:space="0" w:color="auto"/>
              <w:right w:val="nil"/>
            </w:tcBorders>
            <w:shd w:val="clear" w:color="auto" w:fill="FABF8F" w:themeFill="accent6" w:themeFillTint="99"/>
            <w:noWrap/>
            <w:vAlign w:val="center"/>
            <w:hideMark/>
          </w:tcPr>
          <w:p w14:paraId="2AB37CB5" w14:textId="77777777" w:rsidR="008E47CC" w:rsidRPr="003A115E" w:rsidRDefault="008E47CC" w:rsidP="00A0522B">
            <w:pPr>
              <w:pStyle w:val="cuadroCabe"/>
              <w:jc w:val="right"/>
            </w:pPr>
            <w:r w:rsidRPr="003A115E">
              <w:t>23</w:t>
            </w:r>
          </w:p>
        </w:tc>
        <w:tc>
          <w:tcPr>
            <w:tcW w:w="314" w:type="pct"/>
            <w:tcBorders>
              <w:top w:val="single" w:sz="4" w:space="0" w:color="auto"/>
              <w:left w:val="nil"/>
              <w:bottom w:val="single" w:sz="4" w:space="0" w:color="auto"/>
              <w:right w:val="nil"/>
            </w:tcBorders>
            <w:shd w:val="clear" w:color="auto" w:fill="FABF8F" w:themeFill="accent6" w:themeFillTint="99"/>
            <w:noWrap/>
            <w:vAlign w:val="center"/>
            <w:hideMark/>
          </w:tcPr>
          <w:p w14:paraId="42C4007F" w14:textId="77777777" w:rsidR="008E47CC" w:rsidRPr="003A115E" w:rsidRDefault="008E47CC" w:rsidP="00A0522B">
            <w:pPr>
              <w:pStyle w:val="cuadroCabe"/>
              <w:jc w:val="right"/>
            </w:pPr>
            <w:r w:rsidRPr="003A115E">
              <w:t>15</w:t>
            </w:r>
          </w:p>
        </w:tc>
      </w:tr>
    </w:tbl>
    <w:p w14:paraId="1587AC63" w14:textId="40015C84" w:rsidR="007C6CA5" w:rsidRPr="003A115E" w:rsidRDefault="79B4F94C" w:rsidP="00CC28BD">
      <w:pPr>
        <w:tabs>
          <w:tab w:val="left" w:pos="1630"/>
          <w:tab w:val="left" w:pos="2480"/>
          <w:tab w:val="left" w:pos="3189"/>
          <w:tab w:val="left" w:pos="4039"/>
          <w:tab w:val="left" w:pos="4748"/>
          <w:tab w:val="left" w:pos="5740"/>
          <w:tab w:val="left" w:pos="6733"/>
          <w:tab w:val="left" w:pos="7725"/>
        </w:tabs>
        <w:spacing w:before="240" w:after="120"/>
        <w:ind w:left="68" w:firstLine="215"/>
        <w:jc w:val="both"/>
        <w:rPr>
          <w:rFonts w:cs="Arial"/>
          <w:spacing w:val="6"/>
          <w:sz w:val="26"/>
          <w:szCs w:val="26"/>
        </w:rPr>
      </w:pPr>
      <w:r w:rsidRPr="003A115E">
        <w:rPr>
          <w:rFonts w:cs="Arial"/>
          <w:spacing w:val="6"/>
          <w:sz w:val="26"/>
          <w:szCs w:val="26"/>
        </w:rPr>
        <w:t xml:space="preserve">El área de contratación pública concentra el </w:t>
      </w:r>
      <w:r w:rsidR="00263306" w:rsidRPr="003A115E">
        <w:rPr>
          <w:rFonts w:cs="Arial"/>
          <w:spacing w:val="6"/>
          <w:sz w:val="26"/>
          <w:szCs w:val="26"/>
        </w:rPr>
        <w:t>75</w:t>
      </w:r>
      <w:r w:rsidRPr="003A115E">
        <w:rPr>
          <w:rFonts w:cs="Arial"/>
          <w:spacing w:val="6"/>
          <w:sz w:val="26"/>
          <w:szCs w:val="26"/>
        </w:rPr>
        <w:t xml:space="preserve"> por ciento de los reparos y el </w:t>
      </w:r>
      <w:r w:rsidR="00263306" w:rsidRPr="003A115E">
        <w:rPr>
          <w:rFonts w:cs="Arial"/>
          <w:spacing w:val="6"/>
          <w:sz w:val="26"/>
          <w:szCs w:val="26"/>
        </w:rPr>
        <w:t>77</w:t>
      </w:r>
      <w:r w:rsidRPr="003A115E">
        <w:rPr>
          <w:rFonts w:cs="Arial"/>
          <w:spacing w:val="6"/>
          <w:sz w:val="26"/>
          <w:szCs w:val="26"/>
        </w:rPr>
        <w:t xml:space="preserve"> por ciento del importe afectado. Por otra parte, las causas más frecuentes de los reparos son la omisión de requisitos o trámites esenciales (</w:t>
      </w:r>
      <w:r w:rsidR="003C5D6F" w:rsidRPr="003A115E">
        <w:rPr>
          <w:rFonts w:cs="Arial"/>
          <w:spacing w:val="6"/>
          <w:sz w:val="26"/>
          <w:szCs w:val="26"/>
        </w:rPr>
        <w:t>61</w:t>
      </w:r>
      <w:r w:rsidRPr="003A115E">
        <w:rPr>
          <w:rFonts w:cs="Arial"/>
          <w:spacing w:val="6"/>
          <w:sz w:val="26"/>
          <w:szCs w:val="26"/>
        </w:rPr>
        <w:t xml:space="preserve"> por ciento) y</w:t>
      </w:r>
      <w:r w:rsidR="00BE3E1A" w:rsidRPr="003A115E">
        <w:rPr>
          <w:rFonts w:cs="Arial"/>
          <w:spacing w:val="6"/>
          <w:sz w:val="26"/>
          <w:szCs w:val="26"/>
        </w:rPr>
        <w:t xml:space="preserve"> otros acto</w:t>
      </w:r>
      <w:r w:rsidR="00CA706B" w:rsidRPr="003A115E">
        <w:rPr>
          <w:rFonts w:cs="Arial"/>
          <w:spacing w:val="6"/>
          <w:sz w:val="26"/>
          <w:szCs w:val="26"/>
        </w:rPr>
        <w:t xml:space="preserve">s contarios </w:t>
      </w:r>
      <w:r w:rsidR="00BE3E1A" w:rsidRPr="003A115E">
        <w:rPr>
          <w:rFonts w:cs="Arial"/>
          <w:spacing w:val="6"/>
          <w:sz w:val="26"/>
          <w:szCs w:val="26"/>
        </w:rPr>
        <w:t>al ordenamiento jurídico y</w:t>
      </w:r>
      <w:r w:rsidRPr="003A115E">
        <w:rPr>
          <w:rFonts w:cs="Arial"/>
          <w:spacing w:val="6"/>
          <w:sz w:val="26"/>
          <w:szCs w:val="26"/>
        </w:rPr>
        <w:t xml:space="preserve"> la insuficiencia de crédito presupuestario (</w:t>
      </w:r>
      <w:r w:rsidR="00BE3E1A" w:rsidRPr="003A115E">
        <w:rPr>
          <w:rFonts w:cs="Arial"/>
          <w:spacing w:val="6"/>
          <w:sz w:val="26"/>
          <w:szCs w:val="26"/>
        </w:rPr>
        <w:t>13 y 12</w:t>
      </w:r>
      <w:r w:rsidRPr="003A115E">
        <w:rPr>
          <w:rFonts w:cs="Arial"/>
          <w:spacing w:val="6"/>
          <w:sz w:val="26"/>
          <w:szCs w:val="26"/>
        </w:rPr>
        <w:t xml:space="preserve"> por ciento</w:t>
      </w:r>
      <w:r w:rsidR="00BE3E1A" w:rsidRPr="003A115E">
        <w:rPr>
          <w:rFonts w:cs="Arial"/>
          <w:spacing w:val="6"/>
          <w:sz w:val="26"/>
          <w:szCs w:val="26"/>
        </w:rPr>
        <w:t xml:space="preserve"> respectivamente</w:t>
      </w:r>
      <w:r w:rsidRPr="003A115E">
        <w:rPr>
          <w:rFonts w:cs="Arial"/>
          <w:spacing w:val="6"/>
          <w:sz w:val="26"/>
          <w:szCs w:val="26"/>
        </w:rPr>
        <w:t>).</w:t>
      </w:r>
    </w:p>
    <w:p w14:paraId="2AE09B77" w14:textId="7712376A" w:rsidR="005D3728" w:rsidRPr="003A115E" w:rsidRDefault="008B7066" w:rsidP="00287097">
      <w:pPr>
        <w:tabs>
          <w:tab w:val="left" w:pos="1630"/>
          <w:tab w:val="left" w:pos="2480"/>
          <w:tab w:val="left" w:pos="3189"/>
          <w:tab w:val="left" w:pos="4039"/>
          <w:tab w:val="left" w:pos="4748"/>
          <w:tab w:val="left" w:pos="5740"/>
          <w:tab w:val="left" w:pos="6733"/>
          <w:tab w:val="left" w:pos="7725"/>
        </w:tabs>
        <w:spacing w:after="240"/>
        <w:ind w:left="68" w:firstLine="215"/>
        <w:jc w:val="both"/>
        <w:rPr>
          <w:rFonts w:cs="Arial"/>
          <w:spacing w:val="6"/>
          <w:sz w:val="26"/>
        </w:rPr>
      </w:pPr>
      <w:r w:rsidRPr="003A115E">
        <w:rPr>
          <w:rFonts w:cs="Arial"/>
          <w:spacing w:val="6"/>
          <w:sz w:val="26"/>
        </w:rPr>
        <w:t>A</w:t>
      </w:r>
      <w:r w:rsidR="000E3227" w:rsidRPr="003A115E">
        <w:rPr>
          <w:rFonts w:cs="Arial"/>
          <w:spacing w:val="6"/>
          <w:sz w:val="26"/>
        </w:rPr>
        <w:t xml:space="preserve"> continuación, desglosamo</w:t>
      </w:r>
      <w:r w:rsidR="00BE3E1A" w:rsidRPr="003A115E">
        <w:rPr>
          <w:rFonts w:cs="Arial"/>
          <w:spacing w:val="6"/>
          <w:sz w:val="26"/>
        </w:rPr>
        <w:t>s los reparos formulados de 2022</w:t>
      </w:r>
      <w:r w:rsidR="000E3227" w:rsidRPr="003A115E">
        <w:rPr>
          <w:rFonts w:cs="Arial"/>
          <w:spacing w:val="6"/>
          <w:sz w:val="26"/>
        </w:rPr>
        <w:t xml:space="preserve"> en función del importe afectado:</w:t>
      </w:r>
      <w:r w:rsidR="000D0B4D" w:rsidRPr="003A115E">
        <w:rPr>
          <w:rFonts w:cs="Arial"/>
          <w:spacing w:val="6"/>
          <w:sz w:val="26"/>
        </w:rPr>
        <w:t xml:space="preserve"> </w:t>
      </w:r>
    </w:p>
    <w:p w14:paraId="0C7EE34B" w14:textId="389F276D" w:rsidR="000E3227" w:rsidRPr="003A115E" w:rsidRDefault="009059A2" w:rsidP="31020D79">
      <w:pPr>
        <w:pStyle w:val="texto"/>
        <w:spacing w:after="40"/>
        <w:jc w:val="right"/>
        <w:rPr>
          <w:rFonts w:ascii="Arial Narrow" w:hAnsi="Arial Narrow"/>
          <w:sz w:val="18"/>
          <w:szCs w:val="18"/>
          <w:lang w:val="es-ES"/>
        </w:rPr>
      </w:pPr>
      <w:r w:rsidRPr="003A115E">
        <w:rPr>
          <w:rFonts w:ascii="Arial Narrow" w:hAnsi="Arial Narrow"/>
          <w:sz w:val="18"/>
          <w:szCs w:val="18"/>
          <w:lang w:val="es-ES"/>
        </w:rPr>
        <w:t>(</w:t>
      </w:r>
      <w:r w:rsidR="00287097">
        <w:rPr>
          <w:rFonts w:ascii="Arial Narrow" w:hAnsi="Arial Narrow"/>
          <w:sz w:val="18"/>
          <w:szCs w:val="18"/>
          <w:lang w:val="es-ES"/>
        </w:rPr>
        <w:t>e</w:t>
      </w:r>
      <w:r w:rsidR="000E3227" w:rsidRPr="003A115E">
        <w:rPr>
          <w:rFonts w:ascii="Arial Narrow" w:hAnsi="Arial Narrow"/>
          <w:sz w:val="18"/>
          <w:szCs w:val="18"/>
          <w:lang w:val="es-ES"/>
        </w:rPr>
        <w:t>uros</w:t>
      </w:r>
      <w:r w:rsidRPr="003A115E">
        <w:rPr>
          <w:rFonts w:ascii="Arial Narrow" w:hAnsi="Arial Narrow"/>
          <w:sz w:val="18"/>
          <w:szCs w:val="18"/>
          <w:lang w:val="es-ES"/>
        </w:rPr>
        <w:t>)</w:t>
      </w:r>
    </w:p>
    <w:tbl>
      <w:tblPr>
        <w:tblW w:w="5000" w:type="pct"/>
        <w:tblCellMar>
          <w:left w:w="70" w:type="dxa"/>
          <w:right w:w="70" w:type="dxa"/>
        </w:tblCellMar>
        <w:tblLook w:val="04A0" w:firstRow="1" w:lastRow="0" w:firstColumn="1" w:lastColumn="0" w:noHBand="0" w:noVBand="1"/>
      </w:tblPr>
      <w:tblGrid>
        <w:gridCol w:w="2634"/>
        <w:gridCol w:w="3366"/>
        <w:gridCol w:w="2788"/>
      </w:tblGrid>
      <w:tr w:rsidR="000A742F" w:rsidRPr="003A115E" w14:paraId="48632A61" w14:textId="77777777" w:rsidTr="00E03D30">
        <w:trPr>
          <w:trHeight w:val="255"/>
        </w:trPr>
        <w:tc>
          <w:tcPr>
            <w:tcW w:w="1499" w:type="pct"/>
            <w:tcBorders>
              <w:top w:val="single" w:sz="4" w:space="0" w:color="auto"/>
              <w:left w:val="nil"/>
              <w:bottom w:val="single" w:sz="4" w:space="0" w:color="auto"/>
              <w:right w:val="nil"/>
            </w:tcBorders>
            <w:shd w:val="clear" w:color="auto" w:fill="FABF8F" w:themeFill="accent6" w:themeFillTint="99"/>
            <w:noWrap/>
            <w:vAlign w:val="center"/>
            <w:hideMark/>
          </w:tcPr>
          <w:p w14:paraId="560C40F3" w14:textId="77777777" w:rsidR="00E03D30" w:rsidRPr="003A115E" w:rsidRDefault="00E03D30" w:rsidP="003F4C39">
            <w:pPr>
              <w:pStyle w:val="cuadroCabe"/>
            </w:pPr>
            <w:r w:rsidRPr="003A115E">
              <w:t>Intervalo monetario</w:t>
            </w:r>
          </w:p>
        </w:tc>
        <w:tc>
          <w:tcPr>
            <w:tcW w:w="1915" w:type="pct"/>
            <w:tcBorders>
              <w:top w:val="single" w:sz="4" w:space="0" w:color="auto"/>
              <w:left w:val="nil"/>
              <w:bottom w:val="single" w:sz="4" w:space="0" w:color="auto"/>
              <w:right w:val="nil"/>
            </w:tcBorders>
            <w:shd w:val="clear" w:color="auto" w:fill="FABF8F" w:themeFill="accent6" w:themeFillTint="99"/>
            <w:noWrap/>
            <w:vAlign w:val="center"/>
            <w:hideMark/>
          </w:tcPr>
          <w:p w14:paraId="2F24999F" w14:textId="77777777" w:rsidR="00E03D30" w:rsidRPr="003A115E" w:rsidRDefault="00E03D30" w:rsidP="003F4C39">
            <w:pPr>
              <w:pStyle w:val="cuadroCabe"/>
              <w:jc w:val="right"/>
            </w:pPr>
            <w:r w:rsidRPr="003A115E">
              <w:rPr>
                <w:lang w:val="es-ES"/>
              </w:rPr>
              <w:t>Nº reparos</w:t>
            </w:r>
          </w:p>
        </w:tc>
        <w:tc>
          <w:tcPr>
            <w:tcW w:w="1586" w:type="pct"/>
            <w:tcBorders>
              <w:top w:val="single" w:sz="4" w:space="0" w:color="auto"/>
              <w:left w:val="nil"/>
              <w:bottom w:val="single" w:sz="4" w:space="0" w:color="auto"/>
              <w:right w:val="nil"/>
            </w:tcBorders>
            <w:shd w:val="clear" w:color="auto" w:fill="FABF8F" w:themeFill="accent6" w:themeFillTint="99"/>
            <w:noWrap/>
            <w:vAlign w:val="center"/>
            <w:hideMark/>
          </w:tcPr>
          <w:p w14:paraId="2A263F75" w14:textId="77777777" w:rsidR="00E03D30" w:rsidRPr="003A115E" w:rsidRDefault="00E03D30" w:rsidP="003F4C39">
            <w:pPr>
              <w:pStyle w:val="cuadroCabe"/>
              <w:jc w:val="right"/>
            </w:pPr>
            <w:r w:rsidRPr="003A115E">
              <w:t>Importe total cuantificado</w:t>
            </w:r>
          </w:p>
        </w:tc>
      </w:tr>
      <w:tr w:rsidR="000A742F" w:rsidRPr="003A115E" w14:paraId="440ECB58" w14:textId="77777777" w:rsidTr="00E03D30">
        <w:trPr>
          <w:trHeight w:val="198"/>
        </w:trPr>
        <w:tc>
          <w:tcPr>
            <w:tcW w:w="1499" w:type="pct"/>
            <w:tcBorders>
              <w:top w:val="single" w:sz="4" w:space="0" w:color="auto"/>
              <w:left w:val="nil"/>
              <w:bottom w:val="single" w:sz="2" w:space="0" w:color="auto"/>
              <w:right w:val="nil"/>
            </w:tcBorders>
            <w:shd w:val="clear" w:color="auto" w:fill="auto"/>
            <w:noWrap/>
            <w:vAlign w:val="center"/>
            <w:hideMark/>
          </w:tcPr>
          <w:p w14:paraId="1F5DB018" w14:textId="77777777" w:rsidR="00E03D30" w:rsidRPr="003A115E" w:rsidRDefault="00E03D30" w:rsidP="003F4C39">
            <w:pPr>
              <w:pStyle w:val="cuatexto"/>
            </w:pPr>
            <w:r w:rsidRPr="003A115E">
              <w:t>Hasta 1.000 euros</w:t>
            </w:r>
          </w:p>
        </w:tc>
        <w:tc>
          <w:tcPr>
            <w:tcW w:w="1915" w:type="pct"/>
            <w:tcBorders>
              <w:top w:val="single" w:sz="4" w:space="0" w:color="auto"/>
              <w:left w:val="nil"/>
              <w:bottom w:val="single" w:sz="2" w:space="0" w:color="auto"/>
              <w:right w:val="nil"/>
            </w:tcBorders>
            <w:shd w:val="clear" w:color="auto" w:fill="auto"/>
            <w:noWrap/>
            <w:vAlign w:val="center"/>
            <w:hideMark/>
          </w:tcPr>
          <w:p w14:paraId="68394EED" w14:textId="77777777" w:rsidR="00E03D30" w:rsidRPr="003A115E" w:rsidRDefault="00E03D30" w:rsidP="003F4C39">
            <w:pPr>
              <w:pStyle w:val="cuatexto"/>
              <w:jc w:val="right"/>
            </w:pPr>
            <w:r w:rsidRPr="003A115E">
              <w:t>27</w:t>
            </w:r>
          </w:p>
        </w:tc>
        <w:tc>
          <w:tcPr>
            <w:tcW w:w="1586" w:type="pct"/>
            <w:tcBorders>
              <w:top w:val="single" w:sz="4" w:space="0" w:color="auto"/>
              <w:left w:val="nil"/>
              <w:bottom w:val="single" w:sz="2" w:space="0" w:color="auto"/>
              <w:right w:val="nil"/>
            </w:tcBorders>
            <w:shd w:val="clear" w:color="auto" w:fill="auto"/>
            <w:noWrap/>
            <w:vAlign w:val="center"/>
            <w:hideMark/>
          </w:tcPr>
          <w:p w14:paraId="7995BB80" w14:textId="77777777" w:rsidR="00E03D30" w:rsidRPr="003A115E" w:rsidRDefault="00E03D30" w:rsidP="003F4C39">
            <w:pPr>
              <w:pStyle w:val="cuatexto"/>
              <w:jc w:val="right"/>
            </w:pPr>
            <w:r w:rsidRPr="003A115E">
              <w:t xml:space="preserve">              16.600 </w:t>
            </w:r>
          </w:p>
        </w:tc>
      </w:tr>
      <w:tr w:rsidR="000A742F" w:rsidRPr="003A115E" w14:paraId="4C90A32A" w14:textId="77777777" w:rsidTr="00E03D30">
        <w:trPr>
          <w:trHeight w:val="198"/>
        </w:trPr>
        <w:tc>
          <w:tcPr>
            <w:tcW w:w="1499" w:type="pct"/>
            <w:tcBorders>
              <w:top w:val="single" w:sz="2" w:space="0" w:color="auto"/>
              <w:left w:val="nil"/>
              <w:bottom w:val="single" w:sz="2" w:space="0" w:color="auto"/>
              <w:right w:val="nil"/>
            </w:tcBorders>
            <w:shd w:val="clear" w:color="auto" w:fill="auto"/>
            <w:noWrap/>
            <w:vAlign w:val="center"/>
            <w:hideMark/>
          </w:tcPr>
          <w:p w14:paraId="069BC3A5" w14:textId="77777777" w:rsidR="00E03D30" w:rsidRPr="003A115E" w:rsidRDefault="00E03D30" w:rsidP="003F4C39">
            <w:pPr>
              <w:pStyle w:val="cuatexto"/>
            </w:pPr>
            <w:r w:rsidRPr="003A115E">
              <w:t>De 1.001 a 5.000 euros</w:t>
            </w:r>
          </w:p>
        </w:tc>
        <w:tc>
          <w:tcPr>
            <w:tcW w:w="1915" w:type="pct"/>
            <w:tcBorders>
              <w:top w:val="single" w:sz="2" w:space="0" w:color="auto"/>
              <w:left w:val="nil"/>
              <w:bottom w:val="single" w:sz="2" w:space="0" w:color="auto"/>
              <w:right w:val="nil"/>
            </w:tcBorders>
            <w:shd w:val="clear" w:color="auto" w:fill="auto"/>
            <w:noWrap/>
            <w:vAlign w:val="center"/>
            <w:hideMark/>
          </w:tcPr>
          <w:p w14:paraId="20AD362F" w14:textId="77777777" w:rsidR="00E03D30" w:rsidRPr="003A115E" w:rsidRDefault="00E03D30" w:rsidP="003F4C39">
            <w:pPr>
              <w:pStyle w:val="cuatexto"/>
              <w:jc w:val="right"/>
            </w:pPr>
            <w:r w:rsidRPr="003A115E">
              <w:t>23</w:t>
            </w:r>
          </w:p>
        </w:tc>
        <w:tc>
          <w:tcPr>
            <w:tcW w:w="1586" w:type="pct"/>
            <w:tcBorders>
              <w:top w:val="single" w:sz="2" w:space="0" w:color="auto"/>
              <w:left w:val="nil"/>
              <w:bottom w:val="single" w:sz="2" w:space="0" w:color="auto"/>
              <w:right w:val="nil"/>
            </w:tcBorders>
            <w:shd w:val="clear" w:color="auto" w:fill="auto"/>
            <w:noWrap/>
            <w:vAlign w:val="center"/>
            <w:hideMark/>
          </w:tcPr>
          <w:p w14:paraId="3004671E" w14:textId="77777777" w:rsidR="00E03D30" w:rsidRPr="003A115E" w:rsidRDefault="00E03D30" w:rsidP="003F4C39">
            <w:pPr>
              <w:pStyle w:val="cuatexto"/>
              <w:jc w:val="right"/>
            </w:pPr>
            <w:r w:rsidRPr="003A115E">
              <w:t xml:space="preserve">              54.844 </w:t>
            </w:r>
          </w:p>
        </w:tc>
      </w:tr>
      <w:tr w:rsidR="000A742F" w:rsidRPr="003A115E" w14:paraId="55FD8621" w14:textId="77777777" w:rsidTr="00E03D30">
        <w:trPr>
          <w:trHeight w:val="198"/>
        </w:trPr>
        <w:tc>
          <w:tcPr>
            <w:tcW w:w="1499" w:type="pct"/>
            <w:tcBorders>
              <w:top w:val="single" w:sz="2" w:space="0" w:color="auto"/>
              <w:left w:val="nil"/>
              <w:bottom w:val="single" w:sz="2" w:space="0" w:color="auto"/>
              <w:right w:val="nil"/>
            </w:tcBorders>
            <w:shd w:val="clear" w:color="auto" w:fill="auto"/>
            <w:noWrap/>
            <w:vAlign w:val="center"/>
            <w:hideMark/>
          </w:tcPr>
          <w:p w14:paraId="63D05EF1" w14:textId="77777777" w:rsidR="00E03D30" w:rsidRPr="003A115E" w:rsidRDefault="00E03D30" w:rsidP="003F4C39">
            <w:pPr>
              <w:pStyle w:val="cuatexto"/>
            </w:pPr>
            <w:r w:rsidRPr="003A115E">
              <w:t>De 5.001 a 10.000 euros</w:t>
            </w:r>
          </w:p>
        </w:tc>
        <w:tc>
          <w:tcPr>
            <w:tcW w:w="1915" w:type="pct"/>
            <w:tcBorders>
              <w:top w:val="single" w:sz="2" w:space="0" w:color="auto"/>
              <w:left w:val="nil"/>
              <w:bottom w:val="single" w:sz="2" w:space="0" w:color="auto"/>
              <w:right w:val="nil"/>
            </w:tcBorders>
            <w:shd w:val="clear" w:color="auto" w:fill="auto"/>
            <w:noWrap/>
            <w:vAlign w:val="center"/>
            <w:hideMark/>
          </w:tcPr>
          <w:p w14:paraId="4BD737D7" w14:textId="77777777" w:rsidR="00E03D30" w:rsidRPr="003A115E" w:rsidRDefault="00E03D30" w:rsidP="003F4C39">
            <w:pPr>
              <w:pStyle w:val="cuatexto"/>
              <w:jc w:val="right"/>
            </w:pPr>
            <w:r w:rsidRPr="003A115E">
              <w:t>17</w:t>
            </w:r>
          </w:p>
        </w:tc>
        <w:tc>
          <w:tcPr>
            <w:tcW w:w="1586" w:type="pct"/>
            <w:tcBorders>
              <w:top w:val="single" w:sz="2" w:space="0" w:color="auto"/>
              <w:left w:val="nil"/>
              <w:bottom w:val="single" w:sz="2" w:space="0" w:color="auto"/>
              <w:right w:val="nil"/>
            </w:tcBorders>
            <w:shd w:val="clear" w:color="auto" w:fill="auto"/>
            <w:noWrap/>
            <w:vAlign w:val="center"/>
            <w:hideMark/>
          </w:tcPr>
          <w:p w14:paraId="1A86095A" w14:textId="77777777" w:rsidR="00E03D30" w:rsidRPr="003A115E" w:rsidRDefault="00E03D30" w:rsidP="003F4C39">
            <w:pPr>
              <w:pStyle w:val="cuatexto"/>
              <w:jc w:val="right"/>
            </w:pPr>
            <w:r w:rsidRPr="003A115E">
              <w:t xml:space="preserve">             128.112 </w:t>
            </w:r>
          </w:p>
        </w:tc>
      </w:tr>
      <w:tr w:rsidR="000A742F" w:rsidRPr="003A115E" w14:paraId="7B43E8D6" w14:textId="77777777" w:rsidTr="00E03D30">
        <w:trPr>
          <w:trHeight w:val="198"/>
        </w:trPr>
        <w:tc>
          <w:tcPr>
            <w:tcW w:w="1499" w:type="pct"/>
            <w:tcBorders>
              <w:top w:val="single" w:sz="2" w:space="0" w:color="auto"/>
              <w:left w:val="nil"/>
              <w:bottom w:val="single" w:sz="2" w:space="0" w:color="auto"/>
              <w:right w:val="nil"/>
            </w:tcBorders>
            <w:shd w:val="clear" w:color="auto" w:fill="auto"/>
            <w:noWrap/>
            <w:vAlign w:val="center"/>
            <w:hideMark/>
          </w:tcPr>
          <w:p w14:paraId="7A0F8297" w14:textId="77777777" w:rsidR="00E03D30" w:rsidRPr="003A115E" w:rsidRDefault="00E03D30" w:rsidP="003F4C39">
            <w:pPr>
              <w:pStyle w:val="cuatexto"/>
            </w:pPr>
            <w:r w:rsidRPr="003A115E">
              <w:t>De 10.001 a 20.000 euros</w:t>
            </w:r>
          </w:p>
        </w:tc>
        <w:tc>
          <w:tcPr>
            <w:tcW w:w="1915" w:type="pct"/>
            <w:tcBorders>
              <w:top w:val="single" w:sz="2" w:space="0" w:color="auto"/>
              <w:left w:val="nil"/>
              <w:bottom w:val="single" w:sz="2" w:space="0" w:color="auto"/>
              <w:right w:val="nil"/>
            </w:tcBorders>
            <w:shd w:val="clear" w:color="auto" w:fill="auto"/>
            <w:noWrap/>
            <w:vAlign w:val="center"/>
            <w:hideMark/>
          </w:tcPr>
          <w:p w14:paraId="4011DC8F" w14:textId="77777777" w:rsidR="00E03D30" w:rsidRPr="003A115E" w:rsidRDefault="00E03D30" w:rsidP="003F4C39">
            <w:pPr>
              <w:pStyle w:val="cuatexto"/>
              <w:jc w:val="right"/>
            </w:pPr>
            <w:r w:rsidRPr="003A115E">
              <w:t>38</w:t>
            </w:r>
          </w:p>
        </w:tc>
        <w:tc>
          <w:tcPr>
            <w:tcW w:w="1586" w:type="pct"/>
            <w:tcBorders>
              <w:top w:val="single" w:sz="2" w:space="0" w:color="auto"/>
              <w:left w:val="nil"/>
              <w:bottom w:val="single" w:sz="2" w:space="0" w:color="auto"/>
              <w:right w:val="nil"/>
            </w:tcBorders>
            <w:shd w:val="clear" w:color="auto" w:fill="auto"/>
            <w:noWrap/>
            <w:vAlign w:val="center"/>
            <w:hideMark/>
          </w:tcPr>
          <w:p w14:paraId="08471D9D" w14:textId="77777777" w:rsidR="00E03D30" w:rsidRPr="003A115E" w:rsidRDefault="00E03D30" w:rsidP="003F4C39">
            <w:pPr>
              <w:pStyle w:val="cuatexto"/>
              <w:jc w:val="right"/>
            </w:pPr>
            <w:r w:rsidRPr="003A115E">
              <w:t xml:space="preserve">             570.193 </w:t>
            </w:r>
          </w:p>
        </w:tc>
      </w:tr>
      <w:tr w:rsidR="000A742F" w:rsidRPr="003A115E" w14:paraId="63E93BA0" w14:textId="77777777" w:rsidTr="00E03D30">
        <w:trPr>
          <w:trHeight w:val="198"/>
        </w:trPr>
        <w:tc>
          <w:tcPr>
            <w:tcW w:w="1499" w:type="pct"/>
            <w:tcBorders>
              <w:top w:val="single" w:sz="2" w:space="0" w:color="auto"/>
              <w:left w:val="nil"/>
              <w:bottom w:val="single" w:sz="2" w:space="0" w:color="auto"/>
              <w:right w:val="nil"/>
            </w:tcBorders>
            <w:shd w:val="clear" w:color="auto" w:fill="auto"/>
            <w:noWrap/>
            <w:vAlign w:val="center"/>
            <w:hideMark/>
          </w:tcPr>
          <w:p w14:paraId="77485286" w14:textId="77777777" w:rsidR="00E03D30" w:rsidRPr="003A115E" w:rsidRDefault="00E03D30" w:rsidP="003F4C39">
            <w:pPr>
              <w:pStyle w:val="cuatexto"/>
            </w:pPr>
            <w:r w:rsidRPr="003A115E">
              <w:rPr>
                <w:lang w:val="es-ES"/>
              </w:rPr>
              <w:t>Más de  20.000 euros</w:t>
            </w:r>
          </w:p>
        </w:tc>
        <w:tc>
          <w:tcPr>
            <w:tcW w:w="1915" w:type="pct"/>
            <w:tcBorders>
              <w:top w:val="single" w:sz="2" w:space="0" w:color="auto"/>
              <w:left w:val="nil"/>
              <w:bottom w:val="single" w:sz="2" w:space="0" w:color="auto"/>
              <w:right w:val="nil"/>
            </w:tcBorders>
            <w:shd w:val="clear" w:color="auto" w:fill="auto"/>
            <w:noWrap/>
            <w:vAlign w:val="center"/>
            <w:hideMark/>
          </w:tcPr>
          <w:p w14:paraId="2C92D764" w14:textId="77777777" w:rsidR="00E03D30" w:rsidRPr="003A115E" w:rsidRDefault="00E03D30" w:rsidP="003F4C39">
            <w:pPr>
              <w:pStyle w:val="cuatexto"/>
              <w:jc w:val="right"/>
            </w:pPr>
            <w:r w:rsidRPr="003A115E">
              <w:t>68</w:t>
            </w:r>
          </w:p>
        </w:tc>
        <w:tc>
          <w:tcPr>
            <w:tcW w:w="1586" w:type="pct"/>
            <w:tcBorders>
              <w:top w:val="single" w:sz="2" w:space="0" w:color="auto"/>
              <w:left w:val="nil"/>
              <w:bottom w:val="single" w:sz="2" w:space="0" w:color="auto"/>
              <w:right w:val="nil"/>
            </w:tcBorders>
            <w:shd w:val="clear" w:color="auto" w:fill="auto"/>
            <w:noWrap/>
            <w:vAlign w:val="center"/>
            <w:hideMark/>
          </w:tcPr>
          <w:p w14:paraId="185DE2C9" w14:textId="77777777" w:rsidR="00E03D30" w:rsidRPr="003A115E" w:rsidRDefault="00E03D30" w:rsidP="003F4C39">
            <w:pPr>
              <w:pStyle w:val="cuatexto"/>
              <w:jc w:val="right"/>
            </w:pPr>
            <w:r w:rsidRPr="003A115E">
              <w:t xml:space="preserve">          6.377.675 </w:t>
            </w:r>
          </w:p>
        </w:tc>
      </w:tr>
      <w:tr w:rsidR="000A742F" w:rsidRPr="003A115E" w14:paraId="03CF89C7" w14:textId="77777777" w:rsidTr="00E03D30">
        <w:trPr>
          <w:trHeight w:val="198"/>
        </w:trPr>
        <w:tc>
          <w:tcPr>
            <w:tcW w:w="1499" w:type="pct"/>
            <w:tcBorders>
              <w:top w:val="single" w:sz="2" w:space="0" w:color="auto"/>
              <w:left w:val="nil"/>
              <w:bottom w:val="single" w:sz="4" w:space="0" w:color="auto"/>
              <w:right w:val="nil"/>
            </w:tcBorders>
            <w:shd w:val="clear" w:color="auto" w:fill="auto"/>
            <w:noWrap/>
            <w:vAlign w:val="center"/>
            <w:hideMark/>
          </w:tcPr>
          <w:p w14:paraId="05A16283" w14:textId="16BAD3DC" w:rsidR="00E03D30" w:rsidRPr="003A115E" w:rsidRDefault="00E03D30" w:rsidP="003F4C39">
            <w:pPr>
              <w:pStyle w:val="cuatexto"/>
            </w:pPr>
            <w:r w:rsidRPr="003A115E">
              <w:t>No consta importe</w:t>
            </w:r>
          </w:p>
        </w:tc>
        <w:tc>
          <w:tcPr>
            <w:tcW w:w="1915" w:type="pct"/>
            <w:tcBorders>
              <w:top w:val="single" w:sz="2" w:space="0" w:color="auto"/>
              <w:left w:val="nil"/>
              <w:bottom w:val="single" w:sz="4" w:space="0" w:color="auto"/>
              <w:right w:val="nil"/>
            </w:tcBorders>
            <w:shd w:val="clear" w:color="auto" w:fill="auto"/>
            <w:noWrap/>
            <w:vAlign w:val="center"/>
            <w:hideMark/>
          </w:tcPr>
          <w:p w14:paraId="1B4CF8F5" w14:textId="77777777" w:rsidR="00E03D30" w:rsidRPr="003A115E" w:rsidRDefault="00E03D30" w:rsidP="003F4C39">
            <w:pPr>
              <w:pStyle w:val="cuatexto"/>
              <w:jc w:val="right"/>
            </w:pPr>
            <w:r w:rsidRPr="003A115E">
              <w:t>15</w:t>
            </w:r>
          </w:p>
        </w:tc>
        <w:tc>
          <w:tcPr>
            <w:tcW w:w="1586" w:type="pct"/>
            <w:tcBorders>
              <w:top w:val="single" w:sz="2" w:space="0" w:color="auto"/>
              <w:left w:val="nil"/>
              <w:bottom w:val="single" w:sz="4" w:space="0" w:color="auto"/>
              <w:right w:val="nil"/>
            </w:tcBorders>
            <w:shd w:val="clear" w:color="auto" w:fill="auto"/>
            <w:noWrap/>
            <w:vAlign w:val="center"/>
            <w:hideMark/>
          </w:tcPr>
          <w:p w14:paraId="72F79FC6" w14:textId="77777777" w:rsidR="00E03D30" w:rsidRPr="003A115E" w:rsidRDefault="00E03D30" w:rsidP="003F4C39">
            <w:pPr>
              <w:pStyle w:val="cuatexto"/>
              <w:jc w:val="right"/>
            </w:pPr>
            <w:r w:rsidRPr="003A115E">
              <w:t> </w:t>
            </w:r>
          </w:p>
        </w:tc>
      </w:tr>
      <w:tr w:rsidR="000A742F" w:rsidRPr="003A115E" w14:paraId="07593657" w14:textId="77777777" w:rsidTr="00E03D30">
        <w:trPr>
          <w:trHeight w:val="255"/>
        </w:trPr>
        <w:tc>
          <w:tcPr>
            <w:tcW w:w="1499" w:type="pct"/>
            <w:tcBorders>
              <w:top w:val="single" w:sz="4" w:space="0" w:color="auto"/>
              <w:left w:val="nil"/>
              <w:bottom w:val="single" w:sz="4" w:space="0" w:color="auto"/>
              <w:right w:val="nil"/>
            </w:tcBorders>
            <w:shd w:val="clear" w:color="auto" w:fill="FABF8F" w:themeFill="accent6" w:themeFillTint="99"/>
            <w:noWrap/>
            <w:vAlign w:val="center"/>
            <w:hideMark/>
          </w:tcPr>
          <w:p w14:paraId="4BE53F28" w14:textId="77777777" w:rsidR="00E03D30" w:rsidRPr="003A115E" w:rsidRDefault="00E03D30" w:rsidP="003F4C39">
            <w:pPr>
              <w:pStyle w:val="cuadroCabe"/>
            </w:pPr>
            <w:r w:rsidRPr="003A115E">
              <w:t>Total</w:t>
            </w:r>
          </w:p>
        </w:tc>
        <w:tc>
          <w:tcPr>
            <w:tcW w:w="1915" w:type="pct"/>
            <w:tcBorders>
              <w:top w:val="single" w:sz="4" w:space="0" w:color="auto"/>
              <w:left w:val="nil"/>
              <w:bottom w:val="single" w:sz="4" w:space="0" w:color="auto"/>
              <w:right w:val="nil"/>
            </w:tcBorders>
            <w:shd w:val="clear" w:color="auto" w:fill="FABF8F" w:themeFill="accent6" w:themeFillTint="99"/>
            <w:noWrap/>
            <w:vAlign w:val="center"/>
            <w:hideMark/>
          </w:tcPr>
          <w:p w14:paraId="34B4AD49" w14:textId="77777777" w:rsidR="00E03D30" w:rsidRPr="003A115E" w:rsidRDefault="00E03D30" w:rsidP="00CC28BD">
            <w:pPr>
              <w:pStyle w:val="cuadroCabe"/>
              <w:jc w:val="right"/>
            </w:pPr>
            <w:r w:rsidRPr="003A115E">
              <w:t>188</w:t>
            </w:r>
          </w:p>
        </w:tc>
        <w:tc>
          <w:tcPr>
            <w:tcW w:w="1586" w:type="pct"/>
            <w:tcBorders>
              <w:top w:val="single" w:sz="4" w:space="0" w:color="auto"/>
              <w:left w:val="nil"/>
              <w:bottom w:val="single" w:sz="4" w:space="0" w:color="auto"/>
              <w:right w:val="nil"/>
            </w:tcBorders>
            <w:shd w:val="clear" w:color="auto" w:fill="FABF8F" w:themeFill="accent6" w:themeFillTint="99"/>
            <w:noWrap/>
            <w:vAlign w:val="center"/>
            <w:hideMark/>
          </w:tcPr>
          <w:p w14:paraId="12689580" w14:textId="77777777" w:rsidR="00E03D30" w:rsidRPr="003A115E" w:rsidRDefault="00E03D30" w:rsidP="00CC28BD">
            <w:pPr>
              <w:pStyle w:val="cuadroCabe"/>
              <w:jc w:val="right"/>
            </w:pPr>
            <w:r w:rsidRPr="003A115E">
              <w:t xml:space="preserve">          7.147.424 </w:t>
            </w:r>
          </w:p>
        </w:tc>
      </w:tr>
    </w:tbl>
    <w:p w14:paraId="20A5239E" w14:textId="77777777" w:rsidR="00553215" w:rsidRPr="003A115E" w:rsidRDefault="00553215" w:rsidP="00553215">
      <w:pPr>
        <w:tabs>
          <w:tab w:val="left" w:pos="1630"/>
          <w:tab w:val="left" w:pos="2480"/>
          <w:tab w:val="left" w:pos="3189"/>
          <w:tab w:val="left" w:pos="4039"/>
          <w:tab w:val="left" w:pos="4748"/>
          <w:tab w:val="left" w:pos="5740"/>
          <w:tab w:val="left" w:pos="6733"/>
          <w:tab w:val="left" w:pos="7725"/>
        </w:tabs>
        <w:ind w:left="68" w:firstLine="215"/>
        <w:jc w:val="both"/>
        <w:rPr>
          <w:rFonts w:cs="Arial"/>
          <w:spacing w:val="6"/>
          <w:sz w:val="26"/>
        </w:rPr>
      </w:pPr>
      <w:bookmarkStart w:id="97" w:name="_Toc123547418"/>
    </w:p>
    <w:p w14:paraId="069275EF" w14:textId="223325AD" w:rsidR="008B7066" w:rsidRPr="003A115E" w:rsidRDefault="00553215" w:rsidP="00553215">
      <w:pPr>
        <w:tabs>
          <w:tab w:val="left" w:pos="1630"/>
          <w:tab w:val="left" w:pos="2480"/>
          <w:tab w:val="left" w:pos="3189"/>
          <w:tab w:val="left" w:pos="4039"/>
          <w:tab w:val="left" w:pos="4748"/>
          <w:tab w:val="left" w:pos="5740"/>
          <w:tab w:val="left" w:pos="6733"/>
          <w:tab w:val="left" w:pos="7725"/>
        </w:tabs>
        <w:ind w:left="68" w:firstLine="215"/>
        <w:jc w:val="both"/>
        <w:rPr>
          <w:rFonts w:cs="Arial"/>
          <w:spacing w:val="6"/>
          <w:sz w:val="26"/>
        </w:rPr>
      </w:pPr>
      <w:r w:rsidRPr="003A115E">
        <w:rPr>
          <w:rFonts w:cs="Arial"/>
          <w:spacing w:val="6"/>
          <w:sz w:val="26"/>
        </w:rPr>
        <w:lastRenderedPageBreak/>
        <w:t>Por último</w:t>
      </w:r>
      <w:r w:rsidR="0056595C" w:rsidRPr="003A115E">
        <w:rPr>
          <w:rFonts w:cs="Arial"/>
          <w:spacing w:val="6"/>
          <w:sz w:val="26"/>
        </w:rPr>
        <w:t xml:space="preserve">, </w:t>
      </w:r>
      <w:r w:rsidR="00C007FA" w:rsidRPr="003A115E">
        <w:rPr>
          <w:rFonts w:cs="Arial"/>
          <w:spacing w:val="6"/>
          <w:sz w:val="26"/>
        </w:rPr>
        <w:t>destacamos</w:t>
      </w:r>
      <w:r w:rsidR="0056595C" w:rsidRPr="003A115E">
        <w:rPr>
          <w:rFonts w:cs="Arial"/>
          <w:spacing w:val="6"/>
          <w:sz w:val="26"/>
        </w:rPr>
        <w:t xml:space="preserve"> </w:t>
      </w:r>
      <w:r w:rsidR="008758E6" w:rsidRPr="003A115E">
        <w:rPr>
          <w:rFonts w:cs="Arial"/>
          <w:spacing w:val="6"/>
          <w:sz w:val="26"/>
        </w:rPr>
        <w:t>que,</w:t>
      </w:r>
      <w:r w:rsidR="0056595C" w:rsidRPr="003A115E">
        <w:rPr>
          <w:rFonts w:cs="Arial"/>
          <w:spacing w:val="6"/>
          <w:sz w:val="26"/>
        </w:rPr>
        <w:t xml:space="preserve"> </w:t>
      </w:r>
      <w:r w:rsidR="008758E6" w:rsidRPr="003A115E">
        <w:rPr>
          <w:rFonts w:cs="Arial"/>
          <w:spacing w:val="6"/>
          <w:sz w:val="26"/>
        </w:rPr>
        <w:t xml:space="preserve">de acuerdo a la información facilitada, </w:t>
      </w:r>
      <w:r w:rsidR="0056595C" w:rsidRPr="003A115E">
        <w:rPr>
          <w:rFonts w:cs="Arial"/>
          <w:spacing w:val="6"/>
          <w:sz w:val="26"/>
        </w:rPr>
        <w:t>en 16 entidades</w:t>
      </w:r>
      <w:r w:rsidR="008758E6" w:rsidRPr="003A115E">
        <w:rPr>
          <w:rFonts w:cs="Arial"/>
          <w:spacing w:val="6"/>
          <w:sz w:val="26"/>
        </w:rPr>
        <w:t xml:space="preserve"> locales se han </w:t>
      </w:r>
      <w:r w:rsidR="006E497B" w:rsidRPr="003A115E">
        <w:rPr>
          <w:rFonts w:cs="Arial"/>
          <w:spacing w:val="6"/>
          <w:sz w:val="26"/>
        </w:rPr>
        <w:t>adoptado</w:t>
      </w:r>
      <w:r w:rsidR="008758E6" w:rsidRPr="003A115E">
        <w:rPr>
          <w:rFonts w:cs="Arial"/>
          <w:spacing w:val="6"/>
          <w:sz w:val="26"/>
        </w:rPr>
        <w:t xml:space="preserve"> </w:t>
      </w:r>
      <w:r w:rsidR="003D65B4" w:rsidRPr="003A115E">
        <w:rPr>
          <w:rFonts w:cs="Arial"/>
          <w:spacing w:val="6"/>
          <w:sz w:val="26"/>
        </w:rPr>
        <w:t xml:space="preserve">120 </w:t>
      </w:r>
      <w:r w:rsidR="006E497B" w:rsidRPr="003A115E">
        <w:rPr>
          <w:rFonts w:cs="Arial"/>
          <w:spacing w:val="6"/>
          <w:sz w:val="26"/>
        </w:rPr>
        <w:t xml:space="preserve">resoluciones contrarias a los reparos </w:t>
      </w:r>
      <w:r w:rsidR="00025654" w:rsidRPr="003A115E">
        <w:rPr>
          <w:rFonts w:cs="Arial"/>
          <w:spacing w:val="6"/>
          <w:sz w:val="26"/>
        </w:rPr>
        <w:t>efectuados</w:t>
      </w:r>
      <w:r w:rsidR="006E497B" w:rsidRPr="003A115E">
        <w:rPr>
          <w:rFonts w:cs="Arial"/>
          <w:spacing w:val="6"/>
          <w:sz w:val="26"/>
        </w:rPr>
        <w:t xml:space="preserve"> por</w:t>
      </w:r>
      <w:r w:rsidR="00D0203C" w:rsidRPr="003A115E">
        <w:rPr>
          <w:rFonts w:cs="Arial"/>
          <w:spacing w:val="6"/>
          <w:sz w:val="26"/>
        </w:rPr>
        <w:t xml:space="preserve"> los</w:t>
      </w:r>
      <w:r w:rsidR="005D4712" w:rsidRPr="003A115E">
        <w:rPr>
          <w:rFonts w:cs="Arial"/>
          <w:spacing w:val="6"/>
          <w:sz w:val="26"/>
        </w:rPr>
        <w:t xml:space="preserve"> órganos de control</w:t>
      </w:r>
      <w:r w:rsidR="00025654" w:rsidRPr="003A115E">
        <w:rPr>
          <w:rFonts w:cs="Arial"/>
          <w:spacing w:val="6"/>
          <w:sz w:val="26"/>
        </w:rPr>
        <w:t>.</w:t>
      </w:r>
    </w:p>
    <w:p w14:paraId="7D3BA938" w14:textId="36737669" w:rsidR="000E3227" w:rsidRPr="003A115E" w:rsidRDefault="000E3227" w:rsidP="0070115B">
      <w:pPr>
        <w:pStyle w:val="Ttulo2"/>
        <w:spacing w:after="120"/>
        <w:ind w:firstLine="0"/>
        <w:rPr>
          <w:b w:val="0"/>
          <w:i w:val="0"/>
          <w:sz w:val="25"/>
          <w:szCs w:val="25"/>
        </w:rPr>
      </w:pPr>
      <w:bookmarkStart w:id="98" w:name="_Toc183679761"/>
      <w:r w:rsidRPr="003A115E">
        <w:rPr>
          <w:b w:val="0"/>
          <w:i w:val="0"/>
          <w:sz w:val="25"/>
          <w:szCs w:val="25"/>
        </w:rPr>
        <w:t>IX.4 Principales anomalías en materia de ingresos</w:t>
      </w:r>
      <w:bookmarkEnd w:id="97"/>
      <w:bookmarkEnd w:id="98"/>
    </w:p>
    <w:p w14:paraId="7ED70B47" w14:textId="77777777" w:rsidR="007D4F1A" w:rsidRPr="003A115E" w:rsidRDefault="00C00428" w:rsidP="007D4F1A">
      <w:pPr>
        <w:tabs>
          <w:tab w:val="left" w:pos="1630"/>
          <w:tab w:val="left" w:pos="2480"/>
          <w:tab w:val="left" w:pos="3189"/>
          <w:tab w:val="left" w:pos="4039"/>
          <w:tab w:val="left" w:pos="4748"/>
          <w:tab w:val="left" w:pos="5740"/>
          <w:tab w:val="left" w:pos="6733"/>
          <w:tab w:val="left" w:pos="7725"/>
        </w:tabs>
        <w:spacing w:after="240"/>
        <w:ind w:left="68" w:firstLine="215"/>
        <w:jc w:val="both"/>
        <w:rPr>
          <w:sz w:val="26"/>
          <w:szCs w:val="26"/>
        </w:rPr>
      </w:pPr>
      <w:r w:rsidRPr="003A115E">
        <w:rPr>
          <w:rFonts w:cs="Arial"/>
          <w:spacing w:val="6"/>
          <w:sz w:val="26"/>
          <w:szCs w:val="26"/>
        </w:rPr>
        <w:t>Tres</w:t>
      </w:r>
      <w:r w:rsidRPr="003A115E">
        <w:rPr>
          <w:sz w:val="26"/>
          <w:szCs w:val="26"/>
        </w:rPr>
        <w:t xml:space="preserve"> entidades locales</w:t>
      </w:r>
      <w:r w:rsidR="79B4F94C" w:rsidRPr="003A115E">
        <w:rPr>
          <w:sz w:val="26"/>
          <w:szCs w:val="26"/>
        </w:rPr>
        <w:t xml:space="preserve"> ha</w:t>
      </w:r>
      <w:r w:rsidRPr="003A115E">
        <w:rPr>
          <w:sz w:val="26"/>
          <w:szCs w:val="26"/>
        </w:rPr>
        <w:t>n</w:t>
      </w:r>
      <w:r w:rsidR="79B4F94C" w:rsidRPr="003A115E">
        <w:rPr>
          <w:sz w:val="26"/>
          <w:szCs w:val="26"/>
        </w:rPr>
        <w:t xml:space="preserve"> informado de </w:t>
      </w:r>
      <w:r w:rsidRPr="003A115E">
        <w:rPr>
          <w:sz w:val="26"/>
          <w:szCs w:val="26"/>
        </w:rPr>
        <w:t>15</w:t>
      </w:r>
      <w:r w:rsidR="79B4F94C" w:rsidRPr="003A115E">
        <w:rPr>
          <w:sz w:val="26"/>
          <w:szCs w:val="26"/>
        </w:rPr>
        <w:t xml:space="preserve"> anomalías en materia de ingresos, que afectan a un total de </w:t>
      </w:r>
      <w:r w:rsidR="00C15E9F" w:rsidRPr="003A115E">
        <w:rPr>
          <w:sz w:val="26"/>
          <w:szCs w:val="26"/>
        </w:rPr>
        <w:t>348</w:t>
      </w:r>
      <w:r w:rsidR="009220B0" w:rsidRPr="003A115E">
        <w:rPr>
          <w:sz w:val="26"/>
          <w:szCs w:val="26"/>
        </w:rPr>
        <w:t>.615</w:t>
      </w:r>
      <w:r w:rsidR="79B4F94C" w:rsidRPr="003A115E">
        <w:rPr>
          <w:sz w:val="26"/>
          <w:szCs w:val="26"/>
        </w:rPr>
        <w:t xml:space="preserve"> euros. Este importe es </w:t>
      </w:r>
      <w:r w:rsidR="009220B0" w:rsidRPr="003A115E">
        <w:rPr>
          <w:sz w:val="26"/>
          <w:szCs w:val="26"/>
        </w:rPr>
        <w:t>superior al de 2021</w:t>
      </w:r>
      <w:r w:rsidR="79B4F94C" w:rsidRPr="003A115E">
        <w:rPr>
          <w:sz w:val="26"/>
          <w:szCs w:val="26"/>
        </w:rPr>
        <w:t xml:space="preserve">, ejercicio en el que se reportaron siete anomalías, pero afectaban a un total de </w:t>
      </w:r>
      <w:r w:rsidR="009220B0" w:rsidRPr="003A115E">
        <w:rPr>
          <w:sz w:val="26"/>
          <w:szCs w:val="26"/>
        </w:rPr>
        <w:t>67.974</w:t>
      </w:r>
      <w:r w:rsidR="79B4F94C" w:rsidRPr="003A115E">
        <w:rPr>
          <w:sz w:val="26"/>
          <w:szCs w:val="26"/>
        </w:rPr>
        <w:t xml:space="preserve"> euros.</w:t>
      </w:r>
      <w:bookmarkEnd w:id="86"/>
    </w:p>
    <w:p w14:paraId="053152A6" w14:textId="407C6CAD" w:rsidR="007D4F1A" w:rsidRPr="003A115E" w:rsidRDefault="007D4F1A" w:rsidP="007D4F1A">
      <w:pPr>
        <w:pStyle w:val="texto"/>
        <w:tabs>
          <w:tab w:val="clear" w:pos="2835"/>
          <w:tab w:val="clear" w:pos="3969"/>
          <w:tab w:val="clear" w:pos="5103"/>
          <w:tab w:val="clear" w:pos="6237"/>
          <w:tab w:val="clear" w:pos="7371"/>
          <w:tab w:val="num" w:pos="720"/>
          <w:tab w:val="num" w:pos="6597"/>
        </w:tabs>
      </w:pPr>
      <w:r w:rsidRPr="003A115E">
        <w:rPr>
          <w:szCs w:val="26"/>
        </w:rPr>
        <w:t>Informe</w:t>
      </w:r>
      <w:r w:rsidRPr="003A115E">
        <w:t xml:space="preserve"> que se emite a propuesta del auditor Javier Marticorena Chapa, responsable de la realización de este trabajo, una vez cumplimentados los trámites previstos por la normativa vigente.</w:t>
      </w:r>
    </w:p>
    <w:p w14:paraId="503C6A5E" w14:textId="77777777" w:rsidR="007D4F1A" w:rsidRPr="003A115E" w:rsidRDefault="007D4F1A" w:rsidP="007D4F1A">
      <w:pPr>
        <w:spacing w:before="840" w:after="140"/>
        <w:contextualSpacing/>
        <w:jc w:val="center"/>
        <w:rPr>
          <w:spacing w:val="6"/>
          <w:sz w:val="26"/>
          <w:szCs w:val="26"/>
          <w:lang w:val="es-ES_tradnl" w:eastAsia="en-US"/>
        </w:rPr>
      </w:pPr>
      <w:r w:rsidRPr="003A115E">
        <w:rPr>
          <w:i/>
          <w:sz w:val="26"/>
          <w:szCs w:val="26"/>
          <w:lang w:val="es-ES_tradnl" w:eastAsia="en-US"/>
        </w:rPr>
        <w:t>(Documento firmado digitalmente por el presidente, Ignacio Cabeza del Salvador, en la fecha indicada al margen)</w:t>
      </w:r>
    </w:p>
    <w:p w14:paraId="0618547F" w14:textId="10FAC151" w:rsidR="00795333" w:rsidRPr="003A115E" w:rsidRDefault="00795333" w:rsidP="004E6EFC">
      <w:pPr>
        <w:tabs>
          <w:tab w:val="left" w:pos="1630"/>
          <w:tab w:val="left" w:pos="2480"/>
          <w:tab w:val="left" w:pos="3189"/>
          <w:tab w:val="left" w:pos="4039"/>
          <w:tab w:val="left" w:pos="4748"/>
          <w:tab w:val="left" w:pos="5740"/>
          <w:tab w:val="left" w:pos="6733"/>
          <w:tab w:val="left" w:pos="7725"/>
        </w:tabs>
        <w:spacing w:after="120"/>
        <w:ind w:left="68" w:firstLine="215"/>
        <w:jc w:val="both"/>
        <w:rPr>
          <w:sz w:val="26"/>
          <w:szCs w:val="26"/>
        </w:rPr>
      </w:pPr>
    </w:p>
    <w:p w14:paraId="22A6168C" w14:textId="54810FB6" w:rsidR="000E2223" w:rsidRPr="003A115E" w:rsidRDefault="004E6EFC" w:rsidP="0072368F">
      <w:pPr>
        <w:pStyle w:val="texto"/>
        <w:spacing w:before="480" w:after="0"/>
        <w:ind w:firstLine="0"/>
        <w:jc w:val="center"/>
        <w:rPr>
          <w:i/>
          <w:sz w:val="24"/>
        </w:rPr>
      </w:pPr>
      <w:r w:rsidRPr="003A115E">
        <w:rPr>
          <w:i/>
          <w:sz w:val="24"/>
        </w:rPr>
        <w:t xml:space="preserve"> </w:t>
      </w:r>
    </w:p>
    <w:p w14:paraId="4C65A633" w14:textId="05476FC2" w:rsidR="000E2223" w:rsidRPr="003A115E" w:rsidRDefault="000E2223">
      <w:pPr>
        <w:rPr>
          <w:i/>
        </w:rPr>
      </w:pPr>
      <w:r w:rsidRPr="003A115E">
        <w:rPr>
          <w:i/>
        </w:rPr>
        <w:br w:type="page"/>
      </w:r>
    </w:p>
    <w:p w14:paraId="209723BF" w14:textId="001322ED" w:rsidR="00BD0765" w:rsidRPr="003A115E" w:rsidRDefault="00BD0765">
      <w:pPr>
        <w:rPr>
          <w:i/>
        </w:rPr>
      </w:pPr>
    </w:p>
    <w:p w14:paraId="792F8402" w14:textId="3F4FF0DD" w:rsidR="00BD0765" w:rsidRPr="003A115E" w:rsidRDefault="00BD0765">
      <w:pPr>
        <w:rPr>
          <w:i/>
        </w:rPr>
      </w:pPr>
    </w:p>
    <w:p w14:paraId="78D82187" w14:textId="7F8AEA3D" w:rsidR="00BD0765" w:rsidRPr="003A115E" w:rsidRDefault="00BD0765">
      <w:pPr>
        <w:rPr>
          <w:i/>
        </w:rPr>
      </w:pPr>
    </w:p>
    <w:p w14:paraId="0F49192E" w14:textId="753D57DF" w:rsidR="00BD0765" w:rsidRPr="003A115E" w:rsidRDefault="00BD0765">
      <w:pPr>
        <w:rPr>
          <w:i/>
        </w:rPr>
      </w:pPr>
    </w:p>
    <w:p w14:paraId="4D60FAF9" w14:textId="062F0506" w:rsidR="00BD0765" w:rsidRPr="003A115E" w:rsidRDefault="00BD0765">
      <w:pPr>
        <w:rPr>
          <w:i/>
        </w:rPr>
      </w:pPr>
    </w:p>
    <w:p w14:paraId="54E07226" w14:textId="77777777" w:rsidR="00BD0765" w:rsidRPr="003A115E" w:rsidRDefault="00BD0765">
      <w:pPr>
        <w:rPr>
          <w:i/>
        </w:rPr>
      </w:pPr>
    </w:p>
    <w:p w14:paraId="7CECDFF1" w14:textId="6A09ABFB" w:rsidR="00BD0765" w:rsidRPr="003A115E" w:rsidRDefault="00BD0765">
      <w:pPr>
        <w:rPr>
          <w:i/>
        </w:rPr>
      </w:pPr>
    </w:p>
    <w:p w14:paraId="10179FC4" w14:textId="08AF523E" w:rsidR="00BD0765" w:rsidRPr="003A115E" w:rsidRDefault="00BD0765">
      <w:pPr>
        <w:rPr>
          <w:i/>
        </w:rPr>
      </w:pPr>
    </w:p>
    <w:p w14:paraId="48F2C899" w14:textId="2EF251B9" w:rsidR="00BD0765" w:rsidRPr="003A115E" w:rsidRDefault="00BD0765">
      <w:pPr>
        <w:rPr>
          <w:i/>
        </w:rPr>
      </w:pPr>
    </w:p>
    <w:p w14:paraId="2135DFAE" w14:textId="4A4DCEE2" w:rsidR="00BD0765" w:rsidRPr="003A115E" w:rsidRDefault="00BD0765">
      <w:pPr>
        <w:rPr>
          <w:i/>
        </w:rPr>
      </w:pPr>
    </w:p>
    <w:p w14:paraId="41133D93" w14:textId="096A9085" w:rsidR="00BD0765" w:rsidRPr="003A115E" w:rsidRDefault="00FA5CD7" w:rsidP="00287097">
      <w:pPr>
        <w:pStyle w:val="Ttulo1"/>
        <w:jc w:val="right"/>
      </w:pPr>
      <w:bookmarkStart w:id="99" w:name="_Toc183679762"/>
      <w:r>
        <w:t>Anexos</w:t>
      </w:r>
      <w:bookmarkEnd w:id="99"/>
    </w:p>
    <w:p w14:paraId="26068D58" w14:textId="3484A3AE" w:rsidR="00BD0765" w:rsidRPr="003A115E" w:rsidRDefault="00BD0765">
      <w:pPr>
        <w:rPr>
          <w:i/>
        </w:rPr>
      </w:pPr>
    </w:p>
    <w:p w14:paraId="5F8815D0" w14:textId="3CF8B558" w:rsidR="00BD0765" w:rsidRPr="003A115E" w:rsidRDefault="00BD0765">
      <w:pPr>
        <w:rPr>
          <w:i/>
        </w:rPr>
      </w:pPr>
    </w:p>
    <w:p w14:paraId="2C51B2FB" w14:textId="2EDCAE76" w:rsidR="00BD0765" w:rsidRPr="003A115E" w:rsidRDefault="00BD0765">
      <w:pPr>
        <w:rPr>
          <w:i/>
        </w:rPr>
      </w:pPr>
    </w:p>
    <w:p w14:paraId="631DB6FD" w14:textId="003B287D" w:rsidR="00BD0765" w:rsidRPr="003A115E" w:rsidRDefault="00BD0765">
      <w:pPr>
        <w:rPr>
          <w:i/>
        </w:rPr>
      </w:pPr>
    </w:p>
    <w:p w14:paraId="788CFEFA" w14:textId="2615DE16" w:rsidR="00BD0765" w:rsidRPr="003A115E" w:rsidRDefault="00BD0765">
      <w:pPr>
        <w:rPr>
          <w:i/>
        </w:rPr>
      </w:pPr>
    </w:p>
    <w:p w14:paraId="2FF5A804" w14:textId="749A6731" w:rsidR="00BD0765" w:rsidRPr="003A115E" w:rsidRDefault="00BD0765">
      <w:pPr>
        <w:rPr>
          <w:i/>
        </w:rPr>
      </w:pPr>
    </w:p>
    <w:p w14:paraId="6275CB3E" w14:textId="2D63D976" w:rsidR="00BD0765" w:rsidRPr="003A115E" w:rsidRDefault="00BD0765">
      <w:pPr>
        <w:rPr>
          <w:i/>
        </w:rPr>
      </w:pPr>
    </w:p>
    <w:p w14:paraId="6A9A61FA" w14:textId="05178B74" w:rsidR="00BD0765" w:rsidRPr="003A115E" w:rsidRDefault="00BD0765">
      <w:pPr>
        <w:rPr>
          <w:i/>
        </w:rPr>
      </w:pPr>
    </w:p>
    <w:p w14:paraId="734D95F6" w14:textId="1249CBEE" w:rsidR="00BD0765" w:rsidRPr="003A115E" w:rsidRDefault="00BD0765">
      <w:pPr>
        <w:rPr>
          <w:i/>
        </w:rPr>
      </w:pPr>
    </w:p>
    <w:p w14:paraId="342126D4" w14:textId="696548CA" w:rsidR="00BD0765" w:rsidRPr="003A115E" w:rsidRDefault="00BD0765">
      <w:pPr>
        <w:rPr>
          <w:i/>
        </w:rPr>
      </w:pPr>
    </w:p>
    <w:p w14:paraId="6DA652E8" w14:textId="11513FB0" w:rsidR="00BD0765" w:rsidRPr="003A115E" w:rsidRDefault="00BD0765">
      <w:pPr>
        <w:rPr>
          <w:i/>
        </w:rPr>
      </w:pPr>
    </w:p>
    <w:p w14:paraId="75050B17" w14:textId="1F731361" w:rsidR="00BD0765" w:rsidRPr="003A115E" w:rsidRDefault="00BD0765">
      <w:pPr>
        <w:rPr>
          <w:i/>
        </w:rPr>
      </w:pPr>
    </w:p>
    <w:p w14:paraId="1CBB26DD" w14:textId="44E95BD4" w:rsidR="00BD0765" w:rsidRPr="003A115E" w:rsidRDefault="00BD0765">
      <w:pPr>
        <w:rPr>
          <w:i/>
        </w:rPr>
      </w:pPr>
    </w:p>
    <w:p w14:paraId="4774A1A4" w14:textId="5931A7D3" w:rsidR="00BD0765" w:rsidRPr="003A115E" w:rsidRDefault="00BD0765">
      <w:pPr>
        <w:rPr>
          <w:i/>
        </w:rPr>
      </w:pPr>
    </w:p>
    <w:p w14:paraId="61003A58" w14:textId="2409EF11" w:rsidR="00BD0765" w:rsidRPr="003A115E" w:rsidRDefault="00BD0765">
      <w:pPr>
        <w:rPr>
          <w:i/>
        </w:rPr>
      </w:pPr>
    </w:p>
    <w:p w14:paraId="2C25186C" w14:textId="3937F885" w:rsidR="00BD0765" w:rsidRPr="003A115E" w:rsidRDefault="00BD0765">
      <w:pPr>
        <w:rPr>
          <w:i/>
        </w:rPr>
      </w:pPr>
    </w:p>
    <w:p w14:paraId="3345D5AB" w14:textId="310A6867" w:rsidR="00BD0765" w:rsidRPr="003A115E" w:rsidRDefault="00BD0765">
      <w:pPr>
        <w:rPr>
          <w:i/>
        </w:rPr>
      </w:pPr>
    </w:p>
    <w:p w14:paraId="7753FE86" w14:textId="4A217A89" w:rsidR="00BD0765" w:rsidRPr="003A115E" w:rsidRDefault="00BD0765">
      <w:pPr>
        <w:rPr>
          <w:i/>
        </w:rPr>
      </w:pPr>
    </w:p>
    <w:p w14:paraId="0166C106" w14:textId="436490DD" w:rsidR="00BD0765" w:rsidRPr="003A115E" w:rsidRDefault="00BD0765">
      <w:pPr>
        <w:rPr>
          <w:i/>
        </w:rPr>
      </w:pPr>
    </w:p>
    <w:p w14:paraId="041650AC" w14:textId="3D515B57" w:rsidR="00BD0765" w:rsidRPr="003A115E" w:rsidRDefault="00BD0765">
      <w:pPr>
        <w:rPr>
          <w:i/>
        </w:rPr>
      </w:pPr>
    </w:p>
    <w:p w14:paraId="7529F8E3" w14:textId="0EF33A0E" w:rsidR="00BD0765" w:rsidRPr="003A115E" w:rsidRDefault="00BD0765">
      <w:pPr>
        <w:rPr>
          <w:i/>
        </w:rPr>
      </w:pPr>
    </w:p>
    <w:p w14:paraId="2406F2A5" w14:textId="0CC40AC2" w:rsidR="00BD0765" w:rsidRPr="003A115E" w:rsidRDefault="00BD0765">
      <w:pPr>
        <w:rPr>
          <w:i/>
        </w:rPr>
      </w:pPr>
    </w:p>
    <w:p w14:paraId="57DD6927" w14:textId="27B396FB" w:rsidR="00BD0765" w:rsidRPr="003A115E" w:rsidRDefault="00BD0765">
      <w:pPr>
        <w:rPr>
          <w:i/>
        </w:rPr>
      </w:pPr>
    </w:p>
    <w:p w14:paraId="2FB3D016" w14:textId="520B5AAF" w:rsidR="00BD0765" w:rsidRPr="003A115E" w:rsidRDefault="00BD0765">
      <w:pPr>
        <w:rPr>
          <w:i/>
        </w:rPr>
      </w:pPr>
    </w:p>
    <w:p w14:paraId="18A2C9B0" w14:textId="65F1C23A" w:rsidR="00BD0765" w:rsidRPr="003A115E" w:rsidRDefault="00BD0765">
      <w:pPr>
        <w:rPr>
          <w:i/>
        </w:rPr>
      </w:pPr>
    </w:p>
    <w:p w14:paraId="06B51446" w14:textId="5B05EE1F" w:rsidR="00BD0765" w:rsidRPr="003A115E" w:rsidRDefault="00BD0765">
      <w:pPr>
        <w:rPr>
          <w:i/>
        </w:rPr>
      </w:pPr>
    </w:p>
    <w:p w14:paraId="0D8CF34E" w14:textId="26B0D051" w:rsidR="00BD0765" w:rsidRPr="003A115E" w:rsidRDefault="00BD0765">
      <w:pPr>
        <w:rPr>
          <w:i/>
        </w:rPr>
      </w:pPr>
    </w:p>
    <w:p w14:paraId="68348DF0" w14:textId="4EF702BE" w:rsidR="00BD0765" w:rsidRPr="003A115E" w:rsidRDefault="00BD0765">
      <w:pPr>
        <w:rPr>
          <w:i/>
        </w:rPr>
      </w:pPr>
    </w:p>
    <w:p w14:paraId="753103D5" w14:textId="19E180F4" w:rsidR="00BD0765" w:rsidRPr="003A115E" w:rsidRDefault="00BD0765">
      <w:pPr>
        <w:rPr>
          <w:i/>
        </w:rPr>
      </w:pPr>
    </w:p>
    <w:p w14:paraId="7B1CD8F1" w14:textId="588D988E" w:rsidR="00BD0765" w:rsidRPr="003A115E" w:rsidRDefault="00BD0765">
      <w:pPr>
        <w:rPr>
          <w:i/>
        </w:rPr>
      </w:pPr>
    </w:p>
    <w:p w14:paraId="4B225DC5" w14:textId="33D74E7E" w:rsidR="00BD0765" w:rsidRPr="003A115E" w:rsidRDefault="00BD0765">
      <w:pPr>
        <w:rPr>
          <w:i/>
        </w:rPr>
      </w:pPr>
    </w:p>
    <w:p w14:paraId="65EB0295" w14:textId="47A132C7" w:rsidR="00BD0765" w:rsidRPr="003A115E" w:rsidRDefault="00BD0765">
      <w:pPr>
        <w:rPr>
          <w:i/>
        </w:rPr>
      </w:pPr>
    </w:p>
    <w:p w14:paraId="611ED56D" w14:textId="23509AD9" w:rsidR="00BD0765" w:rsidRPr="003A115E" w:rsidRDefault="00BD0765">
      <w:pPr>
        <w:rPr>
          <w:i/>
          <w:spacing w:val="6"/>
          <w:lang w:val="es-ES_tradnl" w:eastAsia="en-US"/>
        </w:rPr>
      </w:pPr>
    </w:p>
    <w:p w14:paraId="5975D187" w14:textId="77777777" w:rsidR="00345C6C" w:rsidRPr="003A115E" w:rsidRDefault="00345C6C" w:rsidP="00345C6C">
      <w:pPr>
        <w:pStyle w:val="atitulo1"/>
        <w:rPr>
          <w:color w:val="auto"/>
          <w:sz w:val="28"/>
          <w:szCs w:val="28"/>
        </w:rPr>
      </w:pPr>
      <w:bookmarkStart w:id="100" w:name="_Toc529773890"/>
      <w:bookmarkStart w:id="101" w:name="_Toc24100150"/>
      <w:bookmarkStart w:id="102" w:name="_Toc52348328"/>
      <w:bookmarkStart w:id="103" w:name="_Toc183679763"/>
      <w:r w:rsidRPr="003A115E">
        <w:rPr>
          <w:color w:val="auto"/>
          <w:sz w:val="28"/>
          <w:szCs w:val="28"/>
        </w:rPr>
        <w:lastRenderedPageBreak/>
        <w:t xml:space="preserve">Anexo </w:t>
      </w:r>
      <w:r w:rsidR="00C84D07" w:rsidRPr="003A115E">
        <w:rPr>
          <w:color w:val="auto"/>
          <w:sz w:val="28"/>
          <w:szCs w:val="28"/>
        </w:rPr>
        <w:t>I</w:t>
      </w:r>
      <w:r w:rsidRPr="003A115E">
        <w:rPr>
          <w:color w:val="auto"/>
          <w:sz w:val="28"/>
          <w:szCs w:val="28"/>
        </w:rPr>
        <w:t>. Normativa aplicable a las entidades locales</w:t>
      </w:r>
      <w:bookmarkEnd w:id="100"/>
      <w:bookmarkEnd w:id="101"/>
      <w:bookmarkEnd w:id="102"/>
      <w:bookmarkEnd w:id="103"/>
    </w:p>
    <w:p w14:paraId="1FDC9EA8" w14:textId="385EDEC9" w:rsidR="00221319" w:rsidRPr="003A115E" w:rsidRDefault="00221319" w:rsidP="00CC28BD">
      <w:pPr>
        <w:pStyle w:val="texto"/>
        <w:rPr>
          <w:sz w:val="24"/>
        </w:rPr>
      </w:pPr>
      <w:r w:rsidRPr="003A115E">
        <w:t>Además de las ya citadas en el apartado IV.3 de este informe, en 2022 se han aprobado las siguientes normas relevantes de aplicación en el sector público local</w:t>
      </w:r>
      <w:r w:rsidR="003D0BFE" w:rsidRPr="003A115E">
        <w:t xml:space="preserve"> </w:t>
      </w:r>
      <w:r w:rsidRPr="003A115E">
        <w:rPr>
          <w:sz w:val="24"/>
        </w:rPr>
        <w:t>de Navarra:</w:t>
      </w:r>
    </w:p>
    <w:p w14:paraId="5EB1572B" w14:textId="6EC8DF86" w:rsidR="003D0BFE" w:rsidRPr="003A115E" w:rsidRDefault="003D0BFE" w:rsidP="00CC28BD">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89"/>
        <w:rPr>
          <w:szCs w:val="26"/>
        </w:rPr>
      </w:pPr>
      <w:r w:rsidRPr="003A115E">
        <w:rPr>
          <w:szCs w:val="26"/>
        </w:rPr>
        <w:t>A</w:t>
      </w:r>
      <w:r w:rsidR="000E2223" w:rsidRPr="003A115E">
        <w:rPr>
          <w:szCs w:val="26"/>
        </w:rPr>
        <w:t>c</w:t>
      </w:r>
      <w:r w:rsidRPr="003A115E">
        <w:rPr>
          <w:szCs w:val="26"/>
        </w:rPr>
        <w:t>uerdo del Congreso de los Diputados, de 22 de septiembre de 2022, por el que aprecia la existencia de una situación de emergencia extraordinaria que justifica mantener la suspensión de las reglas fiscales en 2023</w:t>
      </w:r>
    </w:p>
    <w:p w14:paraId="65872BDB" w14:textId="77777777" w:rsidR="003D0BFE" w:rsidRPr="003A115E" w:rsidRDefault="003D0BFE" w:rsidP="000E2223">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Ley Foral 13/2022, de 12 de mayo, de concesión de un crédito extraordinario, por un importe total de 4.761.112 euros, para la financiación de las necesidades de varios departamentos del Gobierno de Navarra y de los municipios y concejos de la Comunidad Foral de Navarra afectados por las consecuencias económicas de la guerra en Ucrania.</w:t>
      </w:r>
    </w:p>
    <w:p w14:paraId="0DAA5856" w14:textId="77777777" w:rsidR="003D0BFE" w:rsidRPr="003A115E" w:rsidRDefault="003D0BFE" w:rsidP="003D0BFE">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Ley Foral 19/2022, de 1 de julio, de medidas para la realización de los procesos de estabilización derivados de la Ley 20/2021, de 28 de diciembre, de medidas urgentes para la reducción de la temporalidad en el empleo público, en las Administraciones Públicas de Navarra.</w:t>
      </w:r>
    </w:p>
    <w:p w14:paraId="68B9349F" w14:textId="77777777" w:rsidR="003D0BFE" w:rsidRPr="003A115E" w:rsidRDefault="003D0BFE" w:rsidP="003D0BFE">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Ley Foral 35/2022, de 28 de diciembre, de Presupuestos Generales de Navarra para el año 2023.</w:t>
      </w:r>
    </w:p>
    <w:p w14:paraId="2424A54F" w14:textId="77777777" w:rsidR="003D0BFE" w:rsidRPr="003A115E" w:rsidRDefault="003D0BFE" w:rsidP="003D0BFE">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Ley Foral 36/2022, de 28 de diciembre, de modificación de diversos impuestos y otras medidas tributarias.</w:t>
      </w:r>
    </w:p>
    <w:p w14:paraId="459F4D36" w14:textId="234427B6" w:rsidR="00E2078D" w:rsidRPr="003A115E" w:rsidRDefault="003D0BFE" w:rsidP="00076D17">
      <w:pPr>
        <w:pStyle w:val="texto"/>
        <w:numPr>
          <w:ilvl w:val="0"/>
          <w:numId w:val="50"/>
        </w:numPr>
        <w:tabs>
          <w:tab w:val="clear" w:pos="2835"/>
          <w:tab w:val="clear" w:pos="3969"/>
          <w:tab w:val="clear" w:pos="5103"/>
          <w:tab w:val="clear" w:pos="6237"/>
          <w:tab w:val="clear" w:pos="7371"/>
          <w:tab w:val="left" w:pos="480"/>
          <w:tab w:val="num" w:pos="600"/>
          <w:tab w:val="num" w:pos="720"/>
        </w:tabs>
        <w:spacing w:after="240"/>
        <w:ind w:left="0" w:firstLine="289"/>
        <w:rPr>
          <w:szCs w:val="26"/>
        </w:rPr>
      </w:pPr>
      <w:r w:rsidRPr="003A115E">
        <w:rPr>
          <w:szCs w:val="26"/>
        </w:rPr>
        <w:t>Decreto Foral 98/2022, de 16 de noviembre, por el que se regula el régimen de ayudas para la elaboración de planeamiento urbanístico municipal.</w:t>
      </w:r>
    </w:p>
    <w:p w14:paraId="5DF941A0" w14:textId="02B90BB7" w:rsidR="00DA0F30" w:rsidRPr="003A115E" w:rsidRDefault="00DA0F30" w:rsidP="002F258C">
      <w:pPr>
        <w:pStyle w:val="atitulo1"/>
        <w:rPr>
          <w:color w:val="auto"/>
        </w:rPr>
      </w:pPr>
      <w:bookmarkStart w:id="104" w:name="_Toc183679764"/>
      <w:r w:rsidRPr="003A115E">
        <w:rPr>
          <w:color w:val="auto"/>
        </w:rPr>
        <w:t>Principales normas aplicables al sector público local de Navarra en 202</w:t>
      </w:r>
      <w:r w:rsidR="00417A7A" w:rsidRPr="003A115E">
        <w:rPr>
          <w:color w:val="auto"/>
        </w:rPr>
        <w:t>2</w:t>
      </w:r>
      <w:bookmarkEnd w:id="104"/>
    </w:p>
    <w:p w14:paraId="34184729" w14:textId="77777777" w:rsidR="00BB7161" w:rsidRPr="003A115E" w:rsidRDefault="00BB7161" w:rsidP="009B1BC5">
      <w:pPr>
        <w:pStyle w:val="texto"/>
        <w:spacing w:before="240"/>
        <w:ind w:firstLine="0"/>
        <w:rPr>
          <w:b/>
        </w:rPr>
      </w:pPr>
      <w:r w:rsidRPr="003A115E">
        <w:rPr>
          <w:b/>
        </w:rPr>
        <w:t xml:space="preserve">a) Administración y régimen local </w:t>
      </w:r>
    </w:p>
    <w:p w14:paraId="30E43C4C"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Constitución Española.</w:t>
      </w:r>
    </w:p>
    <w:p w14:paraId="3EEA01CE"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Ley Orgánica 13/1982, de 10 de agosto, de Reintegración y Amejoramiento del Régimen Foral de Navarra.</w:t>
      </w:r>
    </w:p>
    <w:p w14:paraId="32541FA4"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Ley 7/1985, de 2 de abril, Reguladora de las Bases del Régimen Local.</w:t>
      </w:r>
    </w:p>
    <w:p w14:paraId="45824E2A"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Ley 19/2013, de 9 de diciembre, de Transparencia, acceso a la Información pública y buen gobierno.</w:t>
      </w:r>
    </w:p>
    <w:p w14:paraId="32FD7AF3"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Ley 39/2015, de 1 de octubre, del Procedimiento Administrativo Común de las Administraciones Públicas.</w:t>
      </w:r>
    </w:p>
    <w:p w14:paraId="41628003"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Ley 40/2015, de 1 de octubre, de Régimen Jurídico del Sector Público.</w:t>
      </w:r>
    </w:p>
    <w:p w14:paraId="60FB911A"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 xml:space="preserve">Real Decreto 203/2021, de 30 de marzo, por el que se aprueba el Reglamento de actuación y funcionamiento del Sector Público por medios electrónicos. </w:t>
      </w:r>
    </w:p>
    <w:p w14:paraId="2DFA8DC7"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lastRenderedPageBreak/>
        <w:t>Ley Foral 6/1990, de 2 de julio, de la Administración Local de Navarra.</w:t>
      </w:r>
    </w:p>
    <w:p w14:paraId="001DE463"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Ley Foral 5/2018, de 17 de mayo, de Transparencia, acceso a la información pública y buen gobierno.</w:t>
      </w:r>
    </w:p>
    <w:p w14:paraId="15CF5C52"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Ley Foral 7/2018, de 17 de mayo, de creación de la Oficina de Buenas Prácticas y Anticorrupción de la Comunidad Foral de Navarra.</w:t>
      </w:r>
    </w:p>
    <w:p w14:paraId="03D0319C"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Ley Foral 4/2019, de 4 de febrero, de reforma de la Administración Local de Navarra</w:t>
      </w:r>
    </w:p>
    <w:p w14:paraId="650BD2FC"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Ley Foral 12/2019, de 22 de marzo, de Participación Democrática de Navarra.</w:t>
      </w:r>
    </w:p>
    <w:p w14:paraId="11A9F8EC"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Ley Foral 17/2019, de 4 de abril, de Igualdad entre mujeres y hombres.</w:t>
      </w:r>
    </w:p>
    <w:p w14:paraId="40BF3460"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Ley Foral 31/2022, de 28 de noviembre, de atención a las personas con discapacidad en Navarra y garantía de sus derechos.</w:t>
      </w:r>
    </w:p>
    <w:p w14:paraId="02491B06"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pPr>
      <w:r w:rsidRPr="003A115E">
        <w:rPr>
          <w:lang w:val="es-ES"/>
        </w:rPr>
        <w:t>Orden Foral 84/2017, de la Consejera de Desarrollo Rural, Medio Ambiente y Administración Local, por la que se regula la forma de aplicación de la cláusula social prevista en el artículo 20 de la Ley Foral 18/2016, de 13 de diciembre, reguladora del Plan de Inversiones Locales 2017-2019.</w:t>
      </w:r>
    </w:p>
    <w:p w14:paraId="6ABE4C7F" w14:textId="77777777" w:rsidR="00BB7161" w:rsidRPr="003A115E" w:rsidRDefault="00BB7161" w:rsidP="00BB7161">
      <w:pPr>
        <w:pStyle w:val="texto"/>
        <w:spacing w:before="240"/>
        <w:ind w:firstLine="0"/>
        <w:rPr>
          <w:b/>
          <w:szCs w:val="26"/>
        </w:rPr>
      </w:pPr>
      <w:r w:rsidRPr="003A115E">
        <w:rPr>
          <w:b/>
          <w:szCs w:val="26"/>
        </w:rPr>
        <w:t xml:space="preserve">b) Régimen económico, presupuestario y contable </w:t>
      </w:r>
    </w:p>
    <w:p w14:paraId="25BBDA29"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Plan General de Contabilidad Pública adaptado a la Administración Local, aprobado por Orden Ministerial, de 17 de julio de 1990, del Ministerio de Economía y Hacienda, aplicable según dispone la regla 425 de la Instrucción General de Contabilidad, aprobada por Decreto Foral 272/1998, de 21 de septiembre.</w:t>
      </w:r>
    </w:p>
    <w:p w14:paraId="32AD2A97"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 xml:space="preserve">Ley Foral 2/1995, de 10 de marzo, de Haciendas Locales de Navarra. </w:t>
      </w:r>
    </w:p>
    <w:p w14:paraId="3847B893"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Ley Foral 7/1996, de 28 de mayo, de tarifas e instrucción del Impuesto sobre Actividades Económicas (IAE).</w:t>
      </w:r>
    </w:p>
    <w:p w14:paraId="3280B173"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Ley Foral 12/2006, de 21 de noviembre, del Registro de la Riqueza Territorial y de los Catastros de Navarra.</w:t>
      </w:r>
    </w:p>
    <w:p w14:paraId="0E245EA6" w14:textId="0484E147" w:rsidR="001D5AC6" w:rsidRPr="003A115E" w:rsidRDefault="001D5AC6" w:rsidP="0DF82E94">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lang w:val="es-ES"/>
        </w:rPr>
      </w:pPr>
      <w:r w:rsidRPr="003A115E">
        <w:rPr>
          <w:lang w:val="es-ES"/>
        </w:rPr>
        <w:t>Ley Foral 18/2016, de 13 de diciembre, reguladora del Plan de Inversiones Locales 2017-2019</w:t>
      </w:r>
      <w:r w:rsidR="679FFFD0" w:rsidRPr="003A115E">
        <w:rPr>
          <w:lang w:val="es-ES"/>
        </w:rPr>
        <w:t>, que su vigencia ha sido prorrogada posteriormente hasta la fecha correspondiente.</w:t>
      </w:r>
    </w:p>
    <w:p w14:paraId="2282B4BA" w14:textId="77777777"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Ley Foral 18/2021, de 29 de diciembre, de Presupuestos Generales de Navarra para el año 2022.</w:t>
      </w:r>
    </w:p>
    <w:p w14:paraId="0B5BFDF1" w14:textId="70A936C4" w:rsidR="001D5AC6" w:rsidRPr="003A115E" w:rsidRDefault="001D5AC6" w:rsidP="001D5AC6">
      <w:pPr>
        <w:pStyle w:val="texto"/>
        <w:numPr>
          <w:ilvl w:val="0"/>
          <w:numId w:val="50"/>
        </w:numPr>
        <w:tabs>
          <w:tab w:val="clear" w:pos="2835"/>
          <w:tab w:val="clear" w:pos="3969"/>
          <w:tab w:val="clear" w:pos="5103"/>
          <w:tab w:val="clear" w:pos="6237"/>
          <w:tab w:val="clear" w:pos="7371"/>
          <w:tab w:val="left" w:pos="480"/>
          <w:tab w:val="num" w:pos="600"/>
          <w:tab w:val="num" w:pos="720"/>
        </w:tabs>
        <w:ind w:left="0" w:firstLine="290"/>
        <w:rPr>
          <w:szCs w:val="26"/>
        </w:rPr>
      </w:pPr>
      <w:r w:rsidRPr="003A115E">
        <w:rPr>
          <w:szCs w:val="26"/>
        </w:rPr>
        <w:t>Decreto Foral 270/1998, de 21 de septiembre, Decreto Foral 234/2015 de 23 de septiembre, Decreto Foral 272/1998 y Decreto Foral 273/1998, de 21 de septiembre, de presupuesto y gasto público, de estructura presupuestaria, de aprobación de la Instrucción General de Contabilidad General y de Contabilidad Simplificada para la Administración Local de Navarra, respectivamente.</w:t>
      </w:r>
    </w:p>
    <w:p w14:paraId="0A7EE84D" w14:textId="77777777" w:rsidR="00BB7161" w:rsidRPr="003A115E" w:rsidRDefault="00BB7161" w:rsidP="00CC28BD">
      <w:pPr>
        <w:pStyle w:val="texto"/>
        <w:tabs>
          <w:tab w:val="clear" w:pos="2835"/>
          <w:tab w:val="clear" w:pos="3969"/>
          <w:tab w:val="clear" w:pos="5103"/>
          <w:tab w:val="clear" w:pos="6237"/>
          <w:tab w:val="clear" w:pos="7371"/>
          <w:tab w:val="left" w:pos="480"/>
          <w:tab w:val="num" w:pos="720"/>
          <w:tab w:val="num" w:pos="786"/>
        </w:tabs>
        <w:spacing w:before="240" w:after="240"/>
        <w:ind w:firstLine="0"/>
        <w:rPr>
          <w:b/>
          <w:szCs w:val="26"/>
        </w:rPr>
      </w:pPr>
      <w:r w:rsidRPr="003A115E">
        <w:rPr>
          <w:b/>
          <w:szCs w:val="26"/>
        </w:rPr>
        <w:lastRenderedPageBreak/>
        <w:t xml:space="preserve">c) Estabilidad presupuestaria y sostenibilidad financiera </w:t>
      </w:r>
    </w:p>
    <w:p w14:paraId="192437F0"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rsidRPr="003A115E">
        <w:t>Ley Orgánica 2/2012, de 27 de abril, de Estabilidad Presupuestaria y Sostenibilidad Financiera.</w:t>
      </w:r>
    </w:p>
    <w:p w14:paraId="44A8FF9D"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rsidRPr="003A115E">
        <w:t>Ley Orgánica 9/2013, de 20 de diciembre, de control de la deuda comercial en el sector público.</w:t>
      </w:r>
    </w:p>
    <w:p w14:paraId="56891298"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rsidRPr="003A115E">
        <w:t>Ley Orgánica 6/2015, de 12 de junio, de modificación de la Ley Orgánica 8/1980, de 22 de septiembre, de financiación de las Comunidades Autónomas y de la Ley Orgánica 2/2012, de 27 de abril, de Estabilidad Presupuestaria y Sostenibilidad Financiera.</w:t>
      </w:r>
    </w:p>
    <w:p w14:paraId="7C06CCAA" w14:textId="77777777" w:rsidR="00AE3136" w:rsidRPr="003A115E" w:rsidRDefault="3835E178"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rsidRPr="003A115E">
        <w:t xml:space="preserve">Ley 3/2004, de 29 de diciembre, por la que se establecen medidas de lucha contra la morosidad en las operaciones comerciales. </w:t>
      </w:r>
    </w:p>
    <w:p w14:paraId="79F78EEF"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rsidRPr="003A115E">
        <w:t>Ley 25/2013, de 27 de diciembre, de impulso de la factura electrónica y creación del registro contable de facturas en el Sector Público.</w:t>
      </w:r>
    </w:p>
    <w:p w14:paraId="54F2DA9C"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rsidRPr="003A115E">
        <w:t xml:space="preserve">Ley 27/2013, de 27 de diciembre, de racionalización y sostenibilidad de la Administración Local. </w:t>
      </w:r>
    </w:p>
    <w:p w14:paraId="5CD0528D"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rsidRPr="003A115E">
        <w:t>Real Decreto-ley 8/2013, de 28 de junio, de medidas urgentes contra la morosidad de las administraciones públicas y de apoyo a entidades locales con problemas financieros.</w:t>
      </w:r>
    </w:p>
    <w:p w14:paraId="5BA3162C"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rsidRPr="003A115E">
        <w:t xml:space="preserve">Real Decreto-ley 17/2014, de 26 de diciembre, de medidas de sostenibilidad financiera de las comunidades autónomas y entidades locales y otras de carácter económico. </w:t>
      </w:r>
    </w:p>
    <w:p w14:paraId="0F7E4AB2"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rsidRPr="003A115E">
        <w:t xml:space="preserve">Real Decreto-Ley 10/2019, de 29 de marzo, por el que se prorroga para 2019 el destino del superávit de comunidades autónomas y de las entidades locales para inversiones financieramente sostenibles y se adoptan otras medidas en relación con las funciones del personal de las entidades locales con habilitación de carácter nacional. </w:t>
      </w:r>
    </w:p>
    <w:p w14:paraId="31A3BF5A"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rsidRPr="003A115E">
        <w:t xml:space="preserve">Real Decreto-ley 11/2020, de 31 de marzo, por el que se adoptan medidas urgentes complementarias en el ámbito social y económico para hacer frente al Covid-19. </w:t>
      </w:r>
    </w:p>
    <w:p w14:paraId="638D2DA8"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rsidRPr="003A115E">
        <w:t>Real Decreto-ley 23/2020, de 23 de junio, por el que se aprueban medidas en materia de energía y en otros ámbitos para la reactivación económica.</w:t>
      </w:r>
    </w:p>
    <w:p w14:paraId="26996604"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rsidRPr="003A115E">
        <w:t>Orden HAP/2105/2012, de 1 de octubre, por la que se desarrollan las obligaciones de suministro de información previstas en la Ley Orgánica 2/2012, de 27 de abril, de Estabilidad Presupuestaria y Sostenibilidad Financiera.</w:t>
      </w:r>
    </w:p>
    <w:p w14:paraId="77651D54"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rsidRPr="003A115E">
        <w:lastRenderedPageBreak/>
        <w:t>Resolución de 4 de julio de 2017, de la Secretaría General del Tesoro y Política Financiera, por la que se define el principio de prudencia financiera aplicable a las operaciones de endeudamiento y derivados de las comunidades autónomas y entidades locales.</w:t>
      </w:r>
    </w:p>
    <w:p w14:paraId="249828DE" w14:textId="77777777" w:rsidR="00BB7161" w:rsidRPr="003A115E" w:rsidRDefault="3E974FF2" w:rsidP="001D5AC6">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rsidRPr="003A115E">
        <w:t>Ley Foral 27/2012, de 28 de diciembre, por la que se adoptan en la Comunidad Foral de Navarra medidas para garantizar la estabilidad presupuestaria y de fomento de la competitividad.</w:t>
      </w:r>
    </w:p>
    <w:p w14:paraId="6D373CBF" w14:textId="77777777" w:rsidR="00AE3136" w:rsidRPr="003A115E" w:rsidRDefault="3835E178" w:rsidP="7A999140">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rPr>
          <w:lang w:val="es-ES"/>
        </w:rPr>
      </w:pPr>
      <w:r w:rsidRPr="003A115E">
        <w:rPr>
          <w:lang w:val="es-ES"/>
        </w:rPr>
        <w:t>Resolución 7/2021, de 28 de enero, del Director General de Administración Local y Despoblación, por la que se aprueban las condiciones sobre prudencia financiera que deben cumplir las operaciones de crédito que suscriban las entidades locales de Navarra, así como las operaciones financieras que tengan por objeto activos financieros o la concesión de avales u otra clase de garantías públicas otorgadas por ellas.</w:t>
      </w:r>
    </w:p>
    <w:p w14:paraId="37D21804" w14:textId="77777777" w:rsidR="00BB7161" w:rsidRPr="003A115E" w:rsidRDefault="00BB7161" w:rsidP="00CC28BD">
      <w:pPr>
        <w:pStyle w:val="texto"/>
        <w:tabs>
          <w:tab w:val="clear" w:pos="2835"/>
          <w:tab w:val="clear" w:pos="3969"/>
          <w:tab w:val="clear" w:pos="5103"/>
          <w:tab w:val="clear" w:pos="6237"/>
          <w:tab w:val="clear" w:pos="7371"/>
          <w:tab w:val="left" w:pos="480"/>
          <w:tab w:val="num" w:pos="720"/>
        </w:tabs>
        <w:spacing w:before="240" w:after="240"/>
        <w:ind w:firstLine="0"/>
        <w:rPr>
          <w:b/>
          <w:szCs w:val="26"/>
        </w:rPr>
      </w:pPr>
      <w:r w:rsidRPr="003A115E">
        <w:rPr>
          <w:b/>
          <w:szCs w:val="26"/>
        </w:rPr>
        <w:t xml:space="preserve">d) Contratación administrativa </w:t>
      </w:r>
    </w:p>
    <w:p w14:paraId="4A087591" w14:textId="77777777" w:rsidR="006812B8" w:rsidRPr="003A115E" w:rsidRDefault="01C35578" w:rsidP="3710BB4A">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pPr>
      <w:r w:rsidRPr="003A115E">
        <w:t>Ley Foral 6/2006, de 9 de junio, de contratos públicos (para los contratos cuyos pliegos de cláusulas administrativas particulares o condiciones reguladoras ya estuvieran aprobados a la fecha de entrada en vigor de la Ley Foral 2/2018).</w:t>
      </w:r>
    </w:p>
    <w:p w14:paraId="572699AC" w14:textId="77777777" w:rsidR="00BB7161" w:rsidRPr="003A115E" w:rsidRDefault="3E974FF2" w:rsidP="3710BB4A">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Ley Foral 2/2018, de 13 de abril, de Contratos Públicos.</w:t>
      </w:r>
    </w:p>
    <w:p w14:paraId="30C26396" w14:textId="77777777" w:rsidR="00BB7161" w:rsidRPr="003A115E" w:rsidRDefault="3E974FF2" w:rsidP="00CC28BD">
      <w:pPr>
        <w:pStyle w:val="texto"/>
        <w:spacing w:before="240" w:after="240"/>
        <w:ind w:firstLine="0"/>
        <w:rPr>
          <w:b/>
          <w:bCs/>
        </w:rPr>
      </w:pPr>
      <w:r w:rsidRPr="003A115E">
        <w:rPr>
          <w:b/>
          <w:bCs/>
        </w:rPr>
        <w:t xml:space="preserve">e) Personal  </w:t>
      </w:r>
    </w:p>
    <w:p w14:paraId="20025A04" w14:textId="77777777" w:rsidR="000D1064" w:rsidRPr="003A115E" w:rsidRDefault="000D1064" w:rsidP="000D106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Ley 20/2021, de 28 de diciembre, de medidas urgentes para la reducción de la temporalidad en el empleo público.</w:t>
      </w:r>
    </w:p>
    <w:p w14:paraId="15441C27" w14:textId="77777777" w:rsidR="000D1064" w:rsidRPr="003A115E" w:rsidRDefault="000D1064" w:rsidP="000D106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Ley 22/2021, de 28 de diciembre, de Presupuestos Generales del Estado para el año 2022.</w:t>
      </w:r>
    </w:p>
    <w:p w14:paraId="70F8CFB1" w14:textId="77777777" w:rsidR="000D1064" w:rsidRPr="003A115E" w:rsidRDefault="000D1064" w:rsidP="000D106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Real Decreto Legislativo 2/2015, de 23 de octubre, por el que se aprueba el Texto Refundido de la Ley del Estatuto de los Trabajadores.</w:t>
      </w:r>
    </w:p>
    <w:p w14:paraId="1444BD1A" w14:textId="77777777" w:rsidR="000D1064" w:rsidRPr="003A115E" w:rsidRDefault="000D1064" w:rsidP="000D106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Real Decreto-ley 4/2015, de 22 de marzo, para la reforma urgente del Sistema de Formación Profesional para el Empleo en el ámbito laboral.</w:t>
      </w:r>
    </w:p>
    <w:p w14:paraId="2C175567" w14:textId="77777777" w:rsidR="000D1064" w:rsidRPr="003A115E" w:rsidRDefault="000D1064" w:rsidP="000D106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Ley Foral 23/2018, de 19 de noviembre, de las Policías de Navarra.</w:t>
      </w:r>
    </w:p>
    <w:p w14:paraId="16342AC9" w14:textId="77777777" w:rsidR="000D1064" w:rsidRPr="003A115E" w:rsidRDefault="000D1064" w:rsidP="000D106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Decreto Foral Legislativo 251/1993 de 30 de agosto por el que se aprueba el Texto refundido del Estatuto de Personal al servicio de las Administraciones Públicas de Navarra, así como sus disposiciones de desarrollo.</w:t>
      </w:r>
    </w:p>
    <w:p w14:paraId="6A5A16BE" w14:textId="77777777" w:rsidR="000D1064" w:rsidRPr="003A115E" w:rsidRDefault="000D1064" w:rsidP="000D106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Decreto-ley Foral 10/2020, de 16 de septiembre, por el que se aprueban medidas en materia de personal al servicio de la ACFN de Navarra y sus Organismos Autónomos.</w:t>
      </w:r>
    </w:p>
    <w:p w14:paraId="1D2759EE" w14:textId="77777777" w:rsidR="000D1064" w:rsidRPr="003A115E" w:rsidRDefault="000D1064" w:rsidP="000D106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lastRenderedPageBreak/>
        <w:t>Decreto Foral 158/1984, de 4 de julio, por el que se aprueba el Reglamento Provisional de Retribuciones del Personal al servicio de las Administraciones Públicas de Navarra.</w:t>
      </w:r>
    </w:p>
    <w:p w14:paraId="09B1D050" w14:textId="77777777" w:rsidR="000D1064" w:rsidRPr="003A115E" w:rsidRDefault="000D1064" w:rsidP="000D106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Decreto Foral 113/1985, de 5 de junio, por el que se aprueba el Reglamento de Ingreso en las Administraciones Públicas de Navarra.</w:t>
      </w:r>
    </w:p>
    <w:p w14:paraId="0591402B" w14:textId="77777777" w:rsidR="000D1064" w:rsidRPr="003A115E" w:rsidRDefault="000D1064" w:rsidP="000D106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Decreto Foral 215/1985, de 6 de noviembre, por el que se aprueba el Reglamento de Provisión de puestos de trabajo en las Administraciones Públicas de Navarra.</w:t>
      </w:r>
    </w:p>
    <w:p w14:paraId="30576074" w14:textId="77777777" w:rsidR="000D1064" w:rsidRPr="003A115E" w:rsidRDefault="000D1064" w:rsidP="000D1064">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Decreto Foral 11/2009, de 9 de febrero, por el que se aprueba el Reglamento de vacaciones, licencias y permisos del personal funcionario de las Administraciones Públicas de Navarra.</w:t>
      </w:r>
    </w:p>
    <w:p w14:paraId="5E3925C1" w14:textId="77777777" w:rsidR="00BB7161" w:rsidRPr="003A115E" w:rsidRDefault="00BB7161" w:rsidP="00CC28BD">
      <w:pPr>
        <w:pStyle w:val="texto"/>
        <w:tabs>
          <w:tab w:val="clear" w:pos="2835"/>
          <w:tab w:val="clear" w:pos="3969"/>
          <w:tab w:val="clear" w:pos="5103"/>
          <w:tab w:val="clear" w:pos="6237"/>
          <w:tab w:val="clear" w:pos="7371"/>
          <w:tab w:val="left" w:pos="480"/>
          <w:tab w:val="num" w:pos="720"/>
          <w:tab w:val="num" w:pos="786"/>
        </w:tabs>
        <w:spacing w:before="240" w:after="240"/>
        <w:ind w:firstLine="0"/>
        <w:rPr>
          <w:b/>
          <w:szCs w:val="26"/>
        </w:rPr>
      </w:pPr>
      <w:r w:rsidRPr="003A115E">
        <w:rPr>
          <w:b/>
          <w:szCs w:val="26"/>
        </w:rPr>
        <w:t xml:space="preserve">f) Subvenciones </w:t>
      </w:r>
    </w:p>
    <w:p w14:paraId="4D08550C" w14:textId="77777777" w:rsidR="00BB7161" w:rsidRPr="003A115E" w:rsidRDefault="3E974FF2" w:rsidP="3710BB4A">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Ley 38/2003, de 17 de noviembre, General de Subvenciones.</w:t>
      </w:r>
    </w:p>
    <w:p w14:paraId="1D9648BD" w14:textId="77777777" w:rsidR="00BB7161" w:rsidRPr="003A115E" w:rsidRDefault="3E974FF2" w:rsidP="3710BB4A">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Real Decreto 887/2006 de 21 de julio¸ por el que se aprueba el Reglamento de la Ley 38/2003, de 17 de noviembre, General de Subvenciones.</w:t>
      </w:r>
    </w:p>
    <w:p w14:paraId="75BB1418" w14:textId="77777777" w:rsidR="00BB7161" w:rsidRPr="003A115E" w:rsidRDefault="00BB7161" w:rsidP="00CC28BD">
      <w:pPr>
        <w:pStyle w:val="texto"/>
        <w:tabs>
          <w:tab w:val="clear" w:pos="2835"/>
          <w:tab w:val="clear" w:pos="3969"/>
          <w:tab w:val="clear" w:pos="5103"/>
          <w:tab w:val="clear" w:pos="6237"/>
          <w:tab w:val="clear" w:pos="7371"/>
          <w:tab w:val="left" w:pos="480"/>
          <w:tab w:val="num" w:pos="720"/>
          <w:tab w:val="num" w:pos="786"/>
        </w:tabs>
        <w:spacing w:before="240" w:after="240"/>
        <w:ind w:firstLine="0"/>
        <w:rPr>
          <w:b/>
          <w:szCs w:val="26"/>
        </w:rPr>
      </w:pPr>
      <w:r w:rsidRPr="003A115E">
        <w:rPr>
          <w:b/>
          <w:szCs w:val="26"/>
        </w:rPr>
        <w:t>g) Urbanismo, medioambiente, energía y otras materias</w:t>
      </w:r>
    </w:p>
    <w:p w14:paraId="202C1F4D" w14:textId="77777777" w:rsidR="00817539" w:rsidRPr="003A115E" w:rsidRDefault="00817539" w:rsidP="00817539">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Ley 7/2021, de 20 de mayo, de cambio climático y transición energética.</w:t>
      </w:r>
    </w:p>
    <w:p w14:paraId="57B99EF1" w14:textId="77777777" w:rsidR="00817539" w:rsidRPr="003A115E" w:rsidRDefault="00817539" w:rsidP="00817539">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Ley Foral 7/2003, de 14 de febrero, de Turismo de Navarra.</w:t>
      </w:r>
    </w:p>
    <w:p w14:paraId="071378D1" w14:textId="77777777" w:rsidR="00817539" w:rsidRPr="003A115E" w:rsidRDefault="00817539" w:rsidP="00817539">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Ley Foral 8/2005, de 1 de julio, de protección civil y atención de emergencias de Navarra.</w:t>
      </w:r>
    </w:p>
    <w:p w14:paraId="110EA7AB" w14:textId="77777777" w:rsidR="00817539" w:rsidRPr="003A115E" w:rsidRDefault="00817539" w:rsidP="00817539">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Ley Foral 13/2017, de 16 de noviembre, de conciertos sociales en los ámbitos de Salud y Servicios Sociales.</w:t>
      </w:r>
    </w:p>
    <w:p w14:paraId="7A43185E" w14:textId="77777777" w:rsidR="00817539" w:rsidRPr="003A115E" w:rsidRDefault="00817539" w:rsidP="00817539">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Ley Foral 14/2018, de 18 de junio, de Residuos y su Fiscalidad.</w:t>
      </w:r>
    </w:p>
    <w:p w14:paraId="7B0AD8C3" w14:textId="77777777" w:rsidR="00817539" w:rsidRPr="003A115E" w:rsidRDefault="00817539" w:rsidP="00817539">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 xml:space="preserve">Ley Foral 17/2020, de 16 de diciembre, reguladora de actividades con incidencia ambiental. </w:t>
      </w:r>
    </w:p>
    <w:p w14:paraId="6A2AB28A" w14:textId="55F83140" w:rsidR="00817539" w:rsidRPr="003A115E" w:rsidRDefault="00817539" w:rsidP="00817539">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 xml:space="preserve">Ley Foral 18/2020, de 16 de diciembre, sobre medidas a favor del arraigo empresarial y contra la deslocalización </w:t>
      </w:r>
      <w:r w:rsidR="00240051" w:rsidRPr="003A115E">
        <w:t>empresarial.</w:t>
      </w:r>
    </w:p>
    <w:p w14:paraId="21C6D332" w14:textId="77777777" w:rsidR="00817539" w:rsidRPr="003A115E" w:rsidRDefault="00817539" w:rsidP="00817539">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Decreto Foral Legislativo 1/2017 de 26 de julio, por el que se aprueba el Texto Refundido de la Ley Foral de Ordenación del Territorio y Urbanismo.</w:t>
      </w:r>
    </w:p>
    <w:p w14:paraId="0680DF17" w14:textId="3C1E4E9D" w:rsidR="00BB7161" w:rsidRPr="003A115E" w:rsidRDefault="00817539" w:rsidP="00817539">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Decreto Foral 48/2020, de 15 de julio, por el que se regulan los programas básicos y el sistema de financiación de los servicios sociales de base.</w:t>
      </w:r>
    </w:p>
    <w:p w14:paraId="2D42038E" w14:textId="77777777" w:rsidR="003E5DFC" w:rsidRPr="003A115E" w:rsidRDefault="003E5DFC" w:rsidP="00CC28BD">
      <w:pPr>
        <w:pStyle w:val="texto"/>
        <w:tabs>
          <w:tab w:val="num" w:pos="786"/>
        </w:tabs>
        <w:spacing w:after="240"/>
        <w:ind w:firstLine="0"/>
        <w:rPr>
          <w:b/>
          <w:bCs/>
          <w:lang w:val="es-ES"/>
        </w:rPr>
      </w:pPr>
    </w:p>
    <w:p w14:paraId="403716D3" w14:textId="61E870F3" w:rsidR="00210333" w:rsidRPr="003A115E" w:rsidRDefault="00CA78E5" w:rsidP="00CC28BD">
      <w:pPr>
        <w:pStyle w:val="texto"/>
        <w:tabs>
          <w:tab w:val="num" w:pos="786"/>
        </w:tabs>
        <w:spacing w:after="240"/>
        <w:ind w:firstLine="0"/>
        <w:rPr>
          <w:b/>
          <w:bCs/>
          <w:lang w:val="es-ES"/>
        </w:rPr>
      </w:pPr>
      <w:r w:rsidRPr="003A115E">
        <w:rPr>
          <w:b/>
          <w:bCs/>
          <w:lang w:val="es-ES"/>
        </w:rPr>
        <w:lastRenderedPageBreak/>
        <w:t>h</w:t>
      </w:r>
      <w:r w:rsidR="00210333" w:rsidRPr="003A115E">
        <w:rPr>
          <w:b/>
          <w:bCs/>
          <w:lang w:val="es-ES"/>
        </w:rPr>
        <w:t>) Fondos europeos ‘Next generation’</w:t>
      </w:r>
    </w:p>
    <w:p w14:paraId="498FF06D" w14:textId="77777777" w:rsidR="00CA78E5" w:rsidRPr="003A115E" w:rsidRDefault="00CA78E5" w:rsidP="00CA78E5">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Real Decreto-ley 36/2020, de 30 de diciembre, por el que se aprueban medidas urgentes para la modernización de la Administración Pública y para la ejecución del Plan de Recuperación, Transformación y Resiliencia.</w:t>
      </w:r>
    </w:p>
    <w:p w14:paraId="32075326" w14:textId="77777777" w:rsidR="00CA78E5" w:rsidRPr="003A115E" w:rsidRDefault="00CA78E5" w:rsidP="00CA78E5">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Decreto-Ley Foral 4/2021, de 14 de abril, por el que se aprueban medidas urgentes para la gestión y ejecución de las actuaciones financiables con fondos europeos provenientes del Instrumento Europeo de Recuperación.</w:t>
      </w:r>
    </w:p>
    <w:p w14:paraId="5E0DB291" w14:textId="77777777" w:rsidR="00CA78E5" w:rsidRPr="003A115E" w:rsidRDefault="00CA78E5" w:rsidP="00CA78E5">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ab/>
        <w:t>Orden HFP/1030/2021, de 29 de septiembre, por la que se configura el sistema de gestión del Plan de Recuperación, Transformación y Resiliencia.</w:t>
      </w:r>
    </w:p>
    <w:p w14:paraId="4E8855BE" w14:textId="77777777" w:rsidR="00CA78E5" w:rsidRPr="003A115E" w:rsidRDefault="00CA78E5" w:rsidP="00CA78E5">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Orden HFP/1031/2021, de 29 de septiembre, por la que se establece el procedimiento y formato de la información a proporcionar por las Entidades del Sector Público Estatal, Autonómico y Local para el seguimiento del cumplimiento de hitos y objetivos y de ejecución presupuestaria y contable de las medidas de los componentes del Plan de Recuperación, Transformación y Resiliencia.</w:t>
      </w:r>
    </w:p>
    <w:p w14:paraId="5256D8B0" w14:textId="1E968094" w:rsidR="00210333" w:rsidRPr="003A115E" w:rsidRDefault="00977E2D" w:rsidP="00CC28BD">
      <w:pPr>
        <w:pStyle w:val="texto"/>
        <w:spacing w:before="240" w:after="240"/>
        <w:ind w:firstLine="0"/>
        <w:rPr>
          <w:b/>
          <w:szCs w:val="26"/>
        </w:rPr>
      </w:pPr>
      <w:r w:rsidRPr="003A115E">
        <w:rPr>
          <w:b/>
          <w:szCs w:val="26"/>
        </w:rPr>
        <w:t>i</w:t>
      </w:r>
      <w:r w:rsidR="00210333" w:rsidRPr="003A115E">
        <w:rPr>
          <w:b/>
          <w:szCs w:val="26"/>
        </w:rPr>
        <w:t>) Normativa propia de cada entidad local</w:t>
      </w:r>
    </w:p>
    <w:p w14:paraId="1A487FD2" w14:textId="4E661172" w:rsidR="00210333" w:rsidRPr="003A115E" w:rsidRDefault="480845C8" w:rsidP="3710BB4A">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Bases de ejecución de los presupuestos de</w:t>
      </w:r>
      <w:r w:rsidR="00E2571F" w:rsidRPr="003A115E">
        <w:t xml:space="preserve"> las entidades locales para 2022</w:t>
      </w:r>
      <w:r w:rsidRPr="003A115E">
        <w:t xml:space="preserve">. </w:t>
      </w:r>
    </w:p>
    <w:p w14:paraId="4D1C2C96" w14:textId="77777777" w:rsidR="00210333" w:rsidRPr="003A115E" w:rsidRDefault="480845C8" w:rsidP="3710BB4A">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Ordenanzas y acuerdos reguladores de las tasas y precios públicos.</w:t>
      </w:r>
    </w:p>
    <w:p w14:paraId="339E5571" w14:textId="77777777" w:rsidR="007D68B8" w:rsidRPr="003A115E" w:rsidRDefault="480845C8" w:rsidP="3710BB4A">
      <w:pPr>
        <w:pStyle w:val="texto"/>
        <w:numPr>
          <w:ilvl w:val="0"/>
          <w:numId w:val="2"/>
        </w:numPr>
        <w:tabs>
          <w:tab w:val="clear" w:pos="2835"/>
          <w:tab w:val="clear" w:pos="3969"/>
          <w:tab w:val="clear" w:pos="5103"/>
          <w:tab w:val="clear" w:pos="6237"/>
          <w:tab w:val="clear" w:pos="7371"/>
          <w:tab w:val="left" w:pos="480"/>
          <w:tab w:val="num" w:pos="600"/>
          <w:tab w:val="num" w:pos="720"/>
          <w:tab w:val="num" w:pos="786"/>
          <w:tab w:val="num" w:pos="5606"/>
        </w:tabs>
        <w:ind w:left="0" w:firstLine="290"/>
      </w:pPr>
      <w:r w:rsidRPr="003A115E">
        <w:t>Convenios colectivos específic</w:t>
      </w:r>
      <w:r w:rsidR="0DC6BCBE" w:rsidRPr="003A115E">
        <w:t>os.</w:t>
      </w:r>
    </w:p>
    <w:p w14:paraId="3691E7B2" w14:textId="77777777" w:rsidR="00FB4B12" w:rsidRPr="003A115E" w:rsidRDefault="00FB4B12" w:rsidP="005D1423">
      <w:pPr>
        <w:pStyle w:val="texto"/>
        <w:tabs>
          <w:tab w:val="clear" w:pos="2835"/>
          <w:tab w:val="clear" w:pos="3969"/>
          <w:tab w:val="clear" w:pos="5103"/>
          <w:tab w:val="clear" w:pos="6237"/>
          <w:tab w:val="clear" w:pos="7371"/>
          <w:tab w:val="left" w:pos="480"/>
          <w:tab w:val="num" w:pos="720"/>
          <w:tab w:val="num" w:pos="786"/>
          <w:tab w:val="num" w:pos="5606"/>
        </w:tabs>
        <w:ind w:left="290" w:firstLine="0"/>
        <w:rPr>
          <w:szCs w:val="26"/>
        </w:rPr>
      </w:pPr>
      <w:r w:rsidRPr="003A115E">
        <w:rPr>
          <w:szCs w:val="26"/>
        </w:rPr>
        <w:br w:type="page"/>
      </w:r>
    </w:p>
    <w:p w14:paraId="38645DC7" w14:textId="77777777" w:rsidR="00345C6C" w:rsidRPr="003A115E" w:rsidRDefault="00345C6C" w:rsidP="00F50295">
      <w:pPr>
        <w:pStyle w:val="texto"/>
      </w:pPr>
    </w:p>
    <w:sectPr w:rsidR="00345C6C" w:rsidRPr="003A115E" w:rsidSect="000E5DE1">
      <w:footerReference w:type="default" r:id="rId21"/>
      <w:pgSz w:w="11907" w:h="16840" w:code="9"/>
      <w:pgMar w:top="2109" w:right="1559" w:bottom="1644" w:left="1560"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4CF2E" w14:textId="77777777" w:rsidR="00AA5F62" w:rsidRDefault="00AA5F62">
      <w:r>
        <w:separator/>
      </w:r>
    </w:p>
    <w:p w14:paraId="4D9CE63C" w14:textId="77777777" w:rsidR="00AA5F62" w:rsidRDefault="00AA5F62"/>
    <w:p w14:paraId="1739736D" w14:textId="77777777" w:rsidR="00AA5F62" w:rsidRDefault="00AA5F62"/>
    <w:p w14:paraId="120DD818" w14:textId="77777777" w:rsidR="00AA5F62" w:rsidRDefault="00AA5F62"/>
  </w:endnote>
  <w:endnote w:type="continuationSeparator" w:id="0">
    <w:p w14:paraId="69E63517" w14:textId="77777777" w:rsidR="00AA5F62" w:rsidRDefault="00AA5F62">
      <w:r>
        <w:continuationSeparator/>
      </w:r>
    </w:p>
    <w:p w14:paraId="3F8FA9AB" w14:textId="77777777" w:rsidR="00AA5F62" w:rsidRDefault="00AA5F62"/>
    <w:p w14:paraId="056CD7B2" w14:textId="77777777" w:rsidR="00AA5F62" w:rsidRDefault="00AA5F62"/>
    <w:p w14:paraId="3B9B8196" w14:textId="77777777" w:rsidR="00AA5F62" w:rsidRDefault="00AA5F62"/>
  </w:endnote>
  <w:endnote w:type="continuationNotice" w:id="1">
    <w:p w14:paraId="7DA2D7D4" w14:textId="77777777" w:rsidR="00AA5F62" w:rsidRDefault="00AA5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AA5F62" w:rsidRDefault="00AA5F6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E6DD4E" w14:textId="77777777" w:rsidR="00AA5F62" w:rsidRDefault="00AA5F62" w:rsidP="0059650E">
    <w:pPr>
      <w:pStyle w:val="Piedepgina"/>
      <w:ind w:right="360"/>
    </w:pPr>
  </w:p>
  <w:p w14:paraId="7D3BEE8F" w14:textId="77777777" w:rsidR="00AA5F62" w:rsidRDefault="00AA5F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7B8A3" w14:textId="77777777" w:rsidR="00AA5F62" w:rsidRPr="00F03814" w:rsidRDefault="00AA5F62"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45BACC67" wp14:editId="07777777">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687C6DE0" w14:textId="77777777" w:rsidR="00AA5F62" w:rsidRPr="00F74E38" w:rsidRDefault="00AA5F62" w:rsidP="00F03814">
    <w:pPr>
      <w:pStyle w:val="Piedepgina"/>
      <w:tabs>
        <w:tab w:val="clear" w:pos="4252"/>
        <w:tab w:val="clear" w:pos="8504"/>
        <w:tab w:val="center" w:pos="4560"/>
      </w:tabs>
      <w:ind w:right="360"/>
      <w:jc w:val="left"/>
      <w:rPr>
        <w:rStyle w:val="Nmerodepgina"/>
      </w:rPr>
    </w:pPr>
  </w:p>
  <w:p w14:paraId="5B2F9378" w14:textId="77777777" w:rsidR="00AA5F62" w:rsidRDefault="00AA5F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F4315" w14:textId="77777777" w:rsidR="00AA5F62" w:rsidRDefault="00AA5F62" w:rsidP="0059650E">
    <w:pPr>
      <w:pStyle w:val="Piedepgina"/>
      <w:ind w:right="360"/>
    </w:pPr>
  </w:p>
  <w:p w14:paraId="3CB648E9" w14:textId="77777777" w:rsidR="00AA5F62" w:rsidRDefault="00AA5F6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EAF0A" w14:textId="6ADFFD5C" w:rsidR="00AA5F62" w:rsidRPr="00F03814" w:rsidRDefault="00AA5F6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75C079D" wp14:editId="07777777">
          <wp:extent cx="213100" cy="3714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3254BC2F" w14:textId="77777777" w:rsidR="00AA5F62" w:rsidRDefault="00AA5F6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196EE" w14:textId="336C9C22" w:rsidR="00AA5F62" w:rsidRPr="00F03814" w:rsidRDefault="00AA5F6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023F9B26" wp14:editId="5D2FB8A0">
          <wp:extent cx="213100" cy="3714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E5F52">
      <w:rPr>
        <w:rStyle w:val="Nmerodepgina"/>
        <w:noProof/>
        <w:szCs w:val="24"/>
      </w:rPr>
      <w:t>21</w:t>
    </w:r>
    <w:r w:rsidRPr="001D4F09">
      <w:rPr>
        <w:rStyle w:val="Nmerodepgina"/>
        <w:szCs w:val="24"/>
      </w:rPr>
      <w:fldChar w:fldCharType="end"/>
    </w:r>
    <w:r w:rsidRPr="001D4F09">
      <w:rPr>
        <w:rStyle w:val="Nmerodepgina"/>
        <w:szCs w:val="24"/>
      </w:rPr>
      <w:t xml:space="preserve"> -</w:t>
    </w:r>
  </w:p>
  <w:p w14:paraId="345D818C" w14:textId="77777777" w:rsidR="00AA5F62" w:rsidRDefault="00AA5F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6622F" w14:textId="77777777" w:rsidR="00AA5F62" w:rsidRDefault="00AA5F62" w:rsidP="00736D0B">
      <w:r>
        <w:separator/>
      </w:r>
    </w:p>
  </w:footnote>
  <w:footnote w:type="continuationSeparator" w:id="0">
    <w:p w14:paraId="158A6267" w14:textId="77777777" w:rsidR="00AA5F62" w:rsidRDefault="00AA5F62">
      <w:r>
        <w:continuationSeparator/>
      </w:r>
    </w:p>
    <w:p w14:paraId="78EDD910" w14:textId="77777777" w:rsidR="00AA5F62" w:rsidRDefault="00AA5F62"/>
    <w:p w14:paraId="57AD3E3C" w14:textId="77777777" w:rsidR="00AA5F62" w:rsidRDefault="00AA5F62"/>
    <w:p w14:paraId="2C3974B7" w14:textId="77777777" w:rsidR="00AA5F62" w:rsidRDefault="00AA5F62"/>
  </w:footnote>
  <w:footnote w:type="continuationNotice" w:id="1">
    <w:p w14:paraId="57FCC7C7" w14:textId="77777777" w:rsidR="00AA5F62" w:rsidRDefault="00AA5F62"/>
  </w:footnote>
  <w:footnote w:id="2">
    <w:p w14:paraId="35842BB4" w14:textId="2C027FF4" w:rsidR="00AA5F62" w:rsidRDefault="00AA5F62" w:rsidP="009B5AB3">
      <w:pPr>
        <w:pStyle w:val="Textonotapie"/>
        <w:ind w:firstLine="0"/>
      </w:pPr>
      <w:r>
        <w:rPr>
          <w:rStyle w:val="Refdenotaalpie"/>
        </w:rPr>
        <w:footnoteRef/>
      </w:r>
      <w:r>
        <w:t xml:space="preserve"> Anexo II.</w:t>
      </w:r>
    </w:p>
  </w:footnote>
  <w:footnote w:id="3">
    <w:p w14:paraId="2C80329A" w14:textId="707D7F37" w:rsidR="00AA5F62" w:rsidRDefault="00AA5F62" w:rsidP="00107C61">
      <w:pPr>
        <w:pStyle w:val="Textonotapie"/>
        <w:ind w:firstLine="0"/>
      </w:pPr>
      <w:r w:rsidRPr="0BC76529">
        <w:rPr>
          <w:rStyle w:val="Refdenotaalpie"/>
        </w:rPr>
        <w:footnoteRef/>
      </w:r>
      <w:r>
        <w:t xml:space="preserve"> </w:t>
      </w:r>
      <w:r w:rsidRPr="007A640F">
        <w:rPr>
          <w:lang w:val="es-ES"/>
        </w:rPr>
        <w:t>Fecha de inicio de elaboración del informe de situación financiera del Sector Público Local de Navarra 2022 por parte de la DGALD</w:t>
      </w:r>
      <w:r>
        <w:rPr>
          <w:lang w:val="es-ES"/>
        </w:rPr>
        <w:t>.</w:t>
      </w:r>
    </w:p>
  </w:footnote>
  <w:footnote w:id="4">
    <w:p w14:paraId="51F11F33" w14:textId="15DE302E" w:rsidR="00AA5F62" w:rsidRDefault="00AA5F62" w:rsidP="002B51BC">
      <w:pPr>
        <w:pStyle w:val="Textonotapie"/>
        <w:ind w:firstLine="0"/>
      </w:pPr>
      <w:r>
        <w:rPr>
          <w:rStyle w:val="Refdenotaalpie"/>
        </w:rPr>
        <w:footnoteRef/>
      </w:r>
      <w:r>
        <w:t xml:space="preserve"> Puede verse incrementada por aportaciones adicionales procedentes del remanente de tesorería afecto.</w:t>
      </w:r>
    </w:p>
  </w:footnote>
  <w:footnote w:id="5">
    <w:p w14:paraId="63F2D5F0" w14:textId="590DC804" w:rsidR="00AA5F62" w:rsidRDefault="00AA5F62" w:rsidP="002B51BC">
      <w:pPr>
        <w:pStyle w:val="Textonotapie"/>
        <w:ind w:firstLine="0"/>
      </w:pPr>
      <w:r>
        <w:rPr>
          <w:rStyle w:val="Refdenotaalpie"/>
        </w:rPr>
        <w:footnoteRef/>
      </w:r>
      <w:r>
        <w:t xml:space="preserve"> El efecto de la consolidación supone 91,28 y 98,11 millones de euros en los ingresos y gastos respetivamente.</w:t>
      </w:r>
    </w:p>
  </w:footnote>
  <w:footnote w:id="6">
    <w:p w14:paraId="09A7679E" w14:textId="20F6DA79" w:rsidR="00AA5F62" w:rsidRDefault="00AA5F62" w:rsidP="006A1C03">
      <w:pPr>
        <w:pStyle w:val="Textonotapie"/>
        <w:ind w:firstLine="0"/>
      </w:pPr>
      <w:r>
        <w:rPr>
          <w:rStyle w:val="Refdenotaalpie"/>
        </w:rPr>
        <w:footnoteRef/>
      </w:r>
      <w:r>
        <w:t xml:space="preserve"> Aprobado por la Ley Foral 13/2022 de 12 de mayo.</w:t>
      </w:r>
    </w:p>
  </w:footnote>
  <w:footnote w:id="7">
    <w:p w14:paraId="14250B31" w14:textId="2DC5F6C2" w:rsidR="00AA5F62" w:rsidRDefault="00AA5F62" w:rsidP="00D740FF">
      <w:pPr>
        <w:pStyle w:val="Textonotapie"/>
        <w:ind w:firstLine="0"/>
      </w:pPr>
      <w:r>
        <w:rPr>
          <w:rStyle w:val="Refdenotaalpie"/>
        </w:rPr>
        <w:footnoteRef/>
      </w:r>
      <w:r>
        <w:t xml:space="preserve"> Se presenta información consolida en 2022 con la Sociedad SCPSA debido a la importancia que tiene, en el programa bienestar comunitario, la gestión de residuos, abastecimiento de agua potable y el saneamiento de aguas residuales. En el año 2021 se incluyen también dos sociedades dependientes de la Mancomunidad de Montejurra, si bien, no se dispone de esta información en 2022.El efecto de la consolidación en gastos en 2021 fue 97,47, teniendo en cuenta las tres sociedades, frente a los 98’11 millones de euros en 2022, con SCPSA.</w:t>
      </w:r>
    </w:p>
  </w:footnote>
  <w:footnote w:id="8">
    <w:p w14:paraId="7DBCE02D" w14:textId="284771F6" w:rsidR="00AA5F62" w:rsidRDefault="00AA5F62" w:rsidP="00D740FF">
      <w:pPr>
        <w:pStyle w:val="Textonotapie"/>
        <w:ind w:firstLine="0"/>
      </w:pPr>
      <w:r>
        <w:rPr>
          <w:rStyle w:val="Refdenotaalpie"/>
        </w:rPr>
        <w:footnoteRef/>
      </w:r>
      <w:r>
        <w:t xml:space="preserve"> Su origen puede ser directo (ministerio correspondiente) o indirecto (Gobierno de Navarra).</w:t>
      </w:r>
    </w:p>
  </w:footnote>
  <w:footnote w:id="9">
    <w:p w14:paraId="11A4EE6B" w14:textId="126C4C3C" w:rsidR="00AA5F62" w:rsidRDefault="00AA5F62">
      <w:pPr>
        <w:pStyle w:val="Textonotapie"/>
      </w:pPr>
      <w:r>
        <w:rPr>
          <w:rStyle w:val="Refdenotaalpie"/>
        </w:rPr>
        <w:footnoteRef/>
      </w:r>
      <w:r>
        <w:t xml:space="preserve"> Se obtiene del balance de la entidad, por diferencia entre el activo corriente y el pasivo corriente.</w:t>
      </w:r>
    </w:p>
  </w:footnote>
  <w:footnote w:id="10">
    <w:p w14:paraId="73338694" w14:textId="66C34E3E" w:rsidR="00AA5F62" w:rsidRDefault="00AA5F62" w:rsidP="008B773A">
      <w:pPr>
        <w:pStyle w:val="Textonotapie"/>
        <w:ind w:firstLine="0"/>
      </w:pPr>
      <w:r>
        <w:rPr>
          <w:rStyle w:val="Refdenotaalpie"/>
        </w:rPr>
        <w:footnoteRef/>
      </w:r>
      <w:r>
        <w:t xml:space="preserve"> Datos consolidados del ayuntamiento con sus OO.AA.</w:t>
      </w:r>
    </w:p>
  </w:footnote>
  <w:footnote w:id="11">
    <w:p w14:paraId="12CC1228" w14:textId="5779E248" w:rsidR="00AA5F62" w:rsidRDefault="00AA5F62" w:rsidP="00551402">
      <w:pPr>
        <w:pStyle w:val="Textonotapie"/>
        <w:ind w:firstLine="0"/>
      </w:pPr>
      <w:r w:rsidRPr="1EB47EF1">
        <w:rPr>
          <w:rStyle w:val="Refdenotaalpie"/>
          <w:lang w:val="es-ES"/>
        </w:rPr>
        <w:footnoteRef/>
      </w:r>
      <w:r w:rsidRPr="1EB47EF1">
        <w:rPr>
          <w:lang w:val="es-ES"/>
        </w:rPr>
        <w:t xml:space="preserve"> Catalogados con esta denominación en el registro de contratos. Corresponden con contratos tramitados por emergencia</w:t>
      </w:r>
      <w:r>
        <w:rPr>
          <w:lang w:val="es-ES"/>
        </w:rPr>
        <w:t>.</w:t>
      </w:r>
    </w:p>
  </w:footnote>
  <w:footnote w:id="12">
    <w:p w14:paraId="465A0EF5" w14:textId="4FEFC38D" w:rsidR="00AA5F62" w:rsidRDefault="00AA5F62" w:rsidP="002A3542">
      <w:pPr>
        <w:pStyle w:val="Textonotapie"/>
        <w:ind w:firstLine="0"/>
      </w:pPr>
      <w:r>
        <w:rPr>
          <w:rStyle w:val="Refdenotaalpie"/>
        </w:rPr>
        <w:footnoteRef/>
      </w:r>
      <w:r>
        <w:t xml:space="preserve"> </w:t>
      </w:r>
      <w:r w:rsidRPr="001C752A">
        <w:t>Intercambio de Datos de los Expedientes Contables de la Administración Local</w:t>
      </w:r>
      <w:r>
        <w:t>.</w:t>
      </w:r>
    </w:p>
  </w:footnote>
  <w:footnote w:id="13">
    <w:p w14:paraId="104AF1B3" w14:textId="2653C9B1" w:rsidR="00AA5F62" w:rsidRDefault="00AA5F62" w:rsidP="00543EBD">
      <w:pPr>
        <w:pStyle w:val="Textonotapie"/>
        <w:ind w:firstLine="0"/>
        <w:jc w:val="left"/>
      </w:pPr>
      <w:r w:rsidRPr="002D7606">
        <w:rPr>
          <w:rStyle w:val="Refdenotaalpie"/>
        </w:rPr>
        <w:footnoteRef/>
      </w:r>
      <w:r w:rsidRPr="002D7606">
        <w:t xml:space="preserve"> La retención de los expedientes de 2022, por lo tanto, se aplica en la distribución del FTC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78E9E" w14:textId="77777777" w:rsidR="00AA5F62" w:rsidRDefault="00AA5F62">
    <w:pPr>
      <w:pStyle w:val="Encabezado"/>
    </w:pPr>
  </w:p>
  <w:p w14:paraId="3C0395D3" w14:textId="77777777" w:rsidR="00AA5F62" w:rsidRDefault="00AA5F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8F6F6" w14:textId="219B122F" w:rsidR="00AA5F62" w:rsidRPr="0059650E" w:rsidRDefault="00AA5F62" w:rsidP="00BA06E7">
    <w:pPr>
      <w:pStyle w:val="Encabezado"/>
      <w:pBdr>
        <w:bottom w:val="single" w:sz="4" w:space="1" w:color="auto"/>
      </w:pBdr>
      <w:spacing w:after="40"/>
      <w:ind w:firstLine="0"/>
      <w:jc w:val="left"/>
      <w:rPr>
        <w:lang w:val="es-ES"/>
      </w:rPr>
    </w:pPr>
    <w:r>
      <w:rPr>
        <w:b/>
        <w:noProof/>
        <w:lang w:val="es-ES" w:eastAsia="es-ES"/>
      </w:rPr>
      <w:drawing>
        <wp:inline distT="0" distB="0" distL="0" distR="0" wp14:anchorId="77A719D9" wp14:editId="6E026567">
          <wp:extent cx="721934" cy="755650"/>
          <wp:effectExtent l="0" t="0" r="2540" b="635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127" cy="785160"/>
                  </a:xfrm>
                  <a:prstGeom prst="rect">
                    <a:avLst/>
                  </a:prstGeom>
                  <a:noFill/>
                  <a:ln>
                    <a:noFill/>
                  </a:ln>
                </pic:spPr>
              </pic:pic>
            </a:graphicData>
          </a:graphic>
        </wp:inline>
      </w:drawing>
    </w:r>
    <w:r>
      <w:rPr>
        <w:sz w:val="13"/>
        <w:szCs w:val="13"/>
        <w:lang w:val="es-ES"/>
      </w:rPr>
      <w:tab/>
    </w:r>
    <w:r w:rsidRPr="001E2937">
      <w:rPr>
        <w:sz w:val="13"/>
        <w:szCs w:val="13"/>
        <w:lang w:val="es-ES"/>
      </w:rPr>
      <w:t>informe</w:t>
    </w:r>
    <w:r>
      <w:rPr>
        <w:sz w:val="13"/>
        <w:szCs w:val="13"/>
        <w:lang w:val="es-ES"/>
      </w:rPr>
      <w:t xml:space="preserve"> de fiscalización Sobre el</w:t>
    </w:r>
    <w:r w:rsidRPr="001E2937">
      <w:rPr>
        <w:sz w:val="13"/>
        <w:szCs w:val="13"/>
        <w:lang w:val="es-ES"/>
      </w:rPr>
      <w:t xml:space="preserve"> sector público local de navarra, 2022</w:t>
    </w:r>
  </w:p>
  <w:p w14:paraId="2D3F0BEC" w14:textId="77777777" w:rsidR="00AA5F62" w:rsidRDefault="00AA5F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F9A1" w14:textId="77777777" w:rsidR="00AA5F62" w:rsidRDefault="00AA5F62" w:rsidP="006A2D41">
    <w:pPr>
      <w:pStyle w:val="Encabezado"/>
      <w:ind w:firstLine="0"/>
      <w:jc w:val="left"/>
    </w:pPr>
    <w:r>
      <w:rPr>
        <w:noProof/>
        <w:lang w:val="es-ES" w:eastAsia="es-ES"/>
      </w:rPr>
      <w:drawing>
        <wp:inline distT="0" distB="0" distL="0" distR="0" wp14:anchorId="21D1DA55" wp14:editId="07777777">
          <wp:extent cx="771525" cy="762000"/>
          <wp:effectExtent l="0" t="0" r="9525"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0C6C2CD5" w14:textId="77777777" w:rsidR="00AA5F62" w:rsidRDefault="00AA5F6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E88E4" w14:textId="77777777" w:rsidR="00AA5F62" w:rsidRDefault="00AA5F62"/>
  <w:p w14:paraId="508C98E9" w14:textId="77777777" w:rsidR="00AA5F62" w:rsidRDefault="00AA5F62"/>
  <w:p w14:paraId="779F8E76" w14:textId="77777777" w:rsidR="00AA5F62" w:rsidRDefault="00AA5F62"/>
</w:hdr>
</file>

<file path=word/intelligence2.xml><?xml version="1.0" encoding="utf-8"?>
<int2:intelligence xmlns:int2="http://schemas.microsoft.com/office/intelligence/2020/intelligence" xmlns:oel="http://schemas.microsoft.com/office/2019/extlst">
  <int2:observations>
    <int2:textHash int2:hashCode="FsFLvZUuV+45up" int2:id="AfVQCCO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1D49"/>
    <w:multiLevelType w:val="hybridMultilevel"/>
    <w:tmpl w:val="CD2A4624"/>
    <w:lvl w:ilvl="0" w:tplc="0C0A0001">
      <w:start w:val="1"/>
      <w:numFmt w:val="bullet"/>
      <w:lvlText w:val=""/>
      <w:lvlJc w:val="left"/>
      <w:pPr>
        <w:ind w:left="720" w:hanging="360"/>
      </w:pPr>
      <w:rPr>
        <w:rFonts w:ascii="Symbol" w:hAnsi="Symbol" w:hint="default"/>
        <w:color w:val="auto"/>
      </w:rPr>
    </w:lvl>
    <w:lvl w:ilvl="1" w:tplc="96688E82">
      <w:start w:val="1"/>
      <w:numFmt w:val="bullet"/>
      <w:lvlText w:val="o"/>
      <w:lvlJc w:val="left"/>
      <w:pPr>
        <w:ind w:left="1440" w:hanging="360"/>
      </w:pPr>
      <w:rPr>
        <w:rFonts w:ascii="Courier New" w:hAnsi="Courier New" w:hint="default"/>
      </w:rPr>
    </w:lvl>
    <w:lvl w:ilvl="2" w:tplc="81541630">
      <w:start w:val="1"/>
      <w:numFmt w:val="bullet"/>
      <w:lvlText w:val=""/>
      <w:lvlJc w:val="left"/>
      <w:pPr>
        <w:ind w:left="2160" w:hanging="360"/>
      </w:pPr>
      <w:rPr>
        <w:rFonts w:ascii="Wingdings" w:hAnsi="Wingdings" w:hint="default"/>
      </w:rPr>
    </w:lvl>
    <w:lvl w:ilvl="3" w:tplc="7932F706">
      <w:start w:val="1"/>
      <w:numFmt w:val="bullet"/>
      <w:lvlText w:val=""/>
      <w:lvlJc w:val="left"/>
      <w:pPr>
        <w:ind w:left="2880" w:hanging="360"/>
      </w:pPr>
      <w:rPr>
        <w:rFonts w:ascii="Symbol" w:hAnsi="Symbol" w:hint="default"/>
      </w:rPr>
    </w:lvl>
    <w:lvl w:ilvl="4" w:tplc="67D61502">
      <w:start w:val="1"/>
      <w:numFmt w:val="bullet"/>
      <w:lvlText w:val="o"/>
      <w:lvlJc w:val="left"/>
      <w:pPr>
        <w:ind w:left="3600" w:hanging="360"/>
      </w:pPr>
      <w:rPr>
        <w:rFonts w:ascii="Courier New" w:hAnsi="Courier New" w:hint="default"/>
      </w:rPr>
    </w:lvl>
    <w:lvl w:ilvl="5" w:tplc="58A06522">
      <w:start w:val="1"/>
      <w:numFmt w:val="bullet"/>
      <w:lvlText w:val=""/>
      <w:lvlJc w:val="left"/>
      <w:pPr>
        <w:ind w:left="4320" w:hanging="360"/>
      </w:pPr>
      <w:rPr>
        <w:rFonts w:ascii="Wingdings" w:hAnsi="Wingdings" w:hint="default"/>
      </w:rPr>
    </w:lvl>
    <w:lvl w:ilvl="6" w:tplc="532C4B02">
      <w:start w:val="1"/>
      <w:numFmt w:val="bullet"/>
      <w:lvlText w:val=""/>
      <w:lvlJc w:val="left"/>
      <w:pPr>
        <w:ind w:left="5040" w:hanging="360"/>
      </w:pPr>
      <w:rPr>
        <w:rFonts w:ascii="Symbol" w:hAnsi="Symbol" w:hint="default"/>
      </w:rPr>
    </w:lvl>
    <w:lvl w:ilvl="7" w:tplc="FE5CCC20">
      <w:start w:val="1"/>
      <w:numFmt w:val="bullet"/>
      <w:lvlText w:val="o"/>
      <w:lvlJc w:val="left"/>
      <w:pPr>
        <w:ind w:left="5760" w:hanging="360"/>
      </w:pPr>
      <w:rPr>
        <w:rFonts w:ascii="Courier New" w:hAnsi="Courier New" w:hint="default"/>
      </w:rPr>
    </w:lvl>
    <w:lvl w:ilvl="8" w:tplc="79A414C4">
      <w:start w:val="1"/>
      <w:numFmt w:val="bullet"/>
      <w:lvlText w:val=""/>
      <w:lvlJc w:val="left"/>
      <w:pPr>
        <w:ind w:left="6480" w:hanging="360"/>
      </w:pPr>
      <w:rPr>
        <w:rFonts w:ascii="Wingdings" w:hAnsi="Wingdings" w:hint="default"/>
      </w:rPr>
    </w:lvl>
  </w:abstractNum>
  <w:abstractNum w:abstractNumId="1" w15:restartNumberingAfterBreak="0">
    <w:nsid w:val="012F0A42"/>
    <w:multiLevelType w:val="hybridMultilevel"/>
    <w:tmpl w:val="E6BA26A0"/>
    <w:lvl w:ilvl="0" w:tplc="2A462E34">
      <w:start w:val="1"/>
      <w:numFmt w:val="decimal"/>
      <w:lvlText w:val="(%1)"/>
      <w:lvlJc w:val="left"/>
      <w:pPr>
        <w:ind w:left="644" w:hanging="360"/>
      </w:pPr>
      <w:rPr>
        <w:rFonts w:hint="default"/>
        <w:i/>
        <w:sz w:val="18"/>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151255F"/>
    <w:multiLevelType w:val="hybridMultilevel"/>
    <w:tmpl w:val="E77E60D4"/>
    <w:lvl w:ilvl="0" w:tplc="F302438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06E52C42"/>
    <w:multiLevelType w:val="hybridMultilevel"/>
    <w:tmpl w:val="3696916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1A0E8D"/>
    <w:multiLevelType w:val="hybridMultilevel"/>
    <w:tmpl w:val="C3485924"/>
    <w:lvl w:ilvl="0" w:tplc="FB5ED7DC">
      <w:start w:val="1"/>
      <w:numFmt w:val="bullet"/>
      <w:lvlText w:val=""/>
      <w:lvlJc w:val="left"/>
      <w:pPr>
        <w:ind w:left="1004" w:hanging="360"/>
      </w:pPr>
      <w:rPr>
        <w:rFonts w:ascii="Symbol" w:hAnsi="Symbol" w:hint="default"/>
      </w:rPr>
    </w:lvl>
    <w:lvl w:ilvl="1" w:tplc="0C0A0019">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5" w15:restartNumberingAfterBreak="0">
    <w:nsid w:val="0EA74F89"/>
    <w:multiLevelType w:val="hybridMultilevel"/>
    <w:tmpl w:val="5D060FC2"/>
    <w:lvl w:ilvl="0" w:tplc="6D062262">
      <w:start w:val="8"/>
      <w:numFmt w:val="lowerLetter"/>
      <w:lvlText w:val="%1)"/>
      <w:lvlJc w:val="left"/>
      <w:pPr>
        <w:ind w:left="720" w:hanging="360"/>
      </w:pPr>
      <w:rPr>
        <w:rFonts w:hint="default"/>
        <w:b w:val="0"/>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15:restartNumberingAfterBreak="0">
    <w:nsid w:val="13CF287A"/>
    <w:multiLevelType w:val="hybridMultilevel"/>
    <w:tmpl w:val="B4A6F8B4"/>
    <w:lvl w:ilvl="0" w:tplc="0C0A0017">
      <w:start w:val="10"/>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BE03CF"/>
    <w:multiLevelType w:val="hybridMultilevel"/>
    <w:tmpl w:val="14D6DB56"/>
    <w:lvl w:ilvl="0" w:tplc="D8163EAE">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15:restartNumberingAfterBreak="0">
    <w:nsid w:val="15AF7DDB"/>
    <w:multiLevelType w:val="hybridMultilevel"/>
    <w:tmpl w:val="B31E2B62"/>
    <w:lvl w:ilvl="0" w:tplc="07A4591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16ED18A2"/>
    <w:multiLevelType w:val="hybridMultilevel"/>
    <w:tmpl w:val="0646F868"/>
    <w:lvl w:ilvl="0" w:tplc="6498A7DC">
      <w:start w:val="1"/>
      <w:numFmt w:val="bullet"/>
      <w:lvlText w:val=""/>
      <w:lvlJc w:val="left"/>
      <w:pPr>
        <w:ind w:left="928" w:hanging="360"/>
      </w:pPr>
      <w:rPr>
        <w:rFonts w:ascii="Symbol" w:hAnsi="Symbol" w:hint="default"/>
      </w:rPr>
    </w:lvl>
    <w:lvl w:ilvl="1" w:tplc="379E358E">
      <w:start w:val="1"/>
      <w:numFmt w:val="bullet"/>
      <w:lvlText w:val="o"/>
      <w:lvlJc w:val="left"/>
      <w:pPr>
        <w:ind w:left="1648" w:hanging="360"/>
      </w:pPr>
      <w:rPr>
        <w:rFonts w:ascii="Courier New" w:hAnsi="Courier New" w:hint="default"/>
      </w:rPr>
    </w:lvl>
    <w:lvl w:ilvl="2" w:tplc="DF8802B4">
      <w:start w:val="1"/>
      <w:numFmt w:val="bullet"/>
      <w:lvlText w:val=""/>
      <w:lvlJc w:val="left"/>
      <w:pPr>
        <w:ind w:left="2368" w:hanging="360"/>
      </w:pPr>
      <w:rPr>
        <w:rFonts w:ascii="Wingdings" w:hAnsi="Wingdings" w:hint="default"/>
      </w:rPr>
    </w:lvl>
    <w:lvl w:ilvl="3" w:tplc="EE0E57C8">
      <w:start w:val="1"/>
      <w:numFmt w:val="bullet"/>
      <w:lvlText w:val=""/>
      <w:lvlJc w:val="left"/>
      <w:pPr>
        <w:ind w:left="3088" w:hanging="360"/>
      </w:pPr>
      <w:rPr>
        <w:rFonts w:ascii="Symbol" w:hAnsi="Symbol" w:hint="default"/>
      </w:rPr>
    </w:lvl>
    <w:lvl w:ilvl="4" w:tplc="09BA9592">
      <w:start w:val="1"/>
      <w:numFmt w:val="bullet"/>
      <w:lvlText w:val="o"/>
      <w:lvlJc w:val="left"/>
      <w:pPr>
        <w:ind w:left="3808" w:hanging="360"/>
      </w:pPr>
      <w:rPr>
        <w:rFonts w:ascii="Courier New" w:hAnsi="Courier New" w:hint="default"/>
      </w:rPr>
    </w:lvl>
    <w:lvl w:ilvl="5" w:tplc="78720AD6">
      <w:start w:val="1"/>
      <w:numFmt w:val="bullet"/>
      <w:lvlText w:val=""/>
      <w:lvlJc w:val="left"/>
      <w:pPr>
        <w:ind w:left="4528" w:hanging="360"/>
      </w:pPr>
      <w:rPr>
        <w:rFonts w:ascii="Wingdings" w:hAnsi="Wingdings" w:hint="default"/>
      </w:rPr>
    </w:lvl>
    <w:lvl w:ilvl="6" w:tplc="280CBCA2">
      <w:start w:val="1"/>
      <w:numFmt w:val="bullet"/>
      <w:lvlText w:val=""/>
      <w:lvlJc w:val="left"/>
      <w:pPr>
        <w:ind w:left="5248" w:hanging="360"/>
      </w:pPr>
      <w:rPr>
        <w:rFonts w:ascii="Symbol" w:hAnsi="Symbol" w:hint="default"/>
      </w:rPr>
    </w:lvl>
    <w:lvl w:ilvl="7" w:tplc="446C48C6">
      <w:start w:val="1"/>
      <w:numFmt w:val="bullet"/>
      <w:lvlText w:val="o"/>
      <w:lvlJc w:val="left"/>
      <w:pPr>
        <w:ind w:left="5968" w:hanging="360"/>
      </w:pPr>
      <w:rPr>
        <w:rFonts w:ascii="Courier New" w:hAnsi="Courier New" w:hint="default"/>
      </w:rPr>
    </w:lvl>
    <w:lvl w:ilvl="8" w:tplc="6374EDCC">
      <w:start w:val="1"/>
      <w:numFmt w:val="bullet"/>
      <w:lvlText w:val=""/>
      <w:lvlJc w:val="left"/>
      <w:pPr>
        <w:ind w:left="6688" w:hanging="360"/>
      </w:pPr>
      <w:rPr>
        <w:rFonts w:ascii="Wingdings" w:hAnsi="Wingdings" w:hint="default"/>
      </w:rPr>
    </w:lvl>
  </w:abstractNum>
  <w:abstractNum w:abstractNumId="11" w15:restartNumberingAfterBreak="0">
    <w:nsid w:val="17944E2C"/>
    <w:multiLevelType w:val="hybridMultilevel"/>
    <w:tmpl w:val="9FB204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1C1B748A"/>
    <w:multiLevelType w:val="hybridMultilevel"/>
    <w:tmpl w:val="3996C0D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1D7D03FB"/>
    <w:multiLevelType w:val="hybridMultilevel"/>
    <w:tmpl w:val="DF9605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1F4542CA"/>
    <w:multiLevelType w:val="hybridMultilevel"/>
    <w:tmpl w:val="22B6F5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1FFC4427"/>
    <w:multiLevelType w:val="hybridMultilevel"/>
    <w:tmpl w:val="8A02F10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EA3890"/>
    <w:multiLevelType w:val="hybridMultilevel"/>
    <w:tmpl w:val="87148546"/>
    <w:lvl w:ilvl="0" w:tplc="AAAC08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788427B"/>
    <w:multiLevelType w:val="hybridMultilevel"/>
    <w:tmpl w:val="EE96976E"/>
    <w:lvl w:ilvl="0" w:tplc="42AE7DA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7F46449"/>
    <w:multiLevelType w:val="hybridMultilevel"/>
    <w:tmpl w:val="35B25016"/>
    <w:lvl w:ilvl="0" w:tplc="5ECC5584">
      <w:start w:val="1"/>
      <w:numFmt w:val="low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2C487E29"/>
    <w:multiLevelType w:val="hybridMultilevel"/>
    <w:tmpl w:val="677203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D5313CF"/>
    <w:multiLevelType w:val="hybridMultilevel"/>
    <w:tmpl w:val="76C6EA1A"/>
    <w:lvl w:ilvl="0" w:tplc="A2807A9E">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1" w15:restartNumberingAfterBreak="0">
    <w:nsid w:val="330F130F"/>
    <w:multiLevelType w:val="hybridMultilevel"/>
    <w:tmpl w:val="9130551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335B607A"/>
    <w:multiLevelType w:val="hybridMultilevel"/>
    <w:tmpl w:val="35DECD3C"/>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A1164C7"/>
    <w:multiLevelType w:val="hybridMultilevel"/>
    <w:tmpl w:val="F0965294"/>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24" w15:restartNumberingAfterBreak="0">
    <w:nsid w:val="443A2E7B"/>
    <w:multiLevelType w:val="hybridMultilevel"/>
    <w:tmpl w:val="C0AC0F22"/>
    <w:lvl w:ilvl="0" w:tplc="AB8494E0">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25"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480079F6"/>
    <w:multiLevelType w:val="hybridMultilevel"/>
    <w:tmpl w:val="5B44B5D0"/>
    <w:lvl w:ilvl="0" w:tplc="FFFFFFFF">
      <w:start w:val="1"/>
      <w:numFmt w:val="decimal"/>
      <w:lvlText w:val="(%1)"/>
      <w:lvlJc w:val="left"/>
      <w:pPr>
        <w:tabs>
          <w:tab w:val="num" w:pos="885"/>
        </w:tabs>
        <w:ind w:left="885" w:hanging="52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4A12628E"/>
    <w:multiLevelType w:val="hybridMultilevel"/>
    <w:tmpl w:val="3854420A"/>
    <w:lvl w:ilvl="0" w:tplc="0C0A0017">
      <w:start w:val="1"/>
      <w:numFmt w:val="lowerLetter"/>
      <w:lvlText w:val="%1)"/>
      <w:lvlJc w:val="left"/>
      <w:pPr>
        <w:ind w:left="1004" w:hanging="360"/>
      </w:pPr>
      <w:rPr>
        <w:rFonts w:cs="Times New Roman"/>
      </w:rPr>
    </w:lvl>
    <w:lvl w:ilvl="1" w:tplc="0C0A0001">
      <w:start w:val="1"/>
      <w:numFmt w:val="bullet"/>
      <w:lvlText w:val=""/>
      <w:lvlJc w:val="left"/>
      <w:pPr>
        <w:ind w:left="1724" w:hanging="360"/>
      </w:pPr>
      <w:rPr>
        <w:rFonts w:ascii="Symbol" w:hAnsi="Symbol" w:hint="default"/>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28" w15:restartNumberingAfterBreak="0">
    <w:nsid w:val="4B3E5938"/>
    <w:multiLevelType w:val="hybridMultilevel"/>
    <w:tmpl w:val="0ED41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D8A8A3A"/>
    <w:multiLevelType w:val="hybridMultilevel"/>
    <w:tmpl w:val="92289E0E"/>
    <w:lvl w:ilvl="0" w:tplc="1DD6E3C4">
      <w:start w:val="46"/>
      <w:numFmt w:val="bullet"/>
      <w:lvlText w:val=""/>
      <w:lvlJc w:val="left"/>
      <w:pPr>
        <w:ind w:left="720" w:hanging="360"/>
      </w:pPr>
      <w:rPr>
        <w:rFonts w:ascii="Wingdings" w:hAnsi="Wingdings" w:hint="default"/>
        <w:color w:val="auto"/>
      </w:rPr>
    </w:lvl>
    <w:lvl w:ilvl="1" w:tplc="13A61AC8">
      <w:start w:val="1"/>
      <w:numFmt w:val="bullet"/>
      <w:lvlText w:val="o"/>
      <w:lvlJc w:val="left"/>
      <w:pPr>
        <w:ind w:left="1440" w:hanging="360"/>
      </w:pPr>
      <w:rPr>
        <w:rFonts w:ascii="Courier New" w:hAnsi="Courier New" w:hint="default"/>
      </w:rPr>
    </w:lvl>
    <w:lvl w:ilvl="2" w:tplc="BCE4323A">
      <w:start w:val="1"/>
      <w:numFmt w:val="bullet"/>
      <w:lvlText w:val=""/>
      <w:lvlJc w:val="left"/>
      <w:pPr>
        <w:ind w:left="2160" w:hanging="360"/>
      </w:pPr>
      <w:rPr>
        <w:rFonts w:ascii="Wingdings" w:hAnsi="Wingdings" w:hint="default"/>
      </w:rPr>
    </w:lvl>
    <w:lvl w:ilvl="3" w:tplc="322A068A">
      <w:start w:val="1"/>
      <w:numFmt w:val="bullet"/>
      <w:lvlText w:val=""/>
      <w:lvlJc w:val="left"/>
      <w:pPr>
        <w:ind w:left="2880" w:hanging="360"/>
      </w:pPr>
      <w:rPr>
        <w:rFonts w:ascii="Symbol" w:hAnsi="Symbol" w:hint="default"/>
      </w:rPr>
    </w:lvl>
    <w:lvl w:ilvl="4" w:tplc="3D148926">
      <w:start w:val="1"/>
      <w:numFmt w:val="bullet"/>
      <w:lvlText w:val="o"/>
      <w:lvlJc w:val="left"/>
      <w:pPr>
        <w:ind w:left="3600" w:hanging="360"/>
      </w:pPr>
      <w:rPr>
        <w:rFonts w:ascii="Courier New" w:hAnsi="Courier New" w:hint="default"/>
      </w:rPr>
    </w:lvl>
    <w:lvl w:ilvl="5" w:tplc="F342C650">
      <w:start w:val="1"/>
      <w:numFmt w:val="bullet"/>
      <w:lvlText w:val=""/>
      <w:lvlJc w:val="left"/>
      <w:pPr>
        <w:ind w:left="4320" w:hanging="360"/>
      </w:pPr>
      <w:rPr>
        <w:rFonts w:ascii="Wingdings" w:hAnsi="Wingdings" w:hint="default"/>
      </w:rPr>
    </w:lvl>
    <w:lvl w:ilvl="6" w:tplc="A73C1A5C">
      <w:start w:val="1"/>
      <w:numFmt w:val="bullet"/>
      <w:lvlText w:val=""/>
      <w:lvlJc w:val="left"/>
      <w:pPr>
        <w:ind w:left="5040" w:hanging="360"/>
      </w:pPr>
      <w:rPr>
        <w:rFonts w:ascii="Symbol" w:hAnsi="Symbol" w:hint="default"/>
      </w:rPr>
    </w:lvl>
    <w:lvl w:ilvl="7" w:tplc="BBE610D4">
      <w:start w:val="1"/>
      <w:numFmt w:val="bullet"/>
      <w:lvlText w:val="o"/>
      <w:lvlJc w:val="left"/>
      <w:pPr>
        <w:ind w:left="5760" w:hanging="360"/>
      </w:pPr>
      <w:rPr>
        <w:rFonts w:ascii="Courier New" w:hAnsi="Courier New" w:hint="default"/>
      </w:rPr>
    </w:lvl>
    <w:lvl w:ilvl="8" w:tplc="0680C0C0">
      <w:start w:val="1"/>
      <w:numFmt w:val="bullet"/>
      <w:lvlText w:val=""/>
      <w:lvlJc w:val="left"/>
      <w:pPr>
        <w:ind w:left="6480" w:hanging="360"/>
      </w:pPr>
      <w:rPr>
        <w:rFonts w:ascii="Wingdings" w:hAnsi="Wingdings" w:hint="default"/>
      </w:rPr>
    </w:lvl>
  </w:abstractNum>
  <w:abstractNum w:abstractNumId="30" w15:restartNumberingAfterBreak="0">
    <w:nsid w:val="52D921AE"/>
    <w:multiLevelType w:val="hybridMultilevel"/>
    <w:tmpl w:val="7116FA58"/>
    <w:lvl w:ilvl="0" w:tplc="0C0A0017">
      <w:start w:val="1"/>
      <w:numFmt w:val="lowerLetter"/>
      <w:lvlText w:val="%1)"/>
      <w:lvlJc w:val="left"/>
      <w:pPr>
        <w:ind w:left="1004" w:hanging="360"/>
      </w:pPr>
      <w:rPr>
        <w:rFonts w:cs="Times New Roman"/>
      </w:rPr>
    </w:lvl>
    <w:lvl w:ilvl="1" w:tplc="FB5ED7DC">
      <w:start w:val="1"/>
      <w:numFmt w:val="bullet"/>
      <w:lvlText w:val=""/>
      <w:lvlJc w:val="left"/>
      <w:pPr>
        <w:ind w:left="1724" w:hanging="360"/>
      </w:pPr>
      <w:rPr>
        <w:rFonts w:ascii="Symbol" w:hAnsi="Symbol" w:hint="default"/>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31" w15:restartNumberingAfterBreak="0">
    <w:nsid w:val="55740F03"/>
    <w:multiLevelType w:val="hybridMultilevel"/>
    <w:tmpl w:val="44E09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6985E1E"/>
    <w:multiLevelType w:val="hybridMultilevel"/>
    <w:tmpl w:val="C5D4EA8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4" w15:restartNumberingAfterBreak="0">
    <w:nsid w:val="69C619B9"/>
    <w:multiLevelType w:val="hybridMultilevel"/>
    <w:tmpl w:val="2C7255AE"/>
    <w:lvl w:ilvl="0" w:tplc="F50A19D2">
      <w:start w:val="46"/>
      <w:numFmt w:val="bullet"/>
      <w:lvlText w:val=""/>
      <w:lvlJc w:val="left"/>
      <w:pPr>
        <w:tabs>
          <w:tab w:val="num" w:pos="2232"/>
        </w:tabs>
        <w:ind w:left="1702" w:firstLine="17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5"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7003001F"/>
    <w:multiLevelType w:val="hybridMultilevel"/>
    <w:tmpl w:val="76808282"/>
    <w:lvl w:ilvl="0" w:tplc="FFFFFFFF">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37" w15:restartNumberingAfterBreak="0">
    <w:nsid w:val="70E30354"/>
    <w:multiLevelType w:val="hybridMultilevel"/>
    <w:tmpl w:val="6226D416"/>
    <w:lvl w:ilvl="0" w:tplc="5B261A90">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38" w15:restartNumberingAfterBreak="0">
    <w:nsid w:val="717A37D5"/>
    <w:multiLevelType w:val="hybridMultilevel"/>
    <w:tmpl w:val="1C58AD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22B1CD7"/>
    <w:multiLevelType w:val="hybridMultilevel"/>
    <w:tmpl w:val="226AC086"/>
    <w:lvl w:ilvl="0" w:tplc="1F94E58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31009EC"/>
    <w:multiLevelType w:val="hybridMultilevel"/>
    <w:tmpl w:val="9BDCCFDE"/>
    <w:lvl w:ilvl="0" w:tplc="0C0A0017">
      <w:start w:val="1"/>
      <w:numFmt w:val="lowerLetter"/>
      <w:lvlText w:val="%1)"/>
      <w:lvlJc w:val="left"/>
      <w:pPr>
        <w:ind w:left="1004" w:hanging="360"/>
      </w:pPr>
      <w:rPr>
        <w:rFonts w:cs="Times New Roman"/>
      </w:rPr>
    </w:lvl>
    <w:lvl w:ilvl="1" w:tplc="07DE3244">
      <w:start w:val="1"/>
      <w:numFmt w:val="bullet"/>
      <w:lvlText w:val=""/>
      <w:lvlJc w:val="left"/>
      <w:pPr>
        <w:ind w:left="1724" w:hanging="360"/>
      </w:pPr>
      <w:rPr>
        <w:rFonts w:ascii="Symbol" w:hAnsi="Symbol" w:hint="default"/>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41" w15:restartNumberingAfterBreak="0">
    <w:nsid w:val="74221C53"/>
    <w:multiLevelType w:val="hybridMultilevel"/>
    <w:tmpl w:val="0BAC00C0"/>
    <w:lvl w:ilvl="0" w:tplc="730027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51D222F"/>
    <w:multiLevelType w:val="hybridMultilevel"/>
    <w:tmpl w:val="A7FE360E"/>
    <w:lvl w:ilvl="0" w:tplc="F070AA86">
      <w:start w:val="1"/>
      <w:numFmt w:val="bullet"/>
      <w:lvlText w:val=""/>
      <w:lvlJc w:val="left"/>
      <w:pPr>
        <w:ind w:left="433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6DC2CC0"/>
    <w:multiLevelType w:val="hybridMultilevel"/>
    <w:tmpl w:val="8C10B442"/>
    <w:lvl w:ilvl="0" w:tplc="6DF0EDF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79CF4F8F"/>
    <w:multiLevelType w:val="hybridMultilevel"/>
    <w:tmpl w:val="F21E21D2"/>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16cid:durableId="1678003119">
    <w:abstractNumId w:val="10"/>
  </w:num>
  <w:num w:numId="2" w16cid:durableId="1315796712">
    <w:abstractNumId w:val="0"/>
  </w:num>
  <w:num w:numId="3" w16cid:durableId="1451313499">
    <w:abstractNumId w:val="45"/>
  </w:num>
  <w:num w:numId="4" w16cid:durableId="54285339">
    <w:abstractNumId w:val="33"/>
  </w:num>
  <w:num w:numId="5" w16cid:durableId="1803112259">
    <w:abstractNumId w:val="6"/>
  </w:num>
  <w:num w:numId="6" w16cid:durableId="1533762045">
    <w:abstractNumId w:val="25"/>
  </w:num>
  <w:num w:numId="7" w16cid:durableId="1934632113">
    <w:abstractNumId w:val="35"/>
  </w:num>
  <w:num w:numId="8" w16cid:durableId="983122180">
    <w:abstractNumId w:val="6"/>
  </w:num>
  <w:num w:numId="9" w16cid:durableId="1562254527">
    <w:abstractNumId w:val="6"/>
  </w:num>
  <w:num w:numId="10" w16cid:durableId="1918128987">
    <w:abstractNumId w:val="6"/>
  </w:num>
  <w:num w:numId="11" w16cid:durableId="150757125">
    <w:abstractNumId w:val="26"/>
  </w:num>
  <w:num w:numId="12" w16cid:durableId="638804066">
    <w:abstractNumId w:val="11"/>
  </w:num>
  <w:num w:numId="13" w16cid:durableId="228542110">
    <w:abstractNumId w:val="23"/>
  </w:num>
  <w:num w:numId="14" w16cid:durableId="1946380182">
    <w:abstractNumId w:val="36"/>
  </w:num>
  <w:num w:numId="15" w16cid:durableId="316231119">
    <w:abstractNumId w:val="24"/>
  </w:num>
  <w:num w:numId="16" w16cid:durableId="1176656521">
    <w:abstractNumId w:val="43"/>
  </w:num>
  <w:num w:numId="17" w16cid:durableId="1668434983">
    <w:abstractNumId w:val="14"/>
  </w:num>
  <w:num w:numId="18" w16cid:durableId="782306335">
    <w:abstractNumId w:val="3"/>
  </w:num>
  <w:num w:numId="19" w16cid:durableId="2140174792">
    <w:abstractNumId w:val="44"/>
  </w:num>
  <w:num w:numId="20" w16cid:durableId="723529105">
    <w:abstractNumId w:val="2"/>
  </w:num>
  <w:num w:numId="21" w16cid:durableId="1392077874">
    <w:abstractNumId w:val="8"/>
  </w:num>
  <w:num w:numId="22" w16cid:durableId="1676956886">
    <w:abstractNumId w:val="41"/>
  </w:num>
  <w:num w:numId="23" w16cid:durableId="1721326517">
    <w:abstractNumId w:val="37"/>
  </w:num>
  <w:num w:numId="24" w16cid:durableId="597954989">
    <w:abstractNumId w:val="9"/>
  </w:num>
  <w:num w:numId="25" w16cid:durableId="2029985355">
    <w:abstractNumId w:val="1"/>
  </w:num>
  <w:num w:numId="26" w16cid:durableId="313604768">
    <w:abstractNumId w:val="19"/>
  </w:num>
  <w:num w:numId="27" w16cid:durableId="1655529985">
    <w:abstractNumId w:val="39"/>
  </w:num>
  <w:num w:numId="28" w16cid:durableId="968899789">
    <w:abstractNumId w:val="32"/>
  </w:num>
  <w:num w:numId="29" w16cid:durableId="532502898">
    <w:abstractNumId w:val="13"/>
  </w:num>
  <w:num w:numId="30" w16cid:durableId="701631184">
    <w:abstractNumId w:val="18"/>
  </w:num>
  <w:num w:numId="31" w16cid:durableId="1659846491">
    <w:abstractNumId w:val="42"/>
  </w:num>
  <w:num w:numId="32" w16cid:durableId="2107580548">
    <w:abstractNumId w:val="20"/>
  </w:num>
  <w:num w:numId="33" w16cid:durableId="451442845">
    <w:abstractNumId w:val="31"/>
  </w:num>
  <w:num w:numId="34" w16cid:durableId="1622148203">
    <w:abstractNumId w:val="22"/>
  </w:num>
  <w:num w:numId="35" w16cid:durableId="1990088212">
    <w:abstractNumId w:val="28"/>
  </w:num>
  <w:num w:numId="36" w16cid:durableId="1453743524">
    <w:abstractNumId w:val="38"/>
  </w:num>
  <w:num w:numId="37" w16cid:durableId="1623225892">
    <w:abstractNumId w:val="15"/>
  </w:num>
  <w:num w:numId="38" w16cid:durableId="991720409">
    <w:abstractNumId w:val="34"/>
  </w:num>
  <w:num w:numId="39" w16cid:durableId="1185247984">
    <w:abstractNumId w:val="27"/>
  </w:num>
  <w:num w:numId="40" w16cid:durableId="444269962">
    <w:abstractNumId w:val="30"/>
  </w:num>
  <w:num w:numId="41" w16cid:durableId="723404301">
    <w:abstractNumId w:val="4"/>
  </w:num>
  <w:num w:numId="42" w16cid:durableId="2072120321">
    <w:abstractNumId w:val="40"/>
  </w:num>
  <w:num w:numId="43" w16cid:durableId="174997042">
    <w:abstractNumId w:val="17"/>
  </w:num>
  <w:num w:numId="44" w16cid:durableId="38404136">
    <w:abstractNumId w:val="16"/>
  </w:num>
  <w:num w:numId="45" w16cid:durableId="534267672">
    <w:abstractNumId w:val="7"/>
  </w:num>
  <w:num w:numId="46" w16cid:durableId="1161970765">
    <w:abstractNumId w:val="5"/>
  </w:num>
  <w:num w:numId="47" w16cid:durableId="1085300332">
    <w:abstractNumId w:val="21"/>
  </w:num>
  <w:num w:numId="48" w16cid:durableId="1039743422">
    <w:abstractNumId w:val="6"/>
  </w:num>
  <w:num w:numId="49" w16cid:durableId="1666516886">
    <w:abstractNumId w:val="12"/>
  </w:num>
  <w:num w:numId="50" w16cid:durableId="1999037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hyphenationZone w:val="357"/>
  <w:drawingGridHorizontalSpacing w:val="120"/>
  <w:displayHorizontalDrawingGridEvery w:val="2"/>
  <w:displayVerticalDrawingGridEvery w:val="2"/>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6C"/>
    <w:rsid w:val="000001CA"/>
    <w:rsid w:val="00000A14"/>
    <w:rsid w:val="00001513"/>
    <w:rsid w:val="000019D8"/>
    <w:rsid w:val="00001FB1"/>
    <w:rsid w:val="0000316C"/>
    <w:rsid w:val="00003D5C"/>
    <w:rsid w:val="0000665E"/>
    <w:rsid w:val="00006736"/>
    <w:rsid w:val="00006A97"/>
    <w:rsid w:val="0001045A"/>
    <w:rsid w:val="0001123B"/>
    <w:rsid w:val="00011305"/>
    <w:rsid w:val="0001151F"/>
    <w:rsid w:val="00011ADD"/>
    <w:rsid w:val="00012A7F"/>
    <w:rsid w:val="00012BB2"/>
    <w:rsid w:val="00013DA8"/>
    <w:rsid w:val="000166FA"/>
    <w:rsid w:val="00016EF5"/>
    <w:rsid w:val="00017A3A"/>
    <w:rsid w:val="00020D42"/>
    <w:rsid w:val="00021065"/>
    <w:rsid w:val="000225F2"/>
    <w:rsid w:val="00023147"/>
    <w:rsid w:val="00023A06"/>
    <w:rsid w:val="00023DC6"/>
    <w:rsid w:val="00024B9D"/>
    <w:rsid w:val="00025654"/>
    <w:rsid w:val="000258EC"/>
    <w:rsid w:val="00026538"/>
    <w:rsid w:val="000270FE"/>
    <w:rsid w:val="00027ABB"/>
    <w:rsid w:val="00027C49"/>
    <w:rsid w:val="00030B00"/>
    <w:rsid w:val="0003117C"/>
    <w:rsid w:val="00033257"/>
    <w:rsid w:val="00036E42"/>
    <w:rsid w:val="00036EDF"/>
    <w:rsid w:val="00041356"/>
    <w:rsid w:val="0004156D"/>
    <w:rsid w:val="0004373B"/>
    <w:rsid w:val="000448FA"/>
    <w:rsid w:val="0004527E"/>
    <w:rsid w:val="0004580D"/>
    <w:rsid w:val="000472C4"/>
    <w:rsid w:val="00050AA1"/>
    <w:rsid w:val="00051F60"/>
    <w:rsid w:val="00051FA8"/>
    <w:rsid w:val="0005276C"/>
    <w:rsid w:val="0005366F"/>
    <w:rsid w:val="00053A42"/>
    <w:rsid w:val="000550D8"/>
    <w:rsid w:val="0005517D"/>
    <w:rsid w:val="0005662D"/>
    <w:rsid w:val="0005705F"/>
    <w:rsid w:val="00060273"/>
    <w:rsid w:val="00060B51"/>
    <w:rsid w:val="0006133D"/>
    <w:rsid w:val="00061FFC"/>
    <w:rsid w:val="00063585"/>
    <w:rsid w:val="000650A1"/>
    <w:rsid w:val="0006616A"/>
    <w:rsid w:val="00071899"/>
    <w:rsid w:val="00071CD0"/>
    <w:rsid w:val="00071FF5"/>
    <w:rsid w:val="00072028"/>
    <w:rsid w:val="00075677"/>
    <w:rsid w:val="00075692"/>
    <w:rsid w:val="00076D17"/>
    <w:rsid w:val="000775C9"/>
    <w:rsid w:val="00080C80"/>
    <w:rsid w:val="00080D21"/>
    <w:rsid w:val="0008308A"/>
    <w:rsid w:val="00083878"/>
    <w:rsid w:val="0008602B"/>
    <w:rsid w:val="00086E65"/>
    <w:rsid w:val="00087B0A"/>
    <w:rsid w:val="00087B8D"/>
    <w:rsid w:val="000903D2"/>
    <w:rsid w:val="00091AB0"/>
    <w:rsid w:val="000922AD"/>
    <w:rsid w:val="00092719"/>
    <w:rsid w:val="00093D67"/>
    <w:rsid w:val="00093E60"/>
    <w:rsid w:val="0009405F"/>
    <w:rsid w:val="00094508"/>
    <w:rsid w:val="0009579D"/>
    <w:rsid w:val="00095DA9"/>
    <w:rsid w:val="00095DCA"/>
    <w:rsid w:val="000A15DF"/>
    <w:rsid w:val="000A18B7"/>
    <w:rsid w:val="000A2590"/>
    <w:rsid w:val="000A2C1E"/>
    <w:rsid w:val="000A33AE"/>
    <w:rsid w:val="000A4697"/>
    <w:rsid w:val="000A6997"/>
    <w:rsid w:val="000A6CAC"/>
    <w:rsid w:val="000A73FF"/>
    <w:rsid w:val="000A742F"/>
    <w:rsid w:val="000A7696"/>
    <w:rsid w:val="000B0059"/>
    <w:rsid w:val="000B0B6B"/>
    <w:rsid w:val="000B25C9"/>
    <w:rsid w:val="000B2728"/>
    <w:rsid w:val="000B2C14"/>
    <w:rsid w:val="000B3943"/>
    <w:rsid w:val="000B40C8"/>
    <w:rsid w:val="000B4477"/>
    <w:rsid w:val="000B6345"/>
    <w:rsid w:val="000B6626"/>
    <w:rsid w:val="000B71AA"/>
    <w:rsid w:val="000C0650"/>
    <w:rsid w:val="000C0704"/>
    <w:rsid w:val="000C1BEA"/>
    <w:rsid w:val="000C1EAB"/>
    <w:rsid w:val="000C2398"/>
    <w:rsid w:val="000C2B07"/>
    <w:rsid w:val="000C2BDD"/>
    <w:rsid w:val="000C39CC"/>
    <w:rsid w:val="000C3C49"/>
    <w:rsid w:val="000C3E2C"/>
    <w:rsid w:val="000C434C"/>
    <w:rsid w:val="000C5D67"/>
    <w:rsid w:val="000C7566"/>
    <w:rsid w:val="000C7F41"/>
    <w:rsid w:val="000D0B4D"/>
    <w:rsid w:val="000D1064"/>
    <w:rsid w:val="000D188E"/>
    <w:rsid w:val="000D384A"/>
    <w:rsid w:val="000D5335"/>
    <w:rsid w:val="000D6332"/>
    <w:rsid w:val="000D7B42"/>
    <w:rsid w:val="000E0873"/>
    <w:rsid w:val="000E119C"/>
    <w:rsid w:val="000E1A46"/>
    <w:rsid w:val="000E2223"/>
    <w:rsid w:val="000E257A"/>
    <w:rsid w:val="000E266F"/>
    <w:rsid w:val="000E2BB0"/>
    <w:rsid w:val="000E3227"/>
    <w:rsid w:val="000E3DEB"/>
    <w:rsid w:val="000E47A6"/>
    <w:rsid w:val="000E5DE1"/>
    <w:rsid w:val="000E69D1"/>
    <w:rsid w:val="000E7290"/>
    <w:rsid w:val="000E7B86"/>
    <w:rsid w:val="000E7BBF"/>
    <w:rsid w:val="000E7E29"/>
    <w:rsid w:val="000F1436"/>
    <w:rsid w:val="000F2B66"/>
    <w:rsid w:val="000F3D83"/>
    <w:rsid w:val="000F42DC"/>
    <w:rsid w:val="000F44C5"/>
    <w:rsid w:val="000F48E6"/>
    <w:rsid w:val="000F4904"/>
    <w:rsid w:val="000F5C71"/>
    <w:rsid w:val="000F7AB4"/>
    <w:rsid w:val="000F7D8C"/>
    <w:rsid w:val="00100F12"/>
    <w:rsid w:val="00101E58"/>
    <w:rsid w:val="00102554"/>
    <w:rsid w:val="00102F03"/>
    <w:rsid w:val="0010321F"/>
    <w:rsid w:val="00103589"/>
    <w:rsid w:val="00103FBD"/>
    <w:rsid w:val="001045C9"/>
    <w:rsid w:val="001048EE"/>
    <w:rsid w:val="00105158"/>
    <w:rsid w:val="00105F13"/>
    <w:rsid w:val="001071DC"/>
    <w:rsid w:val="00107C61"/>
    <w:rsid w:val="00107CC1"/>
    <w:rsid w:val="00111A92"/>
    <w:rsid w:val="00112476"/>
    <w:rsid w:val="001129A1"/>
    <w:rsid w:val="00113116"/>
    <w:rsid w:val="0011402C"/>
    <w:rsid w:val="001145C3"/>
    <w:rsid w:val="001153BB"/>
    <w:rsid w:val="00115645"/>
    <w:rsid w:val="00115958"/>
    <w:rsid w:val="001161D2"/>
    <w:rsid w:val="0011620F"/>
    <w:rsid w:val="00122CFF"/>
    <w:rsid w:val="00124161"/>
    <w:rsid w:val="0012436A"/>
    <w:rsid w:val="00124B56"/>
    <w:rsid w:val="00124DA4"/>
    <w:rsid w:val="0012657C"/>
    <w:rsid w:val="00127BA9"/>
    <w:rsid w:val="00129C6F"/>
    <w:rsid w:val="00130853"/>
    <w:rsid w:val="00131DF1"/>
    <w:rsid w:val="001320C1"/>
    <w:rsid w:val="00132C38"/>
    <w:rsid w:val="001333CC"/>
    <w:rsid w:val="00133984"/>
    <w:rsid w:val="00133E38"/>
    <w:rsid w:val="00134529"/>
    <w:rsid w:val="00135208"/>
    <w:rsid w:val="001365C4"/>
    <w:rsid w:val="00141327"/>
    <w:rsid w:val="0014147D"/>
    <w:rsid w:val="00141D29"/>
    <w:rsid w:val="001421D1"/>
    <w:rsid w:val="001421DD"/>
    <w:rsid w:val="00144023"/>
    <w:rsid w:val="00144A5D"/>
    <w:rsid w:val="00144A90"/>
    <w:rsid w:val="0014506A"/>
    <w:rsid w:val="00145A20"/>
    <w:rsid w:val="001464A6"/>
    <w:rsid w:val="0014728F"/>
    <w:rsid w:val="00147B3F"/>
    <w:rsid w:val="00150CC1"/>
    <w:rsid w:val="00150D5A"/>
    <w:rsid w:val="00151E95"/>
    <w:rsid w:val="001521A2"/>
    <w:rsid w:val="00152358"/>
    <w:rsid w:val="00152529"/>
    <w:rsid w:val="00152A03"/>
    <w:rsid w:val="0015334C"/>
    <w:rsid w:val="00153D89"/>
    <w:rsid w:val="00155BFF"/>
    <w:rsid w:val="00157E9E"/>
    <w:rsid w:val="00160318"/>
    <w:rsid w:val="00160F66"/>
    <w:rsid w:val="001615DD"/>
    <w:rsid w:val="00162B53"/>
    <w:rsid w:val="001633AF"/>
    <w:rsid w:val="00163657"/>
    <w:rsid w:val="00163C3F"/>
    <w:rsid w:val="00164004"/>
    <w:rsid w:val="00164A7F"/>
    <w:rsid w:val="00164D15"/>
    <w:rsid w:val="0016527F"/>
    <w:rsid w:val="00166114"/>
    <w:rsid w:val="00166A6C"/>
    <w:rsid w:val="0017072A"/>
    <w:rsid w:val="0017101E"/>
    <w:rsid w:val="00171C3B"/>
    <w:rsid w:val="001728D0"/>
    <w:rsid w:val="001731AD"/>
    <w:rsid w:val="00173EDD"/>
    <w:rsid w:val="00173FD7"/>
    <w:rsid w:val="0017402B"/>
    <w:rsid w:val="00174471"/>
    <w:rsid w:val="00174D8B"/>
    <w:rsid w:val="001752E7"/>
    <w:rsid w:val="0017622F"/>
    <w:rsid w:val="00176B58"/>
    <w:rsid w:val="00180CF4"/>
    <w:rsid w:val="00181012"/>
    <w:rsid w:val="0018169C"/>
    <w:rsid w:val="00181D37"/>
    <w:rsid w:val="001835B7"/>
    <w:rsid w:val="001836B7"/>
    <w:rsid w:val="0018426B"/>
    <w:rsid w:val="00184C69"/>
    <w:rsid w:val="00184DF9"/>
    <w:rsid w:val="00185A37"/>
    <w:rsid w:val="0018666B"/>
    <w:rsid w:val="00187575"/>
    <w:rsid w:val="00191F92"/>
    <w:rsid w:val="00193364"/>
    <w:rsid w:val="00193D8B"/>
    <w:rsid w:val="001940E1"/>
    <w:rsid w:val="00194309"/>
    <w:rsid w:val="0019660E"/>
    <w:rsid w:val="001A107B"/>
    <w:rsid w:val="001A20B6"/>
    <w:rsid w:val="001A2797"/>
    <w:rsid w:val="001A2B89"/>
    <w:rsid w:val="001A4609"/>
    <w:rsid w:val="001B0412"/>
    <w:rsid w:val="001B093A"/>
    <w:rsid w:val="001B0D76"/>
    <w:rsid w:val="001B0FF9"/>
    <w:rsid w:val="001B2567"/>
    <w:rsid w:val="001B39E2"/>
    <w:rsid w:val="001B4439"/>
    <w:rsid w:val="001B4B71"/>
    <w:rsid w:val="001B60C8"/>
    <w:rsid w:val="001B66A8"/>
    <w:rsid w:val="001C2B26"/>
    <w:rsid w:val="001C340B"/>
    <w:rsid w:val="001C3A32"/>
    <w:rsid w:val="001C593F"/>
    <w:rsid w:val="001C6473"/>
    <w:rsid w:val="001C66D0"/>
    <w:rsid w:val="001C752A"/>
    <w:rsid w:val="001C7883"/>
    <w:rsid w:val="001C7FBC"/>
    <w:rsid w:val="001D06C1"/>
    <w:rsid w:val="001D149F"/>
    <w:rsid w:val="001D196E"/>
    <w:rsid w:val="001D3544"/>
    <w:rsid w:val="001D4DC4"/>
    <w:rsid w:val="001D4F09"/>
    <w:rsid w:val="001D4F5C"/>
    <w:rsid w:val="001D5AC6"/>
    <w:rsid w:val="001D606B"/>
    <w:rsid w:val="001D7137"/>
    <w:rsid w:val="001E0050"/>
    <w:rsid w:val="001E1116"/>
    <w:rsid w:val="001E1521"/>
    <w:rsid w:val="001E1913"/>
    <w:rsid w:val="001E1D60"/>
    <w:rsid w:val="001E1EDF"/>
    <w:rsid w:val="001E2937"/>
    <w:rsid w:val="001E2E88"/>
    <w:rsid w:val="001E72DA"/>
    <w:rsid w:val="001F1482"/>
    <w:rsid w:val="001F20D7"/>
    <w:rsid w:val="001F3DCD"/>
    <w:rsid w:val="001F7744"/>
    <w:rsid w:val="002014EB"/>
    <w:rsid w:val="00201F30"/>
    <w:rsid w:val="00202B1A"/>
    <w:rsid w:val="00202B90"/>
    <w:rsid w:val="00203471"/>
    <w:rsid w:val="00204979"/>
    <w:rsid w:val="00207610"/>
    <w:rsid w:val="00210333"/>
    <w:rsid w:val="00211397"/>
    <w:rsid w:val="00211B7E"/>
    <w:rsid w:val="00211D69"/>
    <w:rsid w:val="002120E8"/>
    <w:rsid w:val="0021442A"/>
    <w:rsid w:val="00216809"/>
    <w:rsid w:val="002179DB"/>
    <w:rsid w:val="00217AF7"/>
    <w:rsid w:val="00217FB3"/>
    <w:rsid w:val="002204E6"/>
    <w:rsid w:val="002205C4"/>
    <w:rsid w:val="00220A51"/>
    <w:rsid w:val="00221319"/>
    <w:rsid w:val="00222E4F"/>
    <w:rsid w:val="00224357"/>
    <w:rsid w:val="00227718"/>
    <w:rsid w:val="00227E48"/>
    <w:rsid w:val="00227F66"/>
    <w:rsid w:val="00230577"/>
    <w:rsid w:val="0023159D"/>
    <w:rsid w:val="0023209D"/>
    <w:rsid w:val="0023276A"/>
    <w:rsid w:val="002332A2"/>
    <w:rsid w:val="002333F8"/>
    <w:rsid w:val="0023366C"/>
    <w:rsid w:val="00233D79"/>
    <w:rsid w:val="0023703C"/>
    <w:rsid w:val="0023757D"/>
    <w:rsid w:val="00237657"/>
    <w:rsid w:val="002379AC"/>
    <w:rsid w:val="00240051"/>
    <w:rsid w:val="00240D88"/>
    <w:rsid w:val="00241A7A"/>
    <w:rsid w:val="00242BA7"/>
    <w:rsid w:val="002432E6"/>
    <w:rsid w:val="002437B5"/>
    <w:rsid w:val="0024414B"/>
    <w:rsid w:val="002442C1"/>
    <w:rsid w:val="002444FA"/>
    <w:rsid w:val="00244EF1"/>
    <w:rsid w:val="002458BE"/>
    <w:rsid w:val="00245F5B"/>
    <w:rsid w:val="00246F21"/>
    <w:rsid w:val="00247EB6"/>
    <w:rsid w:val="00250200"/>
    <w:rsid w:val="00251D32"/>
    <w:rsid w:val="00252AA5"/>
    <w:rsid w:val="00253E78"/>
    <w:rsid w:val="00253FF6"/>
    <w:rsid w:val="0025E0A6"/>
    <w:rsid w:val="00260666"/>
    <w:rsid w:val="00260CF2"/>
    <w:rsid w:val="002611F7"/>
    <w:rsid w:val="00261A21"/>
    <w:rsid w:val="00262C3C"/>
    <w:rsid w:val="00263306"/>
    <w:rsid w:val="002639FB"/>
    <w:rsid w:val="00263ABE"/>
    <w:rsid w:val="00264008"/>
    <w:rsid w:val="002647D1"/>
    <w:rsid w:val="00264C88"/>
    <w:rsid w:val="0026532C"/>
    <w:rsid w:val="0026575D"/>
    <w:rsid w:val="002678D3"/>
    <w:rsid w:val="002705B0"/>
    <w:rsid w:val="00270EC8"/>
    <w:rsid w:val="002717A6"/>
    <w:rsid w:val="00271D48"/>
    <w:rsid w:val="00272015"/>
    <w:rsid w:val="0027211B"/>
    <w:rsid w:val="00273C10"/>
    <w:rsid w:val="002747F8"/>
    <w:rsid w:val="00274B4C"/>
    <w:rsid w:val="00275121"/>
    <w:rsid w:val="002753C4"/>
    <w:rsid w:val="00275778"/>
    <w:rsid w:val="00275BC0"/>
    <w:rsid w:val="00276264"/>
    <w:rsid w:val="0027649A"/>
    <w:rsid w:val="002766C3"/>
    <w:rsid w:val="00277F69"/>
    <w:rsid w:val="00277F8F"/>
    <w:rsid w:val="00280CDE"/>
    <w:rsid w:val="00280FC5"/>
    <w:rsid w:val="00281DCA"/>
    <w:rsid w:val="002827A0"/>
    <w:rsid w:val="00282D76"/>
    <w:rsid w:val="00282EBD"/>
    <w:rsid w:val="002833D1"/>
    <w:rsid w:val="00283570"/>
    <w:rsid w:val="00284BBF"/>
    <w:rsid w:val="00285AB4"/>
    <w:rsid w:val="00287097"/>
    <w:rsid w:val="00287FF0"/>
    <w:rsid w:val="00292821"/>
    <w:rsid w:val="00292EC9"/>
    <w:rsid w:val="00293A9B"/>
    <w:rsid w:val="00294BB9"/>
    <w:rsid w:val="00295EF9"/>
    <w:rsid w:val="00296435"/>
    <w:rsid w:val="0029663E"/>
    <w:rsid w:val="002966BC"/>
    <w:rsid w:val="00297B04"/>
    <w:rsid w:val="002A056C"/>
    <w:rsid w:val="002A225E"/>
    <w:rsid w:val="002A3268"/>
    <w:rsid w:val="002A3542"/>
    <w:rsid w:val="002A3B89"/>
    <w:rsid w:val="002A4BBC"/>
    <w:rsid w:val="002A4BE9"/>
    <w:rsid w:val="002A4C32"/>
    <w:rsid w:val="002A57E9"/>
    <w:rsid w:val="002A5A28"/>
    <w:rsid w:val="002A66A5"/>
    <w:rsid w:val="002A6EBB"/>
    <w:rsid w:val="002B0298"/>
    <w:rsid w:val="002B1667"/>
    <w:rsid w:val="002B21E9"/>
    <w:rsid w:val="002B2B87"/>
    <w:rsid w:val="002B4AE8"/>
    <w:rsid w:val="002B4E0F"/>
    <w:rsid w:val="002B50B7"/>
    <w:rsid w:val="002B51BC"/>
    <w:rsid w:val="002B5754"/>
    <w:rsid w:val="002C08F6"/>
    <w:rsid w:val="002C0A5F"/>
    <w:rsid w:val="002C109B"/>
    <w:rsid w:val="002C3587"/>
    <w:rsid w:val="002C37C5"/>
    <w:rsid w:val="002C4A0C"/>
    <w:rsid w:val="002C5ECA"/>
    <w:rsid w:val="002C5F74"/>
    <w:rsid w:val="002C651F"/>
    <w:rsid w:val="002C7026"/>
    <w:rsid w:val="002C7E08"/>
    <w:rsid w:val="002D07B2"/>
    <w:rsid w:val="002D089F"/>
    <w:rsid w:val="002D1390"/>
    <w:rsid w:val="002D2265"/>
    <w:rsid w:val="002D301F"/>
    <w:rsid w:val="002D3665"/>
    <w:rsid w:val="002D43C4"/>
    <w:rsid w:val="002D44BC"/>
    <w:rsid w:val="002D54ED"/>
    <w:rsid w:val="002D5635"/>
    <w:rsid w:val="002D65BD"/>
    <w:rsid w:val="002D65E8"/>
    <w:rsid w:val="002D6D69"/>
    <w:rsid w:val="002D7400"/>
    <w:rsid w:val="002D7606"/>
    <w:rsid w:val="002D7D32"/>
    <w:rsid w:val="002E00AF"/>
    <w:rsid w:val="002E02E5"/>
    <w:rsid w:val="002E0346"/>
    <w:rsid w:val="002E0478"/>
    <w:rsid w:val="002E0791"/>
    <w:rsid w:val="002E1B92"/>
    <w:rsid w:val="002E2425"/>
    <w:rsid w:val="002E26EF"/>
    <w:rsid w:val="002E43F6"/>
    <w:rsid w:val="002E4F9D"/>
    <w:rsid w:val="002E5D2D"/>
    <w:rsid w:val="002E6575"/>
    <w:rsid w:val="002E7B81"/>
    <w:rsid w:val="002F09FB"/>
    <w:rsid w:val="002F0E35"/>
    <w:rsid w:val="002F0FE3"/>
    <w:rsid w:val="002F16EC"/>
    <w:rsid w:val="002F1AF0"/>
    <w:rsid w:val="002F2530"/>
    <w:rsid w:val="002F258C"/>
    <w:rsid w:val="002F26DD"/>
    <w:rsid w:val="002F272A"/>
    <w:rsid w:val="002F3225"/>
    <w:rsid w:val="002F3D02"/>
    <w:rsid w:val="002F43D0"/>
    <w:rsid w:val="002F53B4"/>
    <w:rsid w:val="002F5CB0"/>
    <w:rsid w:val="002F76D6"/>
    <w:rsid w:val="00302151"/>
    <w:rsid w:val="00303506"/>
    <w:rsid w:val="0030429A"/>
    <w:rsid w:val="00305919"/>
    <w:rsid w:val="00305BEC"/>
    <w:rsid w:val="003067C1"/>
    <w:rsid w:val="00307057"/>
    <w:rsid w:val="003106B7"/>
    <w:rsid w:val="00312819"/>
    <w:rsid w:val="00312E9C"/>
    <w:rsid w:val="00313030"/>
    <w:rsid w:val="003131AA"/>
    <w:rsid w:val="00313875"/>
    <w:rsid w:val="003145F1"/>
    <w:rsid w:val="00314ACE"/>
    <w:rsid w:val="00317C51"/>
    <w:rsid w:val="003203BF"/>
    <w:rsid w:val="00321369"/>
    <w:rsid w:val="00321FB2"/>
    <w:rsid w:val="00326B93"/>
    <w:rsid w:val="00326F20"/>
    <w:rsid w:val="00327C65"/>
    <w:rsid w:val="00327F3B"/>
    <w:rsid w:val="00330787"/>
    <w:rsid w:val="003309EF"/>
    <w:rsid w:val="00330E2B"/>
    <w:rsid w:val="00331637"/>
    <w:rsid w:val="00332B21"/>
    <w:rsid w:val="00332D97"/>
    <w:rsid w:val="0033325D"/>
    <w:rsid w:val="00333F46"/>
    <w:rsid w:val="00334432"/>
    <w:rsid w:val="00335633"/>
    <w:rsid w:val="003359BA"/>
    <w:rsid w:val="00337493"/>
    <w:rsid w:val="00340831"/>
    <w:rsid w:val="00341BDD"/>
    <w:rsid w:val="00342723"/>
    <w:rsid w:val="0034285F"/>
    <w:rsid w:val="00342DA8"/>
    <w:rsid w:val="00344011"/>
    <w:rsid w:val="00344721"/>
    <w:rsid w:val="00345C6C"/>
    <w:rsid w:val="003464A4"/>
    <w:rsid w:val="0034719C"/>
    <w:rsid w:val="00351684"/>
    <w:rsid w:val="0035231C"/>
    <w:rsid w:val="00352FA5"/>
    <w:rsid w:val="00354458"/>
    <w:rsid w:val="00354CBD"/>
    <w:rsid w:val="0035535E"/>
    <w:rsid w:val="00355790"/>
    <w:rsid w:val="00355C5E"/>
    <w:rsid w:val="00357131"/>
    <w:rsid w:val="00357645"/>
    <w:rsid w:val="003606A7"/>
    <w:rsid w:val="00361C3A"/>
    <w:rsid w:val="00361D42"/>
    <w:rsid w:val="00363653"/>
    <w:rsid w:val="00363D44"/>
    <w:rsid w:val="003646B9"/>
    <w:rsid w:val="00364DAD"/>
    <w:rsid w:val="0036509D"/>
    <w:rsid w:val="00367BA4"/>
    <w:rsid w:val="00367BDF"/>
    <w:rsid w:val="00370606"/>
    <w:rsid w:val="00371E7C"/>
    <w:rsid w:val="0037228C"/>
    <w:rsid w:val="00373140"/>
    <w:rsid w:val="003736E2"/>
    <w:rsid w:val="003738FD"/>
    <w:rsid w:val="003769D9"/>
    <w:rsid w:val="00381032"/>
    <w:rsid w:val="003810BE"/>
    <w:rsid w:val="00382588"/>
    <w:rsid w:val="00383C42"/>
    <w:rsid w:val="003841AF"/>
    <w:rsid w:val="00384462"/>
    <w:rsid w:val="0038463B"/>
    <w:rsid w:val="00386F6C"/>
    <w:rsid w:val="00387709"/>
    <w:rsid w:val="00387794"/>
    <w:rsid w:val="003901CD"/>
    <w:rsid w:val="0039077F"/>
    <w:rsid w:val="00390A83"/>
    <w:rsid w:val="0039394F"/>
    <w:rsid w:val="00394209"/>
    <w:rsid w:val="00394D35"/>
    <w:rsid w:val="0039626F"/>
    <w:rsid w:val="00397162"/>
    <w:rsid w:val="003975BE"/>
    <w:rsid w:val="003A0421"/>
    <w:rsid w:val="003A115E"/>
    <w:rsid w:val="003A329F"/>
    <w:rsid w:val="003A335E"/>
    <w:rsid w:val="003A382C"/>
    <w:rsid w:val="003A3C18"/>
    <w:rsid w:val="003A3DD2"/>
    <w:rsid w:val="003A5254"/>
    <w:rsid w:val="003B00CD"/>
    <w:rsid w:val="003B04FB"/>
    <w:rsid w:val="003B1052"/>
    <w:rsid w:val="003B1212"/>
    <w:rsid w:val="003B1D64"/>
    <w:rsid w:val="003B2F9F"/>
    <w:rsid w:val="003B3573"/>
    <w:rsid w:val="003B4056"/>
    <w:rsid w:val="003B4CAB"/>
    <w:rsid w:val="003B5813"/>
    <w:rsid w:val="003B687E"/>
    <w:rsid w:val="003C03EA"/>
    <w:rsid w:val="003C0D5C"/>
    <w:rsid w:val="003C1366"/>
    <w:rsid w:val="003C158A"/>
    <w:rsid w:val="003C196B"/>
    <w:rsid w:val="003C2F56"/>
    <w:rsid w:val="003C33DA"/>
    <w:rsid w:val="003C3952"/>
    <w:rsid w:val="003C42D1"/>
    <w:rsid w:val="003C45A1"/>
    <w:rsid w:val="003C5C9A"/>
    <w:rsid w:val="003C5D6F"/>
    <w:rsid w:val="003C6028"/>
    <w:rsid w:val="003C6E1D"/>
    <w:rsid w:val="003D058C"/>
    <w:rsid w:val="003D0BFE"/>
    <w:rsid w:val="003D27ED"/>
    <w:rsid w:val="003D318C"/>
    <w:rsid w:val="003D4B42"/>
    <w:rsid w:val="003D65B4"/>
    <w:rsid w:val="003D76B1"/>
    <w:rsid w:val="003E17A6"/>
    <w:rsid w:val="003E2760"/>
    <w:rsid w:val="003E3655"/>
    <w:rsid w:val="003E494A"/>
    <w:rsid w:val="003E4AA5"/>
    <w:rsid w:val="003E4B5F"/>
    <w:rsid w:val="003E4C01"/>
    <w:rsid w:val="003E4DCD"/>
    <w:rsid w:val="003E5DFC"/>
    <w:rsid w:val="003E5F52"/>
    <w:rsid w:val="003E6EC3"/>
    <w:rsid w:val="003E76C2"/>
    <w:rsid w:val="003F02F7"/>
    <w:rsid w:val="003F1CEC"/>
    <w:rsid w:val="003F43BF"/>
    <w:rsid w:val="003F4C39"/>
    <w:rsid w:val="003F5FA6"/>
    <w:rsid w:val="003F62EF"/>
    <w:rsid w:val="003F6432"/>
    <w:rsid w:val="003F6BE4"/>
    <w:rsid w:val="004002C1"/>
    <w:rsid w:val="00400FFE"/>
    <w:rsid w:val="0040161A"/>
    <w:rsid w:val="00403494"/>
    <w:rsid w:val="00403CF8"/>
    <w:rsid w:val="00403DD4"/>
    <w:rsid w:val="00405911"/>
    <w:rsid w:val="00405DB3"/>
    <w:rsid w:val="0040621D"/>
    <w:rsid w:val="004062F4"/>
    <w:rsid w:val="004069E9"/>
    <w:rsid w:val="00407459"/>
    <w:rsid w:val="00407F5E"/>
    <w:rsid w:val="00410B37"/>
    <w:rsid w:val="00412980"/>
    <w:rsid w:val="00412FBA"/>
    <w:rsid w:val="0041331B"/>
    <w:rsid w:val="0041353A"/>
    <w:rsid w:val="0041396D"/>
    <w:rsid w:val="00413BBA"/>
    <w:rsid w:val="00414D01"/>
    <w:rsid w:val="00416342"/>
    <w:rsid w:val="0041650C"/>
    <w:rsid w:val="004170FE"/>
    <w:rsid w:val="0041768E"/>
    <w:rsid w:val="00417A7A"/>
    <w:rsid w:val="00420759"/>
    <w:rsid w:val="0042091A"/>
    <w:rsid w:val="004209E6"/>
    <w:rsid w:val="00420C6D"/>
    <w:rsid w:val="004218FF"/>
    <w:rsid w:val="0042264C"/>
    <w:rsid w:val="0042324B"/>
    <w:rsid w:val="004234E8"/>
    <w:rsid w:val="004240CE"/>
    <w:rsid w:val="00424A62"/>
    <w:rsid w:val="0042557D"/>
    <w:rsid w:val="00425BFF"/>
    <w:rsid w:val="00425EA0"/>
    <w:rsid w:val="00426805"/>
    <w:rsid w:val="00427735"/>
    <w:rsid w:val="00427A66"/>
    <w:rsid w:val="00427C48"/>
    <w:rsid w:val="00427D24"/>
    <w:rsid w:val="00430150"/>
    <w:rsid w:val="004302F9"/>
    <w:rsid w:val="00430F3D"/>
    <w:rsid w:val="00431040"/>
    <w:rsid w:val="00431841"/>
    <w:rsid w:val="0043229B"/>
    <w:rsid w:val="00433430"/>
    <w:rsid w:val="00435287"/>
    <w:rsid w:val="004367EF"/>
    <w:rsid w:val="00440A22"/>
    <w:rsid w:val="00441869"/>
    <w:rsid w:val="004424B9"/>
    <w:rsid w:val="00442B9E"/>
    <w:rsid w:val="00442BB0"/>
    <w:rsid w:val="00442CCA"/>
    <w:rsid w:val="00444647"/>
    <w:rsid w:val="004453CC"/>
    <w:rsid w:val="00445D5B"/>
    <w:rsid w:val="00451D8B"/>
    <w:rsid w:val="00452F78"/>
    <w:rsid w:val="00454323"/>
    <w:rsid w:val="0045550E"/>
    <w:rsid w:val="00455A3A"/>
    <w:rsid w:val="00455B72"/>
    <w:rsid w:val="00456456"/>
    <w:rsid w:val="00456635"/>
    <w:rsid w:val="00462367"/>
    <w:rsid w:val="0046490C"/>
    <w:rsid w:val="00464D2F"/>
    <w:rsid w:val="00466BD9"/>
    <w:rsid w:val="00470287"/>
    <w:rsid w:val="0047058E"/>
    <w:rsid w:val="0047072D"/>
    <w:rsid w:val="00470733"/>
    <w:rsid w:val="00470DDE"/>
    <w:rsid w:val="00472444"/>
    <w:rsid w:val="00472474"/>
    <w:rsid w:val="00473AEF"/>
    <w:rsid w:val="0047488F"/>
    <w:rsid w:val="00475573"/>
    <w:rsid w:val="0047763B"/>
    <w:rsid w:val="004778A8"/>
    <w:rsid w:val="00477C53"/>
    <w:rsid w:val="00480605"/>
    <w:rsid w:val="004817F5"/>
    <w:rsid w:val="0048250E"/>
    <w:rsid w:val="00482AB6"/>
    <w:rsid w:val="00483F6E"/>
    <w:rsid w:val="00484B18"/>
    <w:rsid w:val="00485380"/>
    <w:rsid w:val="004915B9"/>
    <w:rsid w:val="00491AA4"/>
    <w:rsid w:val="004921A5"/>
    <w:rsid w:val="004925C6"/>
    <w:rsid w:val="00492ACD"/>
    <w:rsid w:val="004935CF"/>
    <w:rsid w:val="00493D87"/>
    <w:rsid w:val="00494E62"/>
    <w:rsid w:val="004950D4"/>
    <w:rsid w:val="0049688A"/>
    <w:rsid w:val="004A0506"/>
    <w:rsid w:val="004A153E"/>
    <w:rsid w:val="004A1DEB"/>
    <w:rsid w:val="004A2342"/>
    <w:rsid w:val="004A2F4D"/>
    <w:rsid w:val="004A2F62"/>
    <w:rsid w:val="004A39D5"/>
    <w:rsid w:val="004A3B35"/>
    <w:rsid w:val="004A4FF2"/>
    <w:rsid w:val="004A506D"/>
    <w:rsid w:val="004A7368"/>
    <w:rsid w:val="004A7734"/>
    <w:rsid w:val="004B044B"/>
    <w:rsid w:val="004B0550"/>
    <w:rsid w:val="004B0577"/>
    <w:rsid w:val="004B1465"/>
    <w:rsid w:val="004B1D69"/>
    <w:rsid w:val="004B1DB8"/>
    <w:rsid w:val="004B2F01"/>
    <w:rsid w:val="004B35F2"/>
    <w:rsid w:val="004B4182"/>
    <w:rsid w:val="004B443C"/>
    <w:rsid w:val="004B4538"/>
    <w:rsid w:val="004B49BD"/>
    <w:rsid w:val="004B4EC7"/>
    <w:rsid w:val="004B503B"/>
    <w:rsid w:val="004B54F5"/>
    <w:rsid w:val="004B61BA"/>
    <w:rsid w:val="004B6FB6"/>
    <w:rsid w:val="004B701D"/>
    <w:rsid w:val="004C10C3"/>
    <w:rsid w:val="004C3423"/>
    <w:rsid w:val="004C4818"/>
    <w:rsid w:val="004C571D"/>
    <w:rsid w:val="004C5885"/>
    <w:rsid w:val="004C5B15"/>
    <w:rsid w:val="004C6B49"/>
    <w:rsid w:val="004D2232"/>
    <w:rsid w:val="004D2AF1"/>
    <w:rsid w:val="004D35A2"/>
    <w:rsid w:val="004D3E9C"/>
    <w:rsid w:val="004D5415"/>
    <w:rsid w:val="004D5FD1"/>
    <w:rsid w:val="004D6622"/>
    <w:rsid w:val="004D6DA4"/>
    <w:rsid w:val="004D7282"/>
    <w:rsid w:val="004D7501"/>
    <w:rsid w:val="004D7828"/>
    <w:rsid w:val="004E0375"/>
    <w:rsid w:val="004E173B"/>
    <w:rsid w:val="004E1A08"/>
    <w:rsid w:val="004E2523"/>
    <w:rsid w:val="004E4A7D"/>
    <w:rsid w:val="004E6EFC"/>
    <w:rsid w:val="004F0845"/>
    <w:rsid w:val="004F21F7"/>
    <w:rsid w:val="004F2257"/>
    <w:rsid w:val="004F252C"/>
    <w:rsid w:val="004F50C8"/>
    <w:rsid w:val="004F550C"/>
    <w:rsid w:val="004F5670"/>
    <w:rsid w:val="004F6313"/>
    <w:rsid w:val="004F6B40"/>
    <w:rsid w:val="004F7962"/>
    <w:rsid w:val="004F7C93"/>
    <w:rsid w:val="004F7D75"/>
    <w:rsid w:val="00500AE3"/>
    <w:rsid w:val="00502AAC"/>
    <w:rsid w:val="00504162"/>
    <w:rsid w:val="00506105"/>
    <w:rsid w:val="005063A6"/>
    <w:rsid w:val="00506AA4"/>
    <w:rsid w:val="00511918"/>
    <w:rsid w:val="00512C0A"/>
    <w:rsid w:val="00512D73"/>
    <w:rsid w:val="0051314A"/>
    <w:rsid w:val="00513162"/>
    <w:rsid w:val="00514465"/>
    <w:rsid w:val="00515D95"/>
    <w:rsid w:val="005164EF"/>
    <w:rsid w:val="00516BBC"/>
    <w:rsid w:val="005174D6"/>
    <w:rsid w:val="005174F3"/>
    <w:rsid w:val="005205B0"/>
    <w:rsid w:val="00520AF3"/>
    <w:rsid w:val="00520F8C"/>
    <w:rsid w:val="005217D5"/>
    <w:rsid w:val="00523DC0"/>
    <w:rsid w:val="00524A0B"/>
    <w:rsid w:val="00524B48"/>
    <w:rsid w:val="00525809"/>
    <w:rsid w:val="005272BD"/>
    <w:rsid w:val="00527EE8"/>
    <w:rsid w:val="005344D8"/>
    <w:rsid w:val="00535130"/>
    <w:rsid w:val="00537302"/>
    <w:rsid w:val="00537723"/>
    <w:rsid w:val="00540533"/>
    <w:rsid w:val="00541E7A"/>
    <w:rsid w:val="005422AA"/>
    <w:rsid w:val="00543AF5"/>
    <w:rsid w:val="00543D5A"/>
    <w:rsid w:val="00543EBD"/>
    <w:rsid w:val="00544235"/>
    <w:rsid w:val="0054433D"/>
    <w:rsid w:val="0054497E"/>
    <w:rsid w:val="0054536D"/>
    <w:rsid w:val="00545473"/>
    <w:rsid w:val="005509AF"/>
    <w:rsid w:val="00550A13"/>
    <w:rsid w:val="005510FC"/>
    <w:rsid w:val="00551402"/>
    <w:rsid w:val="00551BB3"/>
    <w:rsid w:val="00553215"/>
    <w:rsid w:val="00555509"/>
    <w:rsid w:val="00555618"/>
    <w:rsid w:val="00555BFA"/>
    <w:rsid w:val="00556CBD"/>
    <w:rsid w:val="00557276"/>
    <w:rsid w:val="00561C5B"/>
    <w:rsid w:val="00562674"/>
    <w:rsid w:val="00562B58"/>
    <w:rsid w:val="00564749"/>
    <w:rsid w:val="00564F2D"/>
    <w:rsid w:val="0056595C"/>
    <w:rsid w:val="005660FB"/>
    <w:rsid w:val="00566186"/>
    <w:rsid w:val="00566CDA"/>
    <w:rsid w:val="0056727E"/>
    <w:rsid w:val="00567BA6"/>
    <w:rsid w:val="00570033"/>
    <w:rsid w:val="00570147"/>
    <w:rsid w:val="00570DE6"/>
    <w:rsid w:val="005720F4"/>
    <w:rsid w:val="005725DB"/>
    <w:rsid w:val="00572F7A"/>
    <w:rsid w:val="0057307E"/>
    <w:rsid w:val="00573A4C"/>
    <w:rsid w:val="00574965"/>
    <w:rsid w:val="00574B79"/>
    <w:rsid w:val="00574D12"/>
    <w:rsid w:val="005759FA"/>
    <w:rsid w:val="00577A16"/>
    <w:rsid w:val="0058009A"/>
    <w:rsid w:val="005800B4"/>
    <w:rsid w:val="0058070B"/>
    <w:rsid w:val="005809E0"/>
    <w:rsid w:val="0058188F"/>
    <w:rsid w:val="0058296F"/>
    <w:rsid w:val="00582C83"/>
    <w:rsid w:val="00583A34"/>
    <w:rsid w:val="00583F3D"/>
    <w:rsid w:val="00584E6A"/>
    <w:rsid w:val="00586731"/>
    <w:rsid w:val="00586A70"/>
    <w:rsid w:val="005903E9"/>
    <w:rsid w:val="00595CAF"/>
    <w:rsid w:val="00595E80"/>
    <w:rsid w:val="005964AD"/>
    <w:rsid w:val="0059650E"/>
    <w:rsid w:val="00596953"/>
    <w:rsid w:val="00597D70"/>
    <w:rsid w:val="005A05B1"/>
    <w:rsid w:val="005A0C13"/>
    <w:rsid w:val="005A1CBE"/>
    <w:rsid w:val="005A1D52"/>
    <w:rsid w:val="005A2FD2"/>
    <w:rsid w:val="005A306D"/>
    <w:rsid w:val="005A4C9D"/>
    <w:rsid w:val="005A4EAE"/>
    <w:rsid w:val="005A5449"/>
    <w:rsid w:val="005A5599"/>
    <w:rsid w:val="005A6030"/>
    <w:rsid w:val="005A63AE"/>
    <w:rsid w:val="005A7D1C"/>
    <w:rsid w:val="005B18E8"/>
    <w:rsid w:val="005B1D44"/>
    <w:rsid w:val="005B3576"/>
    <w:rsid w:val="005B3CE6"/>
    <w:rsid w:val="005B3ED8"/>
    <w:rsid w:val="005B4A3B"/>
    <w:rsid w:val="005B4F45"/>
    <w:rsid w:val="005B552E"/>
    <w:rsid w:val="005B57AD"/>
    <w:rsid w:val="005B722E"/>
    <w:rsid w:val="005B730B"/>
    <w:rsid w:val="005C02FE"/>
    <w:rsid w:val="005C0F7C"/>
    <w:rsid w:val="005C0FB4"/>
    <w:rsid w:val="005C1625"/>
    <w:rsid w:val="005C208F"/>
    <w:rsid w:val="005C2B64"/>
    <w:rsid w:val="005C31B6"/>
    <w:rsid w:val="005C39CA"/>
    <w:rsid w:val="005C45A2"/>
    <w:rsid w:val="005C50AC"/>
    <w:rsid w:val="005C5EDC"/>
    <w:rsid w:val="005C6406"/>
    <w:rsid w:val="005D0415"/>
    <w:rsid w:val="005D0F2E"/>
    <w:rsid w:val="005D1423"/>
    <w:rsid w:val="005D2DFB"/>
    <w:rsid w:val="005D35FB"/>
    <w:rsid w:val="005D3728"/>
    <w:rsid w:val="005D4712"/>
    <w:rsid w:val="005D482E"/>
    <w:rsid w:val="005D487C"/>
    <w:rsid w:val="005D52DA"/>
    <w:rsid w:val="005D665C"/>
    <w:rsid w:val="005D69D1"/>
    <w:rsid w:val="005D76CE"/>
    <w:rsid w:val="005E0572"/>
    <w:rsid w:val="005E08F2"/>
    <w:rsid w:val="005E210D"/>
    <w:rsid w:val="005E41B6"/>
    <w:rsid w:val="005E5687"/>
    <w:rsid w:val="005E65DA"/>
    <w:rsid w:val="005E6C0D"/>
    <w:rsid w:val="005F046A"/>
    <w:rsid w:val="005F0CC5"/>
    <w:rsid w:val="005F2425"/>
    <w:rsid w:val="005F27BE"/>
    <w:rsid w:val="005F3931"/>
    <w:rsid w:val="005F3A0D"/>
    <w:rsid w:val="005F3E5A"/>
    <w:rsid w:val="005F42EC"/>
    <w:rsid w:val="005F4C4B"/>
    <w:rsid w:val="005F5EC7"/>
    <w:rsid w:val="005F7207"/>
    <w:rsid w:val="005F7FCF"/>
    <w:rsid w:val="0060011B"/>
    <w:rsid w:val="0060216C"/>
    <w:rsid w:val="00603A53"/>
    <w:rsid w:val="00603D03"/>
    <w:rsid w:val="00603FF8"/>
    <w:rsid w:val="0060583B"/>
    <w:rsid w:val="00607691"/>
    <w:rsid w:val="006101C9"/>
    <w:rsid w:val="0061062C"/>
    <w:rsid w:val="00611716"/>
    <w:rsid w:val="00612DE2"/>
    <w:rsid w:val="00613183"/>
    <w:rsid w:val="006133F0"/>
    <w:rsid w:val="00616888"/>
    <w:rsid w:val="006176BE"/>
    <w:rsid w:val="00617780"/>
    <w:rsid w:val="00617C38"/>
    <w:rsid w:val="006200D2"/>
    <w:rsid w:val="006206B2"/>
    <w:rsid w:val="006212CB"/>
    <w:rsid w:val="00621CC3"/>
    <w:rsid w:val="00623756"/>
    <w:rsid w:val="006249D7"/>
    <w:rsid w:val="006279F9"/>
    <w:rsid w:val="00627AB9"/>
    <w:rsid w:val="00627E71"/>
    <w:rsid w:val="006310CB"/>
    <w:rsid w:val="00631726"/>
    <w:rsid w:val="0063188A"/>
    <w:rsid w:val="00631BFD"/>
    <w:rsid w:val="006369EE"/>
    <w:rsid w:val="006375F8"/>
    <w:rsid w:val="00637653"/>
    <w:rsid w:val="00640A31"/>
    <w:rsid w:val="0064163F"/>
    <w:rsid w:val="0064700E"/>
    <w:rsid w:val="00647395"/>
    <w:rsid w:val="006475D6"/>
    <w:rsid w:val="00650183"/>
    <w:rsid w:val="00650677"/>
    <w:rsid w:val="00654208"/>
    <w:rsid w:val="00655247"/>
    <w:rsid w:val="006556FD"/>
    <w:rsid w:val="00655D5D"/>
    <w:rsid w:val="00657BCD"/>
    <w:rsid w:val="00657F21"/>
    <w:rsid w:val="006603F3"/>
    <w:rsid w:val="00661725"/>
    <w:rsid w:val="00661E7D"/>
    <w:rsid w:val="00663402"/>
    <w:rsid w:val="006636CF"/>
    <w:rsid w:val="0066476A"/>
    <w:rsid w:val="00664DE6"/>
    <w:rsid w:val="006674E0"/>
    <w:rsid w:val="00670B44"/>
    <w:rsid w:val="00671AD4"/>
    <w:rsid w:val="0067263F"/>
    <w:rsid w:val="00672880"/>
    <w:rsid w:val="006736A9"/>
    <w:rsid w:val="00673BC7"/>
    <w:rsid w:val="006740AC"/>
    <w:rsid w:val="006742C9"/>
    <w:rsid w:val="00674975"/>
    <w:rsid w:val="00675B61"/>
    <w:rsid w:val="00675D39"/>
    <w:rsid w:val="006761BC"/>
    <w:rsid w:val="00676A4C"/>
    <w:rsid w:val="006770BE"/>
    <w:rsid w:val="006812B8"/>
    <w:rsid w:val="00683192"/>
    <w:rsid w:val="00683603"/>
    <w:rsid w:val="00683931"/>
    <w:rsid w:val="0068560B"/>
    <w:rsid w:val="0068757F"/>
    <w:rsid w:val="00692AC6"/>
    <w:rsid w:val="00694017"/>
    <w:rsid w:val="00694361"/>
    <w:rsid w:val="0069454B"/>
    <w:rsid w:val="00695262"/>
    <w:rsid w:val="0069550F"/>
    <w:rsid w:val="006964AC"/>
    <w:rsid w:val="006968D8"/>
    <w:rsid w:val="00697890"/>
    <w:rsid w:val="006A1277"/>
    <w:rsid w:val="006A1C03"/>
    <w:rsid w:val="006A2602"/>
    <w:rsid w:val="006A2D41"/>
    <w:rsid w:val="006A3339"/>
    <w:rsid w:val="006A3944"/>
    <w:rsid w:val="006A3E7E"/>
    <w:rsid w:val="006A4524"/>
    <w:rsid w:val="006A47D1"/>
    <w:rsid w:val="006A62AF"/>
    <w:rsid w:val="006A63EC"/>
    <w:rsid w:val="006A67E1"/>
    <w:rsid w:val="006A7D22"/>
    <w:rsid w:val="006B22C5"/>
    <w:rsid w:val="006B3476"/>
    <w:rsid w:val="006B3A73"/>
    <w:rsid w:val="006B53C7"/>
    <w:rsid w:val="006B54AD"/>
    <w:rsid w:val="006B7EB7"/>
    <w:rsid w:val="006C1161"/>
    <w:rsid w:val="006C36FB"/>
    <w:rsid w:val="006C7D62"/>
    <w:rsid w:val="006D0B23"/>
    <w:rsid w:val="006D1A97"/>
    <w:rsid w:val="006D2613"/>
    <w:rsid w:val="006D2ED6"/>
    <w:rsid w:val="006D31F2"/>
    <w:rsid w:val="006D3802"/>
    <w:rsid w:val="006D557F"/>
    <w:rsid w:val="006D5685"/>
    <w:rsid w:val="006D5CAB"/>
    <w:rsid w:val="006D7808"/>
    <w:rsid w:val="006D788A"/>
    <w:rsid w:val="006D7ADF"/>
    <w:rsid w:val="006E17CB"/>
    <w:rsid w:val="006E1987"/>
    <w:rsid w:val="006E23B2"/>
    <w:rsid w:val="006E2587"/>
    <w:rsid w:val="006E3186"/>
    <w:rsid w:val="006E3E18"/>
    <w:rsid w:val="006E3F24"/>
    <w:rsid w:val="006E4546"/>
    <w:rsid w:val="006E47E5"/>
    <w:rsid w:val="006E497B"/>
    <w:rsid w:val="006E5207"/>
    <w:rsid w:val="006E6450"/>
    <w:rsid w:val="006E6458"/>
    <w:rsid w:val="006F0D52"/>
    <w:rsid w:val="006F1AB3"/>
    <w:rsid w:val="006F1D1F"/>
    <w:rsid w:val="006F22B2"/>
    <w:rsid w:val="006F231C"/>
    <w:rsid w:val="006F2A4B"/>
    <w:rsid w:val="006F2BE7"/>
    <w:rsid w:val="006F3A12"/>
    <w:rsid w:val="006F4256"/>
    <w:rsid w:val="006F591D"/>
    <w:rsid w:val="006F5C60"/>
    <w:rsid w:val="006F5C70"/>
    <w:rsid w:val="006F66AB"/>
    <w:rsid w:val="006F6A20"/>
    <w:rsid w:val="0070115B"/>
    <w:rsid w:val="007011BF"/>
    <w:rsid w:val="00702AFF"/>
    <w:rsid w:val="00702BAF"/>
    <w:rsid w:val="00703449"/>
    <w:rsid w:val="0070415D"/>
    <w:rsid w:val="007042C6"/>
    <w:rsid w:val="007047B2"/>
    <w:rsid w:val="00704A8B"/>
    <w:rsid w:val="00704DE7"/>
    <w:rsid w:val="00705F28"/>
    <w:rsid w:val="00706868"/>
    <w:rsid w:val="00706B38"/>
    <w:rsid w:val="007078B8"/>
    <w:rsid w:val="00710FCC"/>
    <w:rsid w:val="00713099"/>
    <w:rsid w:val="0071401C"/>
    <w:rsid w:val="00714D35"/>
    <w:rsid w:val="00714F90"/>
    <w:rsid w:val="00715BD5"/>
    <w:rsid w:val="00715E32"/>
    <w:rsid w:val="007162D1"/>
    <w:rsid w:val="00716463"/>
    <w:rsid w:val="00716A47"/>
    <w:rsid w:val="0071706E"/>
    <w:rsid w:val="00717B65"/>
    <w:rsid w:val="007221C6"/>
    <w:rsid w:val="0072287B"/>
    <w:rsid w:val="00722C6C"/>
    <w:rsid w:val="0072368F"/>
    <w:rsid w:val="007237DF"/>
    <w:rsid w:val="0072452F"/>
    <w:rsid w:val="00724E94"/>
    <w:rsid w:val="007251ED"/>
    <w:rsid w:val="00727292"/>
    <w:rsid w:val="00730AB8"/>
    <w:rsid w:val="00733BCB"/>
    <w:rsid w:val="00733EBB"/>
    <w:rsid w:val="0073427D"/>
    <w:rsid w:val="0073537F"/>
    <w:rsid w:val="00736D0B"/>
    <w:rsid w:val="00736DA0"/>
    <w:rsid w:val="00737794"/>
    <w:rsid w:val="0073780F"/>
    <w:rsid w:val="00740876"/>
    <w:rsid w:val="00741ED1"/>
    <w:rsid w:val="0074203A"/>
    <w:rsid w:val="00742F6A"/>
    <w:rsid w:val="007446E8"/>
    <w:rsid w:val="007457CA"/>
    <w:rsid w:val="00746564"/>
    <w:rsid w:val="00746B81"/>
    <w:rsid w:val="0075056E"/>
    <w:rsid w:val="00750B52"/>
    <w:rsid w:val="00751441"/>
    <w:rsid w:val="00751553"/>
    <w:rsid w:val="0075165E"/>
    <w:rsid w:val="00751965"/>
    <w:rsid w:val="0075499D"/>
    <w:rsid w:val="00754E10"/>
    <w:rsid w:val="0075796B"/>
    <w:rsid w:val="00761614"/>
    <w:rsid w:val="007618A7"/>
    <w:rsid w:val="00762A29"/>
    <w:rsid w:val="00762CCA"/>
    <w:rsid w:val="0076327D"/>
    <w:rsid w:val="00766047"/>
    <w:rsid w:val="0076645A"/>
    <w:rsid w:val="00767070"/>
    <w:rsid w:val="00767745"/>
    <w:rsid w:val="00767AA2"/>
    <w:rsid w:val="007707FC"/>
    <w:rsid w:val="00770BE3"/>
    <w:rsid w:val="00770EBC"/>
    <w:rsid w:val="0077177A"/>
    <w:rsid w:val="007728A8"/>
    <w:rsid w:val="00772E05"/>
    <w:rsid w:val="007746AF"/>
    <w:rsid w:val="00775794"/>
    <w:rsid w:val="00775B81"/>
    <w:rsid w:val="00777869"/>
    <w:rsid w:val="00777E8F"/>
    <w:rsid w:val="00780260"/>
    <w:rsid w:val="00781A09"/>
    <w:rsid w:val="00781F2B"/>
    <w:rsid w:val="007825F1"/>
    <w:rsid w:val="00784CBA"/>
    <w:rsid w:val="00785832"/>
    <w:rsid w:val="00785A76"/>
    <w:rsid w:val="00787852"/>
    <w:rsid w:val="00787D6A"/>
    <w:rsid w:val="00790DB8"/>
    <w:rsid w:val="007915BC"/>
    <w:rsid w:val="0079209A"/>
    <w:rsid w:val="00793245"/>
    <w:rsid w:val="00793626"/>
    <w:rsid w:val="00793908"/>
    <w:rsid w:val="00793D68"/>
    <w:rsid w:val="0079450B"/>
    <w:rsid w:val="0079471E"/>
    <w:rsid w:val="0079472A"/>
    <w:rsid w:val="007947DB"/>
    <w:rsid w:val="00794832"/>
    <w:rsid w:val="00795333"/>
    <w:rsid w:val="0079554E"/>
    <w:rsid w:val="00795BEE"/>
    <w:rsid w:val="00796089"/>
    <w:rsid w:val="007967FA"/>
    <w:rsid w:val="00796886"/>
    <w:rsid w:val="00796A87"/>
    <w:rsid w:val="00796D89"/>
    <w:rsid w:val="007975D8"/>
    <w:rsid w:val="00797E7A"/>
    <w:rsid w:val="007A0EA6"/>
    <w:rsid w:val="007A2177"/>
    <w:rsid w:val="007A2D9E"/>
    <w:rsid w:val="007A4F10"/>
    <w:rsid w:val="007A55CE"/>
    <w:rsid w:val="007A56E6"/>
    <w:rsid w:val="007A640F"/>
    <w:rsid w:val="007A6732"/>
    <w:rsid w:val="007A7B89"/>
    <w:rsid w:val="007B0381"/>
    <w:rsid w:val="007B0F3D"/>
    <w:rsid w:val="007B148D"/>
    <w:rsid w:val="007B18C8"/>
    <w:rsid w:val="007B2627"/>
    <w:rsid w:val="007B28DE"/>
    <w:rsid w:val="007B38E6"/>
    <w:rsid w:val="007B63FD"/>
    <w:rsid w:val="007B7163"/>
    <w:rsid w:val="007B7A5F"/>
    <w:rsid w:val="007C1046"/>
    <w:rsid w:val="007C19C2"/>
    <w:rsid w:val="007C1D39"/>
    <w:rsid w:val="007C2180"/>
    <w:rsid w:val="007C3208"/>
    <w:rsid w:val="007C36BE"/>
    <w:rsid w:val="007C5C0C"/>
    <w:rsid w:val="007C64A7"/>
    <w:rsid w:val="007C6CA5"/>
    <w:rsid w:val="007C6D74"/>
    <w:rsid w:val="007D302F"/>
    <w:rsid w:val="007D4F1A"/>
    <w:rsid w:val="007D53ED"/>
    <w:rsid w:val="007D5CD1"/>
    <w:rsid w:val="007D6001"/>
    <w:rsid w:val="007D68B8"/>
    <w:rsid w:val="007D7F94"/>
    <w:rsid w:val="007E19E0"/>
    <w:rsid w:val="007E1A33"/>
    <w:rsid w:val="007E1B76"/>
    <w:rsid w:val="007E2185"/>
    <w:rsid w:val="007E219A"/>
    <w:rsid w:val="007E323B"/>
    <w:rsid w:val="007E37BF"/>
    <w:rsid w:val="007E3B01"/>
    <w:rsid w:val="007E5CE8"/>
    <w:rsid w:val="007E6593"/>
    <w:rsid w:val="007F034F"/>
    <w:rsid w:val="007F078F"/>
    <w:rsid w:val="007F0D39"/>
    <w:rsid w:val="007F1101"/>
    <w:rsid w:val="007F1518"/>
    <w:rsid w:val="007F1CB6"/>
    <w:rsid w:val="007F259D"/>
    <w:rsid w:val="007F2CB1"/>
    <w:rsid w:val="007F3E80"/>
    <w:rsid w:val="007F413F"/>
    <w:rsid w:val="007F4190"/>
    <w:rsid w:val="007F5C6B"/>
    <w:rsid w:val="007F6E01"/>
    <w:rsid w:val="0080058B"/>
    <w:rsid w:val="008024F6"/>
    <w:rsid w:val="008037CE"/>
    <w:rsid w:val="00803D20"/>
    <w:rsid w:val="00803E23"/>
    <w:rsid w:val="00804B13"/>
    <w:rsid w:val="008054AB"/>
    <w:rsid w:val="00805508"/>
    <w:rsid w:val="00810121"/>
    <w:rsid w:val="008112A0"/>
    <w:rsid w:val="00812D02"/>
    <w:rsid w:val="0081488B"/>
    <w:rsid w:val="00814B3C"/>
    <w:rsid w:val="008153A1"/>
    <w:rsid w:val="008159D2"/>
    <w:rsid w:val="00815CA1"/>
    <w:rsid w:val="0081696D"/>
    <w:rsid w:val="00816E01"/>
    <w:rsid w:val="0081737C"/>
    <w:rsid w:val="008173D0"/>
    <w:rsid w:val="00817539"/>
    <w:rsid w:val="0081770A"/>
    <w:rsid w:val="008216C4"/>
    <w:rsid w:val="00822785"/>
    <w:rsid w:val="00822A90"/>
    <w:rsid w:val="00823235"/>
    <w:rsid w:val="00823273"/>
    <w:rsid w:val="00823351"/>
    <w:rsid w:val="0082467B"/>
    <w:rsid w:val="008249F1"/>
    <w:rsid w:val="00824AF2"/>
    <w:rsid w:val="00824C66"/>
    <w:rsid w:val="008260B8"/>
    <w:rsid w:val="00826686"/>
    <w:rsid w:val="00827C83"/>
    <w:rsid w:val="00830069"/>
    <w:rsid w:val="00830BB7"/>
    <w:rsid w:val="008319D5"/>
    <w:rsid w:val="00831C7F"/>
    <w:rsid w:val="00835273"/>
    <w:rsid w:val="008353A9"/>
    <w:rsid w:val="00835563"/>
    <w:rsid w:val="008363A5"/>
    <w:rsid w:val="00836511"/>
    <w:rsid w:val="00836B02"/>
    <w:rsid w:val="00836EC6"/>
    <w:rsid w:val="0083741E"/>
    <w:rsid w:val="00837985"/>
    <w:rsid w:val="0084081A"/>
    <w:rsid w:val="00840E3D"/>
    <w:rsid w:val="008412B2"/>
    <w:rsid w:val="00841C2E"/>
    <w:rsid w:val="00841D8C"/>
    <w:rsid w:val="00842220"/>
    <w:rsid w:val="00842D5F"/>
    <w:rsid w:val="00842F8E"/>
    <w:rsid w:val="00843198"/>
    <w:rsid w:val="008433A0"/>
    <w:rsid w:val="00844111"/>
    <w:rsid w:val="00844F74"/>
    <w:rsid w:val="00846382"/>
    <w:rsid w:val="008502B8"/>
    <w:rsid w:val="00850F57"/>
    <w:rsid w:val="008512F4"/>
    <w:rsid w:val="00852474"/>
    <w:rsid w:val="0085260E"/>
    <w:rsid w:val="008528C2"/>
    <w:rsid w:val="008536C2"/>
    <w:rsid w:val="00854F87"/>
    <w:rsid w:val="0085538E"/>
    <w:rsid w:val="008574A7"/>
    <w:rsid w:val="00857AB7"/>
    <w:rsid w:val="00857D24"/>
    <w:rsid w:val="008600C7"/>
    <w:rsid w:val="008617D0"/>
    <w:rsid w:val="00861A60"/>
    <w:rsid w:val="00861A9E"/>
    <w:rsid w:val="00862357"/>
    <w:rsid w:val="00862D02"/>
    <w:rsid w:val="008637B9"/>
    <w:rsid w:val="00863BB0"/>
    <w:rsid w:val="0086415E"/>
    <w:rsid w:val="00864194"/>
    <w:rsid w:val="00864AF8"/>
    <w:rsid w:val="00867048"/>
    <w:rsid w:val="00870399"/>
    <w:rsid w:val="008704BA"/>
    <w:rsid w:val="0087057C"/>
    <w:rsid w:val="0087073F"/>
    <w:rsid w:val="00870D6D"/>
    <w:rsid w:val="008711EC"/>
    <w:rsid w:val="008714CA"/>
    <w:rsid w:val="008718FE"/>
    <w:rsid w:val="00871B7D"/>
    <w:rsid w:val="00872946"/>
    <w:rsid w:val="0087568B"/>
    <w:rsid w:val="008758E6"/>
    <w:rsid w:val="00877BEB"/>
    <w:rsid w:val="0088298B"/>
    <w:rsid w:val="00883928"/>
    <w:rsid w:val="00883C63"/>
    <w:rsid w:val="00883DB7"/>
    <w:rsid w:val="00883DDE"/>
    <w:rsid w:val="00884240"/>
    <w:rsid w:val="00885ED1"/>
    <w:rsid w:val="00887155"/>
    <w:rsid w:val="008871B1"/>
    <w:rsid w:val="00887977"/>
    <w:rsid w:val="0089090B"/>
    <w:rsid w:val="00891D73"/>
    <w:rsid w:val="00892A44"/>
    <w:rsid w:val="00893FBF"/>
    <w:rsid w:val="0089597D"/>
    <w:rsid w:val="00896A1C"/>
    <w:rsid w:val="008974DA"/>
    <w:rsid w:val="008A0CB3"/>
    <w:rsid w:val="008A0E7C"/>
    <w:rsid w:val="008A21EE"/>
    <w:rsid w:val="008A2DE8"/>
    <w:rsid w:val="008A312D"/>
    <w:rsid w:val="008A3E09"/>
    <w:rsid w:val="008A3E57"/>
    <w:rsid w:val="008A52D9"/>
    <w:rsid w:val="008A6B21"/>
    <w:rsid w:val="008A6F13"/>
    <w:rsid w:val="008A7797"/>
    <w:rsid w:val="008A77A7"/>
    <w:rsid w:val="008A7D6F"/>
    <w:rsid w:val="008B03A3"/>
    <w:rsid w:val="008B040E"/>
    <w:rsid w:val="008B07AC"/>
    <w:rsid w:val="008B302E"/>
    <w:rsid w:val="008B3772"/>
    <w:rsid w:val="008B3F34"/>
    <w:rsid w:val="008B4803"/>
    <w:rsid w:val="008B55F5"/>
    <w:rsid w:val="008B6411"/>
    <w:rsid w:val="008B6F75"/>
    <w:rsid w:val="008B7066"/>
    <w:rsid w:val="008B726B"/>
    <w:rsid w:val="008B773A"/>
    <w:rsid w:val="008C027D"/>
    <w:rsid w:val="008C0F59"/>
    <w:rsid w:val="008C1151"/>
    <w:rsid w:val="008C18CD"/>
    <w:rsid w:val="008C464D"/>
    <w:rsid w:val="008C4E86"/>
    <w:rsid w:val="008C56B9"/>
    <w:rsid w:val="008D05E0"/>
    <w:rsid w:val="008D0759"/>
    <w:rsid w:val="008D2600"/>
    <w:rsid w:val="008D29EC"/>
    <w:rsid w:val="008D4E28"/>
    <w:rsid w:val="008D54BB"/>
    <w:rsid w:val="008D567F"/>
    <w:rsid w:val="008D7035"/>
    <w:rsid w:val="008D7A60"/>
    <w:rsid w:val="008E04A7"/>
    <w:rsid w:val="008E0AC0"/>
    <w:rsid w:val="008E1B1C"/>
    <w:rsid w:val="008E1BE9"/>
    <w:rsid w:val="008E2026"/>
    <w:rsid w:val="008E215C"/>
    <w:rsid w:val="008E221A"/>
    <w:rsid w:val="008E3334"/>
    <w:rsid w:val="008E3FFE"/>
    <w:rsid w:val="008E4495"/>
    <w:rsid w:val="008E47CC"/>
    <w:rsid w:val="008E50A9"/>
    <w:rsid w:val="008E60BE"/>
    <w:rsid w:val="008E6B74"/>
    <w:rsid w:val="008F09B7"/>
    <w:rsid w:val="008F0FAF"/>
    <w:rsid w:val="008F1618"/>
    <w:rsid w:val="008F3462"/>
    <w:rsid w:val="008F46CD"/>
    <w:rsid w:val="008F5F8E"/>
    <w:rsid w:val="008F6256"/>
    <w:rsid w:val="008F63DA"/>
    <w:rsid w:val="008F6480"/>
    <w:rsid w:val="008F6A48"/>
    <w:rsid w:val="008F7740"/>
    <w:rsid w:val="008F7B61"/>
    <w:rsid w:val="00900CA2"/>
    <w:rsid w:val="00900D22"/>
    <w:rsid w:val="009012A8"/>
    <w:rsid w:val="00903653"/>
    <w:rsid w:val="009059A2"/>
    <w:rsid w:val="0090665E"/>
    <w:rsid w:val="00907EF4"/>
    <w:rsid w:val="00910A52"/>
    <w:rsid w:val="00910D9A"/>
    <w:rsid w:val="00911079"/>
    <w:rsid w:val="00911479"/>
    <w:rsid w:val="009119CB"/>
    <w:rsid w:val="00911CEC"/>
    <w:rsid w:val="00913E1E"/>
    <w:rsid w:val="00913E58"/>
    <w:rsid w:val="0091484D"/>
    <w:rsid w:val="00915F33"/>
    <w:rsid w:val="00920849"/>
    <w:rsid w:val="00921E56"/>
    <w:rsid w:val="009220B0"/>
    <w:rsid w:val="00922486"/>
    <w:rsid w:val="00922EA7"/>
    <w:rsid w:val="0092357E"/>
    <w:rsid w:val="009240E2"/>
    <w:rsid w:val="00925E71"/>
    <w:rsid w:val="009273A5"/>
    <w:rsid w:val="00927707"/>
    <w:rsid w:val="00927CF6"/>
    <w:rsid w:val="009318AB"/>
    <w:rsid w:val="00932195"/>
    <w:rsid w:val="0093256F"/>
    <w:rsid w:val="009326C3"/>
    <w:rsid w:val="0093329F"/>
    <w:rsid w:val="00935469"/>
    <w:rsid w:val="00937043"/>
    <w:rsid w:val="00942CDB"/>
    <w:rsid w:val="0094327E"/>
    <w:rsid w:val="009445D3"/>
    <w:rsid w:val="00944BE5"/>
    <w:rsid w:val="00945FB9"/>
    <w:rsid w:val="0095069A"/>
    <w:rsid w:val="0095182E"/>
    <w:rsid w:val="0095185F"/>
    <w:rsid w:val="00951885"/>
    <w:rsid w:val="00951C4E"/>
    <w:rsid w:val="009529DF"/>
    <w:rsid w:val="00952EF6"/>
    <w:rsid w:val="00955A8A"/>
    <w:rsid w:val="009571C9"/>
    <w:rsid w:val="00957E49"/>
    <w:rsid w:val="00962DAE"/>
    <w:rsid w:val="0096400D"/>
    <w:rsid w:val="009641E2"/>
    <w:rsid w:val="00964257"/>
    <w:rsid w:val="009645DE"/>
    <w:rsid w:val="00966600"/>
    <w:rsid w:val="00966929"/>
    <w:rsid w:val="009671D9"/>
    <w:rsid w:val="009676E6"/>
    <w:rsid w:val="00967982"/>
    <w:rsid w:val="00971352"/>
    <w:rsid w:val="00973B10"/>
    <w:rsid w:val="009747C0"/>
    <w:rsid w:val="00975E5B"/>
    <w:rsid w:val="00977C8F"/>
    <w:rsid w:val="00977E2D"/>
    <w:rsid w:val="00977F94"/>
    <w:rsid w:val="00980115"/>
    <w:rsid w:val="00981F1D"/>
    <w:rsid w:val="009830B9"/>
    <w:rsid w:val="009844D5"/>
    <w:rsid w:val="009850D0"/>
    <w:rsid w:val="009863E9"/>
    <w:rsid w:val="00987CAD"/>
    <w:rsid w:val="00987D9F"/>
    <w:rsid w:val="00987E91"/>
    <w:rsid w:val="00990189"/>
    <w:rsid w:val="00991E65"/>
    <w:rsid w:val="009920DD"/>
    <w:rsid w:val="00992E20"/>
    <w:rsid w:val="009936FC"/>
    <w:rsid w:val="00993925"/>
    <w:rsid w:val="00993977"/>
    <w:rsid w:val="009939AA"/>
    <w:rsid w:val="009956B1"/>
    <w:rsid w:val="00996DC1"/>
    <w:rsid w:val="009A0259"/>
    <w:rsid w:val="009A05D1"/>
    <w:rsid w:val="009A0CAA"/>
    <w:rsid w:val="009A0D14"/>
    <w:rsid w:val="009A173B"/>
    <w:rsid w:val="009A28AC"/>
    <w:rsid w:val="009A3A5B"/>
    <w:rsid w:val="009A3F2A"/>
    <w:rsid w:val="009A56A6"/>
    <w:rsid w:val="009A6480"/>
    <w:rsid w:val="009A770A"/>
    <w:rsid w:val="009A7A48"/>
    <w:rsid w:val="009B01FA"/>
    <w:rsid w:val="009B0626"/>
    <w:rsid w:val="009B06A9"/>
    <w:rsid w:val="009B1BC5"/>
    <w:rsid w:val="009B2AAC"/>
    <w:rsid w:val="009B2E52"/>
    <w:rsid w:val="009B3521"/>
    <w:rsid w:val="009B3A61"/>
    <w:rsid w:val="009B468A"/>
    <w:rsid w:val="009B541C"/>
    <w:rsid w:val="009B5AB3"/>
    <w:rsid w:val="009B6237"/>
    <w:rsid w:val="009B797A"/>
    <w:rsid w:val="009C22F9"/>
    <w:rsid w:val="009C43FA"/>
    <w:rsid w:val="009C4460"/>
    <w:rsid w:val="009C5091"/>
    <w:rsid w:val="009C6080"/>
    <w:rsid w:val="009C6FC9"/>
    <w:rsid w:val="009C784F"/>
    <w:rsid w:val="009D02FE"/>
    <w:rsid w:val="009D059E"/>
    <w:rsid w:val="009D1A05"/>
    <w:rsid w:val="009D1EF7"/>
    <w:rsid w:val="009D1EFE"/>
    <w:rsid w:val="009D4196"/>
    <w:rsid w:val="009D477B"/>
    <w:rsid w:val="009D5351"/>
    <w:rsid w:val="009D6BBF"/>
    <w:rsid w:val="009D7192"/>
    <w:rsid w:val="009D74E3"/>
    <w:rsid w:val="009E0033"/>
    <w:rsid w:val="009E0E38"/>
    <w:rsid w:val="009E1A35"/>
    <w:rsid w:val="009E24C8"/>
    <w:rsid w:val="009E2A2B"/>
    <w:rsid w:val="009E2D08"/>
    <w:rsid w:val="009E4884"/>
    <w:rsid w:val="009E6477"/>
    <w:rsid w:val="009E6659"/>
    <w:rsid w:val="009E7912"/>
    <w:rsid w:val="009E792F"/>
    <w:rsid w:val="009F09AA"/>
    <w:rsid w:val="009F0AA8"/>
    <w:rsid w:val="009F2C16"/>
    <w:rsid w:val="009F2C1B"/>
    <w:rsid w:val="009F335C"/>
    <w:rsid w:val="009F35A7"/>
    <w:rsid w:val="009F50C6"/>
    <w:rsid w:val="009F5307"/>
    <w:rsid w:val="009F56F9"/>
    <w:rsid w:val="009F670A"/>
    <w:rsid w:val="009F6861"/>
    <w:rsid w:val="00A00040"/>
    <w:rsid w:val="00A002B5"/>
    <w:rsid w:val="00A00D2E"/>
    <w:rsid w:val="00A0260C"/>
    <w:rsid w:val="00A03174"/>
    <w:rsid w:val="00A041B5"/>
    <w:rsid w:val="00A04A7A"/>
    <w:rsid w:val="00A04E27"/>
    <w:rsid w:val="00A04F8C"/>
    <w:rsid w:val="00A0502C"/>
    <w:rsid w:val="00A05158"/>
    <w:rsid w:val="00A0522B"/>
    <w:rsid w:val="00A06694"/>
    <w:rsid w:val="00A112B7"/>
    <w:rsid w:val="00A11861"/>
    <w:rsid w:val="00A11FD0"/>
    <w:rsid w:val="00A12D07"/>
    <w:rsid w:val="00A13BF5"/>
    <w:rsid w:val="00A14837"/>
    <w:rsid w:val="00A14A65"/>
    <w:rsid w:val="00A170AD"/>
    <w:rsid w:val="00A225E3"/>
    <w:rsid w:val="00A23A26"/>
    <w:rsid w:val="00A2414A"/>
    <w:rsid w:val="00A241BC"/>
    <w:rsid w:val="00A242B4"/>
    <w:rsid w:val="00A24A8F"/>
    <w:rsid w:val="00A25650"/>
    <w:rsid w:val="00A25708"/>
    <w:rsid w:val="00A25BF0"/>
    <w:rsid w:val="00A26797"/>
    <w:rsid w:val="00A26B51"/>
    <w:rsid w:val="00A2712A"/>
    <w:rsid w:val="00A277C2"/>
    <w:rsid w:val="00A27FCB"/>
    <w:rsid w:val="00A3026E"/>
    <w:rsid w:val="00A31597"/>
    <w:rsid w:val="00A32317"/>
    <w:rsid w:val="00A334C0"/>
    <w:rsid w:val="00A34749"/>
    <w:rsid w:val="00A34D68"/>
    <w:rsid w:val="00A3668A"/>
    <w:rsid w:val="00A3766C"/>
    <w:rsid w:val="00A4051C"/>
    <w:rsid w:val="00A40ACA"/>
    <w:rsid w:val="00A41B74"/>
    <w:rsid w:val="00A41EE3"/>
    <w:rsid w:val="00A42147"/>
    <w:rsid w:val="00A422A6"/>
    <w:rsid w:val="00A42A96"/>
    <w:rsid w:val="00A42FF6"/>
    <w:rsid w:val="00A4467D"/>
    <w:rsid w:val="00A44D4C"/>
    <w:rsid w:val="00A4576A"/>
    <w:rsid w:val="00A45AD0"/>
    <w:rsid w:val="00A45EE9"/>
    <w:rsid w:val="00A4643F"/>
    <w:rsid w:val="00A47013"/>
    <w:rsid w:val="00A4708A"/>
    <w:rsid w:val="00A47CB1"/>
    <w:rsid w:val="00A5058D"/>
    <w:rsid w:val="00A50884"/>
    <w:rsid w:val="00A50A6E"/>
    <w:rsid w:val="00A51F9A"/>
    <w:rsid w:val="00A51FD1"/>
    <w:rsid w:val="00A5343F"/>
    <w:rsid w:val="00A53C14"/>
    <w:rsid w:val="00A5521E"/>
    <w:rsid w:val="00A559B2"/>
    <w:rsid w:val="00A55ACD"/>
    <w:rsid w:val="00A56272"/>
    <w:rsid w:val="00A56DD7"/>
    <w:rsid w:val="00A57164"/>
    <w:rsid w:val="00A6020A"/>
    <w:rsid w:val="00A60902"/>
    <w:rsid w:val="00A61111"/>
    <w:rsid w:val="00A61410"/>
    <w:rsid w:val="00A6198A"/>
    <w:rsid w:val="00A61BC4"/>
    <w:rsid w:val="00A6209E"/>
    <w:rsid w:val="00A62506"/>
    <w:rsid w:val="00A6301F"/>
    <w:rsid w:val="00A65108"/>
    <w:rsid w:val="00A65153"/>
    <w:rsid w:val="00A65F09"/>
    <w:rsid w:val="00A673DC"/>
    <w:rsid w:val="00A7067F"/>
    <w:rsid w:val="00A707A7"/>
    <w:rsid w:val="00A70E3A"/>
    <w:rsid w:val="00A71198"/>
    <w:rsid w:val="00A718FD"/>
    <w:rsid w:val="00A72341"/>
    <w:rsid w:val="00A74477"/>
    <w:rsid w:val="00A74958"/>
    <w:rsid w:val="00A74E57"/>
    <w:rsid w:val="00A75300"/>
    <w:rsid w:val="00A75E8B"/>
    <w:rsid w:val="00A76B8E"/>
    <w:rsid w:val="00A76DE9"/>
    <w:rsid w:val="00A774CF"/>
    <w:rsid w:val="00A776ED"/>
    <w:rsid w:val="00A80E50"/>
    <w:rsid w:val="00A8133B"/>
    <w:rsid w:val="00A8137F"/>
    <w:rsid w:val="00A83250"/>
    <w:rsid w:val="00A83663"/>
    <w:rsid w:val="00A83A9F"/>
    <w:rsid w:val="00A83B0F"/>
    <w:rsid w:val="00A84216"/>
    <w:rsid w:val="00A86B09"/>
    <w:rsid w:val="00A87AD3"/>
    <w:rsid w:val="00A90022"/>
    <w:rsid w:val="00A90BFA"/>
    <w:rsid w:val="00A92663"/>
    <w:rsid w:val="00A92BF3"/>
    <w:rsid w:val="00A933A7"/>
    <w:rsid w:val="00A943C8"/>
    <w:rsid w:val="00A950A4"/>
    <w:rsid w:val="00A9520D"/>
    <w:rsid w:val="00A9573C"/>
    <w:rsid w:val="00A95DEB"/>
    <w:rsid w:val="00A9605A"/>
    <w:rsid w:val="00A961A7"/>
    <w:rsid w:val="00A9747D"/>
    <w:rsid w:val="00A9791F"/>
    <w:rsid w:val="00AA00A6"/>
    <w:rsid w:val="00AA0375"/>
    <w:rsid w:val="00AA29A2"/>
    <w:rsid w:val="00AA2A74"/>
    <w:rsid w:val="00AA435A"/>
    <w:rsid w:val="00AA564E"/>
    <w:rsid w:val="00AA5F62"/>
    <w:rsid w:val="00AA5FAC"/>
    <w:rsid w:val="00AA6BA8"/>
    <w:rsid w:val="00AA6D2B"/>
    <w:rsid w:val="00AA7149"/>
    <w:rsid w:val="00AA7953"/>
    <w:rsid w:val="00AA7F5A"/>
    <w:rsid w:val="00AA7F66"/>
    <w:rsid w:val="00AB2340"/>
    <w:rsid w:val="00AB29B0"/>
    <w:rsid w:val="00AB3491"/>
    <w:rsid w:val="00AB588F"/>
    <w:rsid w:val="00AB5FE4"/>
    <w:rsid w:val="00AB659D"/>
    <w:rsid w:val="00AB66A4"/>
    <w:rsid w:val="00AB734D"/>
    <w:rsid w:val="00AB7B15"/>
    <w:rsid w:val="00AB7C54"/>
    <w:rsid w:val="00AC0271"/>
    <w:rsid w:val="00AC0CB6"/>
    <w:rsid w:val="00AC229F"/>
    <w:rsid w:val="00AC634E"/>
    <w:rsid w:val="00AC6594"/>
    <w:rsid w:val="00AC7531"/>
    <w:rsid w:val="00AC7826"/>
    <w:rsid w:val="00AC7DBB"/>
    <w:rsid w:val="00AD0263"/>
    <w:rsid w:val="00AD0EE0"/>
    <w:rsid w:val="00AD11A4"/>
    <w:rsid w:val="00AD18B4"/>
    <w:rsid w:val="00AD5FB3"/>
    <w:rsid w:val="00AD655D"/>
    <w:rsid w:val="00AD7671"/>
    <w:rsid w:val="00AE13D4"/>
    <w:rsid w:val="00AE1D5B"/>
    <w:rsid w:val="00AE1F0D"/>
    <w:rsid w:val="00AE1FC2"/>
    <w:rsid w:val="00AE3136"/>
    <w:rsid w:val="00AE3333"/>
    <w:rsid w:val="00AE354A"/>
    <w:rsid w:val="00AE53E8"/>
    <w:rsid w:val="00AE5EBE"/>
    <w:rsid w:val="00AE6A06"/>
    <w:rsid w:val="00AE6FE4"/>
    <w:rsid w:val="00AE79CA"/>
    <w:rsid w:val="00AF0DFE"/>
    <w:rsid w:val="00AF2059"/>
    <w:rsid w:val="00AF2E65"/>
    <w:rsid w:val="00AF3D84"/>
    <w:rsid w:val="00AF4161"/>
    <w:rsid w:val="00AF43A9"/>
    <w:rsid w:val="00AF580B"/>
    <w:rsid w:val="00AF69FA"/>
    <w:rsid w:val="00B007C8"/>
    <w:rsid w:val="00B00F12"/>
    <w:rsid w:val="00B02AD0"/>
    <w:rsid w:val="00B02CA0"/>
    <w:rsid w:val="00B04D97"/>
    <w:rsid w:val="00B05AAF"/>
    <w:rsid w:val="00B074F7"/>
    <w:rsid w:val="00B10B2A"/>
    <w:rsid w:val="00B113F4"/>
    <w:rsid w:val="00B11572"/>
    <w:rsid w:val="00B11B1E"/>
    <w:rsid w:val="00B11B98"/>
    <w:rsid w:val="00B13ADF"/>
    <w:rsid w:val="00B14410"/>
    <w:rsid w:val="00B15684"/>
    <w:rsid w:val="00B15B33"/>
    <w:rsid w:val="00B15DE3"/>
    <w:rsid w:val="00B15E61"/>
    <w:rsid w:val="00B166A5"/>
    <w:rsid w:val="00B1765B"/>
    <w:rsid w:val="00B20FB4"/>
    <w:rsid w:val="00B21727"/>
    <w:rsid w:val="00B21B32"/>
    <w:rsid w:val="00B22821"/>
    <w:rsid w:val="00B22F8D"/>
    <w:rsid w:val="00B238E4"/>
    <w:rsid w:val="00B24F35"/>
    <w:rsid w:val="00B25C38"/>
    <w:rsid w:val="00B3014D"/>
    <w:rsid w:val="00B31EFC"/>
    <w:rsid w:val="00B31F1D"/>
    <w:rsid w:val="00B31F85"/>
    <w:rsid w:val="00B32C88"/>
    <w:rsid w:val="00B34747"/>
    <w:rsid w:val="00B35433"/>
    <w:rsid w:val="00B35445"/>
    <w:rsid w:val="00B4144B"/>
    <w:rsid w:val="00B42E49"/>
    <w:rsid w:val="00B4448A"/>
    <w:rsid w:val="00B45520"/>
    <w:rsid w:val="00B45BA3"/>
    <w:rsid w:val="00B46125"/>
    <w:rsid w:val="00B46C09"/>
    <w:rsid w:val="00B474CE"/>
    <w:rsid w:val="00B50903"/>
    <w:rsid w:val="00B523A3"/>
    <w:rsid w:val="00B52E22"/>
    <w:rsid w:val="00B56D93"/>
    <w:rsid w:val="00B57277"/>
    <w:rsid w:val="00B57B22"/>
    <w:rsid w:val="00B600A7"/>
    <w:rsid w:val="00B62189"/>
    <w:rsid w:val="00B62FFE"/>
    <w:rsid w:val="00B65013"/>
    <w:rsid w:val="00B65FF4"/>
    <w:rsid w:val="00B66358"/>
    <w:rsid w:val="00B66E8A"/>
    <w:rsid w:val="00B7123A"/>
    <w:rsid w:val="00B714B7"/>
    <w:rsid w:val="00B72304"/>
    <w:rsid w:val="00B739A9"/>
    <w:rsid w:val="00B7435C"/>
    <w:rsid w:val="00B746C6"/>
    <w:rsid w:val="00B753E6"/>
    <w:rsid w:val="00B7561A"/>
    <w:rsid w:val="00B75A56"/>
    <w:rsid w:val="00B7602B"/>
    <w:rsid w:val="00B76F38"/>
    <w:rsid w:val="00B77341"/>
    <w:rsid w:val="00B77FE7"/>
    <w:rsid w:val="00B804DE"/>
    <w:rsid w:val="00B8085D"/>
    <w:rsid w:val="00B80FB5"/>
    <w:rsid w:val="00B813BA"/>
    <w:rsid w:val="00B81EFF"/>
    <w:rsid w:val="00B82315"/>
    <w:rsid w:val="00B836BB"/>
    <w:rsid w:val="00B83A58"/>
    <w:rsid w:val="00B84122"/>
    <w:rsid w:val="00B84511"/>
    <w:rsid w:val="00B85436"/>
    <w:rsid w:val="00B8552C"/>
    <w:rsid w:val="00B8580D"/>
    <w:rsid w:val="00B862B0"/>
    <w:rsid w:val="00B86F6D"/>
    <w:rsid w:val="00B87177"/>
    <w:rsid w:val="00B874A9"/>
    <w:rsid w:val="00B87AEF"/>
    <w:rsid w:val="00B919B7"/>
    <w:rsid w:val="00B92D05"/>
    <w:rsid w:val="00B9454E"/>
    <w:rsid w:val="00B95F8E"/>
    <w:rsid w:val="00B9696D"/>
    <w:rsid w:val="00B96E70"/>
    <w:rsid w:val="00BA03C6"/>
    <w:rsid w:val="00BA06E7"/>
    <w:rsid w:val="00BA2B7C"/>
    <w:rsid w:val="00BA3751"/>
    <w:rsid w:val="00BA4483"/>
    <w:rsid w:val="00BA5CAB"/>
    <w:rsid w:val="00BB142A"/>
    <w:rsid w:val="00BB1B40"/>
    <w:rsid w:val="00BB1D3A"/>
    <w:rsid w:val="00BB29F0"/>
    <w:rsid w:val="00BB327B"/>
    <w:rsid w:val="00BB34B9"/>
    <w:rsid w:val="00BB35C2"/>
    <w:rsid w:val="00BB3621"/>
    <w:rsid w:val="00BB427D"/>
    <w:rsid w:val="00BB553B"/>
    <w:rsid w:val="00BB6DDC"/>
    <w:rsid w:val="00BB7161"/>
    <w:rsid w:val="00BC28D7"/>
    <w:rsid w:val="00BC2D0B"/>
    <w:rsid w:val="00BC376C"/>
    <w:rsid w:val="00BC4048"/>
    <w:rsid w:val="00BC4912"/>
    <w:rsid w:val="00BC4B63"/>
    <w:rsid w:val="00BC5897"/>
    <w:rsid w:val="00BC6321"/>
    <w:rsid w:val="00BC7817"/>
    <w:rsid w:val="00BD0765"/>
    <w:rsid w:val="00BD1089"/>
    <w:rsid w:val="00BD116E"/>
    <w:rsid w:val="00BD19B9"/>
    <w:rsid w:val="00BD3819"/>
    <w:rsid w:val="00BD42A4"/>
    <w:rsid w:val="00BD642D"/>
    <w:rsid w:val="00BD6542"/>
    <w:rsid w:val="00BD6744"/>
    <w:rsid w:val="00BD6988"/>
    <w:rsid w:val="00BD6E50"/>
    <w:rsid w:val="00BD7F33"/>
    <w:rsid w:val="00BE0B5A"/>
    <w:rsid w:val="00BE1A77"/>
    <w:rsid w:val="00BE1F22"/>
    <w:rsid w:val="00BE22F7"/>
    <w:rsid w:val="00BE23CB"/>
    <w:rsid w:val="00BE3B6C"/>
    <w:rsid w:val="00BE3E1A"/>
    <w:rsid w:val="00BE4742"/>
    <w:rsid w:val="00BE4C4A"/>
    <w:rsid w:val="00BE580B"/>
    <w:rsid w:val="00BE678D"/>
    <w:rsid w:val="00BE7383"/>
    <w:rsid w:val="00BE754D"/>
    <w:rsid w:val="00BE7B6F"/>
    <w:rsid w:val="00BE7F51"/>
    <w:rsid w:val="00BE7FF2"/>
    <w:rsid w:val="00BF1275"/>
    <w:rsid w:val="00BF1DB9"/>
    <w:rsid w:val="00BF2A59"/>
    <w:rsid w:val="00BF578B"/>
    <w:rsid w:val="00BF5B53"/>
    <w:rsid w:val="00BF655A"/>
    <w:rsid w:val="00BF6D10"/>
    <w:rsid w:val="00BF6E79"/>
    <w:rsid w:val="00BF7C47"/>
    <w:rsid w:val="00C0004C"/>
    <w:rsid w:val="00C0014A"/>
    <w:rsid w:val="00C00428"/>
    <w:rsid w:val="00C007FA"/>
    <w:rsid w:val="00C00968"/>
    <w:rsid w:val="00C031FC"/>
    <w:rsid w:val="00C0378F"/>
    <w:rsid w:val="00C03F6C"/>
    <w:rsid w:val="00C04396"/>
    <w:rsid w:val="00C04D3C"/>
    <w:rsid w:val="00C050A8"/>
    <w:rsid w:val="00C05463"/>
    <w:rsid w:val="00C06AC8"/>
    <w:rsid w:val="00C072DA"/>
    <w:rsid w:val="00C0775A"/>
    <w:rsid w:val="00C077A2"/>
    <w:rsid w:val="00C11B43"/>
    <w:rsid w:val="00C12108"/>
    <w:rsid w:val="00C12113"/>
    <w:rsid w:val="00C121D9"/>
    <w:rsid w:val="00C13453"/>
    <w:rsid w:val="00C15852"/>
    <w:rsid w:val="00C15C69"/>
    <w:rsid w:val="00C15E9F"/>
    <w:rsid w:val="00C167ED"/>
    <w:rsid w:val="00C17F6D"/>
    <w:rsid w:val="00C2205B"/>
    <w:rsid w:val="00C220F9"/>
    <w:rsid w:val="00C22C1E"/>
    <w:rsid w:val="00C23169"/>
    <w:rsid w:val="00C23C20"/>
    <w:rsid w:val="00C24E11"/>
    <w:rsid w:val="00C24EA0"/>
    <w:rsid w:val="00C2541C"/>
    <w:rsid w:val="00C26862"/>
    <w:rsid w:val="00C26CF1"/>
    <w:rsid w:val="00C26F41"/>
    <w:rsid w:val="00C272B2"/>
    <w:rsid w:val="00C30458"/>
    <w:rsid w:val="00C304DF"/>
    <w:rsid w:val="00C3138C"/>
    <w:rsid w:val="00C3150B"/>
    <w:rsid w:val="00C31DA6"/>
    <w:rsid w:val="00C31DEF"/>
    <w:rsid w:val="00C33260"/>
    <w:rsid w:val="00C33D97"/>
    <w:rsid w:val="00C3580D"/>
    <w:rsid w:val="00C35967"/>
    <w:rsid w:val="00C37971"/>
    <w:rsid w:val="00C417C9"/>
    <w:rsid w:val="00C41B50"/>
    <w:rsid w:val="00C42BDE"/>
    <w:rsid w:val="00C4405E"/>
    <w:rsid w:val="00C4598F"/>
    <w:rsid w:val="00C45A95"/>
    <w:rsid w:val="00C45D09"/>
    <w:rsid w:val="00C46BA1"/>
    <w:rsid w:val="00C474E5"/>
    <w:rsid w:val="00C47A8A"/>
    <w:rsid w:val="00C50360"/>
    <w:rsid w:val="00C51174"/>
    <w:rsid w:val="00C53DC1"/>
    <w:rsid w:val="00C53DCF"/>
    <w:rsid w:val="00C54B87"/>
    <w:rsid w:val="00C54E12"/>
    <w:rsid w:val="00C55468"/>
    <w:rsid w:val="00C5643B"/>
    <w:rsid w:val="00C56BF0"/>
    <w:rsid w:val="00C57BBF"/>
    <w:rsid w:val="00C60265"/>
    <w:rsid w:val="00C608D4"/>
    <w:rsid w:val="00C61CC5"/>
    <w:rsid w:val="00C61F0D"/>
    <w:rsid w:val="00C622C3"/>
    <w:rsid w:val="00C62717"/>
    <w:rsid w:val="00C62FB5"/>
    <w:rsid w:val="00C63AFA"/>
    <w:rsid w:val="00C63BD5"/>
    <w:rsid w:val="00C6542F"/>
    <w:rsid w:val="00C65F68"/>
    <w:rsid w:val="00C6643F"/>
    <w:rsid w:val="00C66A24"/>
    <w:rsid w:val="00C6711F"/>
    <w:rsid w:val="00C71F49"/>
    <w:rsid w:val="00C72907"/>
    <w:rsid w:val="00C732FF"/>
    <w:rsid w:val="00C74906"/>
    <w:rsid w:val="00C7605D"/>
    <w:rsid w:val="00C7629C"/>
    <w:rsid w:val="00C76E46"/>
    <w:rsid w:val="00C76FDC"/>
    <w:rsid w:val="00C775B8"/>
    <w:rsid w:val="00C81B0E"/>
    <w:rsid w:val="00C81B40"/>
    <w:rsid w:val="00C81FEA"/>
    <w:rsid w:val="00C823AE"/>
    <w:rsid w:val="00C8376C"/>
    <w:rsid w:val="00C83969"/>
    <w:rsid w:val="00C84D07"/>
    <w:rsid w:val="00C853CF"/>
    <w:rsid w:val="00C85F9D"/>
    <w:rsid w:val="00C86773"/>
    <w:rsid w:val="00C867D1"/>
    <w:rsid w:val="00C86C95"/>
    <w:rsid w:val="00C8707A"/>
    <w:rsid w:val="00C8772D"/>
    <w:rsid w:val="00C87A06"/>
    <w:rsid w:val="00C902EC"/>
    <w:rsid w:val="00C913EE"/>
    <w:rsid w:val="00C91D3A"/>
    <w:rsid w:val="00C95EBA"/>
    <w:rsid w:val="00C96FF5"/>
    <w:rsid w:val="00C97539"/>
    <w:rsid w:val="00C97A26"/>
    <w:rsid w:val="00CA055D"/>
    <w:rsid w:val="00CA05EB"/>
    <w:rsid w:val="00CA0845"/>
    <w:rsid w:val="00CA0D39"/>
    <w:rsid w:val="00CA2929"/>
    <w:rsid w:val="00CA3515"/>
    <w:rsid w:val="00CA368F"/>
    <w:rsid w:val="00CA3A05"/>
    <w:rsid w:val="00CA3C56"/>
    <w:rsid w:val="00CA3EA6"/>
    <w:rsid w:val="00CA5250"/>
    <w:rsid w:val="00CA5787"/>
    <w:rsid w:val="00CA5829"/>
    <w:rsid w:val="00CA59A0"/>
    <w:rsid w:val="00CA5A9B"/>
    <w:rsid w:val="00CA706B"/>
    <w:rsid w:val="00CA78E5"/>
    <w:rsid w:val="00CA7A51"/>
    <w:rsid w:val="00CB0B2E"/>
    <w:rsid w:val="00CB14E9"/>
    <w:rsid w:val="00CB1C44"/>
    <w:rsid w:val="00CB6D90"/>
    <w:rsid w:val="00CB72C3"/>
    <w:rsid w:val="00CC021F"/>
    <w:rsid w:val="00CC0864"/>
    <w:rsid w:val="00CC13C2"/>
    <w:rsid w:val="00CC1836"/>
    <w:rsid w:val="00CC1AB4"/>
    <w:rsid w:val="00CC28BD"/>
    <w:rsid w:val="00CC2B10"/>
    <w:rsid w:val="00CC2C7D"/>
    <w:rsid w:val="00CC3F47"/>
    <w:rsid w:val="00CC40EE"/>
    <w:rsid w:val="00CC45E4"/>
    <w:rsid w:val="00CC74AE"/>
    <w:rsid w:val="00CD0150"/>
    <w:rsid w:val="00CD019F"/>
    <w:rsid w:val="00CD0A7C"/>
    <w:rsid w:val="00CD0B0B"/>
    <w:rsid w:val="00CD1580"/>
    <w:rsid w:val="00CD1876"/>
    <w:rsid w:val="00CD276B"/>
    <w:rsid w:val="00CD27C5"/>
    <w:rsid w:val="00CD2C00"/>
    <w:rsid w:val="00CD5B84"/>
    <w:rsid w:val="00CD7EDE"/>
    <w:rsid w:val="00CE0FA2"/>
    <w:rsid w:val="00CE1252"/>
    <w:rsid w:val="00CE198F"/>
    <w:rsid w:val="00CE4169"/>
    <w:rsid w:val="00CE4EA2"/>
    <w:rsid w:val="00CE66FD"/>
    <w:rsid w:val="00CE7010"/>
    <w:rsid w:val="00CE7894"/>
    <w:rsid w:val="00CE7E8D"/>
    <w:rsid w:val="00CF06A1"/>
    <w:rsid w:val="00CF09FD"/>
    <w:rsid w:val="00CF1467"/>
    <w:rsid w:val="00CF1C0D"/>
    <w:rsid w:val="00CF24F0"/>
    <w:rsid w:val="00CF3254"/>
    <w:rsid w:val="00CF3F37"/>
    <w:rsid w:val="00CF48D6"/>
    <w:rsid w:val="00CF48F7"/>
    <w:rsid w:val="00CF57D6"/>
    <w:rsid w:val="00CF5DBA"/>
    <w:rsid w:val="00CF5E0C"/>
    <w:rsid w:val="00CF6C1B"/>
    <w:rsid w:val="00CF7861"/>
    <w:rsid w:val="00D00B1B"/>
    <w:rsid w:val="00D01108"/>
    <w:rsid w:val="00D019D5"/>
    <w:rsid w:val="00D0203C"/>
    <w:rsid w:val="00D02C29"/>
    <w:rsid w:val="00D03163"/>
    <w:rsid w:val="00D040FE"/>
    <w:rsid w:val="00D04DE5"/>
    <w:rsid w:val="00D05094"/>
    <w:rsid w:val="00D06B5D"/>
    <w:rsid w:val="00D07334"/>
    <w:rsid w:val="00D115E5"/>
    <w:rsid w:val="00D125E6"/>
    <w:rsid w:val="00D13412"/>
    <w:rsid w:val="00D136A0"/>
    <w:rsid w:val="00D14EFB"/>
    <w:rsid w:val="00D1546D"/>
    <w:rsid w:val="00D158F1"/>
    <w:rsid w:val="00D168FD"/>
    <w:rsid w:val="00D16F64"/>
    <w:rsid w:val="00D20DD4"/>
    <w:rsid w:val="00D23225"/>
    <w:rsid w:val="00D234B7"/>
    <w:rsid w:val="00D2472C"/>
    <w:rsid w:val="00D2773D"/>
    <w:rsid w:val="00D27887"/>
    <w:rsid w:val="00D279BA"/>
    <w:rsid w:val="00D30995"/>
    <w:rsid w:val="00D33504"/>
    <w:rsid w:val="00D3371A"/>
    <w:rsid w:val="00D338D1"/>
    <w:rsid w:val="00D33F04"/>
    <w:rsid w:val="00D35117"/>
    <w:rsid w:val="00D352F2"/>
    <w:rsid w:val="00D404B5"/>
    <w:rsid w:val="00D44024"/>
    <w:rsid w:val="00D447CB"/>
    <w:rsid w:val="00D46759"/>
    <w:rsid w:val="00D46800"/>
    <w:rsid w:val="00D47690"/>
    <w:rsid w:val="00D47D16"/>
    <w:rsid w:val="00D505F4"/>
    <w:rsid w:val="00D51069"/>
    <w:rsid w:val="00D51CE1"/>
    <w:rsid w:val="00D526D4"/>
    <w:rsid w:val="00D5352D"/>
    <w:rsid w:val="00D535F4"/>
    <w:rsid w:val="00D556FE"/>
    <w:rsid w:val="00D562F2"/>
    <w:rsid w:val="00D57431"/>
    <w:rsid w:val="00D57958"/>
    <w:rsid w:val="00D57C95"/>
    <w:rsid w:val="00D607C7"/>
    <w:rsid w:val="00D61B93"/>
    <w:rsid w:val="00D630B9"/>
    <w:rsid w:val="00D6379D"/>
    <w:rsid w:val="00D64F53"/>
    <w:rsid w:val="00D67E4A"/>
    <w:rsid w:val="00D710A8"/>
    <w:rsid w:val="00D713BD"/>
    <w:rsid w:val="00D71879"/>
    <w:rsid w:val="00D720F6"/>
    <w:rsid w:val="00D740FF"/>
    <w:rsid w:val="00D7436B"/>
    <w:rsid w:val="00D75738"/>
    <w:rsid w:val="00D75ACC"/>
    <w:rsid w:val="00D76017"/>
    <w:rsid w:val="00D763FD"/>
    <w:rsid w:val="00D77105"/>
    <w:rsid w:val="00D7757E"/>
    <w:rsid w:val="00D77CFE"/>
    <w:rsid w:val="00D8030F"/>
    <w:rsid w:val="00D81DCE"/>
    <w:rsid w:val="00D81DED"/>
    <w:rsid w:val="00D822F7"/>
    <w:rsid w:val="00D83FA9"/>
    <w:rsid w:val="00D854C5"/>
    <w:rsid w:val="00D86249"/>
    <w:rsid w:val="00D863D9"/>
    <w:rsid w:val="00D87146"/>
    <w:rsid w:val="00D871C5"/>
    <w:rsid w:val="00D8764C"/>
    <w:rsid w:val="00D87694"/>
    <w:rsid w:val="00D903EF"/>
    <w:rsid w:val="00D90AD1"/>
    <w:rsid w:val="00D91D18"/>
    <w:rsid w:val="00D941F7"/>
    <w:rsid w:val="00D969CA"/>
    <w:rsid w:val="00D979D4"/>
    <w:rsid w:val="00D97C2C"/>
    <w:rsid w:val="00DA0A0F"/>
    <w:rsid w:val="00DA0A16"/>
    <w:rsid w:val="00DA0B6B"/>
    <w:rsid w:val="00DA0F30"/>
    <w:rsid w:val="00DA1A2B"/>
    <w:rsid w:val="00DA324A"/>
    <w:rsid w:val="00DA4564"/>
    <w:rsid w:val="00DA4DDF"/>
    <w:rsid w:val="00DA509D"/>
    <w:rsid w:val="00DA5225"/>
    <w:rsid w:val="00DA7ACF"/>
    <w:rsid w:val="00DA7D66"/>
    <w:rsid w:val="00DB0804"/>
    <w:rsid w:val="00DB1D23"/>
    <w:rsid w:val="00DB1D32"/>
    <w:rsid w:val="00DB246C"/>
    <w:rsid w:val="00DB29C8"/>
    <w:rsid w:val="00DB2FC4"/>
    <w:rsid w:val="00DB45F1"/>
    <w:rsid w:val="00DB4A84"/>
    <w:rsid w:val="00DB4C56"/>
    <w:rsid w:val="00DB4C94"/>
    <w:rsid w:val="00DB537B"/>
    <w:rsid w:val="00DB69E7"/>
    <w:rsid w:val="00DB70B2"/>
    <w:rsid w:val="00DB743B"/>
    <w:rsid w:val="00DC0A3D"/>
    <w:rsid w:val="00DC1002"/>
    <w:rsid w:val="00DC2AD3"/>
    <w:rsid w:val="00DC382A"/>
    <w:rsid w:val="00DCCF1B"/>
    <w:rsid w:val="00DD0516"/>
    <w:rsid w:val="00DD12DE"/>
    <w:rsid w:val="00DD1E39"/>
    <w:rsid w:val="00DD2401"/>
    <w:rsid w:val="00DD2477"/>
    <w:rsid w:val="00DD2F0B"/>
    <w:rsid w:val="00DD4069"/>
    <w:rsid w:val="00DD412B"/>
    <w:rsid w:val="00DD622A"/>
    <w:rsid w:val="00DD6701"/>
    <w:rsid w:val="00DD6C68"/>
    <w:rsid w:val="00DE1923"/>
    <w:rsid w:val="00DE1C9C"/>
    <w:rsid w:val="00DE264D"/>
    <w:rsid w:val="00DE2B33"/>
    <w:rsid w:val="00DE3814"/>
    <w:rsid w:val="00DE3AEA"/>
    <w:rsid w:val="00DE495C"/>
    <w:rsid w:val="00DE4E2C"/>
    <w:rsid w:val="00DE52B2"/>
    <w:rsid w:val="00DE638B"/>
    <w:rsid w:val="00DE6F8A"/>
    <w:rsid w:val="00DE72EE"/>
    <w:rsid w:val="00DE7A06"/>
    <w:rsid w:val="00DF049B"/>
    <w:rsid w:val="00DF0CD8"/>
    <w:rsid w:val="00DF0CF9"/>
    <w:rsid w:val="00DF24C2"/>
    <w:rsid w:val="00DF37E5"/>
    <w:rsid w:val="00E0010B"/>
    <w:rsid w:val="00E013A0"/>
    <w:rsid w:val="00E02013"/>
    <w:rsid w:val="00E0306B"/>
    <w:rsid w:val="00E03374"/>
    <w:rsid w:val="00E034FE"/>
    <w:rsid w:val="00E03BFC"/>
    <w:rsid w:val="00E03D30"/>
    <w:rsid w:val="00E041E5"/>
    <w:rsid w:val="00E042F5"/>
    <w:rsid w:val="00E04888"/>
    <w:rsid w:val="00E04E69"/>
    <w:rsid w:val="00E06E2A"/>
    <w:rsid w:val="00E07421"/>
    <w:rsid w:val="00E0763B"/>
    <w:rsid w:val="00E077E1"/>
    <w:rsid w:val="00E0794A"/>
    <w:rsid w:val="00E07B2B"/>
    <w:rsid w:val="00E07FDC"/>
    <w:rsid w:val="00E10302"/>
    <w:rsid w:val="00E107FB"/>
    <w:rsid w:val="00E11594"/>
    <w:rsid w:val="00E13183"/>
    <w:rsid w:val="00E16268"/>
    <w:rsid w:val="00E16278"/>
    <w:rsid w:val="00E17EC5"/>
    <w:rsid w:val="00E2078D"/>
    <w:rsid w:val="00E222FF"/>
    <w:rsid w:val="00E235FE"/>
    <w:rsid w:val="00E24109"/>
    <w:rsid w:val="00E2571F"/>
    <w:rsid w:val="00E25772"/>
    <w:rsid w:val="00E25E48"/>
    <w:rsid w:val="00E26BFD"/>
    <w:rsid w:val="00E27E90"/>
    <w:rsid w:val="00E3080E"/>
    <w:rsid w:val="00E30A83"/>
    <w:rsid w:val="00E3265B"/>
    <w:rsid w:val="00E32B7E"/>
    <w:rsid w:val="00E33D02"/>
    <w:rsid w:val="00E34F2C"/>
    <w:rsid w:val="00E35346"/>
    <w:rsid w:val="00E35B9F"/>
    <w:rsid w:val="00E35D6B"/>
    <w:rsid w:val="00E35D79"/>
    <w:rsid w:val="00E361DB"/>
    <w:rsid w:val="00E36872"/>
    <w:rsid w:val="00E432D0"/>
    <w:rsid w:val="00E44709"/>
    <w:rsid w:val="00E44AF1"/>
    <w:rsid w:val="00E44DF9"/>
    <w:rsid w:val="00E457F1"/>
    <w:rsid w:val="00E45C4A"/>
    <w:rsid w:val="00E45F65"/>
    <w:rsid w:val="00E4641E"/>
    <w:rsid w:val="00E474A2"/>
    <w:rsid w:val="00E50102"/>
    <w:rsid w:val="00E519AE"/>
    <w:rsid w:val="00E52026"/>
    <w:rsid w:val="00E52458"/>
    <w:rsid w:val="00E5274F"/>
    <w:rsid w:val="00E52DF0"/>
    <w:rsid w:val="00E54B74"/>
    <w:rsid w:val="00E54FF7"/>
    <w:rsid w:val="00E559B3"/>
    <w:rsid w:val="00E577BE"/>
    <w:rsid w:val="00E57AF7"/>
    <w:rsid w:val="00E60D20"/>
    <w:rsid w:val="00E61ADC"/>
    <w:rsid w:val="00E61CEB"/>
    <w:rsid w:val="00E6241B"/>
    <w:rsid w:val="00E625AD"/>
    <w:rsid w:val="00E63B1D"/>
    <w:rsid w:val="00E64518"/>
    <w:rsid w:val="00E64FCC"/>
    <w:rsid w:val="00E650AF"/>
    <w:rsid w:val="00E660E3"/>
    <w:rsid w:val="00E671A6"/>
    <w:rsid w:val="00E673EB"/>
    <w:rsid w:val="00E703B6"/>
    <w:rsid w:val="00E70B14"/>
    <w:rsid w:val="00E7168B"/>
    <w:rsid w:val="00E720FE"/>
    <w:rsid w:val="00E72200"/>
    <w:rsid w:val="00E72B1B"/>
    <w:rsid w:val="00E72E7F"/>
    <w:rsid w:val="00E73343"/>
    <w:rsid w:val="00E7351E"/>
    <w:rsid w:val="00E737FF"/>
    <w:rsid w:val="00E739FE"/>
    <w:rsid w:val="00E73D84"/>
    <w:rsid w:val="00E7503B"/>
    <w:rsid w:val="00E75228"/>
    <w:rsid w:val="00E7532D"/>
    <w:rsid w:val="00E75D47"/>
    <w:rsid w:val="00E766F5"/>
    <w:rsid w:val="00E76F7D"/>
    <w:rsid w:val="00E77055"/>
    <w:rsid w:val="00E778F9"/>
    <w:rsid w:val="00E77948"/>
    <w:rsid w:val="00E80C67"/>
    <w:rsid w:val="00E827CA"/>
    <w:rsid w:val="00E82948"/>
    <w:rsid w:val="00E8650E"/>
    <w:rsid w:val="00E86825"/>
    <w:rsid w:val="00E86A10"/>
    <w:rsid w:val="00E90218"/>
    <w:rsid w:val="00E913BB"/>
    <w:rsid w:val="00E91524"/>
    <w:rsid w:val="00E92E19"/>
    <w:rsid w:val="00E934AA"/>
    <w:rsid w:val="00E94AF3"/>
    <w:rsid w:val="00E94D43"/>
    <w:rsid w:val="00E95F2E"/>
    <w:rsid w:val="00E95F9B"/>
    <w:rsid w:val="00EA1508"/>
    <w:rsid w:val="00EA1541"/>
    <w:rsid w:val="00EA32E4"/>
    <w:rsid w:val="00EA3346"/>
    <w:rsid w:val="00EA596A"/>
    <w:rsid w:val="00EA6481"/>
    <w:rsid w:val="00EA73CD"/>
    <w:rsid w:val="00EA7D2D"/>
    <w:rsid w:val="00EA7E36"/>
    <w:rsid w:val="00EB0898"/>
    <w:rsid w:val="00EB1C23"/>
    <w:rsid w:val="00EB465A"/>
    <w:rsid w:val="00EB535D"/>
    <w:rsid w:val="00EB627B"/>
    <w:rsid w:val="00EB6AD7"/>
    <w:rsid w:val="00EB6D94"/>
    <w:rsid w:val="00EB718B"/>
    <w:rsid w:val="00EC1E5E"/>
    <w:rsid w:val="00EC3B45"/>
    <w:rsid w:val="00EC4170"/>
    <w:rsid w:val="00EC4183"/>
    <w:rsid w:val="00EC4C05"/>
    <w:rsid w:val="00EC6468"/>
    <w:rsid w:val="00EC6708"/>
    <w:rsid w:val="00EC6718"/>
    <w:rsid w:val="00EC6E77"/>
    <w:rsid w:val="00ED1BC6"/>
    <w:rsid w:val="00ED207C"/>
    <w:rsid w:val="00ED26F7"/>
    <w:rsid w:val="00ED325A"/>
    <w:rsid w:val="00ED3F41"/>
    <w:rsid w:val="00ED4468"/>
    <w:rsid w:val="00ED5615"/>
    <w:rsid w:val="00ED5BAA"/>
    <w:rsid w:val="00ED692E"/>
    <w:rsid w:val="00ED69AF"/>
    <w:rsid w:val="00EE1847"/>
    <w:rsid w:val="00EE240E"/>
    <w:rsid w:val="00EE2AA9"/>
    <w:rsid w:val="00EE44A3"/>
    <w:rsid w:val="00EE51C3"/>
    <w:rsid w:val="00EE5BBA"/>
    <w:rsid w:val="00EE6211"/>
    <w:rsid w:val="00EE656A"/>
    <w:rsid w:val="00EE688E"/>
    <w:rsid w:val="00EE6A6D"/>
    <w:rsid w:val="00EE700E"/>
    <w:rsid w:val="00EF03E2"/>
    <w:rsid w:val="00EF1DAC"/>
    <w:rsid w:val="00EF2284"/>
    <w:rsid w:val="00EF22A3"/>
    <w:rsid w:val="00EF33ED"/>
    <w:rsid w:val="00EF427F"/>
    <w:rsid w:val="00EF4584"/>
    <w:rsid w:val="00EF5047"/>
    <w:rsid w:val="00EF7F8B"/>
    <w:rsid w:val="00F00171"/>
    <w:rsid w:val="00F008D9"/>
    <w:rsid w:val="00F020C8"/>
    <w:rsid w:val="00F02FF4"/>
    <w:rsid w:val="00F03814"/>
    <w:rsid w:val="00F03F30"/>
    <w:rsid w:val="00F04427"/>
    <w:rsid w:val="00F04CC5"/>
    <w:rsid w:val="00F04F7B"/>
    <w:rsid w:val="00F05277"/>
    <w:rsid w:val="00F07241"/>
    <w:rsid w:val="00F07A09"/>
    <w:rsid w:val="00F07EB3"/>
    <w:rsid w:val="00F10931"/>
    <w:rsid w:val="00F10D80"/>
    <w:rsid w:val="00F112E0"/>
    <w:rsid w:val="00F131AF"/>
    <w:rsid w:val="00F1390C"/>
    <w:rsid w:val="00F1459B"/>
    <w:rsid w:val="00F14A6A"/>
    <w:rsid w:val="00F14B0B"/>
    <w:rsid w:val="00F14D98"/>
    <w:rsid w:val="00F15952"/>
    <w:rsid w:val="00F1684A"/>
    <w:rsid w:val="00F205BE"/>
    <w:rsid w:val="00F20C5E"/>
    <w:rsid w:val="00F20FEC"/>
    <w:rsid w:val="00F2234A"/>
    <w:rsid w:val="00F24B1A"/>
    <w:rsid w:val="00F2572D"/>
    <w:rsid w:val="00F25C8C"/>
    <w:rsid w:val="00F26CEE"/>
    <w:rsid w:val="00F26D4F"/>
    <w:rsid w:val="00F27F72"/>
    <w:rsid w:val="00F3012D"/>
    <w:rsid w:val="00F3106C"/>
    <w:rsid w:val="00F31528"/>
    <w:rsid w:val="00F31986"/>
    <w:rsid w:val="00F32BCE"/>
    <w:rsid w:val="00F33818"/>
    <w:rsid w:val="00F35A33"/>
    <w:rsid w:val="00F36798"/>
    <w:rsid w:val="00F36A1D"/>
    <w:rsid w:val="00F3741E"/>
    <w:rsid w:val="00F3745E"/>
    <w:rsid w:val="00F3754E"/>
    <w:rsid w:val="00F404B8"/>
    <w:rsid w:val="00F41492"/>
    <w:rsid w:val="00F419E5"/>
    <w:rsid w:val="00F41E05"/>
    <w:rsid w:val="00F423D8"/>
    <w:rsid w:val="00F42E57"/>
    <w:rsid w:val="00F43581"/>
    <w:rsid w:val="00F43605"/>
    <w:rsid w:val="00F43EA4"/>
    <w:rsid w:val="00F44278"/>
    <w:rsid w:val="00F4567C"/>
    <w:rsid w:val="00F46F9F"/>
    <w:rsid w:val="00F471FF"/>
    <w:rsid w:val="00F47E56"/>
    <w:rsid w:val="00F47F0C"/>
    <w:rsid w:val="00F50295"/>
    <w:rsid w:val="00F509A4"/>
    <w:rsid w:val="00F519D3"/>
    <w:rsid w:val="00F51B65"/>
    <w:rsid w:val="00F52AAB"/>
    <w:rsid w:val="00F52EB6"/>
    <w:rsid w:val="00F53861"/>
    <w:rsid w:val="00F55260"/>
    <w:rsid w:val="00F55EC2"/>
    <w:rsid w:val="00F56DDD"/>
    <w:rsid w:val="00F61035"/>
    <w:rsid w:val="00F626B6"/>
    <w:rsid w:val="00F6316B"/>
    <w:rsid w:val="00F6408F"/>
    <w:rsid w:val="00F65AE0"/>
    <w:rsid w:val="00F66334"/>
    <w:rsid w:val="00F671E0"/>
    <w:rsid w:val="00F675E0"/>
    <w:rsid w:val="00F70FD9"/>
    <w:rsid w:val="00F71F32"/>
    <w:rsid w:val="00F727A6"/>
    <w:rsid w:val="00F72C99"/>
    <w:rsid w:val="00F737A3"/>
    <w:rsid w:val="00F74E38"/>
    <w:rsid w:val="00F7576C"/>
    <w:rsid w:val="00F76120"/>
    <w:rsid w:val="00F76D6F"/>
    <w:rsid w:val="00F778B0"/>
    <w:rsid w:val="00F80504"/>
    <w:rsid w:val="00F81C62"/>
    <w:rsid w:val="00F823E0"/>
    <w:rsid w:val="00F82C16"/>
    <w:rsid w:val="00F83B7B"/>
    <w:rsid w:val="00F83BC2"/>
    <w:rsid w:val="00F83BD7"/>
    <w:rsid w:val="00F84D5B"/>
    <w:rsid w:val="00F85CE0"/>
    <w:rsid w:val="00F9036B"/>
    <w:rsid w:val="00F9048F"/>
    <w:rsid w:val="00F90769"/>
    <w:rsid w:val="00F924E1"/>
    <w:rsid w:val="00F92EC1"/>
    <w:rsid w:val="00F93812"/>
    <w:rsid w:val="00F93F55"/>
    <w:rsid w:val="00F944DD"/>
    <w:rsid w:val="00F94C47"/>
    <w:rsid w:val="00F9674E"/>
    <w:rsid w:val="00F96A5F"/>
    <w:rsid w:val="00F97B23"/>
    <w:rsid w:val="00FA0421"/>
    <w:rsid w:val="00FA045A"/>
    <w:rsid w:val="00FA0D95"/>
    <w:rsid w:val="00FA1905"/>
    <w:rsid w:val="00FA2ADC"/>
    <w:rsid w:val="00FA2E05"/>
    <w:rsid w:val="00FA3389"/>
    <w:rsid w:val="00FA3476"/>
    <w:rsid w:val="00FA4909"/>
    <w:rsid w:val="00FA495F"/>
    <w:rsid w:val="00FA5548"/>
    <w:rsid w:val="00FA58A6"/>
    <w:rsid w:val="00FA5B88"/>
    <w:rsid w:val="00FA5C22"/>
    <w:rsid w:val="00FA5CD7"/>
    <w:rsid w:val="00FA749D"/>
    <w:rsid w:val="00FB00C2"/>
    <w:rsid w:val="00FB0C10"/>
    <w:rsid w:val="00FB12CC"/>
    <w:rsid w:val="00FB172D"/>
    <w:rsid w:val="00FB2CFA"/>
    <w:rsid w:val="00FB3877"/>
    <w:rsid w:val="00FB3C36"/>
    <w:rsid w:val="00FB4280"/>
    <w:rsid w:val="00FB48EE"/>
    <w:rsid w:val="00FB4B12"/>
    <w:rsid w:val="00FB4FE9"/>
    <w:rsid w:val="00FB60E2"/>
    <w:rsid w:val="00FB673E"/>
    <w:rsid w:val="00FB7135"/>
    <w:rsid w:val="00FB74A6"/>
    <w:rsid w:val="00FB7CCE"/>
    <w:rsid w:val="00FC01C8"/>
    <w:rsid w:val="00FC0A08"/>
    <w:rsid w:val="00FC11D7"/>
    <w:rsid w:val="00FC5027"/>
    <w:rsid w:val="00FC50C7"/>
    <w:rsid w:val="00FC511D"/>
    <w:rsid w:val="00FC5D06"/>
    <w:rsid w:val="00FC6107"/>
    <w:rsid w:val="00FC68BC"/>
    <w:rsid w:val="00FD114C"/>
    <w:rsid w:val="00FD11D4"/>
    <w:rsid w:val="00FD225D"/>
    <w:rsid w:val="00FD2384"/>
    <w:rsid w:val="00FD2EBB"/>
    <w:rsid w:val="00FD3275"/>
    <w:rsid w:val="00FD3CEC"/>
    <w:rsid w:val="00FD6A0B"/>
    <w:rsid w:val="00FD6F99"/>
    <w:rsid w:val="00FE1FFF"/>
    <w:rsid w:val="00FE2AC8"/>
    <w:rsid w:val="00FE452E"/>
    <w:rsid w:val="00FE49B7"/>
    <w:rsid w:val="00FE6864"/>
    <w:rsid w:val="00FE6F54"/>
    <w:rsid w:val="00FF2021"/>
    <w:rsid w:val="00FF3943"/>
    <w:rsid w:val="00FF4275"/>
    <w:rsid w:val="00FF4A4C"/>
    <w:rsid w:val="00FF4C15"/>
    <w:rsid w:val="00FF533C"/>
    <w:rsid w:val="00FF7D7F"/>
    <w:rsid w:val="00FF7FC8"/>
    <w:rsid w:val="01028A59"/>
    <w:rsid w:val="010DCEEC"/>
    <w:rsid w:val="016BC18F"/>
    <w:rsid w:val="0186A00D"/>
    <w:rsid w:val="01A77403"/>
    <w:rsid w:val="01C35578"/>
    <w:rsid w:val="01F87A28"/>
    <w:rsid w:val="01FC6CF4"/>
    <w:rsid w:val="0203A864"/>
    <w:rsid w:val="0212CB40"/>
    <w:rsid w:val="0226B518"/>
    <w:rsid w:val="02706581"/>
    <w:rsid w:val="02A05813"/>
    <w:rsid w:val="02A67A83"/>
    <w:rsid w:val="02D8995B"/>
    <w:rsid w:val="02DCAFB9"/>
    <w:rsid w:val="031CFE0D"/>
    <w:rsid w:val="032D0FBE"/>
    <w:rsid w:val="0332FBC7"/>
    <w:rsid w:val="033E7172"/>
    <w:rsid w:val="03773476"/>
    <w:rsid w:val="0385A76A"/>
    <w:rsid w:val="03896CE8"/>
    <w:rsid w:val="039EDB28"/>
    <w:rsid w:val="03BA3103"/>
    <w:rsid w:val="0458301E"/>
    <w:rsid w:val="047FFDE2"/>
    <w:rsid w:val="0487083B"/>
    <w:rsid w:val="048DD1F2"/>
    <w:rsid w:val="0497FBF6"/>
    <w:rsid w:val="04B1AD41"/>
    <w:rsid w:val="04ED710E"/>
    <w:rsid w:val="05016A63"/>
    <w:rsid w:val="0508459F"/>
    <w:rsid w:val="050C9173"/>
    <w:rsid w:val="0513BEFA"/>
    <w:rsid w:val="05427541"/>
    <w:rsid w:val="05539283"/>
    <w:rsid w:val="05742E70"/>
    <w:rsid w:val="05F85C4D"/>
    <w:rsid w:val="060762B8"/>
    <w:rsid w:val="062A5C0B"/>
    <w:rsid w:val="068E2E66"/>
    <w:rsid w:val="06D24D7E"/>
    <w:rsid w:val="06D91A43"/>
    <w:rsid w:val="06FF1095"/>
    <w:rsid w:val="070EB5C0"/>
    <w:rsid w:val="0711DC60"/>
    <w:rsid w:val="07772DDB"/>
    <w:rsid w:val="0787A40A"/>
    <w:rsid w:val="07A1CCB9"/>
    <w:rsid w:val="07F1376E"/>
    <w:rsid w:val="07F90BFA"/>
    <w:rsid w:val="08601BD0"/>
    <w:rsid w:val="08678C8D"/>
    <w:rsid w:val="08A606FE"/>
    <w:rsid w:val="08B9A7A2"/>
    <w:rsid w:val="08F473E1"/>
    <w:rsid w:val="09193144"/>
    <w:rsid w:val="09438C0C"/>
    <w:rsid w:val="095F918C"/>
    <w:rsid w:val="09A17324"/>
    <w:rsid w:val="09A8AEC8"/>
    <w:rsid w:val="09EB9A2C"/>
    <w:rsid w:val="09F991B0"/>
    <w:rsid w:val="0A29331C"/>
    <w:rsid w:val="0A351958"/>
    <w:rsid w:val="0A56ED0F"/>
    <w:rsid w:val="0A5C996F"/>
    <w:rsid w:val="0AFF1D90"/>
    <w:rsid w:val="0B08432B"/>
    <w:rsid w:val="0B1EF713"/>
    <w:rsid w:val="0B7BDE85"/>
    <w:rsid w:val="0B86781C"/>
    <w:rsid w:val="0B911778"/>
    <w:rsid w:val="0B98EC3F"/>
    <w:rsid w:val="0B9D8C1A"/>
    <w:rsid w:val="0BA12176"/>
    <w:rsid w:val="0BA5F3F9"/>
    <w:rsid w:val="0BB5B7C6"/>
    <w:rsid w:val="0BC76529"/>
    <w:rsid w:val="0BE0290A"/>
    <w:rsid w:val="0C1711E6"/>
    <w:rsid w:val="0C1D0F3C"/>
    <w:rsid w:val="0C2BCE75"/>
    <w:rsid w:val="0C2FEC9E"/>
    <w:rsid w:val="0C913A1C"/>
    <w:rsid w:val="0CA06761"/>
    <w:rsid w:val="0CB1707B"/>
    <w:rsid w:val="0CC3D3C8"/>
    <w:rsid w:val="0CCB0A8A"/>
    <w:rsid w:val="0CCF7297"/>
    <w:rsid w:val="0CDE9EB9"/>
    <w:rsid w:val="0CEFE624"/>
    <w:rsid w:val="0D080138"/>
    <w:rsid w:val="0D4620B0"/>
    <w:rsid w:val="0D5E2068"/>
    <w:rsid w:val="0D6420E2"/>
    <w:rsid w:val="0D8126B7"/>
    <w:rsid w:val="0DB0B47B"/>
    <w:rsid w:val="0DC0D3D5"/>
    <w:rsid w:val="0DC6BCBE"/>
    <w:rsid w:val="0DCCCDBD"/>
    <w:rsid w:val="0DD1C718"/>
    <w:rsid w:val="0DF3048D"/>
    <w:rsid w:val="0DF82E94"/>
    <w:rsid w:val="0E0F9EE7"/>
    <w:rsid w:val="0E110564"/>
    <w:rsid w:val="0E4F5E8C"/>
    <w:rsid w:val="0E64FB5F"/>
    <w:rsid w:val="0E71462E"/>
    <w:rsid w:val="0E8BB685"/>
    <w:rsid w:val="0EBDC3D7"/>
    <w:rsid w:val="0EFD2841"/>
    <w:rsid w:val="0F606594"/>
    <w:rsid w:val="0F7BD35E"/>
    <w:rsid w:val="0F874C0A"/>
    <w:rsid w:val="0F977FB3"/>
    <w:rsid w:val="0FF9B5C0"/>
    <w:rsid w:val="0FFCD7D7"/>
    <w:rsid w:val="10475339"/>
    <w:rsid w:val="10637F00"/>
    <w:rsid w:val="10900017"/>
    <w:rsid w:val="109B75FC"/>
    <w:rsid w:val="10B01303"/>
    <w:rsid w:val="10CD3276"/>
    <w:rsid w:val="11383DF7"/>
    <w:rsid w:val="116CE441"/>
    <w:rsid w:val="11AC3B81"/>
    <w:rsid w:val="11DFC7C2"/>
    <w:rsid w:val="11E6D9BA"/>
    <w:rsid w:val="11E83F98"/>
    <w:rsid w:val="11FF880C"/>
    <w:rsid w:val="12358BA7"/>
    <w:rsid w:val="12C98CC7"/>
    <w:rsid w:val="12CA31D4"/>
    <w:rsid w:val="131383C4"/>
    <w:rsid w:val="134447A5"/>
    <w:rsid w:val="139DB6D6"/>
    <w:rsid w:val="13CC959F"/>
    <w:rsid w:val="13DEE7C1"/>
    <w:rsid w:val="13EE0BE2"/>
    <w:rsid w:val="142431B2"/>
    <w:rsid w:val="144D09B7"/>
    <w:rsid w:val="144FA099"/>
    <w:rsid w:val="14A3CA17"/>
    <w:rsid w:val="14CB2737"/>
    <w:rsid w:val="14FC45A1"/>
    <w:rsid w:val="1509D284"/>
    <w:rsid w:val="1525ED11"/>
    <w:rsid w:val="1548D9A8"/>
    <w:rsid w:val="15775CC2"/>
    <w:rsid w:val="157AB822"/>
    <w:rsid w:val="157F5B1F"/>
    <w:rsid w:val="16012D89"/>
    <w:rsid w:val="16211F15"/>
    <w:rsid w:val="163AF7C9"/>
    <w:rsid w:val="1652789A"/>
    <w:rsid w:val="1662A73E"/>
    <w:rsid w:val="16DE6F65"/>
    <w:rsid w:val="16E376AF"/>
    <w:rsid w:val="16E7D7EA"/>
    <w:rsid w:val="16EE6521"/>
    <w:rsid w:val="16EF89E6"/>
    <w:rsid w:val="173E5A99"/>
    <w:rsid w:val="175F76A4"/>
    <w:rsid w:val="17722149"/>
    <w:rsid w:val="177493EF"/>
    <w:rsid w:val="17CCD16B"/>
    <w:rsid w:val="181B726D"/>
    <w:rsid w:val="1860BAA5"/>
    <w:rsid w:val="188665C9"/>
    <w:rsid w:val="18905731"/>
    <w:rsid w:val="18CFC844"/>
    <w:rsid w:val="18F29F4D"/>
    <w:rsid w:val="18FC7FE5"/>
    <w:rsid w:val="190AA633"/>
    <w:rsid w:val="190F03F4"/>
    <w:rsid w:val="19245DFB"/>
    <w:rsid w:val="19313A4C"/>
    <w:rsid w:val="193EEBA8"/>
    <w:rsid w:val="19541E24"/>
    <w:rsid w:val="196293D1"/>
    <w:rsid w:val="198FF202"/>
    <w:rsid w:val="19A4E504"/>
    <w:rsid w:val="19D54468"/>
    <w:rsid w:val="1A177BC8"/>
    <w:rsid w:val="1A272AA8"/>
    <w:rsid w:val="1A3454D2"/>
    <w:rsid w:val="1A653BC3"/>
    <w:rsid w:val="1AC3E687"/>
    <w:rsid w:val="1AD3FBF7"/>
    <w:rsid w:val="1ADFC0D5"/>
    <w:rsid w:val="1B078DC3"/>
    <w:rsid w:val="1B2CF570"/>
    <w:rsid w:val="1B8AEB6D"/>
    <w:rsid w:val="1BA1D5F9"/>
    <w:rsid w:val="1BBE02DB"/>
    <w:rsid w:val="1BC26375"/>
    <w:rsid w:val="1BC8619F"/>
    <w:rsid w:val="1BD04392"/>
    <w:rsid w:val="1BF77B21"/>
    <w:rsid w:val="1C1E6B2C"/>
    <w:rsid w:val="1C6DFDCF"/>
    <w:rsid w:val="1C941A39"/>
    <w:rsid w:val="1CC5030E"/>
    <w:rsid w:val="1CD642FC"/>
    <w:rsid w:val="1D10AC8D"/>
    <w:rsid w:val="1D39334B"/>
    <w:rsid w:val="1D76C1D8"/>
    <w:rsid w:val="1D7B834C"/>
    <w:rsid w:val="1DF9CCE1"/>
    <w:rsid w:val="1E174486"/>
    <w:rsid w:val="1E44F2DE"/>
    <w:rsid w:val="1E68553D"/>
    <w:rsid w:val="1E949ABA"/>
    <w:rsid w:val="1E94D9DF"/>
    <w:rsid w:val="1E988779"/>
    <w:rsid w:val="1E98C35E"/>
    <w:rsid w:val="1EB47EF1"/>
    <w:rsid w:val="1EF71C18"/>
    <w:rsid w:val="1F0691FA"/>
    <w:rsid w:val="1F188809"/>
    <w:rsid w:val="1F20C504"/>
    <w:rsid w:val="1F6CACC7"/>
    <w:rsid w:val="1F89BD6E"/>
    <w:rsid w:val="1F8F74E6"/>
    <w:rsid w:val="1FBAF9CD"/>
    <w:rsid w:val="1FED629F"/>
    <w:rsid w:val="1FF0D070"/>
    <w:rsid w:val="1FF1B929"/>
    <w:rsid w:val="2000A6DF"/>
    <w:rsid w:val="2043DF63"/>
    <w:rsid w:val="20670254"/>
    <w:rsid w:val="208F9D05"/>
    <w:rsid w:val="20CA59C9"/>
    <w:rsid w:val="210E547D"/>
    <w:rsid w:val="2146ABB2"/>
    <w:rsid w:val="2158877E"/>
    <w:rsid w:val="21653AF6"/>
    <w:rsid w:val="21B2073E"/>
    <w:rsid w:val="21B8DB18"/>
    <w:rsid w:val="220B62F2"/>
    <w:rsid w:val="220D4D97"/>
    <w:rsid w:val="220F9452"/>
    <w:rsid w:val="2215D4BA"/>
    <w:rsid w:val="22547E17"/>
    <w:rsid w:val="225A316B"/>
    <w:rsid w:val="227C7E19"/>
    <w:rsid w:val="227F886F"/>
    <w:rsid w:val="229FD4D1"/>
    <w:rsid w:val="22C85D35"/>
    <w:rsid w:val="22CA3A98"/>
    <w:rsid w:val="22DF266E"/>
    <w:rsid w:val="22E2A4EE"/>
    <w:rsid w:val="22F9774B"/>
    <w:rsid w:val="22FCB1BE"/>
    <w:rsid w:val="232FBC50"/>
    <w:rsid w:val="2444559A"/>
    <w:rsid w:val="2452B41F"/>
    <w:rsid w:val="24549635"/>
    <w:rsid w:val="24842D98"/>
    <w:rsid w:val="24A8ADD9"/>
    <w:rsid w:val="24F4D62A"/>
    <w:rsid w:val="2504466E"/>
    <w:rsid w:val="253DE521"/>
    <w:rsid w:val="2587C98D"/>
    <w:rsid w:val="25F16B7B"/>
    <w:rsid w:val="2600737A"/>
    <w:rsid w:val="267A1FDB"/>
    <w:rsid w:val="273FE5D4"/>
    <w:rsid w:val="276316FD"/>
    <w:rsid w:val="27655D25"/>
    <w:rsid w:val="277EA282"/>
    <w:rsid w:val="27BAB512"/>
    <w:rsid w:val="27D5F83A"/>
    <w:rsid w:val="27D732D9"/>
    <w:rsid w:val="281C3A20"/>
    <w:rsid w:val="285839C2"/>
    <w:rsid w:val="288DBC4A"/>
    <w:rsid w:val="28EDD146"/>
    <w:rsid w:val="2920814E"/>
    <w:rsid w:val="293006F9"/>
    <w:rsid w:val="294FFBD9"/>
    <w:rsid w:val="29DAE365"/>
    <w:rsid w:val="29DBFB8E"/>
    <w:rsid w:val="2A123FDF"/>
    <w:rsid w:val="2A298CAB"/>
    <w:rsid w:val="2A35F78D"/>
    <w:rsid w:val="2A3ED489"/>
    <w:rsid w:val="2A8DF160"/>
    <w:rsid w:val="2AD0A479"/>
    <w:rsid w:val="2AD8E761"/>
    <w:rsid w:val="2AF8A924"/>
    <w:rsid w:val="2B0C57FC"/>
    <w:rsid w:val="2B331A92"/>
    <w:rsid w:val="2B38951E"/>
    <w:rsid w:val="2B5086B6"/>
    <w:rsid w:val="2B5F34C5"/>
    <w:rsid w:val="2B7C529C"/>
    <w:rsid w:val="2B88CAC2"/>
    <w:rsid w:val="2B92A4F3"/>
    <w:rsid w:val="2BF3B221"/>
    <w:rsid w:val="2C2530CC"/>
    <w:rsid w:val="2C35EAA6"/>
    <w:rsid w:val="2C6E0668"/>
    <w:rsid w:val="2C7397AF"/>
    <w:rsid w:val="2C7D294A"/>
    <w:rsid w:val="2C985A8E"/>
    <w:rsid w:val="2CAEC4EB"/>
    <w:rsid w:val="2CCB70F4"/>
    <w:rsid w:val="2CD41298"/>
    <w:rsid w:val="2D261105"/>
    <w:rsid w:val="2D2C31AC"/>
    <w:rsid w:val="2D3343E6"/>
    <w:rsid w:val="2D395965"/>
    <w:rsid w:val="2D7D7925"/>
    <w:rsid w:val="2D829F44"/>
    <w:rsid w:val="2D9E1600"/>
    <w:rsid w:val="2DADDA4F"/>
    <w:rsid w:val="2E24EA28"/>
    <w:rsid w:val="2E41EA50"/>
    <w:rsid w:val="2E4859A6"/>
    <w:rsid w:val="2E4F89CA"/>
    <w:rsid w:val="2E93CF55"/>
    <w:rsid w:val="2E9E70A8"/>
    <w:rsid w:val="2EDF987A"/>
    <w:rsid w:val="2EF1AC4D"/>
    <w:rsid w:val="2F268D86"/>
    <w:rsid w:val="2F42FFA6"/>
    <w:rsid w:val="2F731279"/>
    <w:rsid w:val="2F759377"/>
    <w:rsid w:val="2F9D0317"/>
    <w:rsid w:val="2FAC1AF9"/>
    <w:rsid w:val="2FE6A331"/>
    <w:rsid w:val="30317F9D"/>
    <w:rsid w:val="30371F56"/>
    <w:rsid w:val="3069F462"/>
    <w:rsid w:val="309BF835"/>
    <w:rsid w:val="30AD5CF4"/>
    <w:rsid w:val="30B571B8"/>
    <w:rsid w:val="30C57982"/>
    <w:rsid w:val="31020D79"/>
    <w:rsid w:val="3173EE19"/>
    <w:rsid w:val="31833982"/>
    <w:rsid w:val="31AEBC3F"/>
    <w:rsid w:val="32372580"/>
    <w:rsid w:val="3237D836"/>
    <w:rsid w:val="32678DA7"/>
    <w:rsid w:val="326CDDC8"/>
    <w:rsid w:val="32823E72"/>
    <w:rsid w:val="328EC39F"/>
    <w:rsid w:val="32BA4FC3"/>
    <w:rsid w:val="32FA749F"/>
    <w:rsid w:val="33186F73"/>
    <w:rsid w:val="331F9F8B"/>
    <w:rsid w:val="332CB513"/>
    <w:rsid w:val="33372B1C"/>
    <w:rsid w:val="33B40BB7"/>
    <w:rsid w:val="33FC73E7"/>
    <w:rsid w:val="340C6232"/>
    <w:rsid w:val="341DF5E0"/>
    <w:rsid w:val="34260D5E"/>
    <w:rsid w:val="3442BF43"/>
    <w:rsid w:val="3444769D"/>
    <w:rsid w:val="344A9011"/>
    <w:rsid w:val="3466DE46"/>
    <w:rsid w:val="346CE50E"/>
    <w:rsid w:val="348768B5"/>
    <w:rsid w:val="3495FB44"/>
    <w:rsid w:val="34CD8A04"/>
    <w:rsid w:val="35350EC5"/>
    <w:rsid w:val="3561739A"/>
    <w:rsid w:val="35C00099"/>
    <w:rsid w:val="35D48B38"/>
    <w:rsid w:val="35E55339"/>
    <w:rsid w:val="35FD34EA"/>
    <w:rsid w:val="3616C135"/>
    <w:rsid w:val="361A49D3"/>
    <w:rsid w:val="3621ECC6"/>
    <w:rsid w:val="362A68E1"/>
    <w:rsid w:val="36A21712"/>
    <w:rsid w:val="36A2C82E"/>
    <w:rsid w:val="36B4BB66"/>
    <w:rsid w:val="3705E6DC"/>
    <w:rsid w:val="3710BB4A"/>
    <w:rsid w:val="37AF0177"/>
    <w:rsid w:val="37CA8E11"/>
    <w:rsid w:val="37D018FB"/>
    <w:rsid w:val="37D1CBB9"/>
    <w:rsid w:val="37F173E2"/>
    <w:rsid w:val="382EA10B"/>
    <w:rsid w:val="3835E178"/>
    <w:rsid w:val="3859A7A5"/>
    <w:rsid w:val="385B2BD0"/>
    <w:rsid w:val="387BBB62"/>
    <w:rsid w:val="387C3431"/>
    <w:rsid w:val="38910365"/>
    <w:rsid w:val="38BDA6CE"/>
    <w:rsid w:val="38C550DD"/>
    <w:rsid w:val="3903C632"/>
    <w:rsid w:val="39528535"/>
    <w:rsid w:val="399D7658"/>
    <w:rsid w:val="3A20FAF8"/>
    <w:rsid w:val="3A2AB8B2"/>
    <w:rsid w:val="3A2BE131"/>
    <w:rsid w:val="3A49C87E"/>
    <w:rsid w:val="3AA11628"/>
    <w:rsid w:val="3ABC7BED"/>
    <w:rsid w:val="3AD4D0EE"/>
    <w:rsid w:val="3AE3213D"/>
    <w:rsid w:val="3AE5DA20"/>
    <w:rsid w:val="3AF45DF9"/>
    <w:rsid w:val="3B087FF9"/>
    <w:rsid w:val="3B611BE8"/>
    <w:rsid w:val="3B9EBBBB"/>
    <w:rsid w:val="3BB6CFB6"/>
    <w:rsid w:val="3BC0E936"/>
    <w:rsid w:val="3BF17C9D"/>
    <w:rsid w:val="3C0E6FED"/>
    <w:rsid w:val="3C175D43"/>
    <w:rsid w:val="3C9C8BB0"/>
    <w:rsid w:val="3CA4BE8C"/>
    <w:rsid w:val="3CAC0282"/>
    <w:rsid w:val="3CE7C971"/>
    <w:rsid w:val="3CF06455"/>
    <w:rsid w:val="3D12350B"/>
    <w:rsid w:val="3D1B8FCB"/>
    <w:rsid w:val="3D28AFDF"/>
    <w:rsid w:val="3D585B26"/>
    <w:rsid w:val="3D737750"/>
    <w:rsid w:val="3E28D6FC"/>
    <w:rsid w:val="3E385C11"/>
    <w:rsid w:val="3E51EBCD"/>
    <w:rsid w:val="3E570840"/>
    <w:rsid w:val="3E5A1654"/>
    <w:rsid w:val="3E68E91B"/>
    <w:rsid w:val="3E974FF2"/>
    <w:rsid w:val="3EFDC14E"/>
    <w:rsid w:val="3F0802E8"/>
    <w:rsid w:val="3F24892F"/>
    <w:rsid w:val="3F516D64"/>
    <w:rsid w:val="3F8F4116"/>
    <w:rsid w:val="3FBAF302"/>
    <w:rsid w:val="3FFC85C7"/>
    <w:rsid w:val="400DB2BB"/>
    <w:rsid w:val="40112630"/>
    <w:rsid w:val="4016954D"/>
    <w:rsid w:val="4043A3EB"/>
    <w:rsid w:val="404FF9D9"/>
    <w:rsid w:val="4053308D"/>
    <w:rsid w:val="40838E45"/>
    <w:rsid w:val="409C3603"/>
    <w:rsid w:val="40B5BC7C"/>
    <w:rsid w:val="40BAAFCA"/>
    <w:rsid w:val="4113F108"/>
    <w:rsid w:val="4139EA78"/>
    <w:rsid w:val="41805DB6"/>
    <w:rsid w:val="4182EBDF"/>
    <w:rsid w:val="419E4B2D"/>
    <w:rsid w:val="4233D0B5"/>
    <w:rsid w:val="4237852D"/>
    <w:rsid w:val="424FC34F"/>
    <w:rsid w:val="42596098"/>
    <w:rsid w:val="429EFBE2"/>
    <w:rsid w:val="42CF2264"/>
    <w:rsid w:val="42E90977"/>
    <w:rsid w:val="430D6647"/>
    <w:rsid w:val="43202A26"/>
    <w:rsid w:val="433963ED"/>
    <w:rsid w:val="43696AFC"/>
    <w:rsid w:val="43F877B4"/>
    <w:rsid w:val="442F204B"/>
    <w:rsid w:val="442F7F8B"/>
    <w:rsid w:val="4434127C"/>
    <w:rsid w:val="445306CD"/>
    <w:rsid w:val="44588D94"/>
    <w:rsid w:val="446FD724"/>
    <w:rsid w:val="44908DCF"/>
    <w:rsid w:val="450814B0"/>
    <w:rsid w:val="451FE7E9"/>
    <w:rsid w:val="45355F49"/>
    <w:rsid w:val="459A3C30"/>
    <w:rsid w:val="459E0FAC"/>
    <w:rsid w:val="45AAECB2"/>
    <w:rsid w:val="45ABD4C9"/>
    <w:rsid w:val="45D3CF85"/>
    <w:rsid w:val="45E977C7"/>
    <w:rsid w:val="461CF0BB"/>
    <w:rsid w:val="4650DE80"/>
    <w:rsid w:val="4657CAE8"/>
    <w:rsid w:val="4677883A"/>
    <w:rsid w:val="4693A6F6"/>
    <w:rsid w:val="46C40B28"/>
    <w:rsid w:val="46DC22BD"/>
    <w:rsid w:val="4717E269"/>
    <w:rsid w:val="472AFBA7"/>
    <w:rsid w:val="472C798F"/>
    <w:rsid w:val="47341453"/>
    <w:rsid w:val="47466591"/>
    <w:rsid w:val="477C930C"/>
    <w:rsid w:val="4787FD0D"/>
    <w:rsid w:val="4788E6E7"/>
    <w:rsid w:val="47BEE3C6"/>
    <w:rsid w:val="47C86843"/>
    <w:rsid w:val="47C9B836"/>
    <w:rsid w:val="47D54DFB"/>
    <w:rsid w:val="480845C8"/>
    <w:rsid w:val="480F88E2"/>
    <w:rsid w:val="48222099"/>
    <w:rsid w:val="482DE382"/>
    <w:rsid w:val="485D4249"/>
    <w:rsid w:val="48632F7C"/>
    <w:rsid w:val="4867D2E6"/>
    <w:rsid w:val="48ADE627"/>
    <w:rsid w:val="48E4C144"/>
    <w:rsid w:val="4914B4D2"/>
    <w:rsid w:val="495E740A"/>
    <w:rsid w:val="499B4826"/>
    <w:rsid w:val="49BD2A9E"/>
    <w:rsid w:val="49ED92C1"/>
    <w:rsid w:val="49FE20D5"/>
    <w:rsid w:val="4A010087"/>
    <w:rsid w:val="4A579E7B"/>
    <w:rsid w:val="4A6F1A1D"/>
    <w:rsid w:val="4A7778FC"/>
    <w:rsid w:val="4A9B3AC1"/>
    <w:rsid w:val="4AB7204C"/>
    <w:rsid w:val="4AD5E856"/>
    <w:rsid w:val="4B2DFD97"/>
    <w:rsid w:val="4B34F82E"/>
    <w:rsid w:val="4B4725F4"/>
    <w:rsid w:val="4B4A9DE9"/>
    <w:rsid w:val="4B6B4766"/>
    <w:rsid w:val="4B94E30B"/>
    <w:rsid w:val="4BEB5EC0"/>
    <w:rsid w:val="4C1358E0"/>
    <w:rsid w:val="4C1F0B98"/>
    <w:rsid w:val="4C2E4EC5"/>
    <w:rsid w:val="4C857C16"/>
    <w:rsid w:val="4CB05758"/>
    <w:rsid w:val="4CEB350C"/>
    <w:rsid w:val="4CFC2906"/>
    <w:rsid w:val="4D15E5E4"/>
    <w:rsid w:val="4D35DFA2"/>
    <w:rsid w:val="4D59FE32"/>
    <w:rsid w:val="4DAD9F9F"/>
    <w:rsid w:val="4DD9BF13"/>
    <w:rsid w:val="4E249471"/>
    <w:rsid w:val="4E2E1EA4"/>
    <w:rsid w:val="4E30FBE0"/>
    <w:rsid w:val="4E35F40E"/>
    <w:rsid w:val="4E54BE8A"/>
    <w:rsid w:val="4E8B87DB"/>
    <w:rsid w:val="4ED38904"/>
    <w:rsid w:val="4F4AF9A2"/>
    <w:rsid w:val="4F539D37"/>
    <w:rsid w:val="4F5871DE"/>
    <w:rsid w:val="4F62F5C7"/>
    <w:rsid w:val="4FB480A8"/>
    <w:rsid w:val="4FD1488E"/>
    <w:rsid w:val="4FD77996"/>
    <w:rsid w:val="4FDB6ECF"/>
    <w:rsid w:val="4FE0315E"/>
    <w:rsid w:val="50003C74"/>
    <w:rsid w:val="5001726A"/>
    <w:rsid w:val="500D2E44"/>
    <w:rsid w:val="5022086D"/>
    <w:rsid w:val="50295080"/>
    <w:rsid w:val="503BBCA5"/>
    <w:rsid w:val="505595C7"/>
    <w:rsid w:val="505FF705"/>
    <w:rsid w:val="508B5AED"/>
    <w:rsid w:val="50C69D8D"/>
    <w:rsid w:val="510026EE"/>
    <w:rsid w:val="510DFFFB"/>
    <w:rsid w:val="51505109"/>
    <w:rsid w:val="5165D9AD"/>
    <w:rsid w:val="51C8EE8D"/>
    <w:rsid w:val="51D6FE4F"/>
    <w:rsid w:val="51ED2218"/>
    <w:rsid w:val="5256B9E0"/>
    <w:rsid w:val="529876AE"/>
    <w:rsid w:val="52C6DF7C"/>
    <w:rsid w:val="52E65567"/>
    <w:rsid w:val="53117F75"/>
    <w:rsid w:val="53137080"/>
    <w:rsid w:val="535D2C8E"/>
    <w:rsid w:val="5360E5DC"/>
    <w:rsid w:val="537B9794"/>
    <w:rsid w:val="5380D38A"/>
    <w:rsid w:val="53A0DB5A"/>
    <w:rsid w:val="53BEA56A"/>
    <w:rsid w:val="53F3B609"/>
    <w:rsid w:val="53F40480"/>
    <w:rsid w:val="54295076"/>
    <w:rsid w:val="543079EB"/>
    <w:rsid w:val="5445A0BD"/>
    <w:rsid w:val="5445BA9D"/>
    <w:rsid w:val="54515FE2"/>
    <w:rsid w:val="546FF71F"/>
    <w:rsid w:val="548B38AD"/>
    <w:rsid w:val="54AE0F87"/>
    <w:rsid w:val="54EB98E3"/>
    <w:rsid w:val="553FAA29"/>
    <w:rsid w:val="55664324"/>
    <w:rsid w:val="55DFA2D3"/>
    <w:rsid w:val="55F658BD"/>
    <w:rsid w:val="5630E129"/>
    <w:rsid w:val="563B2A63"/>
    <w:rsid w:val="5669C78F"/>
    <w:rsid w:val="5697BF2C"/>
    <w:rsid w:val="56D53C78"/>
    <w:rsid w:val="56E79B4F"/>
    <w:rsid w:val="56FB6647"/>
    <w:rsid w:val="56FC82D2"/>
    <w:rsid w:val="573E3ACD"/>
    <w:rsid w:val="57464C4C"/>
    <w:rsid w:val="574CD56A"/>
    <w:rsid w:val="57953309"/>
    <w:rsid w:val="57D4D8C7"/>
    <w:rsid w:val="57DE6F3C"/>
    <w:rsid w:val="580897DC"/>
    <w:rsid w:val="587B88ED"/>
    <w:rsid w:val="59121BAC"/>
    <w:rsid w:val="59164AF9"/>
    <w:rsid w:val="595C7538"/>
    <w:rsid w:val="596B9BD7"/>
    <w:rsid w:val="59A48DD0"/>
    <w:rsid w:val="59A5D65C"/>
    <w:rsid w:val="5A675AF2"/>
    <w:rsid w:val="5A6F979A"/>
    <w:rsid w:val="5A870B34"/>
    <w:rsid w:val="5A8A14E1"/>
    <w:rsid w:val="5A9F4C56"/>
    <w:rsid w:val="5AFDFC7D"/>
    <w:rsid w:val="5B02927B"/>
    <w:rsid w:val="5B12411A"/>
    <w:rsid w:val="5B1F8B22"/>
    <w:rsid w:val="5B2EF14F"/>
    <w:rsid w:val="5B4DA116"/>
    <w:rsid w:val="5B70A935"/>
    <w:rsid w:val="5B74C97C"/>
    <w:rsid w:val="5BF597B5"/>
    <w:rsid w:val="5C07BE28"/>
    <w:rsid w:val="5C0D6FD8"/>
    <w:rsid w:val="5C9BB874"/>
    <w:rsid w:val="5CA917DE"/>
    <w:rsid w:val="5CFE14D8"/>
    <w:rsid w:val="5D0886C7"/>
    <w:rsid w:val="5D490B1E"/>
    <w:rsid w:val="5DDB876F"/>
    <w:rsid w:val="5E08B5FC"/>
    <w:rsid w:val="5E275DB2"/>
    <w:rsid w:val="5E3AD4EE"/>
    <w:rsid w:val="5E66CD14"/>
    <w:rsid w:val="5E66F394"/>
    <w:rsid w:val="5F2080F7"/>
    <w:rsid w:val="5F5F81DC"/>
    <w:rsid w:val="5F6F8516"/>
    <w:rsid w:val="5F88AD73"/>
    <w:rsid w:val="5FA247E5"/>
    <w:rsid w:val="5FA4E56B"/>
    <w:rsid w:val="601D9BFE"/>
    <w:rsid w:val="602EF40C"/>
    <w:rsid w:val="6034C028"/>
    <w:rsid w:val="606B9FBE"/>
    <w:rsid w:val="60C23F7E"/>
    <w:rsid w:val="60D406E5"/>
    <w:rsid w:val="6139F9D8"/>
    <w:rsid w:val="614D82F7"/>
    <w:rsid w:val="615F3F1B"/>
    <w:rsid w:val="617A6985"/>
    <w:rsid w:val="617FF774"/>
    <w:rsid w:val="61AF830F"/>
    <w:rsid w:val="61B85B13"/>
    <w:rsid w:val="620353E4"/>
    <w:rsid w:val="6283968E"/>
    <w:rsid w:val="62D36044"/>
    <w:rsid w:val="62F74F01"/>
    <w:rsid w:val="630E32B5"/>
    <w:rsid w:val="6356AD95"/>
    <w:rsid w:val="638159B2"/>
    <w:rsid w:val="6385D481"/>
    <w:rsid w:val="63C061AC"/>
    <w:rsid w:val="63D89DF2"/>
    <w:rsid w:val="6422F0A7"/>
    <w:rsid w:val="64B811D8"/>
    <w:rsid w:val="64F90636"/>
    <w:rsid w:val="650A9BB5"/>
    <w:rsid w:val="650F3EBE"/>
    <w:rsid w:val="653FF764"/>
    <w:rsid w:val="6548AA60"/>
    <w:rsid w:val="6549F66C"/>
    <w:rsid w:val="654CE9F4"/>
    <w:rsid w:val="6567B324"/>
    <w:rsid w:val="656987FC"/>
    <w:rsid w:val="657A1BE0"/>
    <w:rsid w:val="657C07D8"/>
    <w:rsid w:val="65D0179F"/>
    <w:rsid w:val="660D5B21"/>
    <w:rsid w:val="66194EF5"/>
    <w:rsid w:val="666AE9B2"/>
    <w:rsid w:val="66965351"/>
    <w:rsid w:val="66CD1E69"/>
    <w:rsid w:val="66D41C85"/>
    <w:rsid w:val="66D6C507"/>
    <w:rsid w:val="6736CB4E"/>
    <w:rsid w:val="67583547"/>
    <w:rsid w:val="676E5F13"/>
    <w:rsid w:val="678E8312"/>
    <w:rsid w:val="679B9D04"/>
    <w:rsid w:val="679FFFD0"/>
    <w:rsid w:val="67D8BE68"/>
    <w:rsid w:val="67E816D6"/>
    <w:rsid w:val="683D1EA1"/>
    <w:rsid w:val="68463710"/>
    <w:rsid w:val="685D0C9C"/>
    <w:rsid w:val="68680EFF"/>
    <w:rsid w:val="68690FEB"/>
    <w:rsid w:val="6881DB12"/>
    <w:rsid w:val="68C350C4"/>
    <w:rsid w:val="68CCFB83"/>
    <w:rsid w:val="68DCE11C"/>
    <w:rsid w:val="6909813B"/>
    <w:rsid w:val="6916675C"/>
    <w:rsid w:val="6921F5DC"/>
    <w:rsid w:val="69615403"/>
    <w:rsid w:val="69862BCF"/>
    <w:rsid w:val="69A2912F"/>
    <w:rsid w:val="69C0583E"/>
    <w:rsid w:val="6A054072"/>
    <w:rsid w:val="6A28BBB8"/>
    <w:rsid w:val="6A51EE5D"/>
    <w:rsid w:val="6A92953C"/>
    <w:rsid w:val="6A9FBC90"/>
    <w:rsid w:val="6AD8E52F"/>
    <w:rsid w:val="6ADC315B"/>
    <w:rsid w:val="6AE74058"/>
    <w:rsid w:val="6B1C2D28"/>
    <w:rsid w:val="6B40E16E"/>
    <w:rsid w:val="6BBAE8E5"/>
    <w:rsid w:val="6BBD3DE9"/>
    <w:rsid w:val="6BE9C2AF"/>
    <w:rsid w:val="6BF67592"/>
    <w:rsid w:val="6BFE6F16"/>
    <w:rsid w:val="6C08A898"/>
    <w:rsid w:val="6C28A217"/>
    <w:rsid w:val="6C54C311"/>
    <w:rsid w:val="6C6A4016"/>
    <w:rsid w:val="6C87387B"/>
    <w:rsid w:val="6C952642"/>
    <w:rsid w:val="6CAE42BE"/>
    <w:rsid w:val="6CC5443B"/>
    <w:rsid w:val="6CD355F0"/>
    <w:rsid w:val="6CE54871"/>
    <w:rsid w:val="6CEE9AE0"/>
    <w:rsid w:val="6D0FA8A6"/>
    <w:rsid w:val="6D43019B"/>
    <w:rsid w:val="6DB0BCBC"/>
    <w:rsid w:val="6DFE00CB"/>
    <w:rsid w:val="6E0CBCEB"/>
    <w:rsid w:val="6E48AD39"/>
    <w:rsid w:val="6E525055"/>
    <w:rsid w:val="6E65F18D"/>
    <w:rsid w:val="6EABEB65"/>
    <w:rsid w:val="6EDD9B72"/>
    <w:rsid w:val="6EF1B2FF"/>
    <w:rsid w:val="6EF855FE"/>
    <w:rsid w:val="6F1BDD00"/>
    <w:rsid w:val="6F1F9271"/>
    <w:rsid w:val="6F24D8AE"/>
    <w:rsid w:val="6F2A9B62"/>
    <w:rsid w:val="6F4C81D5"/>
    <w:rsid w:val="6F865EAC"/>
    <w:rsid w:val="6F94D5D7"/>
    <w:rsid w:val="6FDA1E69"/>
    <w:rsid w:val="6FF4C121"/>
    <w:rsid w:val="6FFA57F5"/>
    <w:rsid w:val="70482953"/>
    <w:rsid w:val="70643F85"/>
    <w:rsid w:val="706D9852"/>
    <w:rsid w:val="70ED4607"/>
    <w:rsid w:val="711C4F31"/>
    <w:rsid w:val="7143B0AE"/>
    <w:rsid w:val="714E47A2"/>
    <w:rsid w:val="71518C3E"/>
    <w:rsid w:val="715E9EE3"/>
    <w:rsid w:val="7162139D"/>
    <w:rsid w:val="7240D35B"/>
    <w:rsid w:val="729CE842"/>
    <w:rsid w:val="72BE54C7"/>
    <w:rsid w:val="72EF1331"/>
    <w:rsid w:val="7343BDE8"/>
    <w:rsid w:val="736DB87E"/>
    <w:rsid w:val="73F54201"/>
    <w:rsid w:val="743499F5"/>
    <w:rsid w:val="745FF654"/>
    <w:rsid w:val="7481BD4A"/>
    <w:rsid w:val="74B44BC8"/>
    <w:rsid w:val="74D5926E"/>
    <w:rsid w:val="754B5091"/>
    <w:rsid w:val="7594A72B"/>
    <w:rsid w:val="7597F077"/>
    <w:rsid w:val="75BDDDF6"/>
    <w:rsid w:val="75E7D2DA"/>
    <w:rsid w:val="760597EE"/>
    <w:rsid w:val="766730D4"/>
    <w:rsid w:val="7676041C"/>
    <w:rsid w:val="76C670C5"/>
    <w:rsid w:val="76CE4B01"/>
    <w:rsid w:val="76DC37DD"/>
    <w:rsid w:val="76F00784"/>
    <w:rsid w:val="7712B11E"/>
    <w:rsid w:val="772A7F12"/>
    <w:rsid w:val="774C1598"/>
    <w:rsid w:val="7773B292"/>
    <w:rsid w:val="777A3E03"/>
    <w:rsid w:val="77805EFA"/>
    <w:rsid w:val="7783A33B"/>
    <w:rsid w:val="780313DD"/>
    <w:rsid w:val="78261C16"/>
    <w:rsid w:val="782E51C9"/>
    <w:rsid w:val="7843DB7F"/>
    <w:rsid w:val="7861BDC8"/>
    <w:rsid w:val="786BCF60"/>
    <w:rsid w:val="786C3AE2"/>
    <w:rsid w:val="788DFD6D"/>
    <w:rsid w:val="78B3BDED"/>
    <w:rsid w:val="78D6FE6D"/>
    <w:rsid w:val="78FA24CF"/>
    <w:rsid w:val="79082A74"/>
    <w:rsid w:val="794C1027"/>
    <w:rsid w:val="7959B122"/>
    <w:rsid w:val="797BD6FF"/>
    <w:rsid w:val="79B4F94C"/>
    <w:rsid w:val="79D73236"/>
    <w:rsid w:val="79E0C194"/>
    <w:rsid w:val="79E24B46"/>
    <w:rsid w:val="79EB3BD3"/>
    <w:rsid w:val="7A25B89D"/>
    <w:rsid w:val="7A3FA55F"/>
    <w:rsid w:val="7A999140"/>
    <w:rsid w:val="7AB720B0"/>
    <w:rsid w:val="7ABC18DE"/>
    <w:rsid w:val="7ABE479D"/>
    <w:rsid w:val="7B6CB54D"/>
    <w:rsid w:val="7B80CE7E"/>
    <w:rsid w:val="7BEAAF93"/>
    <w:rsid w:val="7BF0B334"/>
    <w:rsid w:val="7C1314A1"/>
    <w:rsid w:val="7C1A3EEB"/>
    <w:rsid w:val="7C74F94C"/>
    <w:rsid w:val="7CD85485"/>
    <w:rsid w:val="7CEFE4C8"/>
    <w:rsid w:val="7D14E311"/>
    <w:rsid w:val="7D1AEEA2"/>
    <w:rsid w:val="7D1DE9B3"/>
    <w:rsid w:val="7D589654"/>
    <w:rsid w:val="7DBDB718"/>
    <w:rsid w:val="7DD2D789"/>
    <w:rsid w:val="7DD2E04F"/>
    <w:rsid w:val="7DEC4262"/>
    <w:rsid w:val="7DEEC172"/>
    <w:rsid w:val="7E2421C7"/>
    <w:rsid w:val="7E2B2C7B"/>
    <w:rsid w:val="7E666C5A"/>
    <w:rsid w:val="7EBB5CB8"/>
    <w:rsid w:val="7EBE05CA"/>
    <w:rsid w:val="7EC966B4"/>
    <w:rsid w:val="7EF5EAB4"/>
    <w:rsid w:val="7F045D98"/>
    <w:rsid w:val="7F1661FE"/>
    <w:rsid w:val="7F257783"/>
    <w:rsid w:val="7F34FB2B"/>
    <w:rsid w:val="7F712E40"/>
    <w:rsid w:val="7F81CEA5"/>
    <w:rsid w:val="7F839F95"/>
    <w:rsid w:val="7FA33525"/>
    <w:rsid w:val="7FB6889E"/>
    <w:rsid w:val="7FBAF37F"/>
    <w:rsid w:val="7FFDDB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06CDF4B7"/>
  <w15:docId w15:val="{610594C5-FBE6-4D59-B099-01E309A8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41396D"/>
    <w:rPr>
      <w:sz w:val="24"/>
      <w:szCs w:val="24"/>
    </w:rPr>
  </w:style>
  <w:style w:type="paragraph" w:styleId="Ttulo1">
    <w:name w:val="heading 1"/>
    <w:basedOn w:val="Normal"/>
    <w:next w:val="Normal"/>
    <w:qFormat/>
    <w:rsid w:val="001C3A32"/>
    <w:pPr>
      <w:keepNext/>
      <w:spacing w:before="240" w:after="60"/>
      <w:ind w:firstLine="567"/>
      <w:jc w:val="both"/>
      <w:outlineLvl w:val="0"/>
    </w:pPr>
    <w:rPr>
      <w:rFonts w:ascii="Arial" w:hAnsi="Arial" w:cs="Arial"/>
      <w:b/>
      <w:bCs/>
      <w:kern w:val="32"/>
      <w:sz w:val="32"/>
      <w:szCs w:val="32"/>
      <w:lang w:val="es-ES_tradnl" w:eastAsia="en-US"/>
    </w:rPr>
  </w:style>
  <w:style w:type="paragraph" w:styleId="Ttulo2">
    <w:name w:val="heading 2"/>
    <w:basedOn w:val="Normal"/>
    <w:next w:val="Normal"/>
    <w:qFormat/>
    <w:rsid w:val="001C3A32"/>
    <w:pPr>
      <w:keepNext/>
      <w:spacing w:before="240" w:after="60"/>
      <w:ind w:firstLine="567"/>
      <w:jc w:val="both"/>
      <w:outlineLvl w:val="1"/>
    </w:pPr>
    <w:rPr>
      <w:rFonts w:ascii="Arial" w:hAnsi="Arial" w:cs="Arial"/>
      <w:b/>
      <w:bCs/>
      <w:i/>
      <w:iCs/>
      <w:sz w:val="28"/>
      <w:szCs w:val="28"/>
      <w:lang w:val="es-ES_tradnl" w:eastAsia="en-US"/>
    </w:rPr>
  </w:style>
  <w:style w:type="paragraph" w:styleId="Ttulo3">
    <w:name w:val="heading 3"/>
    <w:basedOn w:val="Normal"/>
    <w:next w:val="Normal"/>
    <w:link w:val="Ttulo3Car"/>
    <w:uiPriority w:val="9"/>
    <w:qFormat/>
    <w:rsid w:val="001C3A32"/>
    <w:pPr>
      <w:keepNext/>
      <w:spacing w:before="240" w:after="60"/>
      <w:ind w:firstLine="567"/>
      <w:jc w:val="both"/>
      <w:outlineLvl w:val="2"/>
    </w:pPr>
    <w:rPr>
      <w:rFonts w:ascii="Arial" w:hAnsi="Arial" w:cs="Arial"/>
      <w:b/>
      <w:bCs/>
      <w:sz w:val="20"/>
      <w:szCs w:val="26"/>
      <w:lang w:val="es-ES_tradnl" w:eastAsia="en-US"/>
    </w:rPr>
  </w:style>
  <w:style w:type="paragraph" w:styleId="Ttulo5">
    <w:name w:val="heading 5"/>
    <w:basedOn w:val="Normal"/>
    <w:next w:val="Normal"/>
    <w:link w:val="Ttulo5Car"/>
    <w:uiPriority w:val="99"/>
    <w:qFormat/>
    <w:rsid w:val="001C3A32"/>
    <w:pPr>
      <w:keepNext/>
      <w:tabs>
        <w:tab w:val="left" w:pos="7200"/>
      </w:tabs>
      <w:ind w:right="44"/>
      <w:jc w:val="center"/>
      <w:outlineLvl w:val="4"/>
    </w:pPr>
    <w:rPr>
      <w:b/>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uiPriority w:val="99"/>
    <w:rsid w:val="001D4F09"/>
    <w:pPr>
      <w:numPr>
        <w:numId w:val="5"/>
      </w:numPr>
      <w:tabs>
        <w:tab w:val="clear" w:pos="2835"/>
        <w:tab w:val="clear" w:pos="3969"/>
        <w:tab w:val="clear" w:pos="5103"/>
        <w:tab w:val="clear" w:pos="6237"/>
        <w:tab w:val="clear" w:pos="7371"/>
      </w:tabs>
    </w:pPr>
    <w:rPr>
      <w:i/>
      <w:lang w:val="es-ES"/>
    </w:rPr>
  </w:style>
  <w:style w:type="paragraph" w:customStyle="1" w:styleId="portada">
    <w:name w:val="portada"/>
    <w:basedOn w:val="Normal"/>
    <w:rsid w:val="00FF4A4C"/>
    <w:pPr>
      <w:spacing w:before="60"/>
      <w:ind w:left="4536"/>
      <w:jc w:val="both"/>
    </w:pPr>
    <w:rPr>
      <w:rFonts w:ascii="ITCCentury Book" w:hAnsi="ITCCentury Book"/>
      <w:sz w:val="60"/>
      <w:szCs w:val="20"/>
      <w:lang w:val="es-ES_tradnl" w:eastAsia="en-US"/>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spacing w:after="140"/>
      <w:ind w:firstLine="284"/>
      <w:jc w:val="both"/>
    </w:pPr>
    <w:rPr>
      <w:spacing w:val="6"/>
      <w:sz w:val="26"/>
      <w:lang w:val="es-ES_tradnl" w:eastAsia="en-US"/>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jc w:val="both"/>
    </w:pPr>
    <w:rPr>
      <w:rFonts w:ascii="Arial Narrow" w:hAnsi="Arial Narrow"/>
      <w:smallCaps/>
      <w:sz w:val="22"/>
      <w:szCs w:val="20"/>
      <w:lang w:val="es-ES_tradnl" w:eastAsia="en-US"/>
    </w:rPr>
  </w:style>
  <w:style w:type="paragraph" w:styleId="TDC2">
    <w:name w:val="toc 2"/>
    <w:basedOn w:val="Normal"/>
    <w:next w:val="Normal"/>
    <w:autoRedefine/>
    <w:uiPriority w:val="39"/>
    <w:rsid w:val="00477C53"/>
    <w:pPr>
      <w:tabs>
        <w:tab w:val="right" w:leader="dot" w:pos="8930"/>
      </w:tabs>
      <w:ind w:left="378"/>
      <w:jc w:val="both"/>
    </w:pPr>
    <w:rPr>
      <w:rFonts w:ascii="Arial Narrow" w:hAnsi="Arial Narrow"/>
      <w:sz w:val="22"/>
      <w:szCs w:val="20"/>
      <w:lang w:val="es-ES_tradnl" w:eastAsia="en-US"/>
    </w:rPr>
  </w:style>
  <w:style w:type="paragraph" w:styleId="Textodeglobo">
    <w:name w:val="Balloon Text"/>
    <w:basedOn w:val="Normal"/>
    <w:semiHidden/>
    <w:rsid w:val="000A4697"/>
    <w:pPr>
      <w:spacing w:after="140"/>
      <w:ind w:firstLine="567"/>
      <w:jc w:val="both"/>
    </w:pPr>
    <w:rPr>
      <w:rFonts w:ascii="Tahoma" w:hAnsi="Tahoma" w:cs="Tahoma"/>
      <w:sz w:val="16"/>
      <w:szCs w:val="16"/>
      <w:lang w:val="es-ES_tradnl" w:eastAsia="en-US"/>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pPr>
      <w:spacing w:after="140"/>
      <w:ind w:firstLine="567"/>
      <w:jc w:val="both"/>
    </w:pPr>
    <w:rPr>
      <w:b/>
      <w:bCs/>
      <w:sz w:val="20"/>
      <w:szCs w:val="20"/>
      <w:lang w:val="es-ES_tradnl" w:eastAsia="en-U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spacing w:after="140"/>
      <w:ind w:left="567"/>
      <w:jc w:val="both"/>
    </w:pPr>
    <w:rPr>
      <w:rFonts w:ascii="Arial Narrow" w:hAnsi="Arial Narrow"/>
      <w:sz w:val="22"/>
      <w:szCs w:val="20"/>
      <w:lang w:val="es-ES_tradnl" w:eastAsia="en-US"/>
    </w:rPr>
  </w:style>
  <w:style w:type="character" w:customStyle="1" w:styleId="atitulo1Car">
    <w:name w:val="atitulo1 Car"/>
    <w:basedOn w:val="Fuentedeprrafopredeter"/>
    <w:link w:val="atitulo1"/>
    <w:uiPriority w:val="99"/>
    <w:locked/>
    <w:rsid w:val="00345C6C"/>
    <w:rPr>
      <w:rFonts w:ascii="Arial" w:hAnsi="Arial"/>
      <w:b/>
      <w:color w:val="000000"/>
      <w:kern w:val="28"/>
      <w:sz w:val="25"/>
      <w:szCs w:val="26"/>
      <w:lang w:val="es-ES_tradnl" w:eastAsia="en-US"/>
    </w:rPr>
  </w:style>
  <w:style w:type="character" w:customStyle="1" w:styleId="atitulo2Car">
    <w:name w:val="atitulo2 Car"/>
    <w:link w:val="atitulo2"/>
    <w:uiPriority w:val="99"/>
    <w:locked/>
    <w:rsid w:val="00345C6C"/>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345C6C"/>
    <w:pPr>
      <w:ind w:left="720"/>
      <w:contextualSpacing/>
    </w:pPr>
    <w:rPr>
      <w:sz w:val="20"/>
      <w:szCs w:val="20"/>
      <w:lang w:val="es-ES_tradnl" w:eastAsia="en-US"/>
    </w:rPr>
  </w:style>
  <w:style w:type="character" w:customStyle="1" w:styleId="PiedepginaCar">
    <w:name w:val="Pie de página Car"/>
    <w:basedOn w:val="Fuentedeprrafopredeter"/>
    <w:link w:val="Piedepgina"/>
    <w:uiPriority w:val="99"/>
    <w:rsid w:val="00345C6C"/>
    <w:rPr>
      <w:spacing w:val="6"/>
      <w:lang w:val="es-ES_tradnl" w:eastAsia="en-US"/>
    </w:rPr>
  </w:style>
  <w:style w:type="character" w:customStyle="1" w:styleId="Ttulo5Car">
    <w:name w:val="Título 5 Car"/>
    <w:basedOn w:val="Fuentedeprrafopredeter"/>
    <w:link w:val="Ttulo5"/>
    <w:uiPriority w:val="99"/>
    <w:rsid w:val="00345C6C"/>
    <w:rPr>
      <w:b/>
      <w:sz w:val="28"/>
      <w:lang w:eastAsia="en-US"/>
    </w:rPr>
  </w:style>
  <w:style w:type="character" w:customStyle="1" w:styleId="markedcontent">
    <w:name w:val="markedcontent"/>
    <w:basedOn w:val="Fuentedeprrafopredeter"/>
    <w:rsid w:val="00345C6C"/>
  </w:style>
  <w:style w:type="paragraph" w:styleId="Textonotapie">
    <w:name w:val="footnote text"/>
    <w:basedOn w:val="Normal"/>
    <w:link w:val="TextonotapieCar"/>
    <w:unhideWhenUsed/>
    <w:rsid w:val="00345C6C"/>
    <w:pPr>
      <w:ind w:firstLine="567"/>
      <w:jc w:val="both"/>
    </w:pPr>
    <w:rPr>
      <w:sz w:val="20"/>
      <w:szCs w:val="20"/>
      <w:lang w:val="es-ES_tradnl" w:eastAsia="en-US"/>
    </w:rPr>
  </w:style>
  <w:style w:type="character" w:customStyle="1" w:styleId="TextonotapieCar">
    <w:name w:val="Texto nota pie Car"/>
    <w:basedOn w:val="Fuentedeprrafopredeter"/>
    <w:link w:val="Textonotapie"/>
    <w:rsid w:val="00345C6C"/>
    <w:rPr>
      <w:lang w:val="es-ES_tradnl" w:eastAsia="en-US"/>
    </w:rPr>
  </w:style>
  <w:style w:type="character" w:styleId="Refdenotaalpie">
    <w:name w:val="footnote reference"/>
    <w:basedOn w:val="Fuentedeprrafopredeter"/>
    <w:unhideWhenUsed/>
    <w:rsid w:val="00345C6C"/>
    <w:rPr>
      <w:vertAlign w:val="superscript"/>
    </w:rPr>
  </w:style>
  <w:style w:type="character" w:styleId="Refdecomentario">
    <w:name w:val="annotation reference"/>
    <w:basedOn w:val="Fuentedeprrafopredeter"/>
    <w:semiHidden/>
    <w:unhideWhenUsed/>
    <w:rsid w:val="00B72304"/>
    <w:rPr>
      <w:sz w:val="16"/>
      <w:szCs w:val="16"/>
    </w:rPr>
  </w:style>
  <w:style w:type="paragraph" w:styleId="Textocomentario">
    <w:name w:val="annotation text"/>
    <w:basedOn w:val="Normal"/>
    <w:link w:val="TextocomentarioCar"/>
    <w:semiHidden/>
    <w:unhideWhenUsed/>
    <w:rsid w:val="00B72304"/>
    <w:pPr>
      <w:spacing w:after="140"/>
      <w:ind w:firstLine="567"/>
      <w:jc w:val="both"/>
    </w:pPr>
    <w:rPr>
      <w:sz w:val="20"/>
      <w:szCs w:val="20"/>
      <w:lang w:val="es-ES_tradnl" w:eastAsia="en-US"/>
    </w:rPr>
  </w:style>
  <w:style w:type="character" w:customStyle="1" w:styleId="TextocomentarioCar">
    <w:name w:val="Texto comentario Car"/>
    <w:basedOn w:val="Fuentedeprrafopredeter"/>
    <w:link w:val="Textocomentario"/>
    <w:semiHidden/>
    <w:rsid w:val="00B72304"/>
    <w:rPr>
      <w:lang w:val="es-ES_tradnl" w:eastAsia="en-US"/>
    </w:rPr>
  </w:style>
  <w:style w:type="paragraph" w:styleId="Asuntodelcomentario">
    <w:name w:val="annotation subject"/>
    <w:basedOn w:val="Textocomentario"/>
    <w:next w:val="Textocomentario"/>
    <w:link w:val="AsuntodelcomentarioCar"/>
    <w:semiHidden/>
    <w:unhideWhenUsed/>
    <w:rsid w:val="00B72304"/>
    <w:rPr>
      <w:b/>
      <w:bCs/>
    </w:rPr>
  </w:style>
  <w:style w:type="character" w:customStyle="1" w:styleId="AsuntodelcomentarioCar">
    <w:name w:val="Asunto del comentario Car"/>
    <w:basedOn w:val="TextocomentarioCar"/>
    <w:link w:val="Asuntodelcomentario"/>
    <w:semiHidden/>
    <w:rsid w:val="00B72304"/>
    <w:rPr>
      <w:b/>
      <w:bCs/>
      <w:lang w:val="es-ES_tradnl" w:eastAsia="en-US"/>
    </w:rPr>
  </w:style>
  <w:style w:type="character" w:customStyle="1" w:styleId="Ttulo3Car">
    <w:name w:val="Título 3 Car"/>
    <w:basedOn w:val="Fuentedeprrafopredeter"/>
    <w:link w:val="Ttulo3"/>
    <w:uiPriority w:val="9"/>
    <w:rsid w:val="00B83A58"/>
    <w:rPr>
      <w:rFonts w:ascii="Arial" w:hAnsi="Arial" w:cs="Arial"/>
      <w:b/>
      <w:bCs/>
      <w:szCs w:val="26"/>
      <w:lang w:val="es-ES_tradnl" w:eastAsia="en-US"/>
    </w:rPr>
  </w:style>
  <w:style w:type="character" w:styleId="Hipervnculovisitado">
    <w:name w:val="FollowedHyperlink"/>
    <w:basedOn w:val="Fuentedeprrafopredeter"/>
    <w:semiHidden/>
    <w:unhideWhenUsed/>
    <w:rsid w:val="00B83A58"/>
    <w:rPr>
      <w:color w:val="800080" w:themeColor="followedHyperlink"/>
      <w:u w:val="single"/>
    </w:rPr>
  </w:style>
  <w:style w:type="character" w:styleId="nfasis">
    <w:name w:val="Emphasis"/>
    <w:basedOn w:val="Fuentedeprrafopredeter"/>
    <w:uiPriority w:val="20"/>
    <w:qFormat/>
    <w:rsid w:val="00F944DD"/>
    <w:rPr>
      <w:i/>
      <w:iCs/>
    </w:rPr>
  </w:style>
  <w:style w:type="paragraph" w:styleId="TtuloTDC">
    <w:name w:val="TOC Heading"/>
    <w:basedOn w:val="Ttulo1"/>
    <w:next w:val="Normal"/>
    <w:uiPriority w:val="39"/>
    <w:unhideWhenUsed/>
    <w:qFormat/>
    <w:rsid w:val="009A7A48"/>
    <w:pPr>
      <w:keepLines/>
      <w:spacing w:after="0" w:line="259" w:lineRule="auto"/>
      <w:ind w:firstLine="0"/>
      <w:jc w:val="left"/>
      <w:outlineLvl w:val="9"/>
    </w:pPr>
    <w:rPr>
      <w:rFonts w:asciiTheme="majorHAnsi" w:eastAsiaTheme="majorEastAsia" w:hAnsiTheme="majorHAnsi" w:cstheme="majorBidi"/>
      <w:b w:val="0"/>
      <w:bCs w:val="0"/>
      <w:color w:val="365F91" w:themeColor="accent1" w:themeShade="BF"/>
      <w:kern w:val="0"/>
      <w:sz w:val="25"/>
      <w:lang w:val="es-ES" w:eastAsia="es-ES"/>
    </w:rPr>
  </w:style>
  <w:style w:type="paragraph" w:styleId="Revisin">
    <w:name w:val="Revision"/>
    <w:hidden/>
    <w:uiPriority w:val="99"/>
    <w:semiHidden/>
    <w:rsid w:val="009A7A48"/>
    <w:rPr>
      <w:lang w:val="es-ES_tradnl" w:eastAsia="en-US"/>
    </w:rPr>
  </w:style>
  <w:style w:type="paragraph" w:customStyle="1" w:styleId="Default">
    <w:name w:val="Default"/>
    <w:rsid w:val="00A90022"/>
    <w:pPr>
      <w:autoSpaceDE w:val="0"/>
      <w:autoSpaceDN w:val="0"/>
      <w:adjustRightInd w:val="0"/>
    </w:pPr>
    <w:rPr>
      <w:color w:val="000000"/>
      <w:sz w:val="24"/>
      <w:szCs w:val="24"/>
    </w:rPr>
  </w:style>
  <w:style w:type="character" w:customStyle="1" w:styleId="CharacterStyle1">
    <w:name w:val="Character Style 1"/>
    <w:basedOn w:val="Fuentedeprrafopredeter"/>
    <w:uiPriority w:val="1"/>
    <w:rsid w:val="0DF82E94"/>
    <w:rPr>
      <w:rFonts w:ascii="Garamond" w:eastAsia="Times New Roman" w:hAnsi="Garamond" w:cs="Garamond"/>
      <w:sz w:val="22"/>
      <w:szCs w:val="22"/>
    </w:rPr>
  </w:style>
  <w:style w:type="paragraph" w:customStyle="1" w:styleId="Style1">
    <w:name w:val="Style 1"/>
    <w:basedOn w:val="Normal"/>
    <w:uiPriority w:val="1"/>
    <w:rsid w:val="0DF82E94"/>
    <w:rPr>
      <w:lang w:val="en-US"/>
    </w:rPr>
  </w:style>
  <w:style w:type="character" w:customStyle="1" w:styleId="normaltextrun">
    <w:name w:val="normaltextrun"/>
    <w:basedOn w:val="Fuentedeprrafopredeter"/>
    <w:rsid w:val="00BF1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43562">
      <w:bodyDiv w:val="1"/>
      <w:marLeft w:val="0"/>
      <w:marRight w:val="0"/>
      <w:marTop w:val="0"/>
      <w:marBottom w:val="0"/>
      <w:divBdr>
        <w:top w:val="none" w:sz="0" w:space="0" w:color="auto"/>
        <w:left w:val="none" w:sz="0" w:space="0" w:color="auto"/>
        <w:bottom w:val="none" w:sz="0" w:space="0" w:color="auto"/>
        <w:right w:val="none" w:sz="0" w:space="0" w:color="auto"/>
      </w:divBdr>
    </w:div>
    <w:div w:id="40326497">
      <w:bodyDiv w:val="1"/>
      <w:marLeft w:val="0"/>
      <w:marRight w:val="0"/>
      <w:marTop w:val="0"/>
      <w:marBottom w:val="0"/>
      <w:divBdr>
        <w:top w:val="none" w:sz="0" w:space="0" w:color="auto"/>
        <w:left w:val="none" w:sz="0" w:space="0" w:color="auto"/>
        <w:bottom w:val="none" w:sz="0" w:space="0" w:color="auto"/>
        <w:right w:val="none" w:sz="0" w:space="0" w:color="auto"/>
      </w:divBdr>
    </w:div>
    <w:div w:id="68233929">
      <w:bodyDiv w:val="1"/>
      <w:marLeft w:val="0"/>
      <w:marRight w:val="0"/>
      <w:marTop w:val="0"/>
      <w:marBottom w:val="0"/>
      <w:divBdr>
        <w:top w:val="none" w:sz="0" w:space="0" w:color="auto"/>
        <w:left w:val="none" w:sz="0" w:space="0" w:color="auto"/>
        <w:bottom w:val="none" w:sz="0" w:space="0" w:color="auto"/>
        <w:right w:val="none" w:sz="0" w:space="0" w:color="auto"/>
      </w:divBdr>
    </w:div>
    <w:div w:id="105927191">
      <w:bodyDiv w:val="1"/>
      <w:marLeft w:val="0"/>
      <w:marRight w:val="0"/>
      <w:marTop w:val="0"/>
      <w:marBottom w:val="0"/>
      <w:divBdr>
        <w:top w:val="none" w:sz="0" w:space="0" w:color="auto"/>
        <w:left w:val="none" w:sz="0" w:space="0" w:color="auto"/>
        <w:bottom w:val="none" w:sz="0" w:space="0" w:color="auto"/>
        <w:right w:val="none" w:sz="0" w:space="0" w:color="auto"/>
      </w:divBdr>
    </w:div>
    <w:div w:id="108209940">
      <w:bodyDiv w:val="1"/>
      <w:marLeft w:val="0"/>
      <w:marRight w:val="0"/>
      <w:marTop w:val="0"/>
      <w:marBottom w:val="0"/>
      <w:divBdr>
        <w:top w:val="none" w:sz="0" w:space="0" w:color="auto"/>
        <w:left w:val="none" w:sz="0" w:space="0" w:color="auto"/>
        <w:bottom w:val="none" w:sz="0" w:space="0" w:color="auto"/>
        <w:right w:val="none" w:sz="0" w:space="0" w:color="auto"/>
      </w:divBdr>
    </w:div>
    <w:div w:id="117573010">
      <w:bodyDiv w:val="1"/>
      <w:marLeft w:val="0"/>
      <w:marRight w:val="0"/>
      <w:marTop w:val="0"/>
      <w:marBottom w:val="0"/>
      <w:divBdr>
        <w:top w:val="none" w:sz="0" w:space="0" w:color="auto"/>
        <w:left w:val="none" w:sz="0" w:space="0" w:color="auto"/>
        <w:bottom w:val="none" w:sz="0" w:space="0" w:color="auto"/>
        <w:right w:val="none" w:sz="0" w:space="0" w:color="auto"/>
      </w:divBdr>
    </w:div>
    <w:div w:id="117920487">
      <w:bodyDiv w:val="1"/>
      <w:marLeft w:val="0"/>
      <w:marRight w:val="0"/>
      <w:marTop w:val="0"/>
      <w:marBottom w:val="0"/>
      <w:divBdr>
        <w:top w:val="none" w:sz="0" w:space="0" w:color="auto"/>
        <w:left w:val="none" w:sz="0" w:space="0" w:color="auto"/>
        <w:bottom w:val="none" w:sz="0" w:space="0" w:color="auto"/>
        <w:right w:val="none" w:sz="0" w:space="0" w:color="auto"/>
      </w:divBdr>
    </w:div>
    <w:div w:id="123355064">
      <w:bodyDiv w:val="1"/>
      <w:marLeft w:val="0"/>
      <w:marRight w:val="0"/>
      <w:marTop w:val="0"/>
      <w:marBottom w:val="0"/>
      <w:divBdr>
        <w:top w:val="none" w:sz="0" w:space="0" w:color="auto"/>
        <w:left w:val="none" w:sz="0" w:space="0" w:color="auto"/>
        <w:bottom w:val="none" w:sz="0" w:space="0" w:color="auto"/>
        <w:right w:val="none" w:sz="0" w:space="0" w:color="auto"/>
      </w:divBdr>
    </w:div>
    <w:div w:id="166140417">
      <w:bodyDiv w:val="1"/>
      <w:marLeft w:val="0"/>
      <w:marRight w:val="0"/>
      <w:marTop w:val="0"/>
      <w:marBottom w:val="0"/>
      <w:divBdr>
        <w:top w:val="none" w:sz="0" w:space="0" w:color="auto"/>
        <w:left w:val="none" w:sz="0" w:space="0" w:color="auto"/>
        <w:bottom w:val="none" w:sz="0" w:space="0" w:color="auto"/>
        <w:right w:val="none" w:sz="0" w:space="0" w:color="auto"/>
      </w:divBdr>
    </w:div>
    <w:div w:id="175075161">
      <w:bodyDiv w:val="1"/>
      <w:marLeft w:val="0"/>
      <w:marRight w:val="0"/>
      <w:marTop w:val="0"/>
      <w:marBottom w:val="0"/>
      <w:divBdr>
        <w:top w:val="none" w:sz="0" w:space="0" w:color="auto"/>
        <w:left w:val="none" w:sz="0" w:space="0" w:color="auto"/>
        <w:bottom w:val="none" w:sz="0" w:space="0" w:color="auto"/>
        <w:right w:val="none" w:sz="0" w:space="0" w:color="auto"/>
      </w:divBdr>
    </w:div>
    <w:div w:id="216866435">
      <w:bodyDiv w:val="1"/>
      <w:marLeft w:val="0"/>
      <w:marRight w:val="0"/>
      <w:marTop w:val="0"/>
      <w:marBottom w:val="0"/>
      <w:divBdr>
        <w:top w:val="none" w:sz="0" w:space="0" w:color="auto"/>
        <w:left w:val="none" w:sz="0" w:space="0" w:color="auto"/>
        <w:bottom w:val="none" w:sz="0" w:space="0" w:color="auto"/>
        <w:right w:val="none" w:sz="0" w:space="0" w:color="auto"/>
      </w:divBdr>
    </w:div>
    <w:div w:id="240718713">
      <w:bodyDiv w:val="1"/>
      <w:marLeft w:val="0"/>
      <w:marRight w:val="0"/>
      <w:marTop w:val="0"/>
      <w:marBottom w:val="0"/>
      <w:divBdr>
        <w:top w:val="none" w:sz="0" w:space="0" w:color="auto"/>
        <w:left w:val="none" w:sz="0" w:space="0" w:color="auto"/>
        <w:bottom w:val="none" w:sz="0" w:space="0" w:color="auto"/>
        <w:right w:val="none" w:sz="0" w:space="0" w:color="auto"/>
      </w:divBdr>
    </w:div>
    <w:div w:id="248775428">
      <w:bodyDiv w:val="1"/>
      <w:marLeft w:val="0"/>
      <w:marRight w:val="0"/>
      <w:marTop w:val="0"/>
      <w:marBottom w:val="0"/>
      <w:divBdr>
        <w:top w:val="none" w:sz="0" w:space="0" w:color="auto"/>
        <w:left w:val="none" w:sz="0" w:space="0" w:color="auto"/>
        <w:bottom w:val="none" w:sz="0" w:space="0" w:color="auto"/>
        <w:right w:val="none" w:sz="0" w:space="0" w:color="auto"/>
      </w:divBdr>
    </w:div>
    <w:div w:id="249392284">
      <w:bodyDiv w:val="1"/>
      <w:marLeft w:val="0"/>
      <w:marRight w:val="0"/>
      <w:marTop w:val="0"/>
      <w:marBottom w:val="0"/>
      <w:divBdr>
        <w:top w:val="none" w:sz="0" w:space="0" w:color="auto"/>
        <w:left w:val="none" w:sz="0" w:space="0" w:color="auto"/>
        <w:bottom w:val="none" w:sz="0" w:space="0" w:color="auto"/>
        <w:right w:val="none" w:sz="0" w:space="0" w:color="auto"/>
      </w:divBdr>
    </w:div>
    <w:div w:id="320692413">
      <w:bodyDiv w:val="1"/>
      <w:marLeft w:val="0"/>
      <w:marRight w:val="0"/>
      <w:marTop w:val="0"/>
      <w:marBottom w:val="0"/>
      <w:divBdr>
        <w:top w:val="none" w:sz="0" w:space="0" w:color="auto"/>
        <w:left w:val="none" w:sz="0" w:space="0" w:color="auto"/>
        <w:bottom w:val="none" w:sz="0" w:space="0" w:color="auto"/>
        <w:right w:val="none" w:sz="0" w:space="0" w:color="auto"/>
      </w:divBdr>
    </w:div>
    <w:div w:id="323632940">
      <w:bodyDiv w:val="1"/>
      <w:marLeft w:val="0"/>
      <w:marRight w:val="0"/>
      <w:marTop w:val="0"/>
      <w:marBottom w:val="0"/>
      <w:divBdr>
        <w:top w:val="none" w:sz="0" w:space="0" w:color="auto"/>
        <w:left w:val="none" w:sz="0" w:space="0" w:color="auto"/>
        <w:bottom w:val="none" w:sz="0" w:space="0" w:color="auto"/>
        <w:right w:val="none" w:sz="0" w:space="0" w:color="auto"/>
      </w:divBdr>
    </w:div>
    <w:div w:id="353386797">
      <w:bodyDiv w:val="1"/>
      <w:marLeft w:val="0"/>
      <w:marRight w:val="0"/>
      <w:marTop w:val="0"/>
      <w:marBottom w:val="0"/>
      <w:divBdr>
        <w:top w:val="none" w:sz="0" w:space="0" w:color="auto"/>
        <w:left w:val="none" w:sz="0" w:space="0" w:color="auto"/>
        <w:bottom w:val="none" w:sz="0" w:space="0" w:color="auto"/>
        <w:right w:val="none" w:sz="0" w:space="0" w:color="auto"/>
      </w:divBdr>
    </w:div>
    <w:div w:id="353851856">
      <w:bodyDiv w:val="1"/>
      <w:marLeft w:val="0"/>
      <w:marRight w:val="0"/>
      <w:marTop w:val="0"/>
      <w:marBottom w:val="0"/>
      <w:divBdr>
        <w:top w:val="none" w:sz="0" w:space="0" w:color="auto"/>
        <w:left w:val="none" w:sz="0" w:space="0" w:color="auto"/>
        <w:bottom w:val="none" w:sz="0" w:space="0" w:color="auto"/>
        <w:right w:val="none" w:sz="0" w:space="0" w:color="auto"/>
      </w:divBdr>
    </w:div>
    <w:div w:id="382602904">
      <w:bodyDiv w:val="1"/>
      <w:marLeft w:val="0"/>
      <w:marRight w:val="0"/>
      <w:marTop w:val="0"/>
      <w:marBottom w:val="0"/>
      <w:divBdr>
        <w:top w:val="none" w:sz="0" w:space="0" w:color="auto"/>
        <w:left w:val="none" w:sz="0" w:space="0" w:color="auto"/>
        <w:bottom w:val="none" w:sz="0" w:space="0" w:color="auto"/>
        <w:right w:val="none" w:sz="0" w:space="0" w:color="auto"/>
      </w:divBdr>
    </w:div>
    <w:div w:id="497622484">
      <w:bodyDiv w:val="1"/>
      <w:marLeft w:val="0"/>
      <w:marRight w:val="0"/>
      <w:marTop w:val="0"/>
      <w:marBottom w:val="0"/>
      <w:divBdr>
        <w:top w:val="none" w:sz="0" w:space="0" w:color="auto"/>
        <w:left w:val="none" w:sz="0" w:space="0" w:color="auto"/>
        <w:bottom w:val="none" w:sz="0" w:space="0" w:color="auto"/>
        <w:right w:val="none" w:sz="0" w:space="0" w:color="auto"/>
      </w:divBdr>
    </w:div>
    <w:div w:id="573273155">
      <w:bodyDiv w:val="1"/>
      <w:marLeft w:val="0"/>
      <w:marRight w:val="0"/>
      <w:marTop w:val="0"/>
      <w:marBottom w:val="0"/>
      <w:divBdr>
        <w:top w:val="none" w:sz="0" w:space="0" w:color="auto"/>
        <w:left w:val="none" w:sz="0" w:space="0" w:color="auto"/>
        <w:bottom w:val="none" w:sz="0" w:space="0" w:color="auto"/>
        <w:right w:val="none" w:sz="0" w:space="0" w:color="auto"/>
      </w:divBdr>
    </w:div>
    <w:div w:id="578904928">
      <w:bodyDiv w:val="1"/>
      <w:marLeft w:val="0"/>
      <w:marRight w:val="0"/>
      <w:marTop w:val="0"/>
      <w:marBottom w:val="0"/>
      <w:divBdr>
        <w:top w:val="none" w:sz="0" w:space="0" w:color="auto"/>
        <w:left w:val="none" w:sz="0" w:space="0" w:color="auto"/>
        <w:bottom w:val="none" w:sz="0" w:space="0" w:color="auto"/>
        <w:right w:val="none" w:sz="0" w:space="0" w:color="auto"/>
      </w:divBdr>
    </w:div>
    <w:div w:id="580531895">
      <w:bodyDiv w:val="1"/>
      <w:marLeft w:val="0"/>
      <w:marRight w:val="0"/>
      <w:marTop w:val="0"/>
      <w:marBottom w:val="0"/>
      <w:divBdr>
        <w:top w:val="none" w:sz="0" w:space="0" w:color="auto"/>
        <w:left w:val="none" w:sz="0" w:space="0" w:color="auto"/>
        <w:bottom w:val="none" w:sz="0" w:space="0" w:color="auto"/>
        <w:right w:val="none" w:sz="0" w:space="0" w:color="auto"/>
      </w:divBdr>
    </w:div>
    <w:div w:id="606497855">
      <w:bodyDiv w:val="1"/>
      <w:marLeft w:val="0"/>
      <w:marRight w:val="0"/>
      <w:marTop w:val="0"/>
      <w:marBottom w:val="0"/>
      <w:divBdr>
        <w:top w:val="none" w:sz="0" w:space="0" w:color="auto"/>
        <w:left w:val="none" w:sz="0" w:space="0" w:color="auto"/>
        <w:bottom w:val="none" w:sz="0" w:space="0" w:color="auto"/>
        <w:right w:val="none" w:sz="0" w:space="0" w:color="auto"/>
      </w:divBdr>
    </w:div>
    <w:div w:id="612202251">
      <w:bodyDiv w:val="1"/>
      <w:marLeft w:val="0"/>
      <w:marRight w:val="0"/>
      <w:marTop w:val="0"/>
      <w:marBottom w:val="0"/>
      <w:divBdr>
        <w:top w:val="none" w:sz="0" w:space="0" w:color="auto"/>
        <w:left w:val="none" w:sz="0" w:space="0" w:color="auto"/>
        <w:bottom w:val="none" w:sz="0" w:space="0" w:color="auto"/>
        <w:right w:val="none" w:sz="0" w:space="0" w:color="auto"/>
      </w:divBdr>
    </w:div>
    <w:div w:id="666447947">
      <w:bodyDiv w:val="1"/>
      <w:marLeft w:val="0"/>
      <w:marRight w:val="0"/>
      <w:marTop w:val="0"/>
      <w:marBottom w:val="0"/>
      <w:divBdr>
        <w:top w:val="none" w:sz="0" w:space="0" w:color="auto"/>
        <w:left w:val="none" w:sz="0" w:space="0" w:color="auto"/>
        <w:bottom w:val="none" w:sz="0" w:space="0" w:color="auto"/>
        <w:right w:val="none" w:sz="0" w:space="0" w:color="auto"/>
      </w:divBdr>
    </w:div>
    <w:div w:id="698505010">
      <w:bodyDiv w:val="1"/>
      <w:marLeft w:val="0"/>
      <w:marRight w:val="0"/>
      <w:marTop w:val="0"/>
      <w:marBottom w:val="0"/>
      <w:divBdr>
        <w:top w:val="none" w:sz="0" w:space="0" w:color="auto"/>
        <w:left w:val="none" w:sz="0" w:space="0" w:color="auto"/>
        <w:bottom w:val="none" w:sz="0" w:space="0" w:color="auto"/>
        <w:right w:val="none" w:sz="0" w:space="0" w:color="auto"/>
      </w:divBdr>
    </w:div>
    <w:div w:id="700400079">
      <w:bodyDiv w:val="1"/>
      <w:marLeft w:val="0"/>
      <w:marRight w:val="0"/>
      <w:marTop w:val="0"/>
      <w:marBottom w:val="0"/>
      <w:divBdr>
        <w:top w:val="none" w:sz="0" w:space="0" w:color="auto"/>
        <w:left w:val="none" w:sz="0" w:space="0" w:color="auto"/>
        <w:bottom w:val="none" w:sz="0" w:space="0" w:color="auto"/>
        <w:right w:val="none" w:sz="0" w:space="0" w:color="auto"/>
      </w:divBdr>
    </w:div>
    <w:div w:id="751467608">
      <w:bodyDiv w:val="1"/>
      <w:marLeft w:val="0"/>
      <w:marRight w:val="0"/>
      <w:marTop w:val="0"/>
      <w:marBottom w:val="0"/>
      <w:divBdr>
        <w:top w:val="none" w:sz="0" w:space="0" w:color="auto"/>
        <w:left w:val="none" w:sz="0" w:space="0" w:color="auto"/>
        <w:bottom w:val="none" w:sz="0" w:space="0" w:color="auto"/>
        <w:right w:val="none" w:sz="0" w:space="0" w:color="auto"/>
      </w:divBdr>
    </w:div>
    <w:div w:id="833884476">
      <w:bodyDiv w:val="1"/>
      <w:marLeft w:val="0"/>
      <w:marRight w:val="0"/>
      <w:marTop w:val="0"/>
      <w:marBottom w:val="0"/>
      <w:divBdr>
        <w:top w:val="none" w:sz="0" w:space="0" w:color="auto"/>
        <w:left w:val="none" w:sz="0" w:space="0" w:color="auto"/>
        <w:bottom w:val="none" w:sz="0" w:space="0" w:color="auto"/>
        <w:right w:val="none" w:sz="0" w:space="0" w:color="auto"/>
      </w:divBdr>
    </w:div>
    <w:div w:id="896666032">
      <w:bodyDiv w:val="1"/>
      <w:marLeft w:val="0"/>
      <w:marRight w:val="0"/>
      <w:marTop w:val="0"/>
      <w:marBottom w:val="0"/>
      <w:divBdr>
        <w:top w:val="none" w:sz="0" w:space="0" w:color="auto"/>
        <w:left w:val="none" w:sz="0" w:space="0" w:color="auto"/>
        <w:bottom w:val="none" w:sz="0" w:space="0" w:color="auto"/>
        <w:right w:val="none" w:sz="0" w:space="0" w:color="auto"/>
      </w:divBdr>
    </w:div>
    <w:div w:id="934705035">
      <w:bodyDiv w:val="1"/>
      <w:marLeft w:val="0"/>
      <w:marRight w:val="0"/>
      <w:marTop w:val="0"/>
      <w:marBottom w:val="0"/>
      <w:divBdr>
        <w:top w:val="none" w:sz="0" w:space="0" w:color="auto"/>
        <w:left w:val="none" w:sz="0" w:space="0" w:color="auto"/>
        <w:bottom w:val="none" w:sz="0" w:space="0" w:color="auto"/>
        <w:right w:val="none" w:sz="0" w:space="0" w:color="auto"/>
      </w:divBdr>
    </w:div>
    <w:div w:id="999577563">
      <w:bodyDiv w:val="1"/>
      <w:marLeft w:val="0"/>
      <w:marRight w:val="0"/>
      <w:marTop w:val="0"/>
      <w:marBottom w:val="0"/>
      <w:divBdr>
        <w:top w:val="none" w:sz="0" w:space="0" w:color="auto"/>
        <w:left w:val="none" w:sz="0" w:space="0" w:color="auto"/>
        <w:bottom w:val="none" w:sz="0" w:space="0" w:color="auto"/>
        <w:right w:val="none" w:sz="0" w:space="0" w:color="auto"/>
      </w:divBdr>
    </w:div>
    <w:div w:id="1004361899">
      <w:bodyDiv w:val="1"/>
      <w:marLeft w:val="0"/>
      <w:marRight w:val="0"/>
      <w:marTop w:val="0"/>
      <w:marBottom w:val="0"/>
      <w:divBdr>
        <w:top w:val="none" w:sz="0" w:space="0" w:color="auto"/>
        <w:left w:val="none" w:sz="0" w:space="0" w:color="auto"/>
        <w:bottom w:val="none" w:sz="0" w:space="0" w:color="auto"/>
        <w:right w:val="none" w:sz="0" w:space="0" w:color="auto"/>
      </w:divBdr>
    </w:div>
    <w:div w:id="1072970422">
      <w:bodyDiv w:val="1"/>
      <w:marLeft w:val="0"/>
      <w:marRight w:val="0"/>
      <w:marTop w:val="0"/>
      <w:marBottom w:val="0"/>
      <w:divBdr>
        <w:top w:val="none" w:sz="0" w:space="0" w:color="auto"/>
        <w:left w:val="none" w:sz="0" w:space="0" w:color="auto"/>
        <w:bottom w:val="none" w:sz="0" w:space="0" w:color="auto"/>
        <w:right w:val="none" w:sz="0" w:space="0" w:color="auto"/>
      </w:divBdr>
    </w:div>
    <w:div w:id="1200050234">
      <w:bodyDiv w:val="1"/>
      <w:marLeft w:val="0"/>
      <w:marRight w:val="0"/>
      <w:marTop w:val="0"/>
      <w:marBottom w:val="0"/>
      <w:divBdr>
        <w:top w:val="none" w:sz="0" w:space="0" w:color="auto"/>
        <w:left w:val="none" w:sz="0" w:space="0" w:color="auto"/>
        <w:bottom w:val="none" w:sz="0" w:space="0" w:color="auto"/>
        <w:right w:val="none" w:sz="0" w:space="0" w:color="auto"/>
      </w:divBdr>
    </w:div>
    <w:div w:id="1214385117">
      <w:bodyDiv w:val="1"/>
      <w:marLeft w:val="0"/>
      <w:marRight w:val="0"/>
      <w:marTop w:val="0"/>
      <w:marBottom w:val="0"/>
      <w:divBdr>
        <w:top w:val="none" w:sz="0" w:space="0" w:color="auto"/>
        <w:left w:val="none" w:sz="0" w:space="0" w:color="auto"/>
        <w:bottom w:val="none" w:sz="0" w:space="0" w:color="auto"/>
        <w:right w:val="none" w:sz="0" w:space="0" w:color="auto"/>
      </w:divBdr>
    </w:div>
    <w:div w:id="1216088206">
      <w:bodyDiv w:val="1"/>
      <w:marLeft w:val="0"/>
      <w:marRight w:val="0"/>
      <w:marTop w:val="0"/>
      <w:marBottom w:val="0"/>
      <w:divBdr>
        <w:top w:val="none" w:sz="0" w:space="0" w:color="auto"/>
        <w:left w:val="none" w:sz="0" w:space="0" w:color="auto"/>
        <w:bottom w:val="none" w:sz="0" w:space="0" w:color="auto"/>
        <w:right w:val="none" w:sz="0" w:space="0" w:color="auto"/>
      </w:divBdr>
    </w:div>
    <w:div w:id="1250428735">
      <w:bodyDiv w:val="1"/>
      <w:marLeft w:val="0"/>
      <w:marRight w:val="0"/>
      <w:marTop w:val="0"/>
      <w:marBottom w:val="0"/>
      <w:divBdr>
        <w:top w:val="none" w:sz="0" w:space="0" w:color="auto"/>
        <w:left w:val="none" w:sz="0" w:space="0" w:color="auto"/>
        <w:bottom w:val="none" w:sz="0" w:space="0" w:color="auto"/>
        <w:right w:val="none" w:sz="0" w:space="0" w:color="auto"/>
      </w:divBdr>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
    <w:div w:id="1288050706">
      <w:bodyDiv w:val="1"/>
      <w:marLeft w:val="0"/>
      <w:marRight w:val="0"/>
      <w:marTop w:val="0"/>
      <w:marBottom w:val="0"/>
      <w:divBdr>
        <w:top w:val="none" w:sz="0" w:space="0" w:color="auto"/>
        <w:left w:val="none" w:sz="0" w:space="0" w:color="auto"/>
        <w:bottom w:val="none" w:sz="0" w:space="0" w:color="auto"/>
        <w:right w:val="none" w:sz="0" w:space="0" w:color="auto"/>
      </w:divBdr>
    </w:div>
    <w:div w:id="1301115420">
      <w:bodyDiv w:val="1"/>
      <w:marLeft w:val="0"/>
      <w:marRight w:val="0"/>
      <w:marTop w:val="0"/>
      <w:marBottom w:val="0"/>
      <w:divBdr>
        <w:top w:val="none" w:sz="0" w:space="0" w:color="auto"/>
        <w:left w:val="none" w:sz="0" w:space="0" w:color="auto"/>
        <w:bottom w:val="none" w:sz="0" w:space="0" w:color="auto"/>
        <w:right w:val="none" w:sz="0" w:space="0" w:color="auto"/>
      </w:divBdr>
    </w:div>
    <w:div w:id="1302925367">
      <w:bodyDiv w:val="1"/>
      <w:marLeft w:val="0"/>
      <w:marRight w:val="0"/>
      <w:marTop w:val="0"/>
      <w:marBottom w:val="0"/>
      <w:divBdr>
        <w:top w:val="none" w:sz="0" w:space="0" w:color="auto"/>
        <w:left w:val="none" w:sz="0" w:space="0" w:color="auto"/>
        <w:bottom w:val="none" w:sz="0" w:space="0" w:color="auto"/>
        <w:right w:val="none" w:sz="0" w:space="0" w:color="auto"/>
      </w:divBdr>
    </w:div>
    <w:div w:id="1309357615">
      <w:bodyDiv w:val="1"/>
      <w:marLeft w:val="0"/>
      <w:marRight w:val="0"/>
      <w:marTop w:val="0"/>
      <w:marBottom w:val="0"/>
      <w:divBdr>
        <w:top w:val="none" w:sz="0" w:space="0" w:color="auto"/>
        <w:left w:val="none" w:sz="0" w:space="0" w:color="auto"/>
        <w:bottom w:val="none" w:sz="0" w:space="0" w:color="auto"/>
        <w:right w:val="none" w:sz="0" w:space="0" w:color="auto"/>
      </w:divBdr>
    </w:div>
    <w:div w:id="1320228030">
      <w:bodyDiv w:val="1"/>
      <w:marLeft w:val="0"/>
      <w:marRight w:val="0"/>
      <w:marTop w:val="0"/>
      <w:marBottom w:val="0"/>
      <w:divBdr>
        <w:top w:val="none" w:sz="0" w:space="0" w:color="auto"/>
        <w:left w:val="none" w:sz="0" w:space="0" w:color="auto"/>
        <w:bottom w:val="none" w:sz="0" w:space="0" w:color="auto"/>
        <w:right w:val="none" w:sz="0" w:space="0" w:color="auto"/>
      </w:divBdr>
    </w:div>
    <w:div w:id="1461612394">
      <w:bodyDiv w:val="1"/>
      <w:marLeft w:val="0"/>
      <w:marRight w:val="0"/>
      <w:marTop w:val="0"/>
      <w:marBottom w:val="0"/>
      <w:divBdr>
        <w:top w:val="none" w:sz="0" w:space="0" w:color="auto"/>
        <w:left w:val="none" w:sz="0" w:space="0" w:color="auto"/>
        <w:bottom w:val="none" w:sz="0" w:space="0" w:color="auto"/>
        <w:right w:val="none" w:sz="0" w:space="0" w:color="auto"/>
      </w:divBdr>
    </w:div>
    <w:div w:id="1466311662">
      <w:bodyDiv w:val="1"/>
      <w:marLeft w:val="0"/>
      <w:marRight w:val="0"/>
      <w:marTop w:val="0"/>
      <w:marBottom w:val="0"/>
      <w:divBdr>
        <w:top w:val="none" w:sz="0" w:space="0" w:color="auto"/>
        <w:left w:val="none" w:sz="0" w:space="0" w:color="auto"/>
        <w:bottom w:val="none" w:sz="0" w:space="0" w:color="auto"/>
        <w:right w:val="none" w:sz="0" w:space="0" w:color="auto"/>
      </w:divBdr>
    </w:div>
    <w:div w:id="1525167433">
      <w:bodyDiv w:val="1"/>
      <w:marLeft w:val="0"/>
      <w:marRight w:val="0"/>
      <w:marTop w:val="0"/>
      <w:marBottom w:val="0"/>
      <w:divBdr>
        <w:top w:val="none" w:sz="0" w:space="0" w:color="auto"/>
        <w:left w:val="none" w:sz="0" w:space="0" w:color="auto"/>
        <w:bottom w:val="none" w:sz="0" w:space="0" w:color="auto"/>
        <w:right w:val="none" w:sz="0" w:space="0" w:color="auto"/>
      </w:divBdr>
    </w:div>
    <w:div w:id="1547332483">
      <w:bodyDiv w:val="1"/>
      <w:marLeft w:val="0"/>
      <w:marRight w:val="0"/>
      <w:marTop w:val="0"/>
      <w:marBottom w:val="0"/>
      <w:divBdr>
        <w:top w:val="none" w:sz="0" w:space="0" w:color="auto"/>
        <w:left w:val="none" w:sz="0" w:space="0" w:color="auto"/>
        <w:bottom w:val="none" w:sz="0" w:space="0" w:color="auto"/>
        <w:right w:val="none" w:sz="0" w:space="0" w:color="auto"/>
      </w:divBdr>
    </w:div>
    <w:div w:id="1575432640">
      <w:bodyDiv w:val="1"/>
      <w:marLeft w:val="0"/>
      <w:marRight w:val="0"/>
      <w:marTop w:val="0"/>
      <w:marBottom w:val="0"/>
      <w:divBdr>
        <w:top w:val="none" w:sz="0" w:space="0" w:color="auto"/>
        <w:left w:val="none" w:sz="0" w:space="0" w:color="auto"/>
        <w:bottom w:val="none" w:sz="0" w:space="0" w:color="auto"/>
        <w:right w:val="none" w:sz="0" w:space="0" w:color="auto"/>
      </w:divBdr>
    </w:div>
    <w:div w:id="1588074353">
      <w:bodyDiv w:val="1"/>
      <w:marLeft w:val="0"/>
      <w:marRight w:val="0"/>
      <w:marTop w:val="0"/>
      <w:marBottom w:val="0"/>
      <w:divBdr>
        <w:top w:val="none" w:sz="0" w:space="0" w:color="auto"/>
        <w:left w:val="none" w:sz="0" w:space="0" w:color="auto"/>
        <w:bottom w:val="none" w:sz="0" w:space="0" w:color="auto"/>
        <w:right w:val="none" w:sz="0" w:space="0" w:color="auto"/>
      </w:divBdr>
    </w:div>
    <w:div w:id="1589733230">
      <w:bodyDiv w:val="1"/>
      <w:marLeft w:val="0"/>
      <w:marRight w:val="0"/>
      <w:marTop w:val="0"/>
      <w:marBottom w:val="0"/>
      <w:divBdr>
        <w:top w:val="none" w:sz="0" w:space="0" w:color="auto"/>
        <w:left w:val="none" w:sz="0" w:space="0" w:color="auto"/>
        <w:bottom w:val="none" w:sz="0" w:space="0" w:color="auto"/>
        <w:right w:val="none" w:sz="0" w:space="0" w:color="auto"/>
      </w:divBdr>
    </w:div>
    <w:div w:id="1592007614">
      <w:bodyDiv w:val="1"/>
      <w:marLeft w:val="0"/>
      <w:marRight w:val="0"/>
      <w:marTop w:val="0"/>
      <w:marBottom w:val="0"/>
      <w:divBdr>
        <w:top w:val="none" w:sz="0" w:space="0" w:color="auto"/>
        <w:left w:val="none" w:sz="0" w:space="0" w:color="auto"/>
        <w:bottom w:val="none" w:sz="0" w:space="0" w:color="auto"/>
        <w:right w:val="none" w:sz="0" w:space="0" w:color="auto"/>
      </w:divBdr>
    </w:div>
    <w:div w:id="1700353592">
      <w:bodyDiv w:val="1"/>
      <w:marLeft w:val="0"/>
      <w:marRight w:val="0"/>
      <w:marTop w:val="0"/>
      <w:marBottom w:val="0"/>
      <w:divBdr>
        <w:top w:val="none" w:sz="0" w:space="0" w:color="auto"/>
        <w:left w:val="none" w:sz="0" w:space="0" w:color="auto"/>
        <w:bottom w:val="none" w:sz="0" w:space="0" w:color="auto"/>
        <w:right w:val="none" w:sz="0" w:space="0" w:color="auto"/>
      </w:divBdr>
    </w:div>
    <w:div w:id="1756441194">
      <w:bodyDiv w:val="1"/>
      <w:marLeft w:val="0"/>
      <w:marRight w:val="0"/>
      <w:marTop w:val="0"/>
      <w:marBottom w:val="0"/>
      <w:divBdr>
        <w:top w:val="none" w:sz="0" w:space="0" w:color="auto"/>
        <w:left w:val="none" w:sz="0" w:space="0" w:color="auto"/>
        <w:bottom w:val="none" w:sz="0" w:space="0" w:color="auto"/>
        <w:right w:val="none" w:sz="0" w:space="0" w:color="auto"/>
      </w:divBdr>
    </w:div>
    <w:div w:id="1772971894">
      <w:bodyDiv w:val="1"/>
      <w:marLeft w:val="0"/>
      <w:marRight w:val="0"/>
      <w:marTop w:val="0"/>
      <w:marBottom w:val="0"/>
      <w:divBdr>
        <w:top w:val="none" w:sz="0" w:space="0" w:color="auto"/>
        <w:left w:val="none" w:sz="0" w:space="0" w:color="auto"/>
        <w:bottom w:val="none" w:sz="0" w:space="0" w:color="auto"/>
        <w:right w:val="none" w:sz="0" w:space="0" w:color="auto"/>
      </w:divBdr>
    </w:div>
    <w:div w:id="1908420521">
      <w:bodyDiv w:val="1"/>
      <w:marLeft w:val="0"/>
      <w:marRight w:val="0"/>
      <w:marTop w:val="0"/>
      <w:marBottom w:val="0"/>
      <w:divBdr>
        <w:top w:val="none" w:sz="0" w:space="0" w:color="auto"/>
        <w:left w:val="none" w:sz="0" w:space="0" w:color="auto"/>
        <w:bottom w:val="none" w:sz="0" w:space="0" w:color="auto"/>
        <w:right w:val="none" w:sz="0" w:space="0" w:color="auto"/>
      </w:divBdr>
    </w:div>
    <w:div w:id="1945992909">
      <w:bodyDiv w:val="1"/>
      <w:marLeft w:val="0"/>
      <w:marRight w:val="0"/>
      <w:marTop w:val="0"/>
      <w:marBottom w:val="0"/>
      <w:divBdr>
        <w:top w:val="none" w:sz="0" w:space="0" w:color="auto"/>
        <w:left w:val="none" w:sz="0" w:space="0" w:color="auto"/>
        <w:bottom w:val="none" w:sz="0" w:space="0" w:color="auto"/>
        <w:right w:val="none" w:sz="0" w:space="0" w:color="auto"/>
      </w:divBdr>
    </w:div>
    <w:div w:id="1986858973">
      <w:bodyDiv w:val="1"/>
      <w:marLeft w:val="0"/>
      <w:marRight w:val="0"/>
      <w:marTop w:val="0"/>
      <w:marBottom w:val="0"/>
      <w:divBdr>
        <w:top w:val="none" w:sz="0" w:space="0" w:color="auto"/>
        <w:left w:val="none" w:sz="0" w:space="0" w:color="auto"/>
        <w:bottom w:val="none" w:sz="0" w:space="0" w:color="auto"/>
        <w:right w:val="none" w:sz="0" w:space="0" w:color="auto"/>
      </w:divBdr>
    </w:div>
    <w:div w:id="2003045691">
      <w:bodyDiv w:val="1"/>
      <w:marLeft w:val="0"/>
      <w:marRight w:val="0"/>
      <w:marTop w:val="0"/>
      <w:marBottom w:val="0"/>
      <w:divBdr>
        <w:top w:val="none" w:sz="0" w:space="0" w:color="auto"/>
        <w:left w:val="none" w:sz="0" w:space="0" w:color="auto"/>
        <w:bottom w:val="none" w:sz="0" w:space="0" w:color="auto"/>
        <w:right w:val="none" w:sz="0" w:space="0" w:color="auto"/>
      </w:divBdr>
    </w:div>
    <w:div w:id="2037853430">
      <w:bodyDiv w:val="1"/>
      <w:marLeft w:val="0"/>
      <w:marRight w:val="0"/>
      <w:marTop w:val="0"/>
      <w:marBottom w:val="0"/>
      <w:divBdr>
        <w:top w:val="none" w:sz="0" w:space="0" w:color="auto"/>
        <w:left w:val="none" w:sz="0" w:space="0" w:color="auto"/>
        <w:bottom w:val="none" w:sz="0" w:space="0" w:color="auto"/>
        <w:right w:val="none" w:sz="0" w:space="0" w:color="auto"/>
      </w:divBdr>
    </w:div>
    <w:div w:id="2127309196">
      <w:bodyDiv w:val="1"/>
      <w:marLeft w:val="0"/>
      <w:marRight w:val="0"/>
      <w:marTop w:val="0"/>
      <w:marBottom w:val="0"/>
      <w:divBdr>
        <w:top w:val="none" w:sz="0" w:space="0" w:color="auto"/>
        <w:left w:val="none" w:sz="0" w:space="0" w:color="auto"/>
        <w:bottom w:val="none" w:sz="0" w:space="0" w:color="auto"/>
        <w:right w:val="none" w:sz="0" w:space="0" w:color="auto"/>
      </w:divBdr>
    </w:div>
    <w:div w:id="21341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documenttasks/documenttasks1.xml><?xml version="1.0" encoding="utf-8"?>
<t:Tasks xmlns:t="http://schemas.microsoft.com/office/tasks/2019/documenttasks" xmlns:oel="http://schemas.microsoft.com/office/2019/extlst">
  <t:Task id="{5391BAE8-E90B-4061-9DFB-0914D8644B16}">
    <t:Anchor>
      <t:Comment id="1122304888"/>
    </t:Anchor>
    <t:History>
      <t:Event id="{FABE28CE-66F9-4E24-B4D4-318F28CB8B6A}" time="2023-11-09T10:17:39.075Z">
        <t:Attribution userId="S::jgarcilo@comptos.org::a3610a7e-53b1-4569-8a6b-0fe398ecfa63" userProvider="AD" userName="Garcia Logroño, Jose Javier (Cámara de Comptos)"/>
        <t:Anchor>
          <t:Comment id="1280493374"/>
        </t:Anchor>
        <t:Create/>
      </t:Event>
      <t:Event id="{8B00EC07-1160-48B3-9A8C-0B2551170471}" time="2023-11-09T10:17:39.075Z">
        <t:Attribution userId="S::jgarcilo@comptos.org::a3610a7e-53b1-4569-8a6b-0fe398ecfa63" userProvider="AD" userName="Garcia Logroño, Jose Javier (Cámara de Comptos)"/>
        <t:Anchor>
          <t:Comment id="1280493374"/>
        </t:Anchor>
        <t:Assign userId="S::metxartz@comptos.org::13fdbe6d-1317-4349-9d59-71c82ba9e442" userProvider="AD" userName="Etxarte Zambrano, Maite (Camara de Comptos)"/>
      </t:Event>
      <t:Event id="{25F81FF9-36F7-4A73-8662-FEE25AE3FD11}" time="2023-11-09T10:17:39.075Z">
        <t:Attribution userId="S::jgarcilo@comptos.org::a3610a7e-53b1-4569-8a6b-0fe398ecfa63" userProvider="AD" userName="Garcia Logroño, Jose Javier (Cámara de Comptos)"/>
        <t:Anchor>
          <t:Comment id="1280493374"/>
        </t:Anchor>
        <t:SetTitle title="@Etxarte Zambrano, Maite (Camara de Comptos) : Comprobemos que no hay ninguna entidad local justo en el límite..."/>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BEE59848147E042AED90B1213C9601A" ma:contentTypeVersion="4" ma:contentTypeDescription="Crear nuevo documento." ma:contentTypeScope="" ma:versionID="660cc47536fe54265764b3498eadc4ee">
  <xsd:schema xmlns:xsd="http://www.w3.org/2001/XMLSchema" xmlns:xs="http://www.w3.org/2001/XMLSchema" xmlns:p="http://schemas.microsoft.com/office/2006/metadata/properties" xmlns:ns2="1bb2d6c8-44f6-4b72-9c6c-6f0940020fb1" targetNamespace="http://schemas.microsoft.com/office/2006/metadata/properties" ma:root="true" ma:fieldsID="a3587469a79f0fc80d074887c40f7447" ns2:_="">
    <xsd:import namespace="1bb2d6c8-44f6-4b72-9c6c-6f0940020f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2d6c8-44f6-4b72-9c6c-6f0940020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BF00B-CFB4-47F1-B2EB-E5CFBA1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2d6c8-44f6-4b72-9c6c-6f0940020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C8C1A-EA90-462E-B3AD-9B98CF6A18DE}">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1bb2d6c8-44f6-4b72-9c6c-6f0940020fb1"/>
    <ds:schemaRef ds:uri="http://www.w3.org/XML/1998/namespace"/>
  </ds:schemaRefs>
</ds:datastoreItem>
</file>

<file path=customXml/itemProps3.xml><?xml version="1.0" encoding="utf-8"?>
<ds:datastoreItem xmlns:ds="http://schemas.openxmlformats.org/officeDocument/2006/customXml" ds:itemID="{0813A92F-905F-42AA-933E-2FC042F859DB}">
  <ds:schemaRefs>
    <ds:schemaRef ds:uri="http://schemas.microsoft.com/sharepoint/v3/contenttype/forms"/>
  </ds:schemaRefs>
</ds:datastoreItem>
</file>

<file path=customXml/itemProps4.xml><?xml version="1.0" encoding="utf-8"?>
<ds:datastoreItem xmlns:ds="http://schemas.openxmlformats.org/officeDocument/2006/customXml" ds:itemID="{897CEAE0-AFC4-4463-A1CD-2E5530C3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3</TotalTime>
  <Pages>47</Pages>
  <Words>13993</Words>
  <Characters>76539</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90352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d156363</dc:creator>
  <cp:keywords/>
  <dc:description/>
  <cp:lastModifiedBy>Mauleón, Fernando</cp:lastModifiedBy>
  <cp:revision>4</cp:revision>
  <cp:lastPrinted>2024-12-04T09:44:00Z</cp:lastPrinted>
  <dcterms:created xsi:type="dcterms:W3CDTF">2024-12-04T12:44:00Z</dcterms:created>
  <dcterms:modified xsi:type="dcterms:W3CDTF">2025-01-07T12:30:00Z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0x0101004BEE59848147E042AED90B1213C9601A</vt:lpwstr>
  </property>
</Properties>
</file>