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B65F3" w14:textId="77777777" w:rsidR="00B13AB2" w:rsidRDefault="00B13AB2">
      <w:pPr>
        <w:rPr>
          <w:rFonts w:asciiTheme="minorHAnsi" w:hAnsiTheme="minorHAnsi" w:cstheme="minorHAnsi"/>
        </w:rPr>
      </w:pPr>
      <w:r w:rsidRPr="00B13AB2">
        <w:rPr>
          <w:rFonts w:asciiTheme="minorHAnsi" w:hAnsiTheme="minorHAnsi" w:cstheme="minorHAnsi"/>
        </w:rPr>
        <w:t xml:space="preserve">Decreto Foral Legislativo </w:t>
      </w:r>
      <w:r w:rsidR="007E01B2" w:rsidRPr="00B13AB2">
        <w:rPr>
          <w:rFonts w:asciiTheme="minorHAnsi" w:hAnsiTheme="minorHAnsi" w:cstheme="minorHAnsi"/>
        </w:rPr>
        <w:t>2</w:t>
      </w:r>
      <w:r w:rsidR="00D01806" w:rsidRPr="00B13AB2">
        <w:rPr>
          <w:rFonts w:asciiTheme="minorHAnsi" w:hAnsiTheme="minorHAnsi" w:cstheme="minorHAnsi"/>
        </w:rPr>
        <w:t>/2024, de 24 de julio de 2024, de armonización tributaria, por el que se prorrogan determinadas medidas en relación con el Impuesto sobre el Valor Añadido.</w:t>
      </w:r>
    </w:p>
    <w:p w14:paraId="186577E9" w14:textId="77777777" w:rsidR="00B13AB2" w:rsidRDefault="00D01806">
      <w:pPr>
        <w:rPr>
          <w:rFonts w:asciiTheme="minorHAnsi" w:hAnsiTheme="minorHAnsi" w:cstheme="minorHAnsi"/>
        </w:rPr>
      </w:pPr>
      <w:r w:rsidRPr="00B13AB2">
        <w:rPr>
          <w:rFonts w:asciiTheme="minorHAnsi" w:hAnsiTheme="minorHAnsi" w:cstheme="minorHAnsi"/>
        </w:rPr>
        <w:t>El título I del Convenio Económico entre el Estado y la Comunidad Foral de Navarra está dedicado a regular los criterios de armonización del régimen tributario de Navarra con el régimen tributario general del Estado.</w:t>
      </w:r>
    </w:p>
    <w:p w14:paraId="67CA1B40" w14:textId="77777777" w:rsidR="00B13AB2" w:rsidRDefault="00D01806">
      <w:pPr>
        <w:rPr>
          <w:rFonts w:asciiTheme="minorHAnsi" w:hAnsiTheme="minorHAnsi" w:cstheme="minorHAnsi"/>
        </w:rPr>
      </w:pPr>
      <w:r w:rsidRPr="00B13AB2">
        <w:rPr>
          <w:rFonts w:asciiTheme="minorHAnsi" w:hAnsiTheme="minorHAnsi" w:cstheme="minorHAnsi"/>
        </w:rPr>
        <w:t>En ese marco, el artículo 32 del Convenio Económico dispone que en la exacción del Impuesto sobre el Valor Añadido (en adelante, IVA), Navarra aplicará los mismos principios básicos, normas sustantivas y formales vigentes en cada momento en territorio del Estado.</w:t>
      </w:r>
    </w:p>
    <w:p w14:paraId="205C1B5D" w14:textId="77777777" w:rsidR="00B13AB2" w:rsidRDefault="00D01806">
      <w:pPr>
        <w:rPr>
          <w:rFonts w:asciiTheme="minorHAnsi" w:hAnsiTheme="minorHAnsi" w:cstheme="minorHAnsi"/>
        </w:rPr>
      </w:pPr>
      <w:r w:rsidRPr="00B13AB2">
        <w:rPr>
          <w:rFonts w:asciiTheme="minorHAnsi" w:hAnsiTheme="minorHAnsi" w:cstheme="minorHAnsi"/>
        </w:rPr>
        <w:t>Ello obliga a que Navarra deba modificar su régimen tributario cuando exista una reforma del régimen tributario común que afecte a normas sustantivas y formales de este impuesto. Con dicha finalidad, el artículo 53.1 de la Ley Foral 14/2004, de 3 de diciembre, del Gobierno de Navarra y de su Presidenta o Presidente, prevé que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w:t>
      </w:r>
    </w:p>
    <w:p w14:paraId="79C271A2" w14:textId="77777777" w:rsidR="00B13AB2" w:rsidRDefault="00D01806">
      <w:pPr>
        <w:rPr>
          <w:rFonts w:asciiTheme="minorHAnsi" w:hAnsiTheme="minorHAnsi" w:cstheme="minorHAnsi"/>
        </w:rPr>
      </w:pPr>
      <w:r w:rsidRPr="00B13AB2">
        <w:rPr>
          <w:rFonts w:asciiTheme="minorHAnsi" w:hAnsiTheme="minorHAnsi" w:cstheme="minorHAnsi"/>
        </w:rPr>
        <w:t>En el ámbito estatal, con objeto de favorecer una evolución positiva de la inflación de los alimentos en los próximos meses, así como la eliminación paulatina de las medidas adoptadas en ese sentido, el Real Decreto-ley 4/2024, de 27 de junio, por el que se prorrogan determinadas medidas para afrontar las consecuencias económicas y sociales derivadas de los conflictos en Ucrania y Oriente Próximo y se adoptan medidas urgentes en materia fiscal, energética y social, incluye una prórroga temporal hasta el 31 de diciembre de 2024 de la aplicación de tipos impositivos reducidos del IVA a determinadas entregas de alimentos.</w:t>
      </w:r>
    </w:p>
    <w:p w14:paraId="7341B12D" w14:textId="77777777" w:rsidR="00B13AB2" w:rsidRDefault="00D01806">
      <w:pPr>
        <w:rPr>
          <w:rFonts w:asciiTheme="minorHAnsi" w:hAnsiTheme="minorHAnsi" w:cstheme="minorHAnsi"/>
        </w:rPr>
      </w:pPr>
      <w:r w:rsidRPr="00B13AB2">
        <w:rPr>
          <w:rFonts w:asciiTheme="minorHAnsi" w:hAnsiTheme="minorHAnsi" w:cstheme="minorHAnsi"/>
        </w:rPr>
        <w:t>Concretamente, se mantiene la rebaja del IVA en los tipos del 5 por ciento para pastas alimenticias y aceites de semilla y del 0 por ciento para alimentos de primera necesidad has</w:t>
      </w:r>
      <w:r w:rsidR="007E01B2" w:rsidRPr="00B13AB2">
        <w:rPr>
          <w:rFonts w:asciiTheme="minorHAnsi" w:hAnsiTheme="minorHAnsi" w:cstheme="minorHAnsi"/>
        </w:rPr>
        <w:t>ta el 30 de septiembre de 2024.</w:t>
      </w:r>
      <w:r w:rsidRPr="00B13AB2">
        <w:rPr>
          <w:rFonts w:asciiTheme="minorHAnsi" w:hAnsiTheme="minorHAnsi" w:cstheme="minorHAnsi"/>
        </w:rPr>
        <w:t xml:space="preserve"> Respecto a los aceites de oliva, alimento básico y esencial de una dieta saludable, se reduce desde el 5 por ciento precedente al 0 por ciento hasta el 30 de septiembre de 2024. A partir de dicha fecha, para la que ya se estima una reducción significativa de la inflación, se incrementarán los tipos impositivos al 7,5 y 2 por ciento, respectivamente, hasta el 31 de diciembre, momento en el que la reducción de precios va a permitir la </w:t>
      </w:r>
      <w:r w:rsidRPr="00B13AB2">
        <w:rPr>
          <w:rFonts w:asciiTheme="minorHAnsi" w:hAnsiTheme="minorHAnsi" w:cstheme="minorHAnsi"/>
        </w:rPr>
        <w:lastRenderedPageBreak/>
        <w:t>supresión de esta medida excepcional y transitoria sin afectar al poder adquisitivo de las familias.</w:t>
      </w:r>
    </w:p>
    <w:p w14:paraId="6BB79E12" w14:textId="77777777" w:rsidR="00B13AB2" w:rsidRDefault="00D01806">
      <w:pPr>
        <w:rPr>
          <w:rFonts w:asciiTheme="minorHAnsi" w:hAnsiTheme="minorHAnsi" w:cstheme="minorHAnsi"/>
        </w:rPr>
      </w:pPr>
      <w:r w:rsidRPr="00B13AB2">
        <w:rPr>
          <w:rFonts w:asciiTheme="minorHAnsi" w:hAnsiTheme="minorHAnsi" w:cstheme="minorHAnsi"/>
        </w:rPr>
        <w:t>Además, el tipo impositivo aplicable a las entregas de aceite de oliva se consolida como alimento de primera necesidad en el tipo súper reducido del 4 por ciento a partir del 1 de enero de 2025, lo que exige una modificación de la Ley 37/1992, de 28 de diciembre, del Impuesto sobre el Valor Añadido, con carácter indefinido a estos efectos, y, en consecuencia, de la Ley Foral 19/1992.</w:t>
      </w:r>
    </w:p>
    <w:p w14:paraId="45514E6E" w14:textId="77777777" w:rsidR="00B13AB2" w:rsidRDefault="00D01806">
      <w:pPr>
        <w:rPr>
          <w:rFonts w:asciiTheme="minorHAnsi" w:hAnsiTheme="minorHAnsi" w:cstheme="minorHAnsi"/>
        </w:rPr>
      </w:pPr>
      <w:r w:rsidRPr="00B13AB2">
        <w:rPr>
          <w:rFonts w:asciiTheme="minorHAnsi" w:hAnsiTheme="minorHAnsi" w:cstheme="minorHAnsi"/>
        </w:rPr>
        <w:t>Por otra parte, se mantienen los tipos del recargo de equivalencia aplicable a estos productos en el 0,6 y el 0 por ciento en relación con la aplicación de los tipos de IVA del 5 y 0 por ciento, que se incrementan al 1 y al 0,26 por ciento, cuando los referidos alimentos pasen a tributar a los tipos impositivos del 7,5 y 2 por ciento, respectivamente.</w:t>
      </w:r>
    </w:p>
    <w:p w14:paraId="724E46A1" w14:textId="77777777" w:rsidR="00B13AB2" w:rsidRDefault="00D01806">
      <w:pPr>
        <w:rPr>
          <w:rFonts w:asciiTheme="minorHAnsi" w:hAnsiTheme="minorHAnsi" w:cstheme="minorHAnsi"/>
        </w:rPr>
      </w:pPr>
      <w:r w:rsidRPr="00B13AB2">
        <w:rPr>
          <w:rFonts w:asciiTheme="minorHAnsi" w:hAnsiTheme="minorHAnsi" w:cstheme="minorHAnsi"/>
        </w:rPr>
        <w:t>Por todo lo anterior, es preciso dictar este decreto foral legislativo de armonización tributaria con el fin de que, en lo relativo al IVA, se apliquen en la Comunidad Foral idénticas normas sustantivas y formales que las vigentes en el Estado.</w:t>
      </w:r>
    </w:p>
    <w:p w14:paraId="3A8A5073" w14:textId="77777777" w:rsidR="00B13AB2" w:rsidRDefault="00D01806">
      <w:pPr>
        <w:rPr>
          <w:rFonts w:asciiTheme="minorHAnsi" w:hAnsiTheme="minorHAnsi" w:cstheme="minorHAnsi"/>
        </w:rPr>
      </w:pPr>
      <w:r w:rsidRPr="00B13AB2">
        <w:rPr>
          <w:rFonts w:asciiTheme="minorHAnsi" w:hAnsiTheme="minorHAnsi" w:cstheme="minorHAnsi"/>
        </w:rPr>
        <w:t xml:space="preserve">En consecuencia, el Gobierno de Navarra, a propuesta del Consejero de Economía y Hacienda, y de conformidad con la decisión adoptada por el Gobierno de Navarra en sesión celebrada el día </w:t>
      </w:r>
      <w:r w:rsidR="007E01B2" w:rsidRPr="00B13AB2">
        <w:rPr>
          <w:rFonts w:asciiTheme="minorHAnsi" w:hAnsiTheme="minorHAnsi" w:cstheme="minorHAnsi"/>
        </w:rPr>
        <w:t>veinticuatro</w:t>
      </w:r>
      <w:r w:rsidRPr="00B13AB2">
        <w:rPr>
          <w:rFonts w:asciiTheme="minorHAnsi" w:hAnsiTheme="minorHAnsi" w:cstheme="minorHAnsi"/>
        </w:rPr>
        <w:t xml:space="preserve"> de </w:t>
      </w:r>
      <w:r w:rsidR="007E01B2" w:rsidRPr="00B13AB2">
        <w:rPr>
          <w:rFonts w:asciiTheme="minorHAnsi" w:hAnsiTheme="minorHAnsi" w:cstheme="minorHAnsi"/>
        </w:rPr>
        <w:t>julio</w:t>
      </w:r>
      <w:r w:rsidRPr="00B13AB2">
        <w:rPr>
          <w:rFonts w:asciiTheme="minorHAnsi" w:hAnsiTheme="minorHAnsi" w:cstheme="minorHAnsi"/>
        </w:rPr>
        <w:t xml:space="preserve"> de dos mil veinticuatro,</w:t>
      </w:r>
    </w:p>
    <w:p w14:paraId="2E606103" w14:textId="77777777" w:rsidR="00B13AB2" w:rsidRDefault="00D01806">
      <w:pPr>
        <w:rPr>
          <w:rFonts w:asciiTheme="minorHAnsi" w:hAnsiTheme="minorHAnsi" w:cstheme="minorHAnsi"/>
        </w:rPr>
      </w:pPr>
      <w:r w:rsidRPr="00B13AB2">
        <w:rPr>
          <w:rFonts w:asciiTheme="minorHAnsi" w:hAnsiTheme="minorHAnsi" w:cstheme="minorHAnsi"/>
        </w:rPr>
        <w:t>DECRETO:</w:t>
      </w:r>
    </w:p>
    <w:p w14:paraId="58EF5D1F" w14:textId="77777777" w:rsidR="00B13AB2" w:rsidRDefault="00D01806">
      <w:pPr>
        <w:rPr>
          <w:rFonts w:asciiTheme="minorHAnsi" w:hAnsiTheme="minorHAnsi" w:cstheme="minorHAnsi"/>
        </w:rPr>
      </w:pPr>
      <w:r w:rsidRPr="00B13AB2">
        <w:rPr>
          <w:rFonts w:asciiTheme="minorHAnsi" w:hAnsiTheme="minorHAnsi" w:cstheme="minorHAnsi"/>
        </w:rPr>
        <w:t>Artículo primero. Tipo impositivo aplicable temporalmente del Impuesto sobre el Valor Añadido a determinadas entregas, importaciones y adquisiciones intracomunitarias de alimentos, así como a efectos del recargo de equivalencia.</w:t>
      </w:r>
    </w:p>
    <w:p w14:paraId="59EA878F" w14:textId="42768C40" w:rsidR="002336EE" w:rsidRPr="00B13AB2" w:rsidRDefault="007E01B2">
      <w:pPr>
        <w:rPr>
          <w:rFonts w:asciiTheme="minorHAnsi" w:hAnsiTheme="minorHAnsi" w:cstheme="minorHAnsi"/>
        </w:rPr>
      </w:pPr>
      <w:r w:rsidRPr="00B13AB2">
        <w:rPr>
          <w:rFonts w:asciiTheme="minorHAnsi" w:hAnsiTheme="minorHAnsi" w:cstheme="minorHAnsi"/>
        </w:rPr>
        <w:t xml:space="preserve">Uno. </w:t>
      </w:r>
      <w:r w:rsidR="00D01806" w:rsidRPr="00B13AB2">
        <w:rPr>
          <w:rFonts w:asciiTheme="minorHAnsi" w:hAnsiTheme="minorHAnsi" w:cstheme="minorHAnsi"/>
        </w:rPr>
        <w:t>Con efectos desde el 1 de julio de 2024 y vigencia hasta el 30 de septiembre de 2024:</w:t>
      </w:r>
    </w:p>
    <w:p w14:paraId="7BA79388" w14:textId="49A1DF43" w:rsidR="00B13AB2" w:rsidRDefault="007E01B2">
      <w:pPr>
        <w:rPr>
          <w:rFonts w:asciiTheme="minorHAnsi" w:hAnsiTheme="minorHAnsi" w:cstheme="minorHAnsi"/>
        </w:rPr>
      </w:pPr>
      <w:r w:rsidRPr="00B13AB2">
        <w:rPr>
          <w:rFonts w:asciiTheme="minorHAnsi" w:hAnsiTheme="minorHAnsi" w:cstheme="minorHAnsi"/>
        </w:rPr>
        <w:t>1.</w:t>
      </w:r>
      <w:r w:rsidR="00D01806" w:rsidRPr="00B13AB2">
        <w:rPr>
          <w:rFonts w:asciiTheme="minorHAnsi" w:hAnsiTheme="minorHAnsi" w:cstheme="minorHAnsi"/>
        </w:rPr>
        <w:t xml:space="preserve"> Se aplicará el tipo del 5 por ciento del Impuesto sobre el Valor Añadido a las entregas, importaciones y adquisiciones intracomunitarias de los siguientes productos:</w:t>
      </w:r>
    </w:p>
    <w:p w14:paraId="093C2FEA" w14:textId="71D46159" w:rsidR="002336EE" w:rsidRPr="00B13AB2" w:rsidRDefault="007E01B2">
      <w:pPr>
        <w:rPr>
          <w:rFonts w:asciiTheme="minorHAnsi" w:hAnsiTheme="minorHAnsi" w:cstheme="minorHAnsi"/>
        </w:rPr>
      </w:pPr>
      <w:r w:rsidRPr="00B13AB2">
        <w:rPr>
          <w:rFonts w:asciiTheme="minorHAnsi" w:hAnsiTheme="minorHAnsi" w:cstheme="minorHAnsi"/>
        </w:rPr>
        <w:t xml:space="preserve">a) </w:t>
      </w:r>
      <w:r w:rsidR="00D01806" w:rsidRPr="00B13AB2">
        <w:rPr>
          <w:rFonts w:asciiTheme="minorHAnsi" w:hAnsiTheme="minorHAnsi" w:cstheme="minorHAnsi"/>
        </w:rPr>
        <w:t>Los aceites de semillas.</w:t>
      </w:r>
    </w:p>
    <w:p w14:paraId="648D6862" w14:textId="77777777" w:rsidR="00B13AB2" w:rsidRDefault="007E01B2">
      <w:pPr>
        <w:rPr>
          <w:rFonts w:asciiTheme="minorHAnsi" w:hAnsiTheme="minorHAnsi" w:cstheme="minorHAnsi"/>
        </w:rPr>
      </w:pPr>
      <w:r w:rsidRPr="00B13AB2">
        <w:rPr>
          <w:rFonts w:asciiTheme="minorHAnsi" w:hAnsiTheme="minorHAnsi" w:cstheme="minorHAnsi"/>
        </w:rPr>
        <w:t>b) Las</w:t>
      </w:r>
      <w:r w:rsidR="00D01806" w:rsidRPr="00B13AB2">
        <w:rPr>
          <w:rFonts w:asciiTheme="minorHAnsi" w:hAnsiTheme="minorHAnsi" w:cstheme="minorHAnsi"/>
        </w:rPr>
        <w:t xml:space="preserve"> pastas alimenticias.</w:t>
      </w:r>
    </w:p>
    <w:p w14:paraId="7FB29AA3" w14:textId="77777777" w:rsidR="00B13AB2" w:rsidRDefault="00D01806">
      <w:pPr>
        <w:rPr>
          <w:rFonts w:asciiTheme="minorHAnsi" w:hAnsiTheme="minorHAnsi" w:cstheme="minorHAnsi"/>
        </w:rPr>
      </w:pPr>
      <w:r w:rsidRPr="00B13AB2">
        <w:rPr>
          <w:rFonts w:asciiTheme="minorHAnsi" w:hAnsiTheme="minorHAnsi" w:cstheme="minorHAnsi"/>
        </w:rPr>
        <w:t>El tipo del recargo de equivalencia aplicable a estas operaciones será del 0,62 por ciento.</w:t>
      </w:r>
    </w:p>
    <w:p w14:paraId="0843DAE7" w14:textId="61FEF3C4" w:rsidR="00B13AB2" w:rsidRDefault="007E01B2">
      <w:pPr>
        <w:rPr>
          <w:rFonts w:asciiTheme="minorHAnsi" w:hAnsiTheme="minorHAnsi" w:cstheme="minorHAnsi"/>
        </w:rPr>
      </w:pPr>
      <w:r w:rsidRPr="00B13AB2">
        <w:rPr>
          <w:rFonts w:asciiTheme="minorHAnsi" w:hAnsiTheme="minorHAnsi" w:cstheme="minorHAnsi"/>
        </w:rPr>
        <w:t xml:space="preserve">2. </w:t>
      </w:r>
      <w:r w:rsidR="00D01806" w:rsidRPr="00B13AB2">
        <w:rPr>
          <w:rFonts w:asciiTheme="minorHAnsi" w:hAnsiTheme="minorHAnsi" w:cstheme="minorHAnsi"/>
        </w:rPr>
        <w:t>Se aplicará el tipo del 0 por ciento del Impuesto sobre el Valor Añadido a las entregas, importaciones y adquisiciones intracomunitarias de los siguientes productos:</w:t>
      </w:r>
    </w:p>
    <w:p w14:paraId="2E7F4276" w14:textId="01E34E6A" w:rsidR="002336EE" w:rsidRPr="00B13AB2" w:rsidRDefault="007E01B2">
      <w:pPr>
        <w:rPr>
          <w:rFonts w:asciiTheme="minorHAnsi" w:hAnsiTheme="minorHAnsi" w:cstheme="minorHAnsi"/>
        </w:rPr>
      </w:pPr>
      <w:r w:rsidRPr="00B13AB2">
        <w:rPr>
          <w:rFonts w:asciiTheme="minorHAnsi" w:hAnsiTheme="minorHAnsi" w:cstheme="minorHAnsi"/>
        </w:rPr>
        <w:t xml:space="preserve">a) </w:t>
      </w:r>
      <w:r w:rsidR="00D01806" w:rsidRPr="00B13AB2">
        <w:rPr>
          <w:rFonts w:asciiTheme="minorHAnsi" w:hAnsiTheme="minorHAnsi" w:cstheme="minorHAnsi"/>
        </w:rPr>
        <w:t>El pan común, así como la masa de pan común congelada y el pan común congelado destinados exclusivamente a la elaboración del pan común.</w:t>
      </w:r>
    </w:p>
    <w:p w14:paraId="632578D0" w14:textId="06747190" w:rsidR="002336EE" w:rsidRPr="00B13AB2" w:rsidRDefault="007E01B2">
      <w:pPr>
        <w:rPr>
          <w:rFonts w:asciiTheme="minorHAnsi" w:hAnsiTheme="minorHAnsi" w:cstheme="minorHAnsi"/>
        </w:rPr>
      </w:pPr>
      <w:r w:rsidRPr="00B13AB2">
        <w:rPr>
          <w:rFonts w:asciiTheme="minorHAnsi" w:hAnsiTheme="minorHAnsi" w:cstheme="minorHAnsi"/>
        </w:rPr>
        <w:lastRenderedPageBreak/>
        <w:t xml:space="preserve">b) </w:t>
      </w:r>
      <w:r w:rsidR="00D01806" w:rsidRPr="00B13AB2">
        <w:rPr>
          <w:rFonts w:asciiTheme="minorHAnsi" w:hAnsiTheme="minorHAnsi" w:cstheme="minorHAnsi"/>
        </w:rPr>
        <w:t>Las harinas panificables.</w:t>
      </w:r>
    </w:p>
    <w:p w14:paraId="2F98BC80" w14:textId="5802789B" w:rsidR="002336EE" w:rsidRPr="00B13AB2" w:rsidRDefault="007E01B2">
      <w:pPr>
        <w:rPr>
          <w:rFonts w:asciiTheme="minorHAnsi" w:hAnsiTheme="minorHAnsi" w:cstheme="minorHAnsi"/>
        </w:rPr>
      </w:pPr>
      <w:r w:rsidRPr="00B13AB2">
        <w:rPr>
          <w:rFonts w:asciiTheme="minorHAnsi" w:hAnsiTheme="minorHAnsi" w:cstheme="minorHAnsi"/>
        </w:rPr>
        <w:t xml:space="preserve">c) </w:t>
      </w:r>
      <w:r w:rsidR="00D01806" w:rsidRPr="00B13AB2">
        <w:rPr>
          <w:rFonts w:asciiTheme="minorHAnsi" w:hAnsiTheme="minorHAnsi" w:cstheme="minorHAnsi"/>
        </w:rPr>
        <w:t>Los siguientes tipos de leche producida por cualquier especie animal: natural, certificada, pasterizada, concentrada, desnatada, esterilizada, UHT, evaporada y en polvo.</w:t>
      </w:r>
    </w:p>
    <w:p w14:paraId="1184346C" w14:textId="27142D23" w:rsidR="002336EE" w:rsidRPr="00B13AB2" w:rsidRDefault="007E01B2">
      <w:pPr>
        <w:rPr>
          <w:rFonts w:asciiTheme="minorHAnsi" w:hAnsiTheme="minorHAnsi" w:cstheme="minorHAnsi"/>
        </w:rPr>
      </w:pPr>
      <w:r w:rsidRPr="00B13AB2">
        <w:rPr>
          <w:rFonts w:asciiTheme="minorHAnsi" w:hAnsiTheme="minorHAnsi" w:cstheme="minorHAnsi"/>
        </w:rPr>
        <w:t xml:space="preserve">d) </w:t>
      </w:r>
      <w:r w:rsidR="00D01806" w:rsidRPr="00B13AB2">
        <w:rPr>
          <w:rFonts w:asciiTheme="minorHAnsi" w:hAnsiTheme="minorHAnsi" w:cstheme="minorHAnsi"/>
        </w:rPr>
        <w:t>Los quesos.</w:t>
      </w:r>
    </w:p>
    <w:p w14:paraId="17DBD65F" w14:textId="2D0DE317" w:rsidR="002336EE" w:rsidRPr="00B13AB2" w:rsidRDefault="007E01B2">
      <w:pPr>
        <w:rPr>
          <w:rFonts w:asciiTheme="minorHAnsi" w:hAnsiTheme="minorHAnsi" w:cstheme="minorHAnsi"/>
        </w:rPr>
      </w:pPr>
      <w:r w:rsidRPr="00B13AB2">
        <w:rPr>
          <w:rFonts w:asciiTheme="minorHAnsi" w:hAnsiTheme="minorHAnsi" w:cstheme="minorHAnsi"/>
        </w:rPr>
        <w:t xml:space="preserve">e) </w:t>
      </w:r>
      <w:r w:rsidR="00D01806" w:rsidRPr="00B13AB2">
        <w:rPr>
          <w:rFonts w:asciiTheme="minorHAnsi" w:hAnsiTheme="minorHAnsi" w:cstheme="minorHAnsi"/>
        </w:rPr>
        <w:t>Los huevos.</w:t>
      </w:r>
    </w:p>
    <w:p w14:paraId="67BBCAC2" w14:textId="24226214" w:rsidR="002336EE" w:rsidRPr="00B13AB2" w:rsidRDefault="007E01B2">
      <w:pPr>
        <w:rPr>
          <w:rFonts w:asciiTheme="minorHAnsi" w:hAnsiTheme="minorHAnsi" w:cstheme="minorHAnsi"/>
        </w:rPr>
      </w:pPr>
      <w:r w:rsidRPr="00B13AB2">
        <w:rPr>
          <w:rFonts w:asciiTheme="minorHAnsi" w:hAnsiTheme="minorHAnsi" w:cstheme="minorHAnsi"/>
        </w:rPr>
        <w:t xml:space="preserve">f) </w:t>
      </w:r>
      <w:r w:rsidR="00D01806" w:rsidRPr="00B13AB2">
        <w:rPr>
          <w:rFonts w:asciiTheme="minorHAnsi" w:hAnsiTheme="minorHAnsi" w:cstheme="minorHAnsi"/>
        </w:rPr>
        <w:t>Las frutas, verduras, hortalizas, legumbres, tubérculos y cereales, que tengan la condición de productos naturales de acuerdo con el Código Alimentario y las disposiciones dictadas para su desarrollo.</w:t>
      </w:r>
    </w:p>
    <w:p w14:paraId="3EAFA9A8" w14:textId="77777777" w:rsidR="00B13AB2" w:rsidRDefault="007E01B2">
      <w:pPr>
        <w:rPr>
          <w:rFonts w:asciiTheme="minorHAnsi" w:hAnsiTheme="minorHAnsi" w:cstheme="minorHAnsi"/>
        </w:rPr>
      </w:pPr>
      <w:r w:rsidRPr="00B13AB2">
        <w:rPr>
          <w:rFonts w:asciiTheme="minorHAnsi" w:hAnsiTheme="minorHAnsi" w:cstheme="minorHAnsi"/>
        </w:rPr>
        <w:t xml:space="preserve">g) </w:t>
      </w:r>
      <w:r w:rsidR="00D01806" w:rsidRPr="00B13AB2">
        <w:rPr>
          <w:rFonts w:asciiTheme="minorHAnsi" w:hAnsiTheme="minorHAnsi" w:cstheme="minorHAnsi"/>
        </w:rPr>
        <w:t>Los aceites de oliva.</w:t>
      </w:r>
    </w:p>
    <w:p w14:paraId="1AA31673" w14:textId="77777777" w:rsidR="00B13AB2" w:rsidRDefault="00D01806">
      <w:pPr>
        <w:rPr>
          <w:rFonts w:asciiTheme="minorHAnsi" w:hAnsiTheme="minorHAnsi" w:cstheme="minorHAnsi"/>
        </w:rPr>
      </w:pPr>
      <w:r w:rsidRPr="00B13AB2">
        <w:rPr>
          <w:rFonts w:asciiTheme="minorHAnsi" w:hAnsiTheme="minorHAnsi" w:cstheme="minorHAnsi"/>
        </w:rPr>
        <w:t>El tipo del recargo de equivalencia aplicable a estas operaciones será del 0 por ciento.</w:t>
      </w:r>
    </w:p>
    <w:p w14:paraId="20F73115" w14:textId="77777777" w:rsidR="00B13AB2" w:rsidRDefault="007E01B2">
      <w:pPr>
        <w:rPr>
          <w:rFonts w:asciiTheme="minorHAnsi" w:hAnsiTheme="minorHAnsi" w:cstheme="minorHAnsi"/>
        </w:rPr>
      </w:pPr>
      <w:r w:rsidRPr="00B13AB2">
        <w:rPr>
          <w:rFonts w:asciiTheme="minorHAnsi" w:hAnsiTheme="minorHAnsi" w:cstheme="minorHAnsi"/>
        </w:rPr>
        <w:t xml:space="preserve">Dos. </w:t>
      </w:r>
      <w:r w:rsidR="00D01806" w:rsidRPr="00B13AB2">
        <w:rPr>
          <w:rFonts w:asciiTheme="minorHAnsi" w:hAnsiTheme="minorHAnsi" w:cstheme="minorHAnsi"/>
        </w:rPr>
        <w:t>Con efectos desde el 1 de octubre de 2024 y vigencia hasta el 31 de diciembre de 2024:</w:t>
      </w:r>
    </w:p>
    <w:p w14:paraId="3C0017D3" w14:textId="77777777" w:rsidR="00B13AB2" w:rsidRDefault="00D01806">
      <w:pPr>
        <w:rPr>
          <w:rFonts w:asciiTheme="minorHAnsi" w:hAnsiTheme="minorHAnsi" w:cstheme="minorHAnsi"/>
        </w:rPr>
      </w:pPr>
      <w:r w:rsidRPr="00B13AB2">
        <w:rPr>
          <w:rFonts w:asciiTheme="minorHAnsi" w:hAnsiTheme="minorHAnsi" w:cstheme="minorHAnsi"/>
        </w:rPr>
        <w:t>1. Se aplicará el tipo del 7,5 por ciento del Impuesto sobre el Valor Añadido a las entregas, importaciones y adquisiciones intracomunitarias de los siguientes productos:</w:t>
      </w:r>
    </w:p>
    <w:p w14:paraId="523C474D" w14:textId="4622B17E" w:rsidR="002336EE" w:rsidRPr="00B13AB2" w:rsidRDefault="00D01806">
      <w:pPr>
        <w:rPr>
          <w:rFonts w:asciiTheme="minorHAnsi" w:hAnsiTheme="minorHAnsi" w:cstheme="minorHAnsi"/>
        </w:rPr>
      </w:pPr>
      <w:r w:rsidRPr="00B13AB2">
        <w:rPr>
          <w:rFonts w:asciiTheme="minorHAnsi" w:hAnsiTheme="minorHAnsi" w:cstheme="minorHAnsi"/>
        </w:rPr>
        <w:t>a</w:t>
      </w:r>
      <w:r w:rsidR="007E01B2" w:rsidRPr="00B13AB2">
        <w:rPr>
          <w:rFonts w:asciiTheme="minorHAnsi" w:hAnsiTheme="minorHAnsi" w:cstheme="minorHAnsi"/>
        </w:rPr>
        <w:t xml:space="preserve">) </w:t>
      </w:r>
      <w:r w:rsidRPr="00B13AB2">
        <w:rPr>
          <w:rFonts w:asciiTheme="minorHAnsi" w:hAnsiTheme="minorHAnsi" w:cstheme="minorHAnsi"/>
        </w:rPr>
        <w:t>Los aceites de semillas.</w:t>
      </w:r>
    </w:p>
    <w:p w14:paraId="683030F2" w14:textId="77777777" w:rsidR="00B13AB2" w:rsidRDefault="007E01B2">
      <w:pPr>
        <w:rPr>
          <w:rFonts w:asciiTheme="minorHAnsi" w:hAnsiTheme="minorHAnsi" w:cstheme="minorHAnsi"/>
        </w:rPr>
      </w:pPr>
      <w:r w:rsidRPr="00B13AB2">
        <w:rPr>
          <w:rFonts w:asciiTheme="minorHAnsi" w:hAnsiTheme="minorHAnsi" w:cstheme="minorHAnsi"/>
        </w:rPr>
        <w:t xml:space="preserve">b) </w:t>
      </w:r>
      <w:r w:rsidR="00D01806" w:rsidRPr="00B13AB2">
        <w:rPr>
          <w:rFonts w:asciiTheme="minorHAnsi" w:hAnsiTheme="minorHAnsi" w:cstheme="minorHAnsi"/>
        </w:rPr>
        <w:t>Las pastas alimenticias.</w:t>
      </w:r>
    </w:p>
    <w:p w14:paraId="7B7D49C7" w14:textId="77777777" w:rsidR="00B13AB2" w:rsidRDefault="00D01806">
      <w:pPr>
        <w:rPr>
          <w:rFonts w:asciiTheme="minorHAnsi" w:hAnsiTheme="minorHAnsi" w:cstheme="minorHAnsi"/>
        </w:rPr>
      </w:pPr>
      <w:r w:rsidRPr="00B13AB2">
        <w:rPr>
          <w:rFonts w:asciiTheme="minorHAnsi" w:hAnsiTheme="minorHAnsi" w:cstheme="minorHAnsi"/>
        </w:rPr>
        <w:t>El tipo del recargo de equivalencia aplicable a estas operaciones será del 1 por ciento.</w:t>
      </w:r>
    </w:p>
    <w:p w14:paraId="3DD8CF02" w14:textId="77777777" w:rsidR="00B13AB2" w:rsidRDefault="00D01806">
      <w:pPr>
        <w:rPr>
          <w:rFonts w:asciiTheme="minorHAnsi" w:hAnsiTheme="minorHAnsi" w:cstheme="minorHAnsi"/>
        </w:rPr>
      </w:pPr>
      <w:r w:rsidRPr="00B13AB2">
        <w:rPr>
          <w:rFonts w:asciiTheme="minorHAnsi" w:hAnsiTheme="minorHAnsi" w:cstheme="minorHAnsi"/>
        </w:rPr>
        <w:t>2. Se aplicará el tipo del 2 por ciento del Impuesto sobre el Valor Añadido a las entregas, importaciones y adquisiciones intracomunitarias de los siguientes productos:</w:t>
      </w:r>
    </w:p>
    <w:p w14:paraId="4D475DEC" w14:textId="1084485D" w:rsidR="002336EE" w:rsidRPr="00B13AB2" w:rsidRDefault="007E01B2">
      <w:pPr>
        <w:rPr>
          <w:rFonts w:asciiTheme="minorHAnsi" w:hAnsiTheme="minorHAnsi" w:cstheme="minorHAnsi"/>
        </w:rPr>
      </w:pPr>
      <w:r w:rsidRPr="00B13AB2">
        <w:rPr>
          <w:rFonts w:asciiTheme="minorHAnsi" w:hAnsiTheme="minorHAnsi" w:cstheme="minorHAnsi"/>
        </w:rPr>
        <w:t>a)</w:t>
      </w:r>
      <w:r w:rsidR="00D01806" w:rsidRPr="00B13AB2">
        <w:rPr>
          <w:rFonts w:asciiTheme="minorHAnsi" w:hAnsiTheme="minorHAnsi" w:cstheme="minorHAnsi"/>
        </w:rPr>
        <w:t xml:space="preserve"> El pan común, así como la masa de pan común congelada y el pan común congelado destinados exclusivamente a la elaboración del pan común.</w:t>
      </w:r>
    </w:p>
    <w:p w14:paraId="45EAF722" w14:textId="412318F3" w:rsidR="002336EE" w:rsidRPr="00B13AB2" w:rsidRDefault="007E01B2">
      <w:pPr>
        <w:rPr>
          <w:rFonts w:asciiTheme="minorHAnsi" w:hAnsiTheme="minorHAnsi" w:cstheme="minorHAnsi"/>
        </w:rPr>
      </w:pPr>
      <w:r w:rsidRPr="00B13AB2">
        <w:rPr>
          <w:rFonts w:asciiTheme="minorHAnsi" w:hAnsiTheme="minorHAnsi" w:cstheme="minorHAnsi"/>
        </w:rPr>
        <w:t xml:space="preserve">b) </w:t>
      </w:r>
      <w:r w:rsidR="00D01806" w:rsidRPr="00B13AB2">
        <w:rPr>
          <w:rFonts w:asciiTheme="minorHAnsi" w:hAnsiTheme="minorHAnsi" w:cstheme="minorHAnsi"/>
        </w:rPr>
        <w:t>Las harinas panificables.</w:t>
      </w:r>
    </w:p>
    <w:p w14:paraId="6217A95E" w14:textId="34D46242" w:rsidR="002336EE" w:rsidRPr="00B13AB2" w:rsidRDefault="007E01B2">
      <w:pPr>
        <w:rPr>
          <w:rFonts w:asciiTheme="minorHAnsi" w:hAnsiTheme="minorHAnsi" w:cstheme="minorHAnsi"/>
        </w:rPr>
      </w:pPr>
      <w:r w:rsidRPr="00B13AB2">
        <w:rPr>
          <w:rFonts w:asciiTheme="minorHAnsi" w:hAnsiTheme="minorHAnsi" w:cstheme="minorHAnsi"/>
        </w:rPr>
        <w:t xml:space="preserve">c) </w:t>
      </w:r>
      <w:r w:rsidR="00D01806" w:rsidRPr="00B13AB2">
        <w:rPr>
          <w:rFonts w:asciiTheme="minorHAnsi" w:hAnsiTheme="minorHAnsi" w:cstheme="minorHAnsi"/>
        </w:rPr>
        <w:t>Los siguientes tipos de leche producida por cualquier especie animal: natural, certificada, pasterizada, concentrada, desnatada, esterilizada, UHT, evaporada y en polvo.</w:t>
      </w:r>
    </w:p>
    <w:p w14:paraId="40C96912" w14:textId="18FA47F0" w:rsidR="002336EE" w:rsidRPr="00B13AB2" w:rsidRDefault="007E01B2">
      <w:pPr>
        <w:rPr>
          <w:rFonts w:asciiTheme="minorHAnsi" w:hAnsiTheme="minorHAnsi" w:cstheme="minorHAnsi"/>
        </w:rPr>
      </w:pPr>
      <w:r w:rsidRPr="00B13AB2">
        <w:rPr>
          <w:rFonts w:asciiTheme="minorHAnsi" w:hAnsiTheme="minorHAnsi" w:cstheme="minorHAnsi"/>
        </w:rPr>
        <w:t xml:space="preserve">d) </w:t>
      </w:r>
      <w:r w:rsidR="00D01806" w:rsidRPr="00B13AB2">
        <w:rPr>
          <w:rFonts w:asciiTheme="minorHAnsi" w:hAnsiTheme="minorHAnsi" w:cstheme="minorHAnsi"/>
        </w:rPr>
        <w:t>Los quesos.</w:t>
      </w:r>
    </w:p>
    <w:p w14:paraId="09D09CED" w14:textId="744E272F" w:rsidR="002336EE" w:rsidRPr="00B13AB2" w:rsidRDefault="007E01B2">
      <w:pPr>
        <w:rPr>
          <w:rFonts w:asciiTheme="minorHAnsi" w:hAnsiTheme="minorHAnsi" w:cstheme="minorHAnsi"/>
        </w:rPr>
      </w:pPr>
      <w:r w:rsidRPr="00B13AB2">
        <w:rPr>
          <w:rFonts w:asciiTheme="minorHAnsi" w:hAnsiTheme="minorHAnsi" w:cstheme="minorHAnsi"/>
        </w:rPr>
        <w:t xml:space="preserve">e) </w:t>
      </w:r>
      <w:r w:rsidR="00D01806" w:rsidRPr="00B13AB2">
        <w:rPr>
          <w:rFonts w:asciiTheme="minorHAnsi" w:hAnsiTheme="minorHAnsi" w:cstheme="minorHAnsi"/>
        </w:rPr>
        <w:t>Los huevos.</w:t>
      </w:r>
    </w:p>
    <w:p w14:paraId="2320EB38" w14:textId="7B83619A" w:rsidR="002336EE" w:rsidRPr="00B13AB2" w:rsidRDefault="007E01B2">
      <w:pPr>
        <w:rPr>
          <w:rFonts w:asciiTheme="minorHAnsi" w:hAnsiTheme="minorHAnsi" w:cstheme="minorHAnsi"/>
        </w:rPr>
      </w:pPr>
      <w:r w:rsidRPr="00B13AB2">
        <w:rPr>
          <w:rFonts w:asciiTheme="minorHAnsi" w:hAnsiTheme="minorHAnsi" w:cstheme="minorHAnsi"/>
        </w:rPr>
        <w:t xml:space="preserve">f) </w:t>
      </w:r>
      <w:r w:rsidR="00D01806" w:rsidRPr="00B13AB2">
        <w:rPr>
          <w:rFonts w:asciiTheme="minorHAnsi" w:hAnsiTheme="minorHAnsi" w:cstheme="minorHAnsi"/>
        </w:rPr>
        <w:t>Las frutas, verduras, hortalizas, legumbres, tubérculos y cereales, que tengan la condición de productos naturales de acuerdo con el Código Alimentario y las disposiciones dictadas para su desarrollo.</w:t>
      </w:r>
    </w:p>
    <w:p w14:paraId="72DA4A02" w14:textId="77777777" w:rsidR="00B13AB2" w:rsidRDefault="007E01B2">
      <w:pPr>
        <w:rPr>
          <w:rFonts w:asciiTheme="minorHAnsi" w:hAnsiTheme="minorHAnsi" w:cstheme="minorHAnsi"/>
        </w:rPr>
      </w:pPr>
      <w:r w:rsidRPr="00B13AB2">
        <w:rPr>
          <w:rFonts w:asciiTheme="minorHAnsi" w:hAnsiTheme="minorHAnsi" w:cstheme="minorHAnsi"/>
        </w:rPr>
        <w:t xml:space="preserve">g) </w:t>
      </w:r>
      <w:r w:rsidR="00D01806" w:rsidRPr="00B13AB2">
        <w:rPr>
          <w:rFonts w:asciiTheme="minorHAnsi" w:hAnsiTheme="minorHAnsi" w:cstheme="minorHAnsi"/>
        </w:rPr>
        <w:t>Los aceites de oliva.</w:t>
      </w:r>
    </w:p>
    <w:p w14:paraId="756445FE" w14:textId="77777777" w:rsidR="00B13AB2" w:rsidRDefault="00D01806">
      <w:pPr>
        <w:rPr>
          <w:rFonts w:asciiTheme="minorHAnsi" w:hAnsiTheme="minorHAnsi" w:cstheme="minorHAnsi"/>
        </w:rPr>
      </w:pPr>
      <w:r w:rsidRPr="00B13AB2">
        <w:rPr>
          <w:rFonts w:asciiTheme="minorHAnsi" w:hAnsiTheme="minorHAnsi" w:cstheme="minorHAnsi"/>
        </w:rPr>
        <w:lastRenderedPageBreak/>
        <w:t>El tipo del recargo de equivalencia aplicable a estas operaciones será del 0,26 por ciento.</w:t>
      </w:r>
    </w:p>
    <w:p w14:paraId="3F8EAD71" w14:textId="77777777" w:rsidR="00B13AB2" w:rsidRDefault="007E01B2">
      <w:pPr>
        <w:rPr>
          <w:rFonts w:asciiTheme="minorHAnsi" w:hAnsiTheme="minorHAnsi" w:cstheme="minorHAnsi"/>
        </w:rPr>
      </w:pPr>
      <w:r w:rsidRPr="00B13AB2">
        <w:rPr>
          <w:rFonts w:asciiTheme="minorHAnsi" w:hAnsiTheme="minorHAnsi" w:cstheme="minorHAnsi"/>
        </w:rPr>
        <w:t xml:space="preserve">Tres. </w:t>
      </w:r>
      <w:r w:rsidR="00D01806" w:rsidRPr="00B13AB2">
        <w:rPr>
          <w:rFonts w:asciiTheme="minorHAnsi" w:hAnsiTheme="minorHAnsi" w:cstheme="minorHAnsi"/>
        </w:rPr>
        <w:t>Las reducciones del tipo impositivo referidas en los apartados anteriores beneficiarán íntegramente al consumidor, sin que, por tanto, el importe de la reducción pueda dedicarse total o parcialmente a incrementar el margen de beneficio empresarial con el consiguiente aumento de los precios en la cadena de producción, distribución o consumo de los productos, sin perjuicio de los compromisos adicionales que asuman y publiciten los sectores afectados, por responsabilidad social.</w:t>
      </w:r>
    </w:p>
    <w:p w14:paraId="322185F9" w14:textId="77777777" w:rsidR="00B13AB2" w:rsidRDefault="00D01806">
      <w:pPr>
        <w:rPr>
          <w:rFonts w:asciiTheme="minorHAnsi" w:hAnsiTheme="minorHAnsi" w:cstheme="minorHAnsi"/>
        </w:rPr>
      </w:pPr>
      <w:r w:rsidRPr="00B13AB2">
        <w:rPr>
          <w:rFonts w:asciiTheme="minorHAnsi" w:hAnsiTheme="minorHAnsi" w:cstheme="minorHAnsi"/>
        </w:rPr>
        <w:t>La efectividad de esta medida se verificará mediante un sistema de seguimiento de la evolución de los precios, independientemente de las actuaciones que corresponda realizar a la Comisión Nacional de los Mercados y de la Competencia en el ámbito de sus competencias.</w:t>
      </w:r>
    </w:p>
    <w:p w14:paraId="43B9D3AC" w14:textId="77777777" w:rsidR="00B13AB2" w:rsidRDefault="007E01B2">
      <w:pPr>
        <w:rPr>
          <w:rFonts w:asciiTheme="minorHAnsi" w:hAnsiTheme="minorHAnsi" w:cstheme="minorHAnsi"/>
        </w:rPr>
      </w:pPr>
      <w:r w:rsidRPr="00B13AB2">
        <w:rPr>
          <w:rFonts w:asciiTheme="minorHAnsi" w:hAnsiTheme="minorHAnsi" w:cstheme="minorHAnsi"/>
        </w:rPr>
        <w:t xml:space="preserve">Artículo segundo. </w:t>
      </w:r>
      <w:r w:rsidR="00D01806" w:rsidRPr="00B13AB2">
        <w:rPr>
          <w:rFonts w:asciiTheme="minorHAnsi" w:hAnsiTheme="minorHAnsi" w:cstheme="minorHAnsi"/>
        </w:rPr>
        <w:t>Modificación de la Ley Foral del Impuesto sobre el Valor Añadido.</w:t>
      </w:r>
    </w:p>
    <w:p w14:paraId="7D3EBBF4" w14:textId="77777777" w:rsidR="00B13AB2" w:rsidRDefault="00D01806">
      <w:pPr>
        <w:rPr>
          <w:rFonts w:asciiTheme="minorHAnsi" w:hAnsiTheme="minorHAnsi" w:cstheme="minorHAnsi"/>
        </w:rPr>
      </w:pPr>
      <w:r w:rsidRPr="00B13AB2">
        <w:rPr>
          <w:rFonts w:asciiTheme="minorHAnsi" w:hAnsiTheme="minorHAnsi" w:cstheme="minorHAnsi"/>
        </w:rPr>
        <w:t>Con efectos desde el 1 de enero de 2025 se adiciona una letra g) al artículo 37.Dos.1.1.º de la Ley Foral 19/1992, de 30 de diciembre, del Impuesto sobre el Valor Añadido:</w:t>
      </w:r>
    </w:p>
    <w:p w14:paraId="0051D080" w14:textId="7BD555D7" w:rsidR="00B13AB2" w:rsidRDefault="0054562F">
      <w:pPr>
        <w:rPr>
          <w:rFonts w:asciiTheme="minorHAnsi" w:hAnsiTheme="minorHAnsi" w:cstheme="minorHAnsi"/>
        </w:rPr>
      </w:pPr>
      <w:r>
        <w:rPr>
          <w:rFonts w:asciiTheme="minorHAnsi" w:hAnsiTheme="minorHAnsi" w:cstheme="minorHAnsi"/>
        </w:rPr>
        <w:t>«</w:t>
      </w:r>
      <w:r w:rsidR="007E01B2" w:rsidRPr="00B13AB2">
        <w:rPr>
          <w:rFonts w:asciiTheme="minorHAnsi" w:hAnsiTheme="minorHAnsi" w:cstheme="minorHAnsi"/>
        </w:rPr>
        <w:t xml:space="preserve">g) </w:t>
      </w:r>
      <w:r w:rsidR="00D01806" w:rsidRPr="00B13AB2">
        <w:rPr>
          <w:rFonts w:asciiTheme="minorHAnsi" w:hAnsiTheme="minorHAnsi" w:cstheme="minorHAnsi"/>
        </w:rPr>
        <w:t>Los aceites de oliva</w:t>
      </w:r>
      <w:r>
        <w:rPr>
          <w:rFonts w:asciiTheme="minorHAnsi" w:hAnsiTheme="minorHAnsi" w:cstheme="minorHAnsi"/>
        </w:rPr>
        <w:t>»</w:t>
      </w:r>
      <w:r w:rsidR="00D01806" w:rsidRPr="00B13AB2">
        <w:rPr>
          <w:rFonts w:asciiTheme="minorHAnsi" w:hAnsiTheme="minorHAnsi" w:cstheme="minorHAnsi"/>
        </w:rPr>
        <w:t>.</w:t>
      </w:r>
    </w:p>
    <w:p w14:paraId="0A1E5CCC" w14:textId="77777777" w:rsidR="00B13AB2" w:rsidRDefault="00D01806">
      <w:pPr>
        <w:rPr>
          <w:rFonts w:asciiTheme="minorHAnsi" w:hAnsiTheme="minorHAnsi" w:cstheme="minorHAnsi"/>
        </w:rPr>
      </w:pPr>
      <w:r w:rsidRPr="00B13AB2">
        <w:rPr>
          <w:rFonts w:asciiTheme="minorHAnsi" w:hAnsiTheme="minorHAnsi" w:cstheme="minorHAnsi"/>
        </w:rPr>
        <w:t>Disposición final única. Entrada en vigor.</w:t>
      </w:r>
    </w:p>
    <w:p w14:paraId="64F88361" w14:textId="77777777" w:rsidR="00B13AB2" w:rsidRDefault="00D01806">
      <w:pPr>
        <w:rPr>
          <w:rFonts w:asciiTheme="minorHAnsi" w:hAnsiTheme="minorHAnsi" w:cstheme="minorHAnsi"/>
        </w:rPr>
      </w:pPr>
      <w:r w:rsidRPr="00B13AB2">
        <w:rPr>
          <w:rFonts w:asciiTheme="minorHAnsi" w:hAnsiTheme="minorHAnsi" w:cstheme="minorHAnsi"/>
        </w:rPr>
        <w:t>El presente decreto foral legislativo de armonización tributaria entrará en vigor el día siguiente al de su publicación en el Boletín Oficial de Navarra, con los efectos en él establecidos.</w:t>
      </w:r>
    </w:p>
    <w:p w14:paraId="4AF69420" w14:textId="49DAABAA" w:rsidR="00CF4538" w:rsidRDefault="00CF4538" w:rsidP="00E24C7B">
      <w:pPr>
        <w:widowControl w:val="0"/>
        <w:tabs>
          <w:tab w:val="left" w:pos="709"/>
          <w:tab w:val="center" w:pos="3856"/>
        </w:tabs>
        <w:rPr>
          <w:rFonts w:asciiTheme="minorHAnsi" w:hAnsiTheme="minorHAnsi" w:cstheme="minorHAnsi"/>
          <w:lang w:val="es-ES_tradnl"/>
        </w:rPr>
      </w:pPr>
      <w:r w:rsidRPr="00B13AB2">
        <w:rPr>
          <w:rFonts w:asciiTheme="minorHAnsi" w:hAnsiTheme="minorHAnsi" w:cstheme="minorHAnsi"/>
          <w:lang w:val="es-ES_tradnl"/>
        </w:rPr>
        <w:t xml:space="preserve">Pamplona, </w:t>
      </w:r>
      <w:bookmarkStart w:id="0" w:name="Fecha"/>
      <w:r w:rsidRPr="00B13AB2">
        <w:rPr>
          <w:rFonts w:asciiTheme="minorHAnsi" w:hAnsiTheme="minorHAnsi" w:cstheme="minorHAnsi"/>
        </w:rPr>
        <w:t>veinticuatro de julio de dos mil veinticuatro</w:t>
      </w:r>
      <w:bookmarkEnd w:id="0"/>
      <w:r w:rsidRPr="00B13AB2">
        <w:rPr>
          <w:rFonts w:asciiTheme="minorHAnsi" w:hAnsiTheme="minorHAnsi" w:cstheme="minorHAnsi"/>
          <w:lang w:val="es-ES_tradnl"/>
        </w:rPr>
        <w:t>.</w:t>
      </w:r>
    </w:p>
    <w:p w14:paraId="6FAA1C91" w14:textId="77777777" w:rsidR="00B13AB2" w:rsidRDefault="00B13AB2" w:rsidP="00B13AB2">
      <w:pPr>
        <w:widowControl w:val="0"/>
        <w:tabs>
          <w:tab w:val="left" w:pos="709"/>
          <w:tab w:val="center" w:pos="3856"/>
        </w:tabs>
        <w:rPr>
          <w:rFonts w:asciiTheme="minorHAnsi" w:hAnsiTheme="minorHAnsi" w:cstheme="minorHAnsi"/>
          <w:lang w:val="es-ES_tradnl"/>
        </w:rPr>
      </w:pPr>
      <w:r w:rsidRPr="00B13AB2">
        <w:rPr>
          <w:rFonts w:asciiTheme="minorHAnsi" w:hAnsiTheme="minorHAnsi" w:cstheme="minorHAnsi"/>
          <w:lang w:val="es-ES_tradnl"/>
        </w:rPr>
        <w:t>El Vicepresidente Primero</w:t>
      </w:r>
      <w:r>
        <w:rPr>
          <w:rFonts w:asciiTheme="minorHAnsi" w:hAnsiTheme="minorHAnsi" w:cstheme="minorHAnsi"/>
          <w:lang w:val="es-ES_tradnl"/>
        </w:rPr>
        <w:t xml:space="preserve"> </w:t>
      </w:r>
      <w:r w:rsidRPr="00B13AB2">
        <w:rPr>
          <w:rFonts w:asciiTheme="minorHAnsi" w:hAnsiTheme="minorHAnsi" w:cstheme="minorHAnsi"/>
          <w:lang w:val="es-ES_tradnl"/>
        </w:rPr>
        <w:t>del Gobierno de Navarra</w:t>
      </w:r>
      <w:r>
        <w:rPr>
          <w:rFonts w:asciiTheme="minorHAnsi" w:hAnsiTheme="minorHAnsi" w:cstheme="minorHAnsi"/>
          <w:lang w:val="es-ES_tradnl"/>
        </w:rPr>
        <w:t xml:space="preserve">: </w:t>
      </w:r>
      <w:r w:rsidRPr="00B13AB2">
        <w:rPr>
          <w:rFonts w:asciiTheme="minorHAnsi" w:hAnsiTheme="minorHAnsi" w:cstheme="minorHAnsi"/>
          <w:lang w:val="es-ES_tradnl"/>
        </w:rPr>
        <w:t>Félix Taberna Monzón</w:t>
      </w:r>
    </w:p>
    <w:p w14:paraId="1D368091" w14:textId="2F081FFF" w:rsidR="00B13AB2" w:rsidRPr="00B13AB2" w:rsidRDefault="00B13AB2" w:rsidP="00B13AB2">
      <w:pPr>
        <w:widowControl w:val="0"/>
        <w:tabs>
          <w:tab w:val="left" w:pos="709"/>
          <w:tab w:val="center" w:pos="3856"/>
        </w:tabs>
        <w:rPr>
          <w:rFonts w:asciiTheme="minorHAnsi" w:hAnsiTheme="minorHAnsi" w:cstheme="minorHAnsi"/>
          <w:lang w:val="es-ES_tradnl"/>
        </w:rPr>
      </w:pPr>
      <w:r w:rsidRPr="00B13AB2">
        <w:rPr>
          <w:rFonts w:asciiTheme="minorHAnsi" w:hAnsiTheme="minorHAnsi" w:cstheme="minorHAnsi"/>
        </w:rPr>
        <w:t>El Vicepresidente Primero</w:t>
      </w:r>
      <w:r>
        <w:rPr>
          <w:rFonts w:asciiTheme="minorHAnsi" w:hAnsiTheme="minorHAnsi" w:cstheme="minorHAnsi"/>
        </w:rPr>
        <w:t xml:space="preserve"> </w:t>
      </w:r>
      <w:r w:rsidRPr="00B13AB2">
        <w:rPr>
          <w:rFonts w:asciiTheme="minorHAnsi" w:hAnsiTheme="minorHAnsi" w:cstheme="minorHAnsi"/>
        </w:rPr>
        <w:t>en sustitución del Consejero de</w:t>
      </w:r>
      <w:r>
        <w:rPr>
          <w:rFonts w:asciiTheme="minorHAnsi" w:hAnsiTheme="minorHAnsi" w:cstheme="minorHAnsi"/>
        </w:rPr>
        <w:t xml:space="preserve"> </w:t>
      </w:r>
      <w:r w:rsidRPr="00B13AB2">
        <w:rPr>
          <w:rFonts w:asciiTheme="minorHAnsi" w:hAnsiTheme="minorHAnsi" w:cstheme="minorHAnsi"/>
        </w:rPr>
        <w:t>Economía y Hacienda</w:t>
      </w:r>
      <w:r>
        <w:rPr>
          <w:rFonts w:asciiTheme="minorHAnsi" w:hAnsiTheme="minorHAnsi" w:cstheme="minorHAnsi"/>
        </w:rPr>
        <w:t xml:space="preserve"> </w:t>
      </w:r>
      <w:r w:rsidRPr="00B13AB2">
        <w:rPr>
          <w:rFonts w:asciiTheme="minorHAnsi" w:hAnsiTheme="minorHAnsi" w:cstheme="minorHAnsi"/>
        </w:rPr>
        <w:t>(Decreto Foral de la Presidenta de la Comunidad Foral de Navarra 15/2024, de 25 de junio)</w:t>
      </w:r>
      <w:r>
        <w:rPr>
          <w:rFonts w:asciiTheme="minorHAnsi" w:hAnsiTheme="minorHAnsi" w:cstheme="minorHAnsi"/>
        </w:rPr>
        <w:t xml:space="preserve">: </w:t>
      </w:r>
      <w:r w:rsidRPr="00B13AB2">
        <w:rPr>
          <w:rFonts w:asciiTheme="minorHAnsi" w:hAnsiTheme="minorHAnsi" w:cstheme="minorHAnsi"/>
          <w:lang w:val="es-ES_tradnl"/>
        </w:rPr>
        <w:t>Félix Taberna Monzón</w:t>
      </w:r>
    </w:p>
    <w:p w14:paraId="61D4990E" w14:textId="77777777" w:rsidR="002336EE" w:rsidRPr="00B13AB2" w:rsidRDefault="002336EE">
      <w:pPr>
        <w:rPr>
          <w:rFonts w:asciiTheme="minorHAnsi" w:hAnsiTheme="minorHAnsi" w:cstheme="minorHAnsi"/>
        </w:rPr>
      </w:pPr>
    </w:p>
    <w:sectPr w:rsidR="002336EE" w:rsidRPr="00B13AB2" w:rsidSect="00B13AB2">
      <w:footerReference w:type="even" r:id="rId10"/>
      <w:footerReference w:type="default" r:id="rId11"/>
      <w:type w:val="oddPage"/>
      <w:pgSz w:w="11907" w:h="16840"/>
      <w:pgMar w:top="1560"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1810A" w14:textId="77777777" w:rsidR="00E74A3B" w:rsidRDefault="00E74A3B">
      <w:r>
        <w:separator/>
      </w:r>
    </w:p>
  </w:endnote>
  <w:endnote w:type="continuationSeparator" w:id="0">
    <w:p w14:paraId="49235056" w14:textId="77777777" w:rsidR="00E74A3B" w:rsidRDefault="00E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7898C" w14:textId="77777777" w:rsidR="00E74A3B" w:rsidRDefault="00E74A3B">
      <w:r>
        <w:separator/>
      </w:r>
    </w:p>
  </w:footnote>
  <w:footnote w:type="continuationSeparator" w:id="0">
    <w:p w14:paraId="2170BF99" w14:textId="77777777" w:rsidR="00E74A3B" w:rsidRDefault="00E7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16cid:durableId="888492081">
    <w:abstractNumId w:val="0"/>
  </w:num>
  <w:num w:numId="2" w16cid:durableId="1165588115">
    <w:abstractNumId w:val="1"/>
  </w:num>
  <w:num w:numId="3" w16cid:durableId="113267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31E5C"/>
    <w:rsid w:val="000334E2"/>
    <w:rsid w:val="000410E5"/>
    <w:rsid w:val="0008429F"/>
    <w:rsid w:val="000B3964"/>
    <w:rsid w:val="000B5767"/>
    <w:rsid w:val="000F28AE"/>
    <w:rsid w:val="001300C9"/>
    <w:rsid w:val="001618B1"/>
    <w:rsid w:val="00167004"/>
    <w:rsid w:val="00185EE8"/>
    <w:rsid w:val="001E6489"/>
    <w:rsid w:val="002336EE"/>
    <w:rsid w:val="00234953"/>
    <w:rsid w:val="00271183"/>
    <w:rsid w:val="00274244"/>
    <w:rsid w:val="002863F9"/>
    <w:rsid w:val="00341FDF"/>
    <w:rsid w:val="00394284"/>
    <w:rsid w:val="003F418E"/>
    <w:rsid w:val="00427D26"/>
    <w:rsid w:val="00432316"/>
    <w:rsid w:val="004704E5"/>
    <w:rsid w:val="004F37E3"/>
    <w:rsid w:val="004F57E9"/>
    <w:rsid w:val="0054562F"/>
    <w:rsid w:val="005567A8"/>
    <w:rsid w:val="005D4140"/>
    <w:rsid w:val="00605D70"/>
    <w:rsid w:val="00632AA4"/>
    <w:rsid w:val="00663B94"/>
    <w:rsid w:val="00685B81"/>
    <w:rsid w:val="006A24B2"/>
    <w:rsid w:val="006A5377"/>
    <w:rsid w:val="006C7DB1"/>
    <w:rsid w:val="00702123"/>
    <w:rsid w:val="0070598B"/>
    <w:rsid w:val="00744ED7"/>
    <w:rsid w:val="00753650"/>
    <w:rsid w:val="00790E64"/>
    <w:rsid w:val="007D7349"/>
    <w:rsid w:val="007E01B2"/>
    <w:rsid w:val="007E24E0"/>
    <w:rsid w:val="007F6FEE"/>
    <w:rsid w:val="00802597"/>
    <w:rsid w:val="00822BB8"/>
    <w:rsid w:val="00835124"/>
    <w:rsid w:val="008C6AE7"/>
    <w:rsid w:val="008D22CE"/>
    <w:rsid w:val="008D62A2"/>
    <w:rsid w:val="008E5450"/>
    <w:rsid w:val="008F63EF"/>
    <w:rsid w:val="00936EC9"/>
    <w:rsid w:val="00937001"/>
    <w:rsid w:val="00980252"/>
    <w:rsid w:val="009954E6"/>
    <w:rsid w:val="009A2156"/>
    <w:rsid w:val="009B1D06"/>
    <w:rsid w:val="009B4B27"/>
    <w:rsid w:val="00A65C8A"/>
    <w:rsid w:val="00A77E61"/>
    <w:rsid w:val="00A869A0"/>
    <w:rsid w:val="00A97C8E"/>
    <w:rsid w:val="00AB7E7E"/>
    <w:rsid w:val="00AC6D61"/>
    <w:rsid w:val="00AD7D43"/>
    <w:rsid w:val="00B13AB2"/>
    <w:rsid w:val="00B42E2E"/>
    <w:rsid w:val="00B433AD"/>
    <w:rsid w:val="00B55119"/>
    <w:rsid w:val="00B67620"/>
    <w:rsid w:val="00B93164"/>
    <w:rsid w:val="00BB4F61"/>
    <w:rsid w:val="00BF5501"/>
    <w:rsid w:val="00C05919"/>
    <w:rsid w:val="00CC0B30"/>
    <w:rsid w:val="00CF4538"/>
    <w:rsid w:val="00D01806"/>
    <w:rsid w:val="00D02AFE"/>
    <w:rsid w:val="00D82355"/>
    <w:rsid w:val="00D84266"/>
    <w:rsid w:val="00D91FDD"/>
    <w:rsid w:val="00DC1E2D"/>
    <w:rsid w:val="00DF795A"/>
    <w:rsid w:val="00E04FE8"/>
    <w:rsid w:val="00E24C7B"/>
    <w:rsid w:val="00E3750A"/>
    <w:rsid w:val="00E61B39"/>
    <w:rsid w:val="00E74A3B"/>
    <w:rsid w:val="00EB21AC"/>
    <w:rsid w:val="00EE7A58"/>
    <w:rsid w:val="00F26F7B"/>
    <w:rsid w:val="00F3452F"/>
    <w:rsid w:val="00F6407D"/>
    <w:rsid w:val="00F84B00"/>
    <w:rsid w:val="00FD0EB5"/>
    <w:rsid w:val="00FE5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s-ES" w:eastAsia="es-ES" w:bidi="ar-SA"/>
    </w:rPr>
  </w:style>
  <w:style w:type="character" w:customStyle="1" w:styleId="EncabezadoCar">
    <w:name w:val="Encabezado Car"/>
    <w:link w:val="Encabezado"/>
    <w:rsid w:val="00D82355"/>
    <w:rPr>
      <w:rFonts w:ascii="Courier New" w:hAnsi="Courier New"/>
      <w:sz w:val="24"/>
      <w:szCs w:val="22"/>
      <w:lang w:val="es-ES" w:eastAsia="es-ES" w:bidi="ar-SA"/>
    </w:rPr>
  </w:style>
  <w:style w:type="paragraph" w:styleId="Prrafodelista">
    <w:name w:val="List Paragraph"/>
    <w:basedOn w:val="Normal"/>
    <w:uiPriority w:val="34"/>
    <w:qFormat/>
    <w:rsid w:val="007E0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9BC5E-34E2-4EDD-9353-632CF71B34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1F2F9E-4F8C-4D38-8613-C7A34C90E5FA}">
  <ds:schemaRefs>
    <ds:schemaRef ds:uri="http://schemas.microsoft.com/sharepoint/v3/contenttype/forms"/>
  </ds:schemaRefs>
</ds:datastoreItem>
</file>

<file path=customXml/itemProps3.xml><?xml version="1.0" encoding="utf-8"?>
<ds:datastoreItem xmlns:ds="http://schemas.openxmlformats.org/officeDocument/2006/customXml" ds:itemID="{2053A097-37B7-43CC-8CB9-230059FFB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1337</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Aranaz, Carlota</cp:lastModifiedBy>
  <cp:revision>5</cp:revision>
  <dcterms:created xsi:type="dcterms:W3CDTF">2024-07-23T10:34:00Z</dcterms:created>
  <dcterms:modified xsi:type="dcterms:W3CDTF">2024-08-30T07:33:00Z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