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574F" w14:textId="60B93ACF" w:rsidR="00F61448" w:rsidRDefault="00B84F6B" w:rsidP="00F61448">
      <w:pPr>
        <w:pStyle w:val="Style"/>
        <w:spacing w:before="100" w:beforeAutospacing="1" w:after="200" w:line="276" w:lineRule="auto"/>
        <w:jc w:val="both"/>
        <w:rPr>
          <w:rFonts w:ascii="Calibri" w:hAnsi="Calibri" w:cs="Calibri"/>
          <w:sz w:val="22"/>
          <w:szCs w:val="22"/>
        </w:rPr>
      </w:pPr>
      <w:r w:rsidRPr="00F61448">
        <w:rPr>
          <w:rFonts w:ascii="Calibri" w:hAnsi="Calibri" w:cs="Calibri"/>
          <w:sz w:val="22"/>
          <w:szCs w:val="22"/>
        </w:rPr>
        <w:t xml:space="preserve">El </w:t>
      </w:r>
      <w:proofErr w:type="gramStart"/>
      <w:r w:rsidRPr="00F61448">
        <w:rPr>
          <w:rFonts w:ascii="Calibri" w:hAnsi="Calibri" w:cs="Calibri"/>
          <w:sz w:val="22"/>
          <w:szCs w:val="22"/>
        </w:rPr>
        <w:t>Consejero</w:t>
      </w:r>
      <w:proofErr w:type="gramEnd"/>
      <w:r w:rsidRPr="00F61448">
        <w:rPr>
          <w:rFonts w:ascii="Calibri" w:hAnsi="Calibri" w:cs="Calibri"/>
          <w:sz w:val="22"/>
          <w:szCs w:val="22"/>
        </w:rPr>
        <w:t xml:space="preserve"> de Salud del Gobierno de Navarra, en relación con la pregunta para su contestación por escrito formulada por la Parlamentaria Foral Ilma. Sra. Dª Leticia San Martín Rodríguez, adscrita al Grupo Parlamentario Unión del Pueblo Navarro, sobre protocolo espina bífida </w:t>
      </w:r>
      <w:r w:rsidRPr="00F61448">
        <w:rPr>
          <w:rFonts w:ascii="Calibri" w:hAnsi="Calibri" w:cs="Calibri"/>
          <w:w w:val="123"/>
          <w:sz w:val="22"/>
          <w:szCs w:val="22"/>
        </w:rPr>
        <w:t>(</w:t>
      </w:r>
      <w:r w:rsidR="00F61448">
        <w:rPr>
          <w:rFonts w:ascii="Calibri" w:hAnsi="Calibri" w:cs="Calibri"/>
          <w:w w:val="123"/>
          <w:sz w:val="22"/>
          <w:szCs w:val="22"/>
        </w:rPr>
        <w:t>1</w:t>
      </w:r>
      <w:r w:rsidRPr="00F61448">
        <w:rPr>
          <w:rFonts w:ascii="Calibri" w:hAnsi="Calibri" w:cs="Calibri"/>
          <w:sz w:val="22"/>
          <w:szCs w:val="22"/>
        </w:rPr>
        <w:t xml:space="preserve">1-24/PES-00045): </w:t>
      </w:r>
      <w:r w:rsidR="00F61448">
        <w:rPr>
          <w:rFonts w:ascii="Calibri" w:hAnsi="Calibri" w:cs="Calibri"/>
          <w:sz w:val="22"/>
          <w:szCs w:val="22"/>
        </w:rPr>
        <w:t>“</w:t>
      </w:r>
      <w:r w:rsidRPr="00F61448">
        <w:rPr>
          <w:rFonts w:ascii="Calibri" w:hAnsi="Calibri" w:cs="Calibri"/>
          <w:sz w:val="22"/>
          <w:szCs w:val="22"/>
        </w:rPr>
        <w:t>A través de la PEI-00413 se nos informó sobre el número de personas diagnosticada de espina bífida y/o hidrocefalia en Navarra y sobre cu</w:t>
      </w:r>
      <w:r w:rsidR="00F61448">
        <w:rPr>
          <w:rFonts w:ascii="Calibri" w:hAnsi="Calibri" w:cs="Calibri"/>
          <w:sz w:val="22"/>
          <w:szCs w:val="22"/>
        </w:rPr>
        <w:t>á</w:t>
      </w:r>
      <w:r w:rsidRPr="00F61448">
        <w:rPr>
          <w:rFonts w:ascii="Calibri" w:hAnsi="Calibri" w:cs="Calibri"/>
          <w:sz w:val="22"/>
          <w:szCs w:val="22"/>
        </w:rPr>
        <w:t xml:space="preserve">ntas estaban incluidas en la estrategia de crónicos. </w:t>
      </w:r>
      <w:proofErr w:type="gramStart"/>
      <w:r w:rsidRPr="00F61448">
        <w:rPr>
          <w:rFonts w:ascii="Calibri" w:hAnsi="Calibri" w:cs="Calibri"/>
          <w:sz w:val="22"/>
          <w:szCs w:val="22"/>
        </w:rPr>
        <w:t>En relación a</w:t>
      </w:r>
      <w:proofErr w:type="gramEnd"/>
      <w:r w:rsidRPr="00F61448">
        <w:rPr>
          <w:rFonts w:ascii="Calibri" w:hAnsi="Calibri" w:cs="Calibri"/>
          <w:sz w:val="22"/>
          <w:szCs w:val="22"/>
        </w:rPr>
        <w:t xml:space="preserve"> este tema nos gustaría saber</w:t>
      </w:r>
      <w:r w:rsidR="00F61448">
        <w:rPr>
          <w:rFonts w:ascii="Calibri" w:hAnsi="Calibri" w:cs="Calibri"/>
          <w:sz w:val="22"/>
          <w:szCs w:val="22"/>
        </w:rPr>
        <w:t>:</w:t>
      </w:r>
      <w:r w:rsidRPr="00F61448">
        <w:rPr>
          <w:rFonts w:ascii="Calibri" w:hAnsi="Calibri" w:cs="Calibri"/>
          <w:sz w:val="22"/>
          <w:szCs w:val="22"/>
        </w:rPr>
        <w:t xml:space="preserve"> ¿</w:t>
      </w:r>
      <w:r w:rsidR="00F61448">
        <w:rPr>
          <w:rFonts w:ascii="Calibri" w:hAnsi="Calibri" w:cs="Calibri"/>
          <w:sz w:val="22"/>
          <w:szCs w:val="22"/>
        </w:rPr>
        <w:t>c</w:t>
      </w:r>
      <w:r w:rsidRPr="00F61448">
        <w:rPr>
          <w:rFonts w:ascii="Calibri" w:hAnsi="Calibri" w:cs="Calibri"/>
          <w:sz w:val="22"/>
          <w:szCs w:val="22"/>
        </w:rPr>
        <w:t>uál es el protocolo que se sigue en el SNS-O para la inclusión de estas personas en la estrategia de crónicos y cuáles son las razones para que solo una parte de esas personas se encuentren incluidas en dicha estrategia</w:t>
      </w:r>
      <w:r w:rsidR="00F61448">
        <w:rPr>
          <w:rFonts w:ascii="Calibri" w:hAnsi="Calibri" w:cs="Calibri"/>
          <w:sz w:val="22"/>
          <w:szCs w:val="22"/>
        </w:rPr>
        <w:t>? I</w:t>
      </w:r>
      <w:r w:rsidRPr="00F61448">
        <w:rPr>
          <w:rFonts w:ascii="Calibri" w:hAnsi="Calibri" w:cs="Calibri"/>
          <w:sz w:val="22"/>
          <w:szCs w:val="22"/>
        </w:rPr>
        <w:t xml:space="preserve">nforma lo siguiente: </w:t>
      </w:r>
    </w:p>
    <w:p w14:paraId="28E95827" w14:textId="77777777" w:rsidR="00F61448" w:rsidRDefault="00B84F6B" w:rsidP="00F61448">
      <w:pPr>
        <w:pStyle w:val="Style"/>
        <w:spacing w:before="100" w:beforeAutospacing="1" w:after="200" w:line="276" w:lineRule="auto"/>
        <w:jc w:val="both"/>
        <w:textAlignment w:val="baseline"/>
        <w:rPr>
          <w:rFonts w:ascii="Calibri" w:hAnsi="Calibri" w:cs="Calibri"/>
          <w:sz w:val="22"/>
          <w:szCs w:val="22"/>
        </w:rPr>
      </w:pPr>
      <w:r w:rsidRPr="00F61448">
        <w:rPr>
          <w:rFonts w:ascii="Calibri" w:hAnsi="Calibri" w:cs="Calibri"/>
          <w:sz w:val="22"/>
          <w:szCs w:val="22"/>
        </w:rPr>
        <w:t>En el Servicio Navarro de Salud-</w:t>
      </w:r>
      <w:proofErr w:type="spellStart"/>
      <w:r w:rsidRPr="00F61448">
        <w:rPr>
          <w:rFonts w:ascii="Calibri" w:hAnsi="Calibri" w:cs="Calibri"/>
          <w:sz w:val="22"/>
          <w:szCs w:val="22"/>
        </w:rPr>
        <w:t>Osasunbidea</w:t>
      </w:r>
      <w:proofErr w:type="spellEnd"/>
      <w:r w:rsidRPr="00F61448">
        <w:rPr>
          <w:rFonts w:ascii="Calibri" w:hAnsi="Calibri" w:cs="Calibri"/>
          <w:sz w:val="22"/>
          <w:szCs w:val="22"/>
        </w:rPr>
        <w:t xml:space="preserve"> existen 1113 pacientes diagnosticados de Hidrocefalia y/o espina bífida. De esos, 226 están en la estrategia de crónicos porque cumplen criterios para estar incluidos en la misma. 163 son menores de 14 años de los cuales, 15 están en la estrategia de crónicos. </w:t>
      </w:r>
    </w:p>
    <w:p w14:paraId="44B11D8E" w14:textId="77777777" w:rsidR="00F61448" w:rsidRPr="00F61448" w:rsidRDefault="00B84F6B" w:rsidP="00F61448">
      <w:pPr>
        <w:pStyle w:val="Style"/>
        <w:spacing w:before="100" w:beforeAutospacing="1" w:after="200" w:line="276" w:lineRule="auto"/>
        <w:ind w:left="10"/>
        <w:jc w:val="both"/>
        <w:textAlignment w:val="baseline"/>
        <w:rPr>
          <w:rFonts w:ascii="Calibri" w:hAnsi="Calibri" w:cs="Calibri"/>
          <w:bCs/>
          <w:sz w:val="22"/>
          <w:szCs w:val="22"/>
          <w:u w:val="single"/>
        </w:rPr>
      </w:pPr>
      <w:r w:rsidRPr="00F61448">
        <w:rPr>
          <w:rFonts w:ascii="Calibri" w:hAnsi="Calibri" w:cs="Calibri"/>
          <w:bCs/>
          <w:sz w:val="22"/>
          <w:szCs w:val="22"/>
          <w:u w:val="single"/>
        </w:rPr>
        <w:t xml:space="preserve">Pediatría: </w:t>
      </w:r>
    </w:p>
    <w:p w14:paraId="59BA0219" w14:textId="77777777" w:rsidR="00F61448" w:rsidRDefault="00B84F6B" w:rsidP="00F61448">
      <w:pPr>
        <w:pStyle w:val="Style"/>
        <w:spacing w:before="100" w:beforeAutospacing="1" w:after="200" w:line="276" w:lineRule="auto"/>
        <w:jc w:val="both"/>
        <w:textAlignment w:val="baseline"/>
        <w:rPr>
          <w:rFonts w:ascii="Calibri" w:hAnsi="Calibri" w:cs="Calibri"/>
          <w:sz w:val="22"/>
          <w:szCs w:val="22"/>
        </w:rPr>
      </w:pPr>
      <w:r w:rsidRPr="00F61448">
        <w:rPr>
          <w:rFonts w:ascii="Calibri" w:hAnsi="Calibri" w:cs="Calibri"/>
          <w:sz w:val="22"/>
          <w:szCs w:val="22"/>
        </w:rPr>
        <w:t xml:space="preserve">Actualmente en Navarra existe una Estrategia de la Enfermedad Crónica Compleja en la Infancia, que atiende a aquellos pacientes con espina bífida que cumplen los criterios de selección de población diana de dicha estrategia que son: pacientes de </w:t>
      </w:r>
      <w:r w:rsidRPr="00F61448">
        <w:rPr>
          <w:rFonts w:ascii="Calibri" w:eastAsia="Arial" w:hAnsi="Calibri" w:cs="Calibri"/>
          <w:w w:val="65"/>
          <w:sz w:val="22"/>
          <w:szCs w:val="22"/>
        </w:rPr>
        <w:t xml:space="preserve">O </w:t>
      </w:r>
      <w:r w:rsidRPr="00F61448">
        <w:rPr>
          <w:rFonts w:ascii="Calibri" w:hAnsi="Calibri" w:cs="Calibri"/>
          <w:sz w:val="22"/>
          <w:szCs w:val="22"/>
        </w:rPr>
        <w:t xml:space="preserve">a 14 años con enfermedad incurable estática o progresiva que además cumplan 2 o más de los siguientes criterios complementarios: </w:t>
      </w:r>
    </w:p>
    <w:p w14:paraId="2ACDFEAC" w14:textId="7F93171F" w:rsidR="00195F5F" w:rsidRPr="00F61448" w:rsidRDefault="00A8485E" w:rsidP="00F61448">
      <w:pPr>
        <w:pStyle w:val="Style"/>
        <w:numPr>
          <w:ilvl w:val="0"/>
          <w:numId w:val="2"/>
        </w:numPr>
        <w:spacing w:before="100" w:beforeAutospacing="1" w:after="200" w:line="276" w:lineRule="auto"/>
        <w:ind w:left="1282" w:hanging="355"/>
        <w:jc w:val="both"/>
        <w:textAlignment w:val="baseline"/>
        <w:rPr>
          <w:rFonts w:ascii="Calibri" w:hAnsi="Calibri" w:cs="Calibri"/>
          <w:sz w:val="22"/>
          <w:szCs w:val="22"/>
        </w:rPr>
      </w:pPr>
      <w:r>
        <w:rPr>
          <w:rFonts w:ascii="Calibri" w:hAnsi="Calibri" w:cs="Calibri"/>
          <w:sz w:val="22"/>
          <w:szCs w:val="22"/>
        </w:rPr>
        <w:t>N</w:t>
      </w:r>
      <w:r w:rsidR="00B84F6B" w:rsidRPr="00F61448">
        <w:rPr>
          <w:rFonts w:ascii="Calibri" w:hAnsi="Calibri" w:cs="Calibri"/>
          <w:sz w:val="22"/>
          <w:szCs w:val="22"/>
        </w:rPr>
        <w:t xml:space="preserve">iños con afectación de dos o más órganos o sistemas principales </w:t>
      </w:r>
    </w:p>
    <w:p w14:paraId="2ED390CD" w14:textId="7B7A9B98" w:rsidR="00F61448" w:rsidRDefault="00A8485E" w:rsidP="00F61448">
      <w:pPr>
        <w:pStyle w:val="Style"/>
        <w:numPr>
          <w:ilvl w:val="0"/>
          <w:numId w:val="2"/>
        </w:numPr>
        <w:spacing w:before="100" w:beforeAutospacing="1" w:after="200" w:line="276" w:lineRule="auto"/>
        <w:ind w:left="1296" w:hanging="360"/>
        <w:jc w:val="both"/>
        <w:textAlignment w:val="baseline"/>
        <w:rPr>
          <w:rFonts w:ascii="Calibri" w:hAnsi="Calibri" w:cs="Calibri"/>
          <w:sz w:val="22"/>
          <w:szCs w:val="22"/>
        </w:rPr>
      </w:pPr>
      <w:r>
        <w:rPr>
          <w:rFonts w:ascii="Calibri" w:hAnsi="Calibri" w:cs="Calibri"/>
          <w:sz w:val="22"/>
          <w:szCs w:val="22"/>
        </w:rPr>
        <w:t>C</w:t>
      </w:r>
      <w:r w:rsidR="00B84F6B" w:rsidRPr="00F61448">
        <w:rPr>
          <w:rFonts w:ascii="Calibri" w:hAnsi="Calibri" w:cs="Calibri"/>
          <w:sz w:val="22"/>
          <w:szCs w:val="22"/>
        </w:rPr>
        <w:t xml:space="preserve">on alto grado de dependencia de terceras personas en cuanto a las necesidades de cuidados </w:t>
      </w:r>
    </w:p>
    <w:p w14:paraId="4DEE2096" w14:textId="61B831CE" w:rsidR="00195F5F" w:rsidRDefault="00A8485E" w:rsidP="00F61448">
      <w:pPr>
        <w:pStyle w:val="Style"/>
        <w:numPr>
          <w:ilvl w:val="0"/>
          <w:numId w:val="3"/>
        </w:numPr>
        <w:spacing w:before="100" w:beforeAutospacing="1" w:after="200" w:line="276" w:lineRule="auto"/>
        <w:ind w:left="1296" w:hanging="360"/>
        <w:jc w:val="both"/>
        <w:textAlignment w:val="baseline"/>
        <w:rPr>
          <w:rFonts w:ascii="Calibri" w:hAnsi="Calibri" w:cs="Calibri"/>
          <w:sz w:val="22"/>
          <w:szCs w:val="22"/>
        </w:rPr>
      </w:pPr>
      <w:r>
        <w:rPr>
          <w:rFonts w:ascii="Calibri" w:hAnsi="Calibri" w:cs="Calibri"/>
          <w:sz w:val="22"/>
          <w:szCs w:val="22"/>
        </w:rPr>
        <w:t>Q</w:t>
      </w:r>
      <w:r w:rsidR="00B84F6B" w:rsidRPr="00F61448">
        <w:rPr>
          <w:rFonts w:ascii="Calibri" w:hAnsi="Calibri" w:cs="Calibri"/>
          <w:sz w:val="22"/>
          <w:szCs w:val="22"/>
        </w:rPr>
        <w:t xml:space="preserve">ue precisen de sistemas tecnológicos para optimizar alguna de sus funciones vitales </w:t>
      </w:r>
      <w:proofErr w:type="gramStart"/>
      <w:r w:rsidR="00B84F6B" w:rsidRPr="00F61448">
        <w:rPr>
          <w:rFonts w:ascii="Calibri" w:hAnsi="Calibri" w:cs="Calibri"/>
          <w:sz w:val="22"/>
          <w:szCs w:val="22"/>
        </w:rPr>
        <w:t>( digestiva</w:t>
      </w:r>
      <w:proofErr w:type="gramEnd"/>
      <w:r w:rsidR="00B84F6B" w:rsidRPr="00F61448">
        <w:rPr>
          <w:rFonts w:ascii="Calibri" w:hAnsi="Calibri" w:cs="Calibri"/>
          <w:sz w:val="22"/>
          <w:szCs w:val="22"/>
        </w:rPr>
        <w:t>, respiratoria, renal</w:t>
      </w:r>
      <w:r w:rsidR="00F61448">
        <w:rPr>
          <w:rFonts w:ascii="Calibri" w:hAnsi="Calibri" w:cs="Calibri"/>
          <w:sz w:val="22"/>
          <w:szCs w:val="22"/>
        </w:rPr>
        <w:t>…</w:t>
      </w:r>
      <w:r w:rsidR="00B84F6B" w:rsidRPr="00F61448">
        <w:rPr>
          <w:rFonts w:ascii="Calibri" w:hAnsi="Calibri" w:cs="Calibri"/>
          <w:sz w:val="22"/>
          <w:szCs w:val="22"/>
        </w:rPr>
        <w:t>)</w:t>
      </w:r>
    </w:p>
    <w:p w14:paraId="3CCEA478" w14:textId="41797217" w:rsidR="00F61448" w:rsidRPr="00F61448" w:rsidRDefault="00A8485E" w:rsidP="00F61448">
      <w:pPr>
        <w:pStyle w:val="Style"/>
        <w:numPr>
          <w:ilvl w:val="0"/>
          <w:numId w:val="3"/>
        </w:numPr>
        <w:spacing w:before="100" w:beforeAutospacing="1" w:after="200" w:line="276" w:lineRule="auto"/>
        <w:ind w:left="1286" w:hanging="360"/>
        <w:jc w:val="both"/>
        <w:textAlignment w:val="baseline"/>
        <w:rPr>
          <w:rFonts w:ascii="Calibri" w:hAnsi="Calibri" w:cs="Calibri"/>
          <w:sz w:val="22"/>
          <w:szCs w:val="22"/>
        </w:rPr>
      </w:pPr>
      <w:r>
        <w:rPr>
          <w:rFonts w:ascii="Calibri" w:hAnsi="Calibri" w:cs="Calibri"/>
          <w:sz w:val="22"/>
          <w:szCs w:val="22"/>
        </w:rPr>
        <w:t>E</w:t>
      </w:r>
      <w:r w:rsidR="00F61448" w:rsidRPr="00F61448">
        <w:rPr>
          <w:rFonts w:ascii="Calibri" w:hAnsi="Calibri" w:cs="Calibri"/>
          <w:sz w:val="22"/>
          <w:szCs w:val="22"/>
        </w:rPr>
        <w:t xml:space="preserve">n seguimiento por tres o más especialistas intrahospitalarios </w:t>
      </w:r>
    </w:p>
    <w:p w14:paraId="5E886ED3" w14:textId="7A98B029" w:rsidR="00F61448" w:rsidRPr="00F61448" w:rsidRDefault="00A8485E" w:rsidP="00F61448">
      <w:pPr>
        <w:pStyle w:val="Style"/>
        <w:numPr>
          <w:ilvl w:val="0"/>
          <w:numId w:val="3"/>
        </w:numPr>
        <w:spacing w:before="100" w:beforeAutospacing="1" w:after="200" w:line="276" w:lineRule="auto"/>
        <w:ind w:left="1286" w:hanging="360"/>
        <w:jc w:val="both"/>
        <w:textAlignment w:val="baseline"/>
        <w:rPr>
          <w:rFonts w:ascii="Calibri" w:hAnsi="Calibri" w:cs="Calibri"/>
          <w:sz w:val="22"/>
          <w:szCs w:val="22"/>
        </w:rPr>
      </w:pPr>
      <w:r>
        <w:rPr>
          <w:rFonts w:ascii="Calibri" w:hAnsi="Calibri" w:cs="Calibri"/>
          <w:sz w:val="22"/>
          <w:szCs w:val="22"/>
        </w:rPr>
        <w:t>Q</w:t>
      </w:r>
      <w:r w:rsidR="00F61448" w:rsidRPr="00F61448">
        <w:rPr>
          <w:rFonts w:ascii="Calibri" w:hAnsi="Calibri" w:cs="Calibri"/>
          <w:sz w:val="22"/>
          <w:szCs w:val="22"/>
        </w:rPr>
        <w:t xml:space="preserve">ue presenten dos o más episodios de ingreso no programado al año </w:t>
      </w:r>
    </w:p>
    <w:p w14:paraId="33108FB0" w14:textId="13E23701" w:rsidR="00F61448" w:rsidRDefault="00A8485E" w:rsidP="00F61448">
      <w:pPr>
        <w:pStyle w:val="Style"/>
        <w:numPr>
          <w:ilvl w:val="0"/>
          <w:numId w:val="3"/>
        </w:numPr>
        <w:spacing w:before="100" w:beforeAutospacing="1" w:after="200" w:line="276" w:lineRule="auto"/>
        <w:ind w:left="1296" w:hanging="360"/>
        <w:jc w:val="both"/>
        <w:textAlignment w:val="baseline"/>
        <w:rPr>
          <w:rFonts w:ascii="Calibri" w:hAnsi="Calibri" w:cs="Calibri"/>
          <w:sz w:val="22"/>
          <w:szCs w:val="22"/>
        </w:rPr>
      </w:pPr>
      <w:r>
        <w:rPr>
          <w:rFonts w:ascii="Calibri" w:hAnsi="Calibri" w:cs="Calibri"/>
          <w:sz w:val="22"/>
          <w:szCs w:val="22"/>
        </w:rPr>
        <w:t>C</w:t>
      </w:r>
      <w:r w:rsidR="00F61448" w:rsidRPr="00F61448">
        <w:rPr>
          <w:rFonts w:ascii="Calibri" w:hAnsi="Calibri" w:cs="Calibri"/>
          <w:sz w:val="22"/>
          <w:szCs w:val="22"/>
        </w:rPr>
        <w:t xml:space="preserve">on riesgo de compromiso vital en caso de descompensación metabólica </w:t>
      </w:r>
    </w:p>
    <w:p w14:paraId="1D651028" w14:textId="01F50EDF" w:rsidR="00F61448" w:rsidRPr="00F61448" w:rsidRDefault="00A8485E" w:rsidP="00F61448">
      <w:pPr>
        <w:pStyle w:val="Style"/>
        <w:numPr>
          <w:ilvl w:val="0"/>
          <w:numId w:val="3"/>
        </w:numPr>
        <w:spacing w:before="100" w:beforeAutospacing="1" w:after="200" w:line="276" w:lineRule="auto"/>
        <w:ind w:left="1296" w:hanging="360"/>
        <w:jc w:val="both"/>
        <w:textAlignment w:val="baseline"/>
        <w:rPr>
          <w:rFonts w:ascii="Calibri" w:hAnsi="Calibri" w:cs="Calibri"/>
          <w:sz w:val="22"/>
          <w:szCs w:val="22"/>
        </w:rPr>
      </w:pPr>
      <w:r>
        <w:rPr>
          <w:rFonts w:ascii="Calibri" w:hAnsi="Calibri" w:cs="Calibri"/>
          <w:sz w:val="22"/>
          <w:szCs w:val="22"/>
        </w:rPr>
        <w:t>F</w:t>
      </w:r>
      <w:r w:rsidR="00F61448" w:rsidRPr="00F61448">
        <w:rPr>
          <w:rFonts w:ascii="Calibri" w:hAnsi="Calibri" w:cs="Calibri"/>
          <w:sz w:val="22"/>
          <w:szCs w:val="22"/>
        </w:rPr>
        <w:t xml:space="preserve">amilias con elevada vulnerabilidad social </w:t>
      </w:r>
    </w:p>
    <w:p w14:paraId="34A71A1D" w14:textId="77777777" w:rsidR="00F61448" w:rsidRDefault="00B84F6B" w:rsidP="00F61448">
      <w:pPr>
        <w:pStyle w:val="Style"/>
        <w:spacing w:before="100" w:beforeAutospacing="1" w:after="200" w:line="276" w:lineRule="auto"/>
        <w:jc w:val="both"/>
        <w:textAlignment w:val="baseline"/>
        <w:rPr>
          <w:rFonts w:ascii="Calibri" w:hAnsi="Calibri" w:cs="Calibri"/>
          <w:sz w:val="22"/>
          <w:szCs w:val="22"/>
        </w:rPr>
      </w:pPr>
      <w:r w:rsidRPr="00F61448">
        <w:rPr>
          <w:rFonts w:ascii="Calibri" w:hAnsi="Calibri" w:cs="Calibri"/>
          <w:sz w:val="22"/>
          <w:szCs w:val="22"/>
        </w:rPr>
        <w:t xml:space="preserve">La población diana inicial está constituida por aquellos pacientes identificados directamente por los profesionales de pediatría de los 3 hospitales de nuestra comunidad que cumplen los criterios indicados. </w:t>
      </w:r>
    </w:p>
    <w:p w14:paraId="1662E89F" w14:textId="77777777" w:rsidR="00F61448" w:rsidRDefault="00B84F6B" w:rsidP="00F61448">
      <w:pPr>
        <w:pStyle w:val="Style"/>
        <w:spacing w:before="100" w:beforeAutospacing="1" w:after="200" w:line="276" w:lineRule="auto"/>
        <w:ind w:left="5"/>
        <w:jc w:val="both"/>
        <w:textAlignment w:val="baseline"/>
        <w:rPr>
          <w:rFonts w:ascii="Calibri" w:hAnsi="Calibri" w:cs="Calibri"/>
          <w:sz w:val="22"/>
          <w:szCs w:val="22"/>
        </w:rPr>
      </w:pPr>
      <w:r w:rsidRPr="00F61448">
        <w:rPr>
          <w:rFonts w:ascii="Calibri" w:hAnsi="Calibri" w:cs="Calibri"/>
          <w:sz w:val="22"/>
          <w:szCs w:val="22"/>
        </w:rPr>
        <w:t xml:space="preserve">El profesional de referencia es un pediatra de la Unidad del niño crónico complejo. </w:t>
      </w:r>
    </w:p>
    <w:p w14:paraId="17F2BF31" w14:textId="77777777" w:rsidR="00F61448" w:rsidRDefault="00B84F6B" w:rsidP="00F61448">
      <w:pPr>
        <w:pStyle w:val="Style"/>
        <w:spacing w:before="100" w:beforeAutospacing="1" w:after="200" w:line="276" w:lineRule="auto"/>
        <w:ind w:left="19"/>
        <w:jc w:val="both"/>
        <w:textAlignment w:val="baseline"/>
        <w:rPr>
          <w:rFonts w:ascii="Calibri" w:hAnsi="Calibri" w:cs="Calibri"/>
          <w:sz w:val="22"/>
          <w:szCs w:val="22"/>
        </w:rPr>
      </w:pPr>
      <w:r w:rsidRPr="00F61448">
        <w:rPr>
          <w:rFonts w:ascii="Calibri" w:hAnsi="Calibri" w:cs="Calibri"/>
          <w:sz w:val="22"/>
          <w:szCs w:val="22"/>
        </w:rPr>
        <w:t xml:space="preserve">15 pacientes con espina bífida están atendidos actualmente en dicha unidad. </w:t>
      </w:r>
    </w:p>
    <w:p w14:paraId="72E6D114" w14:textId="77777777" w:rsidR="00F61448" w:rsidRPr="00940A1B" w:rsidRDefault="00B84F6B" w:rsidP="00F61448">
      <w:pPr>
        <w:pStyle w:val="Style"/>
        <w:spacing w:before="100" w:beforeAutospacing="1" w:after="200" w:line="276" w:lineRule="auto"/>
        <w:jc w:val="both"/>
        <w:textAlignment w:val="baseline"/>
        <w:rPr>
          <w:rFonts w:ascii="Calibri" w:hAnsi="Calibri" w:cs="Calibri"/>
          <w:bCs/>
          <w:sz w:val="22"/>
          <w:szCs w:val="22"/>
          <w:u w:val="single"/>
        </w:rPr>
      </w:pPr>
      <w:r w:rsidRPr="00940A1B">
        <w:rPr>
          <w:rFonts w:ascii="Calibri" w:hAnsi="Calibri" w:cs="Calibri"/>
          <w:bCs/>
          <w:sz w:val="22"/>
          <w:szCs w:val="22"/>
          <w:u w:val="single"/>
        </w:rPr>
        <w:lastRenderedPageBreak/>
        <w:t xml:space="preserve">Adultos: </w:t>
      </w:r>
    </w:p>
    <w:p w14:paraId="5EBCC46D" w14:textId="77777777" w:rsidR="00F61448" w:rsidRDefault="00B84F6B" w:rsidP="00F61448">
      <w:pPr>
        <w:pStyle w:val="Style"/>
        <w:spacing w:before="100" w:beforeAutospacing="1" w:after="200" w:line="276" w:lineRule="auto"/>
        <w:jc w:val="both"/>
        <w:textAlignment w:val="baseline"/>
        <w:rPr>
          <w:rFonts w:ascii="Calibri" w:hAnsi="Calibri" w:cs="Calibri"/>
          <w:sz w:val="22"/>
          <w:szCs w:val="22"/>
        </w:rPr>
      </w:pPr>
      <w:r w:rsidRPr="00F61448">
        <w:rPr>
          <w:rFonts w:ascii="Calibri" w:hAnsi="Calibri" w:cs="Calibri"/>
          <w:sz w:val="22"/>
          <w:szCs w:val="22"/>
        </w:rPr>
        <w:t xml:space="preserve">En el caso de los adultos el procedimiento es diferente, porque para el abordaje del paciente crónico, existen unos perfiles definidos (pluripatológico, demencia, diabetes, insuficiencia cardiaca, EPOC, fibromialgia, </w:t>
      </w:r>
      <w:r w:rsidRPr="00F61448">
        <w:rPr>
          <w:rFonts w:ascii="Calibri" w:hAnsi="Calibri" w:cs="Calibri"/>
          <w:w w:val="91"/>
          <w:sz w:val="22"/>
          <w:szCs w:val="22"/>
        </w:rPr>
        <w:t xml:space="preserve">y </w:t>
      </w:r>
      <w:r w:rsidRPr="00F61448">
        <w:rPr>
          <w:rFonts w:ascii="Calibri" w:hAnsi="Calibri" w:cs="Calibri"/>
          <w:sz w:val="22"/>
          <w:szCs w:val="22"/>
        </w:rPr>
        <w:t xml:space="preserve">neurodegenerativas). Cada perfil tiene unos criterios de inclusión específicos </w:t>
      </w:r>
      <w:r w:rsidRPr="00F61448">
        <w:rPr>
          <w:rFonts w:ascii="Calibri" w:eastAsia="Arial" w:hAnsi="Calibri" w:cs="Calibri"/>
          <w:sz w:val="22"/>
          <w:szCs w:val="22"/>
        </w:rPr>
        <w:t xml:space="preserve">y </w:t>
      </w:r>
      <w:r w:rsidRPr="00F61448">
        <w:rPr>
          <w:rFonts w:ascii="Calibri" w:hAnsi="Calibri" w:cs="Calibri"/>
          <w:sz w:val="22"/>
          <w:szCs w:val="22"/>
        </w:rPr>
        <w:t xml:space="preserve">está definido quién es el especialista de referencia. </w:t>
      </w:r>
    </w:p>
    <w:p w14:paraId="451CEB8A" w14:textId="77777777" w:rsidR="00F61448" w:rsidRDefault="00B84F6B" w:rsidP="00F61448">
      <w:pPr>
        <w:pStyle w:val="Style"/>
        <w:spacing w:before="100" w:beforeAutospacing="1" w:after="200" w:line="276" w:lineRule="auto"/>
        <w:ind w:left="5"/>
        <w:jc w:val="both"/>
        <w:textAlignment w:val="baseline"/>
        <w:rPr>
          <w:rFonts w:ascii="Calibri" w:hAnsi="Calibri" w:cs="Calibri"/>
          <w:sz w:val="22"/>
          <w:szCs w:val="22"/>
        </w:rPr>
      </w:pPr>
      <w:r w:rsidRPr="00F61448">
        <w:rPr>
          <w:rFonts w:ascii="Calibri" w:hAnsi="Calibri" w:cs="Calibri"/>
          <w:sz w:val="22"/>
          <w:szCs w:val="22"/>
        </w:rPr>
        <w:t xml:space="preserve">En el caso del perfil pluripatológico, la población diana está compuesta por aquellos pacientes que presentan un GMA de 4-5 </w:t>
      </w:r>
      <w:r w:rsidRPr="00F61448">
        <w:rPr>
          <w:rFonts w:ascii="Calibri" w:hAnsi="Calibri" w:cs="Calibri"/>
          <w:w w:val="91"/>
          <w:sz w:val="22"/>
          <w:szCs w:val="22"/>
        </w:rPr>
        <w:t xml:space="preserve">y </w:t>
      </w:r>
      <w:r w:rsidRPr="00F61448">
        <w:rPr>
          <w:rFonts w:ascii="Calibri" w:hAnsi="Calibri" w:cs="Calibri"/>
          <w:sz w:val="22"/>
          <w:szCs w:val="22"/>
        </w:rPr>
        <w:t xml:space="preserve">3 o más de las siguientes patologías: </w:t>
      </w:r>
    </w:p>
    <w:p w14:paraId="6380C5E9" w14:textId="77777777" w:rsidR="00F61448" w:rsidRDefault="00B84F6B" w:rsidP="00F61448">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EPOC </w:t>
      </w:r>
    </w:p>
    <w:p w14:paraId="6AC15750" w14:textId="77777777" w:rsidR="00AB42FF" w:rsidRDefault="00B84F6B"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Insuficiencia cardiaca congestiva </w:t>
      </w:r>
    </w:p>
    <w:p w14:paraId="111DB5ED" w14:textId="77777777" w:rsidR="00AB42FF" w:rsidRDefault="00AB42FF"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Insuficiencia renal </w:t>
      </w:r>
    </w:p>
    <w:p w14:paraId="2C14489B" w14:textId="77777777" w:rsidR="00AB42FF" w:rsidRDefault="00AB42FF"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Asma </w:t>
      </w:r>
    </w:p>
    <w:p w14:paraId="7DE4E637" w14:textId="77777777" w:rsidR="00AB42FF" w:rsidRDefault="00AB42FF"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ACV </w:t>
      </w:r>
    </w:p>
    <w:p w14:paraId="36FE3B2C" w14:textId="77777777" w:rsidR="00AB42FF" w:rsidRDefault="00AB42FF"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Insuficiencia hepática </w:t>
      </w:r>
    </w:p>
    <w:p w14:paraId="45348129" w14:textId="77777777" w:rsidR="00AB42FF" w:rsidRDefault="00AB42FF"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Cardiopatía Isquémica </w:t>
      </w:r>
    </w:p>
    <w:p w14:paraId="25D8988E" w14:textId="77777777" w:rsidR="00AB42FF" w:rsidRDefault="00AB42FF"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Diabetes Mellitus </w:t>
      </w:r>
    </w:p>
    <w:p w14:paraId="3CC282DC" w14:textId="18DB0842" w:rsidR="00AB42FF" w:rsidRPr="00F61448" w:rsidRDefault="00AB42FF" w:rsidP="00AB42FF">
      <w:pPr>
        <w:pStyle w:val="Style"/>
        <w:spacing w:before="100" w:beforeAutospacing="1" w:after="200" w:line="276" w:lineRule="auto"/>
        <w:ind w:left="926"/>
        <w:jc w:val="both"/>
        <w:textAlignment w:val="baseline"/>
        <w:rPr>
          <w:rFonts w:ascii="Calibri" w:hAnsi="Calibri" w:cs="Calibri"/>
          <w:sz w:val="22"/>
          <w:szCs w:val="22"/>
        </w:rPr>
      </w:pPr>
      <w:r w:rsidRPr="00F61448">
        <w:rPr>
          <w:rFonts w:ascii="Calibri" w:hAnsi="Calibri" w:cs="Calibri"/>
          <w:sz w:val="22"/>
          <w:szCs w:val="22"/>
        </w:rPr>
        <w:t xml:space="preserve">• Demencia </w:t>
      </w:r>
    </w:p>
    <w:p w14:paraId="0442F2A0" w14:textId="77777777" w:rsidR="00F61448" w:rsidRDefault="00B84F6B" w:rsidP="00F61448">
      <w:pPr>
        <w:pStyle w:val="Style"/>
        <w:spacing w:before="100" w:beforeAutospacing="1" w:after="200" w:line="276" w:lineRule="auto"/>
        <w:jc w:val="both"/>
        <w:textAlignment w:val="baseline"/>
        <w:rPr>
          <w:rFonts w:ascii="Calibri" w:hAnsi="Calibri" w:cs="Calibri"/>
          <w:sz w:val="22"/>
          <w:szCs w:val="22"/>
        </w:rPr>
      </w:pPr>
      <w:r w:rsidRPr="00F61448">
        <w:rPr>
          <w:rFonts w:ascii="Calibri" w:hAnsi="Calibri" w:cs="Calibri"/>
          <w:sz w:val="22"/>
          <w:szCs w:val="22"/>
        </w:rPr>
        <w:t xml:space="preserve">Actualmente hay 226 pacientes con espina bífida que además cumplen criterios para estar incluidos en la estrategia del paciente crónico y pluripatológico. </w:t>
      </w:r>
    </w:p>
    <w:p w14:paraId="3970825F" w14:textId="77777777" w:rsidR="00F61448" w:rsidRDefault="00B84F6B" w:rsidP="00F61448">
      <w:pPr>
        <w:pStyle w:val="Style"/>
        <w:spacing w:before="100" w:beforeAutospacing="1" w:after="200" w:line="276" w:lineRule="auto"/>
        <w:jc w:val="both"/>
        <w:textAlignment w:val="baseline"/>
        <w:rPr>
          <w:rFonts w:ascii="Calibri" w:hAnsi="Calibri" w:cs="Calibri"/>
          <w:sz w:val="22"/>
          <w:szCs w:val="22"/>
        </w:rPr>
      </w:pPr>
      <w:r w:rsidRPr="00F61448">
        <w:rPr>
          <w:rFonts w:ascii="Calibri" w:hAnsi="Calibri" w:cs="Calibri"/>
          <w:sz w:val="22"/>
          <w:szCs w:val="22"/>
        </w:rPr>
        <w:t xml:space="preserve">La coordinación entre los distintos profesionales de distintos perfiles (medicina, enfermería, fisioterapia y otros) y de distintas especialidades (Atención Primaria, Urología, Traumatología, Rehabilitación) en estos casos se hace imprescindible. El modelo sanitario que se plantea pretende gestionar la atención de cada uno de estos pacientes de una forma integrada e individualizada, lo cual comienza por la realización de una adecuada evaluación integral del paciente y su entorno. </w:t>
      </w:r>
    </w:p>
    <w:p w14:paraId="4647B7AA" w14:textId="1762840C" w:rsidR="00195F5F" w:rsidRPr="00F61448" w:rsidRDefault="00B84F6B" w:rsidP="00F61448">
      <w:pPr>
        <w:pStyle w:val="Style"/>
        <w:spacing w:before="100" w:beforeAutospacing="1" w:after="200" w:line="276" w:lineRule="auto"/>
        <w:jc w:val="both"/>
        <w:textAlignment w:val="baseline"/>
        <w:rPr>
          <w:rFonts w:ascii="Calibri" w:hAnsi="Calibri" w:cs="Calibri"/>
          <w:sz w:val="22"/>
          <w:szCs w:val="22"/>
        </w:rPr>
      </w:pPr>
      <w:r w:rsidRPr="00F61448">
        <w:rPr>
          <w:rFonts w:ascii="Calibri" w:hAnsi="Calibri" w:cs="Calibri"/>
          <w:sz w:val="22"/>
          <w:szCs w:val="22"/>
        </w:rPr>
        <w:t xml:space="preserve">Si bien no se puede incluir en la Estrategia del niño crónico complejo a pacientes mayores de 14 años, el seguimiento de los que ya hayan sido incluidos y que superen esa edad, se está realizando de manera individualizada hasta la elaboración de un modelo general de transición entre las especialidades pediátricas y de adultos. </w:t>
      </w:r>
    </w:p>
    <w:p w14:paraId="20AABCB0" w14:textId="43F6158D" w:rsidR="00F61448" w:rsidRDefault="00AB42FF" w:rsidP="00F61448">
      <w:pPr>
        <w:pStyle w:val="Style"/>
        <w:spacing w:before="100" w:beforeAutospacing="1" w:after="200" w:line="276" w:lineRule="auto"/>
        <w:jc w:val="both"/>
        <w:textAlignment w:val="baseline"/>
        <w:rPr>
          <w:rFonts w:ascii="Calibri" w:hAnsi="Calibri" w:cs="Calibri"/>
          <w:sz w:val="22"/>
          <w:szCs w:val="22"/>
        </w:rPr>
      </w:pPr>
      <w:r>
        <w:rPr>
          <w:rFonts w:ascii="Calibri" w:hAnsi="Calibri" w:cs="Calibri"/>
          <w:sz w:val="22"/>
          <w:szCs w:val="22"/>
        </w:rPr>
        <w:t>E</w:t>
      </w:r>
      <w:r w:rsidR="00B84F6B" w:rsidRPr="00F61448">
        <w:rPr>
          <w:rFonts w:ascii="Calibri" w:hAnsi="Calibri" w:cs="Calibri"/>
          <w:sz w:val="22"/>
          <w:szCs w:val="22"/>
        </w:rPr>
        <w:t xml:space="preserve">n este sentido y tras la última reunión con miembros de la Asociación de Espina bífida, nos hemos planteado elaborar un modelo de atención para los adultos, basada en la estrategia de crónicos para aquellos pacientes que lo requieran y que facilite la transición entre aquellos que </w:t>
      </w:r>
      <w:r w:rsidR="00B84F6B" w:rsidRPr="00F61448">
        <w:rPr>
          <w:rFonts w:ascii="Calibri" w:hAnsi="Calibri" w:cs="Calibri"/>
          <w:sz w:val="22"/>
          <w:szCs w:val="22"/>
        </w:rPr>
        <w:lastRenderedPageBreak/>
        <w:t xml:space="preserve">ya están siendo atendidos en la unidad del niño crónico complejo. </w:t>
      </w:r>
    </w:p>
    <w:p w14:paraId="3F612FFF" w14:textId="77777777" w:rsidR="00F61448" w:rsidRDefault="00B84F6B" w:rsidP="00F61448">
      <w:pPr>
        <w:pStyle w:val="Style"/>
        <w:spacing w:before="100" w:beforeAutospacing="1" w:after="200" w:line="276" w:lineRule="auto"/>
        <w:ind w:left="5"/>
        <w:jc w:val="both"/>
        <w:textAlignment w:val="baseline"/>
        <w:rPr>
          <w:rFonts w:ascii="Calibri" w:hAnsi="Calibri" w:cs="Calibri"/>
          <w:sz w:val="22"/>
          <w:szCs w:val="22"/>
        </w:rPr>
      </w:pPr>
      <w:r w:rsidRPr="00F61448">
        <w:rPr>
          <w:rFonts w:ascii="Calibri" w:hAnsi="Calibri" w:cs="Calibri"/>
          <w:sz w:val="22"/>
          <w:szCs w:val="22"/>
        </w:rPr>
        <w:t xml:space="preserve">Es cuanto informo en cumplimiento de lo dispuesto en el artículo 215 del Reglamento del Parlamento de Navarra. </w:t>
      </w:r>
    </w:p>
    <w:p w14:paraId="4BF3FF21" w14:textId="77777777" w:rsidR="00AB42FF" w:rsidRDefault="00B84F6B" w:rsidP="00AB42FF">
      <w:pPr>
        <w:pStyle w:val="Style"/>
        <w:spacing w:before="100" w:beforeAutospacing="1" w:after="200" w:line="276" w:lineRule="auto"/>
        <w:ind w:right="1800"/>
        <w:jc w:val="both"/>
        <w:textAlignment w:val="baseline"/>
        <w:rPr>
          <w:rFonts w:ascii="Calibri" w:hAnsi="Calibri" w:cs="Calibri"/>
          <w:sz w:val="22"/>
          <w:szCs w:val="22"/>
        </w:rPr>
      </w:pPr>
      <w:r w:rsidRPr="00F61448">
        <w:rPr>
          <w:rFonts w:ascii="Calibri" w:hAnsi="Calibri" w:cs="Calibri"/>
          <w:sz w:val="22"/>
          <w:szCs w:val="22"/>
        </w:rPr>
        <w:t>Pamplona-</w:t>
      </w:r>
      <w:proofErr w:type="spellStart"/>
      <w:r w:rsidRPr="00F61448">
        <w:rPr>
          <w:rFonts w:ascii="Calibri" w:hAnsi="Calibri" w:cs="Calibri"/>
          <w:sz w:val="22"/>
          <w:szCs w:val="22"/>
        </w:rPr>
        <w:t>Iruñea</w:t>
      </w:r>
      <w:proofErr w:type="spellEnd"/>
      <w:r w:rsidRPr="00F61448">
        <w:rPr>
          <w:rFonts w:ascii="Calibri" w:hAnsi="Calibri" w:cs="Calibri"/>
          <w:sz w:val="22"/>
          <w:szCs w:val="22"/>
        </w:rPr>
        <w:t>, 21 de febrero de 2024</w:t>
      </w:r>
    </w:p>
    <w:p w14:paraId="154C52CB" w14:textId="03701B9E" w:rsidR="00AB42FF" w:rsidRPr="00F61448" w:rsidRDefault="00AB42FF" w:rsidP="00AB42FF">
      <w:pPr>
        <w:pStyle w:val="Style"/>
        <w:spacing w:before="100" w:beforeAutospacing="1" w:after="200" w:line="276" w:lineRule="auto"/>
        <w:ind w:right="1800"/>
        <w:jc w:val="both"/>
        <w:textAlignment w:val="baseline"/>
        <w:rPr>
          <w:rFonts w:ascii="Calibri" w:hAnsi="Calibri" w:cs="Calibri"/>
          <w:sz w:val="22"/>
          <w:szCs w:val="22"/>
        </w:rPr>
      </w:pPr>
      <w:r>
        <w:rPr>
          <w:rFonts w:ascii="Calibri" w:hAnsi="Calibri" w:cs="Calibri"/>
          <w:sz w:val="22"/>
          <w:szCs w:val="22"/>
        </w:rPr>
        <w:t xml:space="preserve">El </w:t>
      </w:r>
      <w:proofErr w:type="gramStart"/>
      <w:r>
        <w:rPr>
          <w:rFonts w:ascii="Calibri" w:hAnsi="Calibri" w:cs="Calibri"/>
          <w:sz w:val="22"/>
          <w:szCs w:val="22"/>
        </w:rPr>
        <w:t>Consejero</w:t>
      </w:r>
      <w:proofErr w:type="gramEnd"/>
      <w:r>
        <w:rPr>
          <w:rFonts w:ascii="Calibri" w:hAnsi="Calibri" w:cs="Calibri"/>
          <w:sz w:val="22"/>
          <w:szCs w:val="22"/>
        </w:rPr>
        <w:t xml:space="preserve"> de Salud: </w:t>
      </w:r>
      <w:r w:rsidR="00B84F6B" w:rsidRPr="00F61448">
        <w:rPr>
          <w:rFonts w:ascii="Calibri" w:eastAsia="Arial" w:hAnsi="Calibri" w:cs="Calibri"/>
          <w:sz w:val="22"/>
          <w:szCs w:val="22"/>
        </w:rPr>
        <w:t xml:space="preserve">Fernando Domínguez </w:t>
      </w:r>
      <w:proofErr w:type="spellStart"/>
      <w:r w:rsidR="00B84F6B" w:rsidRPr="00F61448">
        <w:rPr>
          <w:rFonts w:ascii="Calibri" w:eastAsia="Arial" w:hAnsi="Calibri" w:cs="Calibri"/>
          <w:sz w:val="22"/>
          <w:szCs w:val="22"/>
        </w:rPr>
        <w:t>Cunchillos</w:t>
      </w:r>
      <w:proofErr w:type="spellEnd"/>
      <w:r w:rsidR="00B84F6B" w:rsidRPr="00F61448">
        <w:rPr>
          <w:rFonts w:ascii="Calibri" w:eastAsia="Arial" w:hAnsi="Calibri" w:cs="Calibri"/>
          <w:sz w:val="22"/>
          <w:szCs w:val="22"/>
        </w:rPr>
        <w:t xml:space="preserve"> </w:t>
      </w:r>
    </w:p>
    <w:p w14:paraId="3FF14C26" w14:textId="386A1AFC" w:rsidR="00195F5F" w:rsidRPr="00F61448" w:rsidRDefault="00195F5F" w:rsidP="00D509CD">
      <w:pPr>
        <w:pStyle w:val="Style"/>
        <w:spacing w:before="100" w:beforeAutospacing="1" w:after="200" w:line="276" w:lineRule="auto"/>
        <w:ind w:right="2405"/>
        <w:jc w:val="both"/>
        <w:textAlignment w:val="baseline"/>
        <w:rPr>
          <w:rFonts w:ascii="Calibri" w:hAnsi="Calibri" w:cs="Calibri"/>
          <w:sz w:val="22"/>
          <w:szCs w:val="22"/>
        </w:rPr>
      </w:pPr>
    </w:p>
    <w:sectPr w:rsidR="00195F5F" w:rsidRPr="00F61448" w:rsidSect="00F61448">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0206"/>
    <w:multiLevelType w:val="singleLevel"/>
    <w:tmpl w:val="92AA074C"/>
    <w:lvl w:ilvl="0">
      <w:numFmt w:val="bullet"/>
      <w:lvlText w:val="~"/>
      <w:legacy w:legacy="1" w:legacySpace="0" w:legacyIndent="0"/>
      <w:lvlJc w:val="left"/>
      <w:rPr>
        <w:rFonts w:ascii="Arial" w:hAnsi="Arial" w:cs="Arial" w:hint="default"/>
        <w:sz w:val="22"/>
        <w:szCs w:val="22"/>
      </w:rPr>
    </w:lvl>
  </w:abstractNum>
  <w:abstractNum w:abstractNumId="1" w15:restartNumberingAfterBreak="0">
    <w:nsid w:val="0F950668"/>
    <w:multiLevelType w:val="singleLevel"/>
    <w:tmpl w:val="E146C18E"/>
    <w:lvl w:ilvl="0">
      <w:numFmt w:val="bullet"/>
      <w:lvlText w:val=""/>
      <w:legacy w:legacy="1" w:legacySpace="0" w:legacyIndent="0"/>
      <w:lvlJc w:val="left"/>
      <w:rPr>
        <w:rFonts w:ascii="Symbol" w:hAnsi="Symbol" w:cs="Symbol" w:hint="default"/>
        <w:sz w:val="26"/>
        <w:szCs w:val="26"/>
      </w:rPr>
    </w:lvl>
  </w:abstractNum>
  <w:abstractNum w:abstractNumId="2" w15:restartNumberingAfterBreak="0">
    <w:nsid w:val="360A6405"/>
    <w:multiLevelType w:val="singleLevel"/>
    <w:tmpl w:val="DDF6D252"/>
    <w:lvl w:ilvl="0">
      <w:numFmt w:val="bullet"/>
      <w:lvlText w:val="~"/>
      <w:legacy w:legacy="1" w:legacySpace="0" w:legacyIndent="0"/>
      <w:lvlJc w:val="left"/>
      <w:rPr>
        <w:rFonts w:ascii="Arial" w:hAnsi="Arial" w:cs="Arial" w:hint="default"/>
        <w:sz w:val="22"/>
        <w:szCs w:val="22"/>
      </w:rPr>
    </w:lvl>
  </w:abstractNum>
  <w:abstractNum w:abstractNumId="3" w15:restartNumberingAfterBreak="0">
    <w:nsid w:val="489F339A"/>
    <w:multiLevelType w:val="singleLevel"/>
    <w:tmpl w:val="9F5E654C"/>
    <w:lvl w:ilvl="0">
      <w:numFmt w:val="bullet"/>
      <w:lvlText w:val=""/>
      <w:legacy w:legacy="1" w:legacySpace="0" w:legacyIndent="0"/>
      <w:lvlJc w:val="left"/>
      <w:rPr>
        <w:rFonts w:ascii="Symbol" w:hAnsi="Symbol" w:cs="Symbol" w:hint="default"/>
        <w:sz w:val="26"/>
        <w:szCs w:val="26"/>
      </w:rPr>
    </w:lvl>
  </w:abstractNum>
  <w:abstractNum w:abstractNumId="4" w15:restartNumberingAfterBreak="0">
    <w:nsid w:val="58C840DF"/>
    <w:multiLevelType w:val="singleLevel"/>
    <w:tmpl w:val="C134741A"/>
    <w:lvl w:ilvl="0">
      <w:numFmt w:val="bullet"/>
      <w:lvlText w:val=""/>
      <w:legacy w:legacy="1" w:legacySpace="0" w:legacyIndent="0"/>
      <w:lvlJc w:val="left"/>
      <w:rPr>
        <w:rFonts w:ascii="Symbol" w:hAnsi="Symbol" w:cs="Symbol" w:hint="default"/>
        <w:sz w:val="26"/>
        <w:szCs w:val="26"/>
      </w:rPr>
    </w:lvl>
  </w:abstractNum>
  <w:abstractNum w:abstractNumId="5" w15:restartNumberingAfterBreak="0">
    <w:nsid w:val="61BA585C"/>
    <w:multiLevelType w:val="singleLevel"/>
    <w:tmpl w:val="07DCD764"/>
    <w:lvl w:ilvl="0">
      <w:numFmt w:val="bullet"/>
      <w:lvlText w:val="~"/>
      <w:legacy w:legacy="1" w:legacySpace="0" w:legacyIndent="0"/>
      <w:lvlJc w:val="left"/>
      <w:rPr>
        <w:rFonts w:ascii="Arial" w:hAnsi="Arial" w:cs="Arial" w:hint="default"/>
        <w:sz w:val="22"/>
        <w:szCs w:val="22"/>
      </w:rPr>
    </w:lvl>
  </w:abstractNum>
  <w:abstractNum w:abstractNumId="6" w15:restartNumberingAfterBreak="0">
    <w:nsid w:val="7A975124"/>
    <w:multiLevelType w:val="singleLevel"/>
    <w:tmpl w:val="37DE8CDC"/>
    <w:lvl w:ilvl="0">
      <w:numFmt w:val="bullet"/>
      <w:lvlText w:val="~"/>
      <w:legacy w:legacy="1" w:legacySpace="0" w:legacyIndent="0"/>
      <w:lvlJc w:val="left"/>
      <w:rPr>
        <w:rFonts w:ascii="Arial" w:hAnsi="Arial" w:cs="Arial" w:hint="default"/>
        <w:sz w:val="22"/>
        <w:szCs w:val="22"/>
      </w:rPr>
    </w:lvl>
  </w:abstractNum>
  <w:num w:numId="1" w16cid:durableId="588513599">
    <w:abstractNumId w:val="5"/>
  </w:num>
  <w:num w:numId="2" w16cid:durableId="1206678266">
    <w:abstractNumId w:val="3"/>
  </w:num>
  <w:num w:numId="3" w16cid:durableId="348530299">
    <w:abstractNumId w:val="4"/>
  </w:num>
  <w:num w:numId="4" w16cid:durableId="664477849">
    <w:abstractNumId w:val="0"/>
  </w:num>
  <w:num w:numId="5" w16cid:durableId="1793475550">
    <w:abstractNumId w:val="1"/>
  </w:num>
  <w:num w:numId="6" w16cid:durableId="1409814409">
    <w:abstractNumId w:val="2"/>
  </w:num>
  <w:num w:numId="7" w16cid:durableId="180893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5F5F"/>
    <w:rsid w:val="00195F5F"/>
    <w:rsid w:val="00940A1B"/>
    <w:rsid w:val="00A05BEE"/>
    <w:rsid w:val="00A8485E"/>
    <w:rsid w:val="00AB42FF"/>
    <w:rsid w:val="00B84F6B"/>
    <w:rsid w:val="00D509CD"/>
    <w:rsid w:val="00F61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2854"/>
  <w15:docId w15:val="{E46F4B53-153A-413B-A2BF-C44344C9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706</Words>
  <Characters>3886</Characters>
  <Application>Microsoft Office Word</Application>
  <DocSecurity>0</DocSecurity>
  <Lines>32</Lines>
  <Paragraphs>9</Paragraphs>
  <ScaleCrop>false</ScaleCrop>
  <Company>HP Inc.</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 PES 45</dc:title>
  <dc:creator>informatica</dc:creator>
  <cp:keywords>CreatedByIRIS_Readiris_17.0</cp:keywords>
  <cp:lastModifiedBy>Mauleón, Fernando</cp:lastModifiedBy>
  <cp:revision>8</cp:revision>
  <dcterms:created xsi:type="dcterms:W3CDTF">2024-02-29T12:18:00Z</dcterms:created>
  <dcterms:modified xsi:type="dcterms:W3CDTF">2024-04-26T08:37:00Z</dcterms:modified>
</cp:coreProperties>
</file>