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94C0" w14:textId="306CF10C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567C1">
        <w:rPr>
          <w:rFonts w:ascii="Calibri" w:hAnsi="Calibri" w:cs="Calibri"/>
          <w:sz w:val="22"/>
          <w:szCs w:val="22"/>
        </w:rPr>
        <w:t>24POR-102</w:t>
      </w:r>
    </w:p>
    <w:p w14:paraId="7B6757E6" w14:textId="6E4C8CB1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567C1">
        <w:rPr>
          <w:rFonts w:ascii="Calibri" w:hAnsi="Calibri" w:cs="Calibri"/>
          <w:sz w:val="22"/>
          <w:szCs w:val="22"/>
        </w:rPr>
        <w:t xml:space="preserve">Doña </w:t>
      </w:r>
      <w:r w:rsidRPr="00A567C1">
        <w:rPr>
          <w:rFonts w:ascii="Calibri" w:hAnsi="Calibri" w:cs="Calibri"/>
          <w:sz w:val="22"/>
          <w:szCs w:val="22"/>
        </w:rPr>
        <w:t xml:space="preserve">Blanca Isabel Regúlez Álvarez, </w:t>
      </w:r>
      <w:r w:rsidRPr="00A567C1">
        <w:rPr>
          <w:rFonts w:ascii="Calibri" w:hAnsi="Calibri" w:cs="Calibri"/>
          <w:sz w:val="22"/>
          <w:szCs w:val="22"/>
        </w:rPr>
        <w:t>parlamentaria foral adscrita al Grupo Parlamentario</w:t>
      </w:r>
      <w:r w:rsidRPr="00A567C1">
        <w:rPr>
          <w:rFonts w:ascii="Calibri" w:hAnsi="Calibri" w:cs="Calibri"/>
          <w:sz w:val="22"/>
          <w:szCs w:val="22"/>
        </w:rPr>
        <w:t xml:space="preserve"> Geroa Bai</w:t>
      </w:r>
      <w:r w:rsidRPr="00A567C1">
        <w:rPr>
          <w:rFonts w:ascii="Calibri" w:hAnsi="Calibri" w:cs="Calibri"/>
          <w:sz w:val="22"/>
          <w:szCs w:val="22"/>
        </w:rPr>
        <w:t xml:space="preserve">, al amparo de lo dispuesto en el Reglamento de esta Cámara, formula la siguiente </w:t>
      </w:r>
      <w:r w:rsidRPr="00A567C1">
        <w:rPr>
          <w:rFonts w:ascii="Calibri" w:hAnsi="Calibri" w:cs="Calibri"/>
          <w:sz w:val="22"/>
          <w:szCs w:val="22"/>
        </w:rPr>
        <w:t>pregunta oral</w:t>
      </w:r>
      <w:r w:rsidRPr="00A567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567C1">
        <w:rPr>
          <w:rFonts w:ascii="Calibri" w:hAnsi="Calibri" w:cs="Calibri"/>
          <w:sz w:val="22"/>
          <w:szCs w:val="22"/>
        </w:rPr>
        <w:t xml:space="preserve">al </w:t>
      </w:r>
      <w:proofErr w:type="gramStart"/>
      <w:r w:rsidRPr="00A567C1">
        <w:rPr>
          <w:rFonts w:ascii="Calibri" w:hAnsi="Calibri" w:cs="Calibri"/>
          <w:sz w:val="22"/>
          <w:szCs w:val="22"/>
        </w:rPr>
        <w:t>Consejero</w:t>
      </w:r>
      <w:proofErr w:type="gramEnd"/>
      <w:r w:rsidRPr="00A567C1">
        <w:rPr>
          <w:rFonts w:ascii="Calibri" w:hAnsi="Calibri" w:cs="Calibri"/>
          <w:sz w:val="22"/>
          <w:szCs w:val="22"/>
        </w:rPr>
        <w:t xml:space="preserve"> de Presidencia e Igualdad del Gobierno de Navarra, don Félix Taberna Monzón. </w:t>
      </w:r>
    </w:p>
    <w:p w14:paraId="46A3FDB4" w14:textId="49D71584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567C1">
        <w:rPr>
          <w:rFonts w:ascii="Calibri" w:hAnsi="Calibri" w:cs="Calibri"/>
          <w:sz w:val="22"/>
          <w:szCs w:val="22"/>
        </w:rPr>
        <w:t xml:space="preserve">Conocíamos hace dos semanas que el Pleno del Tribunal Constitucional desestimaba por unanimidad, por segunda vez </w:t>
      </w:r>
      <w:r>
        <w:rPr>
          <w:rFonts w:ascii="Calibri" w:hAnsi="Calibri" w:cs="Calibri"/>
          <w:sz w:val="22"/>
          <w:szCs w:val="22"/>
        </w:rPr>
        <w:t>-</w:t>
      </w:r>
      <w:r w:rsidRPr="00A567C1">
        <w:rPr>
          <w:rFonts w:ascii="Calibri" w:hAnsi="Calibri" w:cs="Calibri"/>
          <w:sz w:val="22"/>
          <w:szCs w:val="22"/>
        </w:rPr>
        <w:t>la primera vez fue el pasado mes de enero y ante un recurso de V</w:t>
      </w:r>
      <w:r>
        <w:rPr>
          <w:rFonts w:ascii="Calibri" w:hAnsi="Calibri" w:cs="Calibri"/>
          <w:sz w:val="22"/>
          <w:szCs w:val="22"/>
        </w:rPr>
        <w:t>ox</w:t>
      </w:r>
      <w:r w:rsidRPr="00A567C1">
        <w:rPr>
          <w:rFonts w:ascii="Calibri" w:hAnsi="Calibri" w:cs="Calibri"/>
          <w:sz w:val="22"/>
          <w:szCs w:val="22"/>
        </w:rPr>
        <w:t xml:space="preserve">-, el recurso de inconstitucionalidad planteado por los diputados del Grupo Parlamentario Popular en el Congreso contra la disposición adicional quinta de la Ley 19/2021, de 20 de diciembre, por la que se establece el ingreso mínimo vital. Dicho precepto prevé que las </w:t>
      </w:r>
      <w:r>
        <w:rPr>
          <w:rFonts w:ascii="Calibri" w:hAnsi="Calibri" w:cs="Calibri"/>
          <w:sz w:val="22"/>
          <w:szCs w:val="22"/>
        </w:rPr>
        <w:t>c</w:t>
      </w:r>
      <w:r w:rsidRPr="00A567C1">
        <w:rPr>
          <w:rFonts w:ascii="Calibri" w:hAnsi="Calibri" w:cs="Calibri"/>
          <w:sz w:val="22"/>
          <w:szCs w:val="22"/>
        </w:rPr>
        <w:t xml:space="preserve">omunidades </w:t>
      </w:r>
      <w:r>
        <w:rPr>
          <w:rFonts w:ascii="Calibri" w:hAnsi="Calibri" w:cs="Calibri"/>
          <w:sz w:val="22"/>
          <w:szCs w:val="22"/>
        </w:rPr>
        <w:t>a</w:t>
      </w:r>
      <w:r w:rsidRPr="00A567C1">
        <w:rPr>
          <w:rFonts w:ascii="Calibri" w:hAnsi="Calibri" w:cs="Calibri"/>
          <w:sz w:val="22"/>
          <w:szCs w:val="22"/>
        </w:rPr>
        <w:t xml:space="preserve">utónomas de régimen foral (País Vasco y Navarra) asuman, previa firma de un acuerdo con el Estado, la gestión y pago de dicha prestación en su territorio. </w:t>
      </w:r>
    </w:p>
    <w:p w14:paraId="1C48B2A4" w14:textId="77777777" w:rsidR="00A567C1" w:rsidRPr="00A567C1" w:rsidRDefault="00A567C1" w:rsidP="00A567C1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567C1">
        <w:rPr>
          <w:rFonts w:ascii="Calibri" w:hAnsi="Calibri" w:cs="Calibri"/>
          <w:sz w:val="22"/>
          <w:szCs w:val="22"/>
        </w:rPr>
        <w:t xml:space="preserve">Ante el calado de la sentencia, ¿cuál es la valoración que hace el Gobierno de Navarra de </w:t>
      </w:r>
      <w:proofErr w:type="gramStart"/>
      <w:r w:rsidRPr="00A567C1">
        <w:rPr>
          <w:rFonts w:ascii="Calibri" w:hAnsi="Calibri" w:cs="Calibri"/>
          <w:sz w:val="22"/>
          <w:szCs w:val="22"/>
        </w:rPr>
        <w:t>la misma</w:t>
      </w:r>
      <w:proofErr w:type="gramEnd"/>
      <w:r w:rsidRPr="00A567C1">
        <w:rPr>
          <w:rFonts w:ascii="Calibri" w:hAnsi="Calibri" w:cs="Calibri"/>
          <w:sz w:val="22"/>
          <w:szCs w:val="22"/>
        </w:rPr>
        <w:t xml:space="preserve">? </w:t>
      </w:r>
    </w:p>
    <w:p w14:paraId="3362C0AB" w14:textId="3E82A973" w:rsidR="008D7F85" w:rsidRDefault="00A567C1" w:rsidP="00A567C1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A567C1">
        <w:rPr>
          <w:rFonts w:ascii="Calibri" w:hAnsi="Calibri" w:cs="Calibri"/>
          <w:sz w:val="22"/>
          <w:szCs w:val="22"/>
        </w:rPr>
        <w:t>En Pamplona-Iruña, 7 de marzo de 2024</w:t>
      </w:r>
    </w:p>
    <w:p w14:paraId="5B0B14D5" w14:textId="281EF5A0" w:rsidR="00A567C1" w:rsidRPr="00A567C1" w:rsidRDefault="00A567C1" w:rsidP="00A567C1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Blanca Isabel Regúlez Álvarez</w:t>
      </w:r>
    </w:p>
    <w:sectPr w:rsidR="00A567C1" w:rsidRPr="00A56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1"/>
    <w:rsid w:val="008D7F85"/>
    <w:rsid w:val="00A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BC51"/>
  <w15:chartTrackingRefBased/>
  <w15:docId w15:val="{E63FFC15-B60C-4DB1-B217-226AF51C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67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67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67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67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67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67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67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67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67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67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67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567C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2024-03-08T06:50:00Z</dcterms:created>
  <dcterms:modified xsi:type="dcterms:W3CDTF">2024-03-08T06:54:00Z</dcterms:modified>
</cp:coreProperties>
</file>