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31 de marzo de 2022, aprobó la modificación del Convenio Económico entre el Estado y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