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B184" w14:textId="77777777" w:rsidR="00BA5C95" w:rsidRDefault="00806E26" w:rsidP="001B1E68">
      <w:pPr>
        <w:pStyle w:val="EstiloPortada"/>
        <w:ind w:left="4634" w:right="-240" w:hanging="948"/>
        <w:rPr>
          <w:rFonts w:ascii="Arial" w:hAnsi="Arial" w:cs="Arial"/>
          <w:color w:val="808080"/>
          <w:sz w:val="32"/>
          <w:szCs w:val="32"/>
        </w:rPr>
      </w:pPr>
      <w:r w:rsidRPr="00875BBE">
        <w:rPr>
          <w:rFonts w:ascii="Arial" w:hAnsi="Arial" w:cs="Arial"/>
          <w:noProof/>
          <w:color w:val="808080"/>
          <w:sz w:val="32"/>
          <w:szCs w:val="32"/>
          <w:lang w:val="es-ES" w:eastAsia="es-ES"/>
        </w:rPr>
        <mc:AlternateContent>
          <mc:Choice Requires="wps">
            <w:drawing>
              <wp:anchor distT="0" distB="0" distL="114300" distR="114300" simplePos="0" relativeHeight="251657728" behindDoc="0" locked="0" layoutInCell="1" allowOverlap="1" wp14:anchorId="66BCBDC8" wp14:editId="71C987DB">
                <wp:simplePos x="0" y="0"/>
                <wp:positionH relativeFrom="column">
                  <wp:posOffset>-151765</wp:posOffset>
                </wp:positionH>
                <wp:positionV relativeFrom="paragraph">
                  <wp:posOffset>-809625</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C8AE03D" w14:textId="77777777" w:rsidR="006E5C76" w:rsidRPr="003A7956" w:rsidRDefault="006E5C76" w:rsidP="004C3423">
                            <w:pPr>
                              <w:spacing w:after="0"/>
                              <w:ind w:firstLine="0"/>
                              <w:jc w:val="center"/>
                              <w:rPr>
                                <w:sz w:val="18"/>
                                <w:szCs w:val="18"/>
                                <w:lang w:val="es-ES"/>
                              </w:rPr>
                            </w:pPr>
                            <w:r w:rsidRPr="003A7956">
                              <w:rPr>
                                <w:sz w:val="18"/>
                                <w:szCs w:val="18"/>
                                <w:lang w:val="es-ES"/>
                              </w:rPr>
                              <w:t>CAMARA DE</w:t>
                            </w:r>
                          </w:p>
                          <w:p w14:paraId="06C96B4E" w14:textId="77777777" w:rsidR="006E5C76" w:rsidRPr="003A7956" w:rsidRDefault="006E5C76" w:rsidP="004C3423">
                            <w:pPr>
                              <w:spacing w:after="0"/>
                              <w:ind w:firstLine="0"/>
                              <w:jc w:val="center"/>
                              <w:rPr>
                                <w:sz w:val="18"/>
                                <w:szCs w:val="18"/>
                                <w:lang w:val="es-ES"/>
                              </w:rPr>
                            </w:pPr>
                            <w:r w:rsidRPr="003A7956">
                              <w:rPr>
                                <w:sz w:val="18"/>
                                <w:szCs w:val="18"/>
                                <w:lang w:val="es-ES"/>
                              </w:rPr>
                              <w:t>COMPTOS</w:t>
                            </w:r>
                          </w:p>
                          <w:p w14:paraId="782630C0" w14:textId="77777777" w:rsidR="006E5C76" w:rsidRPr="003A7956" w:rsidRDefault="006E5C76" w:rsidP="004C3423">
                            <w:pPr>
                              <w:spacing w:after="0"/>
                              <w:ind w:firstLine="0"/>
                              <w:jc w:val="center"/>
                              <w:rPr>
                                <w:sz w:val="18"/>
                                <w:szCs w:val="18"/>
                                <w:lang w:val="es-ES"/>
                              </w:rPr>
                            </w:pPr>
                            <w:r w:rsidRPr="003A7956">
                              <w:rPr>
                                <w:sz w:val="18"/>
                                <w:szCs w:val="18"/>
                                <w:lang w:val="es-ES"/>
                              </w:rPr>
                              <w:t>DE NAVARRA</w:t>
                            </w:r>
                          </w:p>
                          <w:p w14:paraId="6C293666"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NAFARROAKO</w:t>
                            </w:r>
                          </w:p>
                          <w:p w14:paraId="0418E29E"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KONTUEN</w:t>
                            </w:r>
                          </w:p>
                          <w:p w14:paraId="49BA68BE"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GANBERA</w:t>
                            </w:r>
                          </w:p>
                          <w:p w14:paraId="0F511459" w14:textId="77777777" w:rsidR="006E5C76" w:rsidRPr="002C7026" w:rsidRDefault="006E5C7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CBDC8" id="_x0000_t202" coordsize="21600,21600" o:spt="202" path="m,l,21600r21600,l21600,xe">
                <v:stroke joinstyle="miter"/>
                <v:path gradientshapeok="t" o:connecttype="rect"/>
              </v:shapetype>
              <v:shape id="Text Box 7" o:spid="_x0000_s1026" type="#_x0000_t202" style="position:absolute;left:0;text-align:left;margin-left:-11.95pt;margin-top:-63.7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" stroked="f" strokecolor="white">
                <v:textbox>
                  <w:txbxContent>
                    <w:p w14:paraId="4C8AE03D" w14:textId="77777777" w:rsidR="006E5C76" w:rsidRPr="003A7956" w:rsidRDefault="006E5C76" w:rsidP="004C3423">
                      <w:pPr>
                        <w:spacing w:after="0"/>
                        <w:ind w:firstLine="0"/>
                        <w:jc w:val="center"/>
                        <w:rPr>
                          <w:sz w:val="18"/>
                          <w:szCs w:val="18"/>
                          <w:lang w:val="es-ES"/>
                        </w:rPr>
                      </w:pPr>
                      <w:r w:rsidRPr="003A7956">
                        <w:rPr>
                          <w:sz w:val="18"/>
                          <w:szCs w:val="18"/>
                          <w:lang w:val="es-ES"/>
                        </w:rPr>
                        <w:t>CAMARA DE</w:t>
                      </w:r>
                    </w:p>
                    <w:p w14:paraId="06C96B4E" w14:textId="77777777" w:rsidR="006E5C76" w:rsidRPr="003A7956" w:rsidRDefault="006E5C76" w:rsidP="004C3423">
                      <w:pPr>
                        <w:spacing w:after="0"/>
                        <w:ind w:firstLine="0"/>
                        <w:jc w:val="center"/>
                        <w:rPr>
                          <w:sz w:val="18"/>
                          <w:szCs w:val="18"/>
                          <w:lang w:val="es-ES"/>
                        </w:rPr>
                      </w:pPr>
                      <w:r w:rsidRPr="003A7956">
                        <w:rPr>
                          <w:sz w:val="18"/>
                          <w:szCs w:val="18"/>
                          <w:lang w:val="es-ES"/>
                        </w:rPr>
                        <w:t>COMPTOS</w:t>
                      </w:r>
                    </w:p>
                    <w:p w14:paraId="782630C0" w14:textId="77777777" w:rsidR="006E5C76" w:rsidRPr="003A7956" w:rsidRDefault="006E5C76" w:rsidP="004C3423">
                      <w:pPr>
                        <w:spacing w:after="0"/>
                        <w:ind w:firstLine="0"/>
                        <w:jc w:val="center"/>
                        <w:rPr>
                          <w:sz w:val="18"/>
                          <w:szCs w:val="18"/>
                          <w:lang w:val="es-ES"/>
                        </w:rPr>
                      </w:pPr>
                      <w:r w:rsidRPr="003A7956">
                        <w:rPr>
                          <w:sz w:val="18"/>
                          <w:szCs w:val="18"/>
                          <w:lang w:val="es-ES"/>
                        </w:rPr>
                        <w:t>DE NAVARRA</w:t>
                      </w:r>
                    </w:p>
                    <w:p w14:paraId="6C293666"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NAFARROAKO</w:t>
                      </w:r>
                    </w:p>
                    <w:p w14:paraId="0418E29E"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KONTUEN</w:t>
                      </w:r>
                    </w:p>
                    <w:p w14:paraId="49BA68BE" w14:textId="77777777" w:rsidR="006E5C76" w:rsidRPr="003A7956" w:rsidRDefault="006E5C76" w:rsidP="004C3423">
                      <w:pPr>
                        <w:spacing w:after="0"/>
                        <w:ind w:firstLine="0"/>
                        <w:jc w:val="center"/>
                        <w:rPr>
                          <w:color w:val="808080"/>
                          <w:sz w:val="18"/>
                          <w:szCs w:val="18"/>
                          <w:lang w:val="es-ES"/>
                        </w:rPr>
                      </w:pPr>
                      <w:r w:rsidRPr="003A7956">
                        <w:rPr>
                          <w:color w:val="808080"/>
                          <w:sz w:val="18"/>
                          <w:szCs w:val="18"/>
                          <w:lang w:val="es-ES"/>
                        </w:rPr>
                        <w:t>GANBERA</w:t>
                      </w:r>
                    </w:p>
                    <w:p w14:paraId="0F511459" w14:textId="77777777" w:rsidR="006E5C76" w:rsidRPr="002C7026" w:rsidRDefault="006E5C76" w:rsidP="002C7026">
                      <w:pPr>
                        <w:spacing w:after="0"/>
                        <w:ind w:firstLine="0"/>
                        <w:jc w:val="center"/>
                        <w:rPr>
                          <w:rFonts w:ascii="Trajan" w:hAnsi="Trajan"/>
                          <w:color w:val="808080"/>
                          <w:sz w:val="18"/>
                          <w:szCs w:val="18"/>
                          <w:lang w:val="es-ES"/>
                        </w:rPr>
                      </w:pPr>
                    </w:p>
                  </w:txbxContent>
                </v:textbox>
              </v:shape>
            </w:pict>
          </mc:Fallback>
        </mc:AlternateContent>
      </w:r>
    </w:p>
    <w:p w14:paraId="3206F9CF" w14:textId="77777777" w:rsidR="00806E26" w:rsidRPr="00B76259" w:rsidRDefault="00806E26" w:rsidP="00B76259">
      <w:pPr>
        <w:pStyle w:val="EstiloPortada"/>
        <w:ind w:left="4111" w:right="0"/>
        <w:jc w:val="right"/>
        <w:rPr>
          <w:rFonts w:ascii="Arial" w:hAnsi="Arial" w:cs="Arial"/>
          <w:color w:val="A6A6A6" w:themeColor="background1" w:themeShade="A6"/>
          <w:sz w:val="40"/>
          <w:szCs w:val="40"/>
        </w:rPr>
      </w:pPr>
      <w:r w:rsidRPr="00B76259">
        <w:rPr>
          <w:rFonts w:ascii="Arial" w:hAnsi="Arial" w:cs="Arial"/>
          <w:color w:val="A6A6A6" w:themeColor="background1" w:themeShade="A6"/>
          <w:sz w:val="40"/>
          <w:szCs w:val="40"/>
        </w:rPr>
        <w:t xml:space="preserve"> </w:t>
      </w:r>
      <w:r w:rsidR="00B76259" w:rsidRPr="00B76259">
        <w:rPr>
          <w:rFonts w:ascii="Arial" w:hAnsi="Arial" w:cs="Arial"/>
          <w:color w:val="A6A6A6" w:themeColor="background1" w:themeShade="A6"/>
          <w:sz w:val="40"/>
          <w:szCs w:val="40"/>
        </w:rPr>
        <w:t xml:space="preserve">Informe </w:t>
      </w:r>
      <w:r w:rsidR="00CE5046">
        <w:rPr>
          <w:rFonts w:ascii="Arial" w:hAnsi="Arial" w:cs="Arial"/>
          <w:color w:val="A6A6A6" w:themeColor="background1" w:themeShade="A6"/>
          <w:sz w:val="40"/>
          <w:szCs w:val="40"/>
        </w:rPr>
        <w:t>definitivo</w:t>
      </w:r>
    </w:p>
    <w:p w14:paraId="50AA4068" w14:textId="77777777" w:rsidR="00497600" w:rsidRDefault="00497600" w:rsidP="00D203ED">
      <w:pPr>
        <w:pStyle w:val="EstiloPortada"/>
        <w:ind w:left="2127" w:right="0" w:hanging="2791"/>
        <w:jc w:val="right"/>
        <w:rPr>
          <w:sz w:val="52"/>
          <w:szCs w:val="52"/>
        </w:rPr>
      </w:pPr>
      <w:r>
        <w:rPr>
          <w:sz w:val="52"/>
          <w:szCs w:val="52"/>
        </w:rPr>
        <w:t xml:space="preserve">Arrendamiento del </w:t>
      </w:r>
    </w:p>
    <w:p w14:paraId="2E75B730" w14:textId="77777777" w:rsidR="00497600" w:rsidRDefault="00497600" w:rsidP="00D203ED">
      <w:pPr>
        <w:pStyle w:val="EstiloPortada"/>
        <w:ind w:left="2127" w:right="0" w:hanging="2791"/>
        <w:jc w:val="right"/>
        <w:rPr>
          <w:sz w:val="52"/>
          <w:szCs w:val="52"/>
        </w:rPr>
      </w:pPr>
      <w:r>
        <w:rPr>
          <w:sz w:val="52"/>
          <w:szCs w:val="52"/>
        </w:rPr>
        <w:t xml:space="preserve">Circuito de Navarra </w:t>
      </w:r>
    </w:p>
    <w:p w14:paraId="75018B5E" w14:textId="77777777" w:rsidR="00875BBE" w:rsidRPr="00751008" w:rsidRDefault="00497600" w:rsidP="00D203ED">
      <w:pPr>
        <w:pStyle w:val="EstiloPortada"/>
        <w:ind w:left="2127" w:right="0" w:hanging="2791"/>
        <w:jc w:val="right"/>
        <w:rPr>
          <w:sz w:val="52"/>
          <w:szCs w:val="52"/>
        </w:rPr>
      </w:pPr>
      <w:r>
        <w:rPr>
          <w:sz w:val="52"/>
          <w:szCs w:val="52"/>
        </w:rPr>
        <w:t>(2014-2019)</w:t>
      </w:r>
    </w:p>
    <w:p w14:paraId="574C9AAB" w14:textId="77777777" w:rsidR="001C3A32" w:rsidRPr="00204979" w:rsidRDefault="001C3A32" w:rsidP="00891D73">
      <w:pPr>
        <w:pStyle w:val="texto"/>
      </w:pPr>
    </w:p>
    <w:p w14:paraId="30D68656" w14:textId="77777777" w:rsidR="001C3A32" w:rsidRPr="00204979" w:rsidRDefault="001C3A32" w:rsidP="00891D73">
      <w:pPr>
        <w:pStyle w:val="texto"/>
      </w:pPr>
    </w:p>
    <w:p w14:paraId="30EC6084" w14:textId="77777777" w:rsidR="001C3A32" w:rsidRPr="00204979" w:rsidRDefault="001C3A32" w:rsidP="00891D73">
      <w:pPr>
        <w:pStyle w:val="texto"/>
      </w:pPr>
    </w:p>
    <w:p w14:paraId="773F8888" w14:textId="77777777" w:rsidR="001C3A32" w:rsidRPr="00204979" w:rsidRDefault="001C3A32" w:rsidP="00D203ED">
      <w:pPr>
        <w:pStyle w:val="texto"/>
        <w:tabs>
          <w:tab w:val="clear" w:pos="3969"/>
          <w:tab w:val="center" w:pos="3119"/>
        </w:tabs>
      </w:pPr>
    </w:p>
    <w:p w14:paraId="5B65CEC7" w14:textId="77777777" w:rsidR="001C3A32" w:rsidRPr="00204979" w:rsidRDefault="001C3A32" w:rsidP="00891D73">
      <w:pPr>
        <w:pStyle w:val="texto"/>
      </w:pPr>
    </w:p>
    <w:p w14:paraId="6BBA8E6B" w14:textId="77777777" w:rsidR="001C3A32" w:rsidRPr="00204979" w:rsidRDefault="001C3A32" w:rsidP="00891D73">
      <w:pPr>
        <w:pStyle w:val="texto"/>
      </w:pPr>
    </w:p>
    <w:p w14:paraId="6EF68ED0" w14:textId="77777777" w:rsidR="001C3A32" w:rsidRPr="00204979" w:rsidRDefault="001C3A32" w:rsidP="00891D73">
      <w:pPr>
        <w:pStyle w:val="texto"/>
      </w:pPr>
    </w:p>
    <w:p w14:paraId="03D1A9CB" w14:textId="77777777" w:rsidR="001C3A32" w:rsidRPr="00204979" w:rsidRDefault="001C3A32" w:rsidP="00891D73">
      <w:pPr>
        <w:pStyle w:val="texto"/>
      </w:pPr>
    </w:p>
    <w:p w14:paraId="1D6B7756" w14:textId="77777777" w:rsidR="001C3A32" w:rsidRPr="00204979" w:rsidRDefault="001C3A32" w:rsidP="00891D73">
      <w:pPr>
        <w:pStyle w:val="texto"/>
      </w:pPr>
    </w:p>
    <w:p w14:paraId="3ECDE6A0" w14:textId="77777777" w:rsidR="001C3A32" w:rsidRPr="00204979" w:rsidRDefault="001C3A32" w:rsidP="00891D73">
      <w:pPr>
        <w:pStyle w:val="texto"/>
      </w:pPr>
    </w:p>
    <w:p w14:paraId="7C154D6E" w14:textId="77777777" w:rsidR="001C3A32" w:rsidRPr="00204979" w:rsidRDefault="001C3A32" w:rsidP="00891D73">
      <w:pPr>
        <w:pStyle w:val="texto"/>
      </w:pPr>
    </w:p>
    <w:p w14:paraId="584875D6" w14:textId="77777777" w:rsidR="001C3A32" w:rsidRPr="00204979" w:rsidRDefault="001C3A32" w:rsidP="00891D73">
      <w:pPr>
        <w:pStyle w:val="texto"/>
      </w:pPr>
    </w:p>
    <w:p w14:paraId="6EDD7CC3" w14:textId="77777777" w:rsidR="001C3A32" w:rsidRPr="00204979" w:rsidRDefault="001C3A32" w:rsidP="00891D73">
      <w:pPr>
        <w:pStyle w:val="texto"/>
      </w:pPr>
    </w:p>
    <w:p w14:paraId="420845DE" w14:textId="77777777" w:rsidR="001C3A32" w:rsidRPr="00204979" w:rsidRDefault="001C3A32" w:rsidP="00891D73">
      <w:pPr>
        <w:pStyle w:val="texto"/>
      </w:pPr>
    </w:p>
    <w:p w14:paraId="526D2765" w14:textId="77777777" w:rsidR="001C3A32" w:rsidRPr="00204979" w:rsidRDefault="001C3A32" w:rsidP="00891D73">
      <w:pPr>
        <w:pStyle w:val="texto"/>
      </w:pPr>
    </w:p>
    <w:p w14:paraId="408D2E0D" w14:textId="77777777" w:rsidR="00844F74" w:rsidRPr="00204979" w:rsidRDefault="00844F74" w:rsidP="00891D73">
      <w:pPr>
        <w:pStyle w:val="texto"/>
      </w:pPr>
    </w:p>
    <w:p w14:paraId="032C72D5" w14:textId="77777777" w:rsidR="00716463" w:rsidRPr="001D4F09" w:rsidRDefault="00C10938" w:rsidP="009936FC">
      <w:pPr>
        <w:pStyle w:val="Fechaportada"/>
      </w:pPr>
      <w:r>
        <w:t>Enero de 2022</w:t>
      </w:r>
    </w:p>
    <w:p w14:paraId="5B3DFB24" w14:textId="77777777"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14:paraId="73D882E6" w14:textId="77777777" w:rsidR="00C9781F" w:rsidRDefault="00C9781F" w:rsidP="00C9781F">
      <w:pPr>
        <w:pStyle w:val="ndice"/>
      </w:pPr>
      <w:r w:rsidRPr="00891D73">
        <w:lastRenderedPageBreak/>
        <w:t>Índice</w:t>
      </w:r>
    </w:p>
    <w:p w14:paraId="542294D5" w14:textId="77777777" w:rsidR="00C9781F" w:rsidRPr="004740FB" w:rsidRDefault="00C9781F" w:rsidP="00C9781F">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14:paraId="4DB4A325" w14:textId="6A118077" w:rsidR="0065073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92970041" w:history="1">
        <w:r w:rsidR="00650738" w:rsidRPr="00BF57F3">
          <w:rPr>
            <w:rStyle w:val="Hipervnculo"/>
            <w:noProof/>
          </w:rPr>
          <w:t>I. Introducción</w:t>
        </w:r>
        <w:r w:rsidR="00650738">
          <w:rPr>
            <w:noProof/>
            <w:webHidden/>
          </w:rPr>
          <w:tab/>
        </w:r>
        <w:r w:rsidR="00650738">
          <w:rPr>
            <w:noProof/>
            <w:webHidden/>
          </w:rPr>
          <w:fldChar w:fldCharType="begin"/>
        </w:r>
        <w:r w:rsidR="00650738">
          <w:rPr>
            <w:noProof/>
            <w:webHidden/>
          </w:rPr>
          <w:instrText xml:space="preserve"> PAGEREF _Toc92970041 \h </w:instrText>
        </w:r>
        <w:r w:rsidR="00650738">
          <w:rPr>
            <w:noProof/>
            <w:webHidden/>
          </w:rPr>
        </w:r>
        <w:r w:rsidR="00650738">
          <w:rPr>
            <w:noProof/>
            <w:webHidden/>
          </w:rPr>
          <w:fldChar w:fldCharType="separate"/>
        </w:r>
        <w:r w:rsidR="00176E97">
          <w:rPr>
            <w:noProof/>
            <w:webHidden/>
          </w:rPr>
          <w:t>3</w:t>
        </w:r>
        <w:r w:rsidR="00650738">
          <w:rPr>
            <w:noProof/>
            <w:webHidden/>
          </w:rPr>
          <w:fldChar w:fldCharType="end"/>
        </w:r>
      </w:hyperlink>
    </w:p>
    <w:p w14:paraId="25E38E45" w14:textId="74766ED4" w:rsidR="00650738" w:rsidRDefault="00176E97">
      <w:pPr>
        <w:pStyle w:val="TDC1"/>
        <w:rPr>
          <w:rFonts w:asciiTheme="minorHAnsi" w:eastAsiaTheme="minorEastAsia" w:hAnsiTheme="minorHAnsi" w:cstheme="minorBidi"/>
          <w:smallCaps w:val="0"/>
          <w:noProof/>
          <w:szCs w:val="22"/>
          <w:lang w:val="es-ES" w:eastAsia="es-ES"/>
        </w:rPr>
      </w:pPr>
      <w:hyperlink w:anchor="_Toc92970042" w:history="1">
        <w:r w:rsidR="00650738" w:rsidRPr="00BF57F3">
          <w:rPr>
            <w:rStyle w:val="Hipervnculo"/>
            <w:noProof/>
          </w:rPr>
          <w:t>II. El Circuito de Navarra</w:t>
        </w:r>
        <w:r w:rsidR="00650738">
          <w:rPr>
            <w:noProof/>
            <w:webHidden/>
          </w:rPr>
          <w:tab/>
        </w:r>
        <w:r w:rsidR="00650738">
          <w:rPr>
            <w:noProof/>
            <w:webHidden/>
          </w:rPr>
          <w:fldChar w:fldCharType="begin"/>
        </w:r>
        <w:r w:rsidR="00650738">
          <w:rPr>
            <w:noProof/>
            <w:webHidden/>
          </w:rPr>
          <w:instrText xml:space="preserve"> PAGEREF _Toc92970042 \h </w:instrText>
        </w:r>
        <w:r w:rsidR="00650738">
          <w:rPr>
            <w:noProof/>
            <w:webHidden/>
          </w:rPr>
        </w:r>
        <w:r w:rsidR="00650738">
          <w:rPr>
            <w:noProof/>
            <w:webHidden/>
          </w:rPr>
          <w:fldChar w:fldCharType="separate"/>
        </w:r>
        <w:r>
          <w:rPr>
            <w:noProof/>
            <w:webHidden/>
          </w:rPr>
          <w:t>4</w:t>
        </w:r>
        <w:r w:rsidR="00650738">
          <w:rPr>
            <w:noProof/>
            <w:webHidden/>
          </w:rPr>
          <w:fldChar w:fldCharType="end"/>
        </w:r>
      </w:hyperlink>
    </w:p>
    <w:p w14:paraId="25D5C004" w14:textId="4D179CEF" w:rsidR="00650738" w:rsidRDefault="00176E97">
      <w:pPr>
        <w:pStyle w:val="TDC1"/>
        <w:rPr>
          <w:rFonts w:asciiTheme="minorHAnsi" w:eastAsiaTheme="minorEastAsia" w:hAnsiTheme="minorHAnsi" w:cstheme="minorBidi"/>
          <w:smallCaps w:val="0"/>
          <w:noProof/>
          <w:szCs w:val="22"/>
          <w:lang w:val="es-ES" w:eastAsia="es-ES"/>
        </w:rPr>
      </w:pPr>
      <w:hyperlink w:anchor="_Toc92970043" w:history="1">
        <w:r w:rsidR="00650738" w:rsidRPr="00BF57F3">
          <w:rPr>
            <w:rStyle w:val="Hipervnculo"/>
            <w:noProof/>
          </w:rPr>
          <w:t>III. Objetivos y alcance</w:t>
        </w:r>
        <w:r w:rsidR="00650738">
          <w:rPr>
            <w:noProof/>
            <w:webHidden/>
          </w:rPr>
          <w:tab/>
        </w:r>
        <w:r w:rsidR="00650738">
          <w:rPr>
            <w:noProof/>
            <w:webHidden/>
          </w:rPr>
          <w:fldChar w:fldCharType="begin"/>
        </w:r>
        <w:r w:rsidR="00650738">
          <w:rPr>
            <w:noProof/>
            <w:webHidden/>
          </w:rPr>
          <w:instrText xml:space="preserve"> PAGEREF _Toc92970043 \h </w:instrText>
        </w:r>
        <w:r w:rsidR="00650738">
          <w:rPr>
            <w:noProof/>
            <w:webHidden/>
          </w:rPr>
        </w:r>
        <w:r w:rsidR="00650738">
          <w:rPr>
            <w:noProof/>
            <w:webHidden/>
          </w:rPr>
          <w:fldChar w:fldCharType="separate"/>
        </w:r>
        <w:r>
          <w:rPr>
            <w:noProof/>
            <w:webHidden/>
          </w:rPr>
          <w:t>6</w:t>
        </w:r>
        <w:r w:rsidR="00650738">
          <w:rPr>
            <w:noProof/>
            <w:webHidden/>
          </w:rPr>
          <w:fldChar w:fldCharType="end"/>
        </w:r>
      </w:hyperlink>
    </w:p>
    <w:p w14:paraId="14340FDB" w14:textId="78891235" w:rsidR="00650738" w:rsidRDefault="00176E97">
      <w:pPr>
        <w:pStyle w:val="TDC1"/>
        <w:rPr>
          <w:rFonts w:asciiTheme="minorHAnsi" w:eastAsiaTheme="minorEastAsia" w:hAnsiTheme="minorHAnsi" w:cstheme="minorBidi"/>
          <w:smallCaps w:val="0"/>
          <w:noProof/>
          <w:szCs w:val="22"/>
          <w:lang w:val="es-ES" w:eastAsia="es-ES"/>
        </w:rPr>
      </w:pPr>
      <w:hyperlink w:anchor="_Toc92970044" w:history="1">
        <w:r w:rsidR="00650738" w:rsidRPr="00BF57F3">
          <w:rPr>
            <w:rStyle w:val="Hipervnculo"/>
            <w:noProof/>
          </w:rPr>
          <w:t>IV. Conclusiones y recomendaciones</w:t>
        </w:r>
        <w:r w:rsidR="00650738">
          <w:rPr>
            <w:noProof/>
            <w:webHidden/>
          </w:rPr>
          <w:tab/>
        </w:r>
        <w:r w:rsidR="00650738">
          <w:rPr>
            <w:noProof/>
            <w:webHidden/>
          </w:rPr>
          <w:fldChar w:fldCharType="begin"/>
        </w:r>
        <w:r w:rsidR="00650738">
          <w:rPr>
            <w:noProof/>
            <w:webHidden/>
          </w:rPr>
          <w:instrText xml:space="preserve"> PAGEREF _Toc92970044 \h </w:instrText>
        </w:r>
        <w:r w:rsidR="00650738">
          <w:rPr>
            <w:noProof/>
            <w:webHidden/>
          </w:rPr>
        </w:r>
        <w:r w:rsidR="00650738">
          <w:rPr>
            <w:noProof/>
            <w:webHidden/>
          </w:rPr>
          <w:fldChar w:fldCharType="separate"/>
        </w:r>
        <w:r>
          <w:rPr>
            <w:noProof/>
            <w:webHidden/>
          </w:rPr>
          <w:t>7</w:t>
        </w:r>
        <w:r w:rsidR="00650738">
          <w:rPr>
            <w:noProof/>
            <w:webHidden/>
          </w:rPr>
          <w:fldChar w:fldCharType="end"/>
        </w:r>
      </w:hyperlink>
    </w:p>
    <w:p w14:paraId="2C50F317" w14:textId="639176D9" w:rsidR="00650738" w:rsidRDefault="00176E97">
      <w:pPr>
        <w:pStyle w:val="TDC2"/>
        <w:rPr>
          <w:rFonts w:asciiTheme="minorHAnsi" w:eastAsiaTheme="minorEastAsia" w:hAnsiTheme="minorHAnsi" w:cstheme="minorBidi"/>
          <w:noProof/>
          <w:szCs w:val="22"/>
          <w:lang w:val="es-ES" w:eastAsia="es-ES"/>
        </w:rPr>
      </w:pPr>
      <w:hyperlink w:anchor="_Toc92970045" w:history="1">
        <w:r w:rsidR="00650738" w:rsidRPr="00BF57F3">
          <w:rPr>
            <w:rStyle w:val="Hipervnculo"/>
            <w:noProof/>
          </w:rPr>
          <w:t>IV.1 Revisión de los procedimientos de arrendamiento del Circuito de Navarra de 2014 y 2019</w:t>
        </w:r>
        <w:r w:rsidR="00650738">
          <w:rPr>
            <w:noProof/>
            <w:webHidden/>
          </w:rPr>
          <w:tab/>
        </w:r>
        <w:r w:rsidR="00650738">
          <w:rPr>
            <w:noProof/>
            <w:webHidden/>
          </w:rPr>
          <w:fldChar w:fldCharType="begin"/>
        </w:r>
        <w:r w:rsidR="00650738">
          <w:rPr>
            <w:noProof/>
            <w:webHidden/>
          </w:rPr>
          <w:instrText xml:space="preserve"> PAGEREF _Toc92970045 \h </w:instrText>
        </w:r>
        <w:r w:rsidR="00650738">
          <w:rPr>
            <w:noProof/>
            <w:webHidden/>
          </w:rPr>
        </w:r>
        <w:r w:rsidR="00650738">
          <w:rPr>
            <w:noProof/>
            <w:webHidden/>
          </w:rPr>
          <w:fldChar w:fldCharType="separate"/>
        </w:r>
        <w:r>
          <w:rPr>
            <w:noProof/>
            <w:webHidden/>
          </w:rPr>
          <w:t>8</w:t>
        </w:r>
        <w:r w:rsidR="00650738">
          <w:rPr>
            <w:noProof/>
            <w:webHidden/>
          </w:rPr>
          <w:fldChar w:fldCharType="end"/>
        </w:r>
      </w:hyperlink>
    </w:p>
    <w:p w14:paraId="388A8B7A" w14:textId="485C4A25" w:rsidR="00650738" w:rsidRDefault="00176E97">
      <w:pPr>
        <w:pStyle w:val="TDC2"/>
        <w:rPr>
          <w:rFonts w:asciiTheme="minorHAnsi" w:eastAsiaTheme="minorEastAsia" w:hAnsiTheme="minorHAnsi" w:cstheme="minorBidi"/>
          <w:noProof/>
          <w:szCs w:val="22"/>
          <w:lang w:val="es-ES" w:eastAsia="es-ES"/>
        </w:rPr>
      </w:pPr>
      <w:hyperlink w:anchor="_Toc92970046" w:history="1">
        <w:r w:rsidR="00650738" w:rsidRPr="00BF57F3">
          <w:rPr>
            <w:rStyle w:val="Hipervnculo"/>
            <w:noProof/>
          </w:rPr>
          <w:t>IV.2 Revisión del cumplimiento de cláusulas del contrato de arrendamiento del Circuito de Navarra de 2014</w:t>
        </w:r>
        <w:r w:rsidR="00650738">
          <w:rPr>
            <w:noProof/>
            <w:webHidden/>
          </w:rPr>
          <w:tab/>
        </w:r>
        <w:r w:rsidR="00650738">
          <w:rPr>
            <w:noProof/>
            <w:webHidden/>
          </w:rPr>
          <w:fldChar w:fldCharType="begin"/>
        </w:r>
        <w:r w:rsidR="00650738">
          <w:rPr>
            <w:noProof/>
            <w:webHidden/>
          </w:rPr>
          <w:instrText xml:space="preserve"> PAGEREF _Toc92970046 \h </w:instrText>
        </w:r>
        <w:r w:rsidR="00650738">
          <w:rPr>
            <w:noProof/>
            <w:webHidden/>
          </w:rPr>
        </w:r>
        <w:r w:rsidR="00650738">
          <w:rPr>
            <w:noProof/>
            <w:webHidden/>
          </w:rPr>
          <w:fldChar w:fldCharType="separate"/>
        </w:r>
        <w:r>
          <w:rPr>
            <w:noProof/>
            <w:webHidden/>
          </w:rPr>
          <w:t>13</w:t>
        </w:r>
        <w:r w:rsidR="00650738">
          <w:rPr>
            <w:noProof/>
            <w:webHidden/>
          </w:rPr>
          <w:fldChar w:fldCharType="end"/>
        </w:r>
      </w:hyperlink>
    </w:p>
    <w:p w14:paraId="3615A428" w14:textId="36345E74" w:rsidR="00650738" w:rsidRDefault="00176E97">
      <w:pPr>
        <w:pStyle w:val="TDC2"/>
        <w:rPr>
          <w:rFonts w:asciiTheme="minorHAnsi" w:eastAsiaTheme="minorEastAsia" w:hAnsiTheme="minorHAnsi" w:cstheme="minorBidi"/>
          <w:noProof/>
          <w:szCs w:val="22"/>
          <w:lang w:val="es-ES" w:eastAsia="es-ES"/>
        </w:rPr>
      </w:pPr>
      <w:hyperlink w:anchor="_Toc92970047" w:history="1">
        <w:r w:rsidR="00650738" w:rsidRPr="00BF57F3">
          <w:rPr>
            <w:rStyle w:val="Hipervnculo"/>
            <w:noProof/>
          </w:rPr>
          <w:t>IV.3 Conclusión final y recomendaciones</w:t>
        </w:r>
        <w:r w:rsidR="00650738">
          <w:rPr>
            <w:noProof/>
            <w:webHidden/>
          </w:rPr>
          <w:tab/>
        </w:r>
        <w:r w:rsidR="00650738">
          <w:rPr>
            <w:noProof/>
            <w:webHidden/>
          </w:rPr>
          <w:fldChar w:fldCharType="begin"/>
        </w:r>
        <w:r w:rsidR="00650738">
          <w:rPr>
            <w:noProof/>
            <w:webHidden/>
          </w:rPr>
          <w:instrText xml:space="preserve"> PAGEREF _Toc92970047 \h </w:instrText>
        </w:r>
        <w:r w:rsidR="00650738">
          <w:rPr>
            <w:noProof/>
            <w:webHidden/>
          </w:rPr>
        </w:r>
        <w:r w:rsidR="00650738">
          <w:rPr>
            <w:noProof/>
            <w:webHidden/>
          </w:rPr>
          <w:fldChar w:fldCharType="separate"/>
        </w:r>
        <w:r>
          <w:rPr>
            <w:noProof/>
            <w:webHidden/>
          </w:rPr>
          <w:t>15</w:t>
        </w:r>
        <w:r w:rsidR="00650738">
          <w:rPr>
            <w:noProof/>
            <w:webHidden/>
          </w:rPr>
          <w:fldChar w:fldCharType="end"/>
        </w:r>
      </w:hyperlink>
    </w:p>
    <w:p w14:paraId="77476E64" w14:textId="77777777" w:rsidR="00891D73" w:rsidRDefault="0014728F" w:rsidP="0004218B">
      <w:pPr>
        <w:pStyle w:val="texto"/>
      </w:pPr>
      <w:r>
        <w:fldChar w:fldCharType="end"/>
      </w:r>
    </w:p>
    <w:p w14:paraId="0A62E6B2" w14:textId="77777777" w:rsidR="00891D73" w:rsidRDefault="00891D73" w:rsidP="00891D73">
      <w:pPr>
        <w:pStyle w:val="texto"/>
      </w:pPr>
    </w:p>
    <w:p w14:paraId="0F38F197" w14:textId="77777777" w:rsidR="00891D73" w:rsidRPr="00E703B6" w:rsidRDefault="00891D73" w:rsidP="00E703B6"/>
    <w:p w14:paraId="1698E6C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02DB221D" w14:textId="77777777" w:rsidR="00C9781F" w:rsidRPr="003A493B" w:rsidRDefault="00C9781F" w:rsidP="00C9781F">
      <w:pPr>
        <w:pStyle w:val="atitulo1"/>
        <w:spacing w:before="240"/>
      </w:pPr>
      <w:bookmarkStart w:id="0" w:name="_Toc3461799"/>
      <w:bookmarkStart w:id="1" w:name="_Toc92970041"/>
      <w:r w:rsidRPr="003A493B">
        <w:lastRenderedPageBreak/>
        <w:t>I. Introducción</w:t>
      </w:r>
      <w:bookmarkEnd w:id="0"/>
      <w:bookmarkEnd w:id="1"/>
    </w:p>
    <w:p w14:paraId="2BB86BA2" w14:textId="77777777" w:rsidR="00D42B7C" w:rsidRPr="00D42B7C" w:rsidRDefault="00CD3F00" w:rsidP="00750C68">
      <w:pPr>
        <w:pStyle w:val="texto"/>
        <w:tabs>
          <w:tab w:val="clear" w:pos="2835"/>
          <w:tab w:val="clear" w:pos="3969"/>
          <w:tab w:val="clear" w:pos="5103"/>
          <w:tab w:val="clear" w:pos="6237"/>
          <w:tab w:val="clear" w:pos="7371"/>
        </w:tabs>
        <w:spacing w:before="120" w:after="120"/>
        <w:rPr>
          <w:szCs w:val="26"/>
        </w:rPr>
      </w:pPr>
      <w:r w:rsidRPr="005D675C">
        <w:rPr>
          <w:szCs w:val="26"/>
        </w:rPr>
        <w:t>En junio de 2010, l</w:t>
      </w:r>
      <w:r w:rsidR="00D42B7C" w:rsidRPr="005D675C">
        <w:rPr>
          <w:szCs w:val="26"/>
        </w:rPr>
        <w:t xml:space="preserve">a Cámara de Comptos emitió un informe a petición parlamentaria sobre el Circuito de velocidad de Los Arcos en el que analizaba </w:t>
      </w:r>
      <w:r w:rsidRPr="005D675C">
        <w:rPr>
          <w:szCs w:val="26"/>
        </w:rPr>
        <w:t xml:space="preserve">la actuación de la Administración de la Comunidad Foral de Navarra </w:t>
      </w:r>
      <w:r w:rsidR="005D675C" w:rsidRPr="005D675C">
        <w:rPr>
          <w:szCs w:val="26"/>
        </w:rPr>
        <w:t>y</w:t>
      </w:r>
      <w:r w:rsidRPr="005D675C">
        <w:rPr>
          <w:szCs w:val="26"/>
        </w:rPr>
        <w:t xml:space="preserve"> la realizada por </w:t>
      </w:r>
      <w:r w:rsidR="00573DEF">
        <w:rPr>
          <w:szCs w:val="26"/>
        </w:rPr>
        <w:t>e</w:t>
      </w:r>
      <w:r w:rsidRPr="005D675C">
        <w:rPr>
          <w:szCs w:val="26"/>
        </w:rPr>
        <w:t xml:space="preserve">sta a través de la empresa </w:t>
      </w:r>
      <w:r w:rsidR="00D42B7C" w:rsidRPr="005D675C">
        <w:rPr>
          <w:szCs w:val="26"/>
        </w:rPr>
        <w:t xml:space="preserve">pública </w:t>
      </w:r>
      <w:r w:rsidRPr="005D675C">
        <w:rPr>
          <w:szCs w:val="26"/>
        </w:rPr>
        <w:t>Sociedad de Promoción de Inversiones de Navarra (SPRIN); en concreto esta Cámara analizó el v</w:t>
      </w:r>
      <w:r w:rsidR="00D42B7C" w:rsidRPr="005D675C">
        <w:rPr>
          <w:szCs w:val="26"/>
        </w:rPr>
        <w:t>alor económico de la operación</w:t>
      </w:r>
      <w:r w:rsidRPr="005D675C">
        <w:rPr>
          <w:szCs w:val="26"/>
        </w:rPr>
        <w:t xml:space="preserve"> (coste del proyecto y </w:t>
      </w:r>
      <w:r w:rsidR="00D42B7C" w:rsidRPr="005D675C">
        <w:rPr>
          <w:szCs w:val="26"/>
        </w:rPr>
        <w:t>viabilidad</w:t>
      </w:r>
      <w:r w:rsidRPr="005D675C">
        <w:rPr>
          <w:szCs w:val="26"/>
        </w:rPr>
        <w:t>), los</w:t>
      </w:r>
      <w:r w:rsidR="00D42B7C" w:rsidRPr="005D675C">
        <w:rPr>
          <w:szCs w:val="26"/>
        </w:rPr>
        <w:t xml:space="preserve"> aspectos legales de la actu</w:t>
      </w:r>
      <w:r w:rsidR="000B224A" w:rsidRPr="005D675C">
        <w:rPr>
          <w:szCs w:val="26"/>
        </w:rPr>
        <w:t>ación, entre los que se revisó</w:t>
      </w:r>
      <w:r w:rsidR="00D42B7C" w:rsidRPr="005D675C">
        <w:rPr>
          <w:szCs w:val="26"/>
        </w:rPr>
        <w:t xml:space="preserve"> la adjudicación de las obras y los relacionados con el PSIS</w:t>
      </w:r>
      <w:r w:rsidRPr="005D675C">
        <w:rPr>
          <w:szCs w:val="26"/>
        </w:rPr>
        <w:t xml:space="preserve">, y el </w:t>
      </w:r>
      <w:r w:rsidR="00D42B7C" w:rsidRPr="005D675C">
        <w:rPr>
          <w:szCs w:val="26"/>
        </w:rPr>
        <w:t>beneficio obtenido por el constructor.</w:t>
      </w:r>
    </w:p>
    <w:p w14:paraId="5D05E910" w14:textId="77777777" w:rsidR="00497600" w:rsidRDefault="00497600" w:rsidP="00750C68">
      <w:pPr>
        <w:pStyle w:val="texto"/>
        <w:tabs>
          <w:tab w:val="clear" w:pos="2835"/>
          <w:tab w:val="clear" w:pos="3969"/>
          <w:tab w:val="clear" w:pos="5103"/>
          <w:tab w:val="clear" w:pos="6237"/>
          <w:tab w:val="clear" w:pos="7371"/>
        </w:tabs>
        <w:spacing w:before="120" w:after="120"/>
        <w:rPr>
          <w:szCs w:val="26"/>
        </w:rPr>
      </w:pPr>
      <w:r>
        <w:rPr>
          <w:szCs w:val="26"/>
        </w:rPr>
        <w:t>L</w:t>
      </w:r>
      <w:r w:rsidRPr="003A6595">
        <w:rPr>
          <w:szCs w:val="26"/>
        </w:rPr>
        <w:t xml:space="preserve">a Junta de Portavoces del Parlamento de Navarra, en su sesión de </w:t>
      </w:r>
      <w:r>
        <w:rPr>
          <w:szCs w:val="26"/>
        </w:rPr>
        <w:t>19 de octubre de 2020,</w:t>
      </w:r>
      <w:r w:rsidRPr="003A6595">
        <w:rPr>
          <w:szCs w:val="26"/>
        </w:rPr>
        <w:t xml:space="preserve"> acordó solicitar a la Cámara un informe sobre “</w:t>
      </w:r>
      <w:r w:rsidRPr="003A6595">
        <w:rPr>
          <w:i/>
          <w:szCs w:val="26"/>
        </w:rPr>
        <w:t xml:space="preserve">la </w:t>
      </w:r>
      <w:r>
        <w:rPr>
          <w:i/>
          <w:szCs w:val="26"/>
        </w:rPr>
        <w:t>fiscalización de los procesos de arrendamiento (2014 y 2019) del Circuito de Navarra</w:t>
      </w:r>
      <w:r w:rsidRPr="003A6595">
        <w:rPr>
          <w:szCs w:val="26"/>
        </w:rPr>
        <w:t>”.</w:t>
      </w:r>
    </w:p>
    <w:p w14:paraId="46CAF908" w14:textId="77777777" w:rsidR="00497600" w:rsidRPr="00902A4B" w:rsidRDefault="00497600" w:rsidP="00750C68">
      <w:pPr>
        <w:pStyle w:val="texto"/>
        <w:tabs>
          <w:tab w:val="clear" w:pos="2835"/>
          <w:tab w:val="clear" w:pos="3969"/>
          <w:tab w:val="clear" w:pos="5103"/>
          <w:tab w:val="clear" w:pos="6237"/>
          <w:tab w:val="clear" w:pos="7371"/>
        </w:tabs>
        <w:spacing w:before="120" w:after="120"/>
        <w:rPr>
          <w:szCs w:val="26"/>
        </w:rPr>
      </w:pPr>
      <w:r w:rsidRPr="00490649">
        <w:rPr>
          <w:szCs w:val="26"/>
        </w:rPr>
        <w:t xml:space="preserve">Este trabajo se incorporó </w:t>
      </w:r>
      <w:r>
        <w:rPr>
          <w:szCs w:val="26"/>
        </w:rPr>
        <w:t>a</w:t>
      </w:r>
      <w:r w:rsidRPr="00490649">
        <w:rPr>
          <w:szCs w:val="26"/>
        </w:rPr>
        <w:t xml:space="preserve">l programa de fiscalización </w:t>
      </w:r>
      <w:r w:rsidR="00C32607">
        <w:rPr>
          <w:szCs w:val="26"/>
        </w:rPr>
        <w:t>de</w:t>
      </w:r>
      <w:r w:rsidRPr="00490649">
        <w:rPr>
          <w:szCs w:val="26"/>
        </w:rPr>
        <w:t xml:space="preserve"> </w:t>
      </w:r>
      <w:r>
        <w:rPr>
          <w:szCs w:val="26"/>
        </w:rPr>
        <w:t>2020</w:t>
      </w:r>
      <w:r w:rsidR="00234873">
        <w:rPr>
          <w:szCs w:val="26"/>
        </w:rPr>
        <w:t xml:space="preserve">. Lo ha </w:t>
      </w:r>
      <w:r>
        <w:rPr>
          <w:szCs w:val="26"/>
        </w:rPr>
        <w:t xml:space="preserve">realizado un equipo integrado </w:t>
      </w:r>
      <w:r w:rsidR="00096452">
        <w:rPr>
          <w:szCs w:val="26"/>
        </w:rPr>
        <w:t>por una</w:t>
      </w:r>
      <w:r>
        <w:rPr>
          <w:szCs w:val="26"/>
        </w:rPr>
        <w:t xml:space="preserve"> técnica de auditoría y una auditora con la </w:t>
      </w:r>
      <w:r w:rsidRPr="00902A4B">
        <w:rPr>
          <w:szCs w:val="26"/>
        </w:rPr>
        <w:t>colaboración de los servicios jurídicos, informáticos y administrativos de la Cámara de Co</w:t>
      </w:r>
      <w:r w:rsidR="00096452">
        <w:rPr>
          <w:szCs w:val="26"/>
        </w:rPr>
        <w:t>mptos</w:t>
      </w:r>
      <w:r w:rsidR="00B14F03">
        <w:rPr>
          <w:szCs w:val="26"/>
        </w:rPr>
        <w:t>.</w:t>
      </w:r>
      <w:r w:rsidR="005D675C">
        <w:rPr>
          <w:szCs w:val="26"/>
        </w:rPr>
        <w:t xml:space="preserve"> </w:t>
      </w:r>
    </w:p>
    <w:p w14:paraId="73C08929" w14:textId="77777777" w:rsidR="001F4AFD" w:rsidRPr="00897FA4" w:rsidRDefault="00497600" w:rsidP="00750C68">
      <w:pPr>
        <w:pStyle w:val="texto"/>
        <w:tabs>
          <w:tab w:val="clear" w:pos="2835"/>
          <w:tab w:val="clear" w:pos="3969"/>
          <w:tab w:val="clear" w:pos="5103"/>
          <w:tab w:val="clear" w:pos="6237"/>
          <w:tab w:val="clear" w:pos="7371"/>
        </w:tabs>
        <w:spacing w:before="120" w:after="120"/>
        <w:rPr>
          <w:szCs w:val="26"/>
        </w:rPr>
      </w:pPr>
      <w:r w:rsidRPr="00902A4B">
        <w:rPr>
          <w:szCs w:val="26"/>
        </w:rPr>
        <w:t xml:space="preserve">El informe se estructura en cuatro epígrafes incluida esta introducción; en el segundo se describen aspectos generales </w:t>
      </w:r>
      <w:r w:rsidR="00096452">
        <w:rPr>
          <w:szCs w:val="26"/>
        </w:rPr>
        <w:t>del Circuito de Navarra</w:t>
      </w:r>
      <w:r>
        <w:rPr>
          <w:szCs w:val="26"/>
        </w:rPr>
        <w:t xml:space="preserve"> (</w:t>
      </w:r>
      <w:r w:rsidR="00096452">
        <w:rPr>
          <w:szCs w:val="26"/>
        </w:rPr>
        <w:t>C</w:t>
      </w:r>
      <w:r>
        <w:rPr>
          <w:szCs w:val="26"/>
        </w:rPr>
        <w:t>N en adelante)</w:t>
      </w:r>
      <w:r w:rsidR="00096452">
        <w:rPr>
          <w:szCs w:val="26"/>
        </w:rPr>
        <w:t xml:space="preserve"> y de su arrendamiento en 2014 y 2019</w:t>
      </w:r>
      <w:r w:rsidRPr="00902A4B">
        <w:rPr>
          <w:szCs w:val="26"/>
        </w:rPr>
        <w:t>; el</w:t>
      </w:r>
      <w:r w:rsidR="00096452">
        <w:rPr>
          <w:szCs w:val="26"/>
        </w:rPr>
        <w:t xml:space="preserve"> tercero contiene los objetivos y</w:t>
      </w:r>
      <w:r w:rsidRPr="00902A4B">
        <w:rPr>
          <w:szCs w:val="26"/>
        </w:rPr>
        <w:t xml:space="preserve"> alcance del trabajo, y el cuarto, las </w:t>
      </w:r>
      <w:r w:rsidRPr="0095428C">
        <w:rPr>
          <w:szCs w:val="26"/>
        </w:rPr>
        <w:t>conclusiones y recomendaciones</w:t>
      </w:r>
      <w:r>
        <w:rPr>
          <w:szCs w:val="26"/>
        </w:rPr>
        <w:t xml:space="preserve"> alca</w:t>
      </w:r>
      <w:r w:rsidRPr="00897FA4">
        <w:rPr>
          <w:szCs w:val="26"/>
        </w:rPr>
        <w:t>nzadas.</w:t>
      </w:r>
    </w:p>
    <w:p w14:paraId="3C5AE141" w14:textId="77777777" w:rsidR="001F4AFD" w:rsidRPr="00897FA4" w:rsidRDefault="001F4AFD" w:rsidP="00750C68">
      <w:pPr>
        <w:pStyle w:val="texto"/>
        <w:spacing w:before="120" w:after="120"/>
      </w:pPr>
      <w:r w:rsidRPr="00897FA4">
        <w:t>De conformidad con lo previsto en el artículo 11 de la Ley Foral 19/1984, reguladora de la Cámara de Comptos de Navarra, los resultados de este trabajo se pusieron de manifiesto a la consejera de Cultura y Deporte, al director general de la Corporación Pública Empresarial de Navarra, S.L.U y al director gerente de la empresa Navarra de Infraestructuras de Cultura, Deporte y Ocio con el fin de que formularan alegaciones.</w:t>
      </w:r>
    </w:p>
    <w:p w14:paraId="05806218" w14:textId="77777777" w:rsidR="001F4AFD" w:rsidRPr="00897FA4" w:rsidRDefault="00705B70" w:rsidP="00750C68">
      <w:pPr>
        <w:pStyle w:val="texto"/>
        <w:spacing w:before="120" w:after="120"/>
      </w:pPr>
      <w:r w:rsidRPr="00897FA4">
        <w:t>Transcurrido el plazo fijado por la Cámara de Comptos n</w:t>
      </w:r>
      <w:r w:rsidR="001F4AFD" w:rsidRPr="00897FA4">
        <w:t>o</w:t>
      </w:r>
      <w:r w:rsidRPr="00897FA4">
        <w:t xml:space="preserve"> se han presentado alegaciones</w:t>
      </w:r>
      <w:r w:rsidR="001F4AFD" w:rsidRPr="00897FA4">
        <w:t>, por lo que este informe se eleva a definitivo.</w:t>
      </w:r>
    </w:p>
    <w:p w14:paraId="293FE047" w14:textId="77777777" w:rsidR="00497600" w:rsidRDefault="00497600" w:rsidP="00750C68">
      <w:pPr>
        <w:pStyle w:val="texto"/>
        <w:tabs>
          <w:tab w:val="clear" w:pos="2835"/>
          <w:tab w:val="clear" w:pos="3969"/>
          <w:tab w:val="clear" w:pos="5103"/>
          <w:tab w:val="clear" w:pos="6237"/>
          <w:tab w:val="clear" w:pos="7371"/>
        </w:tabs>
        <w:spacing w:before="120" w:after="120"/>
        <w:rPr>
          <w:szCs w:val="26"/>
        </w:rPr>
      </w:pPr>
      <w:r w:rsidRPr="00902A4B">
        <w:rPr>
          <w:szCs w:val="26"/>
        </w:rPr>
        <w:t xml:space="preserve">Agradecemos al personal </w:t>
      </w:r>
      <w:r>
        <w:rPr>
          <w:szCs w:val="26"/>
        </w:rPr>
        <w:t>de la</w:t>
      </w:r>
      <w:r w:rsidR="00096452">
        <w:rPr>
          <w:szCs w:val="26"/>
        </w:rPr>
        <w:t xml:space="preserve"> </w:t>
      </w:r>
      <w:r w:rsidR="00096452" w:rsidRPr="00EB7C97">
        <w:rPr>
          <w:rFonts w:cs="Arial"/>
        </w:rPr>
        <w:t>empresa Corporación Pública Empresarial de Navarra, S.L.U., (CPEN</w:t>
      </w:r>
      <w:r w:rsidR="00096452">
        <w:rPr>
          <w:rFonts w:cs="Arial"/>
        </w:rPr>
        <w:t xml:space="preserve"> en adelante</w:t>
      </w:r>
      <w:r w:rsidR="00096452" w:rsidRPr="00EB7C97">
        <w:rPr>
          <w:rFonts w:cs="Arial"/>
        </w:rPr>
        <w:t>)</w:t>
      </w:r>
      <w:r w:rsidR="00096452">
        <w:rPr>
          <w:rFonts w:cs="Arial"/>
        </w:rPr>
        <w:t xml:space="preserve"> y de la empresa </w:t>
      </w:r>
      <w:r w:rsidR="00096452" w:rsidRPr="001D6F37">
        <w:rPr>
          <w:szCs w:val="26"/>
        </w:rPr>
        <w:t>Navarra de Infraestructuras de Cultura, Deporte y Ocio (NICDO</w:t>
      </w:r>
      <w:r w:rsidR="00096452">
        <w:rPr>
          <w:szCs w:val="26"/>
        </w:rPr>
        <w:t xml:space="preserve"> en adelante</w:t>
      </w:r>
      <w:r w:rsidR="00096452" w:rsidRPr="001D6F37">
        <w:rPr>
          <w:szCs w:val="26"/>
        </w:rPr>
        <w:t>)</w:t>
      </w:r>
      <w:r w:rsidR="00096452">
        <w:rPr>
          <w:szCs w:val="26"/>
        </w:rPr>
        <w:t xml:space="preserve"> </w:t>
      </w:r>
      <w:r w:rsidRPr="00902A4B">
        <w:rPr>
          <w:szCs w:val="26"/>
        </w:rPr>
        <w:t>la colaboración prestada en la realización del presente trabajo.</w:t>
      </w:r>
    </w:p>
    <w:p w14:paraId="128BC80E" w14:textId="77777777" w:rsidR="001C64DC" w:rsidRDefault="001C64DC" w:rsidP="00750C68">
      <w:pPr>
        <w:spacing w:before="120" w:after="120"/>
        <w:ind w:firstLine="0"/>
        <w:jc w:val="left"/>
        <w:rPr>
          <w:spacing w:val="6"/>
          <w:sz w:val="26"/>
          <w:szCs w:val="24"/>
        </w:rPr>
      </w:pPr>
      <w:r>
        <w:rPr>
          <w:spacing w:val="6"/>
          <w:sz w:val="26"/>
          <w:szCs w:val="24"/>
        </w:rPr>
        <w:br w:type="page"/>
      </w:r>
    </w:p>
    <w:p w14:paraId="178686C6" w14:textId="77777777" w:rsidR="002422F8" w:rsidRPr="009B6C7A" w:rsidRDefault="002422F8" w:rsidP="002422F8">
      <w:pPr>
        <w:pStyle w:val="atitulo1"/>
      </w:pPr>
      <w:bookmarkStart w:id="2" w:name="_Toc41485550"/>
      <w:bookmarkStart w:id="3" w:name="_Toc92970042"/>
      <w:bookmarkStart w:id="4" w:name="_Toc11396076"/>
      <w:r w:rsidRPr="009B6C7A">
        <w:lastRenderedPageBreak/>
        <w:t xml:space="preserve">II. </w:t>
      </w:r>
      <w:bookmarkEnd w:id="2"/>
      <w:r w:rsidR="00096452">
        <w:t>El Circuito de Navarra</w:t>
      </w:r>
      <w:bookmarkEnd w:id="3"/>
    </w:p>
    <w:p w14:paraId="1EED0A8F" w14:textId="77777777" w:rsidR="00591B20" w:rsidRDefault="00271B66" w:rsidP="00271B66">
      <w:pPr>
        <w:pStyle w:val="texto"/>
        <w:spacing w:before="120" w:after="120"/>
        <w:rPr>
          <w:szCs w:val="26"/>
        </w:rPr>
      </w:pPr>
      <w:bookmarkStart w:id="5" w:name="_Toc64533915"/>
      <w:bookmarkStart w:id="6" w:name="_Toc398207038"/>
      <w:bookmarkStart w:id="7" w:name="_Toc432757087"/>
      <w:bookmarkStart w:id="8" w:name="_Toc447195021"/>
      <w:bookmarkStart w:id="9" w:name="_Toc477171874"/>
      <w:bookmarkStart w:id="10" w:name="_Toc432757082"/>
      <w:bookmarkStart w:id="11" w:name="_Toc447195015"/>
      <w:bookmarkEnd w:id="4"/>
      <w:r w:rsidRPr="00B100E6">
        <w:rPr>
          <w:szCs w:val="26"/>
        </w:rPr>
        <w:t xml:space="preserve">La iniciativa del CN partió inicialmente del sector privado en un proyecto en el que el 55 por ciento del capital era del sector privado y el 45 por ciento restante de la ACFN. Posteriormente, conforme la inversión fue avanzando, debido a la falta de aportación de capital por la parte privada, la ACFN acabó asumiendo la inversión de tal forma que sus aportaciones supusieron el 95 por ciento del total y la de la parte privada se redujo a un cinco por ciento. </w:t>
      </w:r>
    </w:p>
    <w:p w14:paraId="06BAE55F" w14:textId="77777777" w:rsidR="00591B20" w:rsidRPr="00591B20" w:rsidRDefault="00591B20" w:rsidP="00591B20">
      <w:pPr>
        <w:pStyle w:val="texto"/>
        <w:spacing w:before="120" w:after="120"/>
        <w:rPr>
          <w:szCs w:val="26"/>
        </w:rPr>
      </w:pPr>
      <w:r w:rsidRPr="00591B20">
        <w:rPr>
          <w:szCs w:val="26"/>
        </w:rPr>
        <w:t>Al respecto, esta Cámara fue crítica con la actuación del Gobierno de Navarra en esta operación realizada a través de la empresa pública SPRIN. Lo hizo en un informe de 2010 en el que señaló que no había ningún documento que explicara la decisión de participar en el proyecto con un inversor privado. Constató la falta de definición previa del mismo, como lo prueban los cambios en la dimensión del proyecto. Y remarcó la necesidad de que este tipo de inversiones se soporten siempre en documentos que incluyan los objetivos, indicadores para medir su cumplimiento y plan de viabilidad.</w:t>
      </w:r>
    </w:p>
    <w:p w14:paraId="4AFE23AF" w14:textId="77777777" w:rsidR="00096452" w:rsidRDefault="00271B66" w:rsidP="00750C68">
      <w:pPr>
        <w:pStyle w:val="texto"/>
        <w:tabs>
          <w:tab w:val="clear" w:pos="2835"/>
          <w:tab w:val="clear" w:pos="3969"/>
          <w:tab w:val="clear" w:pos="5103"/>
          <w:tab w:val="clear" w:pos="6237"/>
          <w:tab w:val="clear" w:pos="7371"/>
        </w:tabs>
        <w:spacing w:before="120" w:after="120"/>
        <w:rPr>
          <w:szCs w:val="26"/>
        </w:rPr>
      </w:pPr>
      <w:r>
        <w:rPr>
          <w:szCs w:val="26"/>
        </w:rPr>
        <w:t>Finalmente, e</w:t>
      </w:r>
      <w:r w:rsidR="00096452" w:rsidRPr="001F198A">
        <w:rPr>
          <w:szCs w:val="26"/>
        </w:rPr>
        <w:t>l C</w:t>
      </w:r>
      <w:r w:rsidR="00096452">
        <w:rPr>
          <w:szCs w:val="26"/>
        </w:rPr>
        <w:t>N situado en Los Arcos</w:t>
      </w:r>
      <w:r>
        <w:rPr>
          <w:szCs w:val="26"/>
        </w:rPr>
        <w:t xml:space="preserve"> se convirtió en </w:t>
      </w:r>
      <w:r w:rsidR="00096452" w:rsidRPr="001F198A">
        <w:rPr>
          <w:szCs w:val="26"/>
        </w:rPr>
        <w:t xml:space="preserve">un espacio lúdico y deportivo especializado en el motor </w:t>
      </w:r>
      <w:r>
        <w:rPr>
          <w:szCs w:val="26"/>
        </w:rPr>
        <w:t xml:space="preserve">y fue </w:t>
      </w:r>
      <w:r w:rsidR="00D42B7C">
        <w:rPr>
          <w:szCs w:val="26"/>
        </w:rPr>
        <w:t>inaugurado</w:t>
      </w:r>
      <w:r w:rsidR="00096452">
        <w:rPr>
          <w:szCs w:val="26"/>
        </w:rPr>
        <w:t xml:space="preserve"> en</w:t>
      </w:r>
      <w:r w:rsidR="00D42B7C">
        <w:rPr>
          <w:szCs w:val="26"/>
        </w:rPr>
        <w:t xml:space="preserve"> junio de</w:t>
      </w:r>
      <w:r w:rsidR="00096452">
        <w:rPr>
          <w:szCs w:val="26"/>
        </w:rPr>
        <w:t xml:space="preserve"> 2010</w:t>
      </w:r>
      <w:r w:rsidR="00D42B7C">
        <w:rPr>
          <w:szCs w:val="26"/>
        </w:rPr>
        <w:t xml:space="preserve"> con un coste de 5</w:t>
      </w:r>
      <w:r w:rsidR="00B30BE2">
        <w:rPr>
          <w:szCs w:val="26"/>
        </w:rPr>
        <w:t>5</w:t>
      </w:r>
      <w:r w:rsidR="009F07B0">
        <w:rPr>
          <w:szCs w:val="26"/>
        </w:rPr>
        <w:t xml:space="preserve"> millones</w:t>
      </w:r>
      <w:r w:rsidR="009F07B0">
        <w:rPr>
          <w:rStyle w:val="Refdenotaalpie"/>
          <w:szCs w:val="26"/>
        </w:rPr>
        <w:footnoteReference w:id="1"/>
      </w:r>
      <w:r w:rsidR="00096452">
        <w:rPr>
          <w:szCs w:val="26"/>
        </w:rPr>
        <w:t xml:space="preserve">; sus instalaciones están preparadas </w:t>
      </w:r>
      <w:r w:rsidR="00096452" w:rsidRPr="001F198A">
        <w:rPr>
          <w:szCs w:val="26"/>
        </w:rPr>
        <w:t xml:space="preserve">para generar y albergar eventos </w:t>
      </w:r>
      <w:r w:rsidR="00096452">
        <w:rPr>
          <w:szCs w:val="26"/>
        </w:rPr>
        <w:t>tanto corporativos como de ocio.</w:t>
      </w:r>
      <w:r w:rsidR="00096452" w:rsidRPr="001F198A">
        <w:rPr>
          <w:szCs w:val="26"/>
        </w:rPr>
        <w:t xml:space="preserve"> </w:t>
      </w:r>
      <w:r w:rsidR="00096452">
        <w:rPr>
          <w:szCs w:val="26"/>
        </w:rPr>
        <w:t>C</w:t>
      </w:r>
      <w:r w:rsidR="00096452" w:rsidRPr="001F198A">
        <w:rPr>
          <w:szCs w:val="26"/>
        </w:rPr>
        <w:t>uen</w:t>
      </w:r>
      <w:r w:rsidR="00096452">
        <w:rPr>
          <w:szCs w:val="26"/>
        </w:rPr>
        <w:t>ta con cinco pistas específicas:</w:t>
      </w:r>
      <w:r w:rsidR="00096452" w:rsidRPr="001F198A">
        <w:rPr>
          <w:szCs w:val="26"/>
        </w:rPr>
        <w:t xml:space="preserve"> un </w:t>
      </w:r>
      <w:r w:rsidR="00096452">
        <w:rPr>
          <w:szCs w:val="26"/>
        </w:rPr>
        <w:t>c</w:t>
      </w:r>
      <w:r w:rsidR="00096452" w:rsidRPr="001F198A">
        <w:rPr>
          <w:szCs w:val="26"/>
        </w:rPr>
        <w:t xml:space="preserve">ircuito de </w:t>
      </w:r>
      <w:r w:rsidR="00096452">
        <w:rPr>
          <w:szCs w:val="26"/>
        </w:rPr>
        <w:t>velocidad, un c</w:t>
      </w:r>
      <w:r w:rsidR="00096452" w:rsidRPr="001F198A">
        <w:rPr>
          <w:szCs w:val="26"/>
        </w:rPr>
        <w:t xml:space="preserve">ircuito de </w:t>
      </w:r>
      <w:r w:rsidR="00096452">
        <w:rPr>
          <w:szCs w:val="26"/>
        </w:rPr>
        <w:t>k</w:t>
      </w:r>
      <w:r w:rsidR="00096452" w:rsidRPr="001F198A">
        <w:rPr>
          <w:szCs w:val="26"/>
        </w:rPr>
        <w:t xml:space="preserve">arting, una </w:t>
      </w:r>
      <w:r w:rsidR="00096452">
        <w:rPr>
          <w:szCs w:val="26"/>
        </w:rPr>
        <w:t>p</w:t>
      </w:r>
      <w:r w:rsidR="00096452" w:rsidRPr="001F198A">
        <w:rPr>
          <w:szCs w:val="26"/>
        </w:rPr>
        <w:t xml:space="preserve">ista de </w:t>
      </w:r>
      <w:proofErr w:type="spellStart"/>
      <w:r w:rsidR="00096452">
        <w:rPr>
          <w:szCs w:val="26"/>
        </w:rPr>
        <w:t>a</w:t>
      </w:r>
      <w:r w:rsidR="00096452" w:rsidRPr="001F198A">
        <w:rPr>
          <w:szCs w:val="26"/>
        </w:rPr>
        <w:t>uto</w:t>
      </w:r>
      <w:r w:rsidR="00096452">
        <w:rPr>
          <w:szCs w:val="26"/>
        </w:rPr>
        <w:t>cross</w:t>
      </w:r>
      <w:proofErr w:type="spellEnd"/>
      <w:r w:rsidR="00096452">
        <w:rPr>
          <w:szCs w:val="26"/>
        </w:rPr>
        <w:t>, una p</w:t>
      </w:r>
      <w:r w:rsidR="00096452" w:rsidRPr="001F198A">
        <w:rPr>
          <w:szCs w:val="26"/>
        </w:rPr>
        <w:t xml:space="preserve">ista </w:t>
      </w:r>
      <w:r w:rsidR="00096452">
        <w:rPr>
          <w:szCs w:val="26"/>
        </w:rPr>
        <w:t>d</w:t>
      </w:r>
      <w:r w:rsidR="00096452" w:rsidRPr="001F198A">
        <w:rPr>
          <w:szCs w:val="26"/>
        </w:rPr>
        <w:t xml:space="preserve">eslizante y una </w:t>
      </w:r>
      <w:r w:rsidR="00096452">
        <w:rPr>
          <w:szCs w:val="26"/>
        </w:rPr>
        <w:t>z</w:t>
      </w:r>
      <w:r w:rsidR="00096452" w:rsidRPr="001F198A">
        <w:rPr>
          <w:szCs w:val="26"/>
        </w:rPr>
        <w:t>ona 4×4.</w:t>
      </w:r>
    </w:p>
    <w:p w14:paraId="12ABD6EE" w14:textId="77777777" w:rsidR="00A70A43" w:rsidRDefault="00096452" w:rsidP="00750C68">
      <w:pPr>
        <w:pStyle w:val="texto"/>
        <w:tabs>
          <w:tab w:val="clear" w:pos="2835"/>
          <w:tab w:val="clear" w:pos="3969"/>
          <w:tab w:val="clear" w:pos="5103"/>
          <w:tab w:val="clear" w:pos="6237"/>
          <w:tab w:val="clear" w:pos="7371"/>
        </w:tabs>
        <w:spacing w:before="120" w:after="120"/>
        <w:rPr>
          <w:szCs w:val="26"/>
        </w:rPr>
      </w:pPr>
      <w:r>
        <w:rPr>
          <w:szCs w:val="26"/>
        </w:rPr>
        <w:t xml:space="preserve">El CN pertenece a </w:t>
      </w:r>
      <w:r w:rsidRPr="001D6F37">
        <w:rPr>
          <w:szCs w:val="26"/>
        </w:rPr>
        <w:t xml:space="preserve">NICDO </w:t>
      </w:r>
      <w:r>
        <w:rPr>
          <w:szCs w:val="26"/>
        </w:rPr>
        <w:t xml:space="preserve">sociedad pública cuyo socio único es la </w:t>
      </w:r>
      <w:r w:rsidR="00A70A43">
        <w:rPr>
          <w:szCs w:val="26"/>
        </w:rPr>
        <w:t>CPEN</w:t>
      </w:r>
      <w:r w:rsidR="002975A2">
        <w:rPr>
          <w:szCs w:val="26"/>
        </w:rPr>
        <w:t xml:space="preserve">; la gestión de </w:t>
      </w:r>
      <w:r w:rsidR="00A70A43">
        <w:rPr>
          <w:szCs w:val="26"/>
        </w:rPr>
        <w:t>esta infraestructura</w:t>
      </w:r>
      <w:r w:rsidR="002975A2">
        <w:rPr>
          <w:szCs w:val="26"/>
        </w:rPr>
        <w:t xml:space="preserve"> se llevó a cabo por</w:t>
      </w:r>
      <w:r w:rsidR="00670658">
        <w:rPr>
          <w:szCs w:val="26"/>
        </w:rPr>
        <w:t xml:space="preserve"> la sociedad pública</w:t>
      </w:r>
      <w:r w:rsidR="00D90F1F">
        <w:rPr>
          <w:szCs w:val="26"/>
        </w:rPr>
        <w:t xml:space="preserve"> Circuito Los Arcos S.L., que tras el proceso de reestructuración del sector público empresarial de Navarra de 2011 pasó a denominarse Navarra Deporte y Ocio S.L., y posteriormente pasó a denominarse NICDO; </w:t>
      </w:r>
      <w:r w:rsidR="002975A2">
        <w:rPr>
          <w:szCs w:val="26"/>
        </w:rPr>
        <w:t xml:space="preserve">en </w:t>
      </w:r>
      <w:r w:rsidR="00A70A43">
        <w:rPr>
          <w:szCs w:val="26"/>
        </w:rPr>
        <w:t>2013</w:t>
      </w:r>
      <w:r w:rsidR="00D90F1F">
        <w:rPr>
          <w:szCs w:val="26"/>
        </w:rPr>
        <w:t>,</w:t>
      </w:r>
      <w:r w:rsidR="00A70A43">
        <w:rPr>
          <w:szCs w:val="26"/>
        </w:rPr>
        <w:t xml:space="preserve"> </w:t>
      </w:r>
      <w:r w:rsidR="002975A2">
        <w:rPr>
          <w:szCs w:val="26"/>
        </w:rPr>
        <w:t>se plante</w:t>
      </w:r>
      <w:r w:rsidR="00D90F1F">
        <w:rPr>
          <w:szCs w:val="26"/>
        </w:rPr>
        <w:t>ó</w:t>
      </w:r>
      <w:r w:rsidR="00F32020">
        <w:rPr>
          <w:szCs w:val="26"/>
        </w:rPr>
        <w:t xml:space="preserve"> la posibilidad de arrendarla ante un déficit de explotación acumulado de cinco millones. </w:t>
      </w:r>
    </w:p>
    <w:p w14:paraId="65612095" w14:textId="77777777" w:rsidR="00F76B67" w:rsidRDefault="002975A2" w:rsidP="00750C68">
      <w:pPr>
        <w:pStyle w:val="texto"/>
        <w:tabs>
          <w:tab w:val="clear" w:pos="2835"/>
          <w:tab w:val="clear" w:pos="3969"/>
          <w:tab w:val="clear" w:pos="5103"/>
          <w:tab w:val="clear" w:pos="6237"/>
          <w:tab w:val="clear" w:pos="7371"/>
        </w:tabs>
        <w:spacing w:before="120" w:after="120"/>
        <w:rPr>
          <w:szCs w:val="26"/>
        </w:rPr>
      </w:pPr>
      <w:r>
        <w:rPr>
          <w:szCs w:val="26"/>
        </w:rPr>
        <w:t>Así, e</w:t>
      </w:r>
      <w:r w:rsidR="00096452" w:rsidRPr="00583069">
        <w:rPr>
          <w:szCs w:val="26"/>
        </w:rPr>
        <w:t xml:space="preserve">n </w:t>
      </w:r>
      <w:r w:rsidR="00096452">
        <w:rPr>
          <w:szCs w:val="26"/>
        </w:rPr>
        <w:t>octubre de 2013</w:t>
      </w:r>
      <w:r>
        <w:rPr>
          <w:szCs w:val="26"/>
        </w:rPr>
        <w:t>,</w:t>
      </w:r>
      <w:r w:rsidR="00096452">
        <w:rPr>
          <w:szCs w:val="26"/>
        </w:rPr>
        <w:t xml:space="preserve"> la CPEN inició el proceso de selección de candidatos para optar al arrendamiento con opción de compraventa vinculante y derecho de tanteo del CN. </w:t>
      </w:r>
    </w:p>
    <w:p w14:paraId="5A2BCFD7" w14:textId="77777777" w:rsidR="00F76B67" w:rsidRDefault="00096452" w:rsidP="00750C68">
      <w:pPr>
        <w:pStyle w:val="texto"/>
        <w:tabs>
          <w:tab w:val="clear" w:pos="2835"/>
          <w:tab w:val="clear" w:pos="3969"/>
          <w:tab w:val="clear" w:pos="5103"/>
          <w:tab w:val="clear" w:pos="6237"/>
          <w:tab w:val="clear" w:pos="7371"/>
        </w:tabs>
        <w:spacing w:before="120" w:after="120"/>
        <w:rPr>
          <w:szCs w:val="26"/>
        </w:rPr>
      </w:pPr>
      <w:r w:rsidRPr="00F76B67">
        <w:rPr>
          <w:szCs w:val="26"/>
        </w:rPr>
        <w:t xml:space="preserve">En febrero de 2014, NICDO formalizó </w:t>
      </w:r>
      <w:r w:rsidR="00D90F1F">
        <w:rPr>
          <w:szCs w:val="26"/>
        </w:rPr>
        <w:t xml:space="preserve">con Los Arcos </w:t>
      </w:r>
      <w:proofErr w:type="spellStart"/>
      <w:r w:rsidR="00D90F1F">
        <w:rPr>
          <w:szCs w:val="26"/>
        </w:rPr>
        <w:t>Motosport</w:t>
      </w:r>
      <w:proofErr w:type="spellEnd"/>
      <w:r w:rsidR="00D90F1F">
        <w:rPr>
          <w:szCs w:val="26"/>
        </w:rPr>
        <w:t xml:space="preserve"> S.L. y sus socios </w:t>
      </w:r>
      <w:r w:rsidRPr="00F76B67">
        <w:rPr>
          <w:szCs w:val="26"/>
        </w:rPr>
        <w:t xml:space="preserve">el contrato de arrendamiento que incluyó tanto las instalaciones como su fondo de comercio y actividad. </w:t>
      </w:r>
    </w:p>
    <w:p w14:paraId="5DD15188" w14:textId="77777777" w:rsidR="00F76B67" w:rsidRDefault="00096452" w:rsidP="00750C68">
      <w:pPr>
        <w:pStyle w:val="texto"/>
        <w:tabs>
          <w:tab w:val="clear" w:pos="2835"/>
          <w:tab w:val="clear" w:pos="3969"/>
          <w:tab w:val="clear" w:pos="5103"/>
          <w:tab w:val="clear" w:pos="6237"/>
          <w:tab w:val="clear" w:pos="7371"/>
        </w:tabs>
        <w:spacing w:before="120" w:after="120"/>
        <w:rPr>
          <w:szCs w:val="26"/>
        </w:rPr>
      </w:pPr>
      <w:r w:rsidRPr="00BF2867">
        <w:rPr>
          <w:szCs w:val="26"/>
        </w:rPr>
        <w:t xml:space="preserve">En </w:t>
      </w:r>
      <w:r>
        <w:rPr>
          <w:szCs w:val="26"/>
        </w:rPr>
        <w:t xml:space="preserve">noviembre de </w:t>
      </w:r>
      <w:r w:rsidRPr="00BF2867">
        <w:rPr>
          <w:szCs w:val="26"/>
        </w:rPr>
        <w:t>2018, ante el</w:t>
      </w:r>
      <w:r w:rsidR="009703D4">
        <w:rPr>
          <w:szCs w:val="26"/>
        </w:rPr>
        <w:t xml:space="preserve"> </w:t>
      </w:r>
      <w:r w:rsidRPr="00BF2867">
        <w:rPr>
          <w:szCs w:val="26"/>
        </w:rPr>
        <w:t>fin del contrato</w:t>
      </w:r>
      <w:r>
        <w:rPr>
          <w:szCs w:val="26"/>
        </w:rPr>
        <w:t xml:space="preserve"> de arrendamiento anterior</w:t>
      </w:r>
      <w:r w:rsidRPr="00BF2867">
        <w:rPr>
          <w:szCs w:val="26"/>
        </w:rPr>
        <w:t>, las dos partes negociaron la prórroga para el año 2019</w:t>
      </w:r>
      <w:r>
        <w:rPr>
          <w:szCs w:val="26"/>
        </w:rPr>
        <w:t>.</w:t>
      </w:r>
      <w:r w:rsidRPr="00BF2867">
        <w:rPr>
          <w:szCs w:val="26"/>
        </w:rPr>
        <w:t xml:space="preserve"> </w:t>
      </w:r>
    </w:p>
    <w:p w14:paraId="4231B3DC" w14:textId="2F6FA5F6" w:rsidR="00F76B67" w:rsidRDefault="00096452" w:rsidP="00750C68">
      <w:pPr>
        <w:pStyle w:val="texto"/>
        <w:tabs>
          <w:tab w:val="clear" w:pos="2835"/>
          <w:tab w:val="clear" w:pos="3969"/>
          <w:tab w:val="clear" w:pos="5103"/>
          <w:tab w:val="clear" w:pos="6237"/>
          <w:tab w:val="clear" w:pos="7371"/>
        </w:tabs>
        <w:spacing w:before="120" w:after="120"/>
        <w:rPr>
          <w:szCs w:val="26"/>
        </w:rPr>
      </w:pPr>
      <w:r w:rsidRPr="00FB26C4">
        <w:rPr>
          <w:szCs w:val="26"/>
        </w:rPr>
        <w:lastRenderedPageBreak/>
        <w:t>Hasta 2019, la empresa</w:t>
      </w:r>
      <w:r>
        <w:rPr>
          <w:szCs w:val="26"/>
        </w:rPr>
        <w:t xml:space="preserve"> arrendataria</w:t>
      </w:r>
      <w:r w:rsidRPr="00FB26C4">
        <w:rPr>
          <w:szCs w:val="26"/>
        </w:rPr>
        <w:t xml:space="preserve"> había pagado </w:t>
      </w:r>
      <w:r w:rsidR="000B224A">
        <w:rPr>
          <w:szCs w:val="26"/>
        </w:rPr>
        <w:t xml:space="preserve">la cantidad acordada por el alquiler, si bien </w:t>
      </w:r>
      <w:r w:rsidRPr="00FB26C4">
        <w:rPr>
          <w:szCs w:val="26"/>
        </w:rPr>
        <w:t>en algunos casos con retraso</w:t>
      </w:r>
      <w:r w:rsidR="000B224A">
        <w:rPr>
          <w:szCs w:val="26"/>
        </w:rPr>
        <w:t>.</w:t>
      </w:r>
      <w:r w:rsidRPr="00FB26C4">
        <w:rPr>
          <w:szCs w:val="26"/>
        </w:rPr>
        <w:t xml:space="preserve"> Sin embargo, </w:t>
      </w:r>
      <w:r>
        <w:rPr>
          <w:szCs w:val="26"/>
        </w:rPr>
        <w:t xml:space="preserve">la empresa dejó de pagar el alquiler del segundo trimestre de </w:t>
      </w:r>
      <w:r w:rsidR="00C6795A">
        <w:rPr>
          <w:szCs w:val="26"/>
        </w:rPr>
        <w:t>2019</w:t>
      </w:r>
      <w:r>
        <w:rPr>
          <w:szCs w:val="26"/>
        </w:rPr>
        <w:t>.</w:t>
      </w:r>
      <w:r w:rsidR="003E43DB">
        <w:rPr>
          <w:szCs w:val="26"/>
        </w:rPr>
        <w:t xml:space="preserve"> </w:t>
      </w:r>
    </w:p>
    <w:p w14:paraId="07CDD684" w14:textId="77777777" w:rsidR="00F76B67" w:rsidRPr="00773D2B" w:rsidRDefault="00773D2B" w:rsidP="00750C68">
      <w:pPr>
        <w:pStyle w:val="texto"/>
        <w:tabs>
          <w:tab w:val="clear" w:pos="2835"/>
          <w:tab w:val="clear" w:pos="3969"/>
          <w:tab w:val="clear" w:pos="5103"/>
          <w:tab w:val="clear" w:pos="6237"/>
          <w:tab w:val="clear" w:pos="7371"/>
        </w:tabs>
        <w:spacing w:before="120" w:after="120"/>
        <w:rPr>
          <w:szCs w:val="26"/>
        </w:rPr>
      </w:pPr>
      <w:r>
        <w:rPr>
          <w:szCs w:val="26"/>
        </w:rPr>
        <w:t>E</w:t>
      </w:r>
      <w:r w:rsidR="000B1CAC">
        <w:rPr>
          <w:szCs w:val="26"/>
        </w:rPr>
        <w:t>n julio de 2019</w:t>
      </w:r>
      <w:r w:rsidR="00D90F1F">
        <w:rPr>
          <w:szCs w:val="26"/>
        </w:rPr>
        <w:t xml:space="preserve">, tras un nuevo proceso de selección de candidatos para optar al arrendamiento con opción de compraventa del CN, </w:t>
      </w:r>
      <w:r>
        <w:rPr>
          <w:szCs w:val="26"/>
        </w:rPr>
        <w:t xml:space="preserve">se firmó el contrato </w:t>
      </w:r>
      <w:r w:rsidR="000B1CAC">
        <w:rPr>
          <w:szCs w:val="26"/>
        </w:rPr>
        <w:t>para el periodo 2020-2024</w:t>
      </w:r>
      <w:r>
        <w:rPr>
          <w:szCs w:val="26"/>
        </w:rPr>
        <w:t xml:space="preserve"> en el que se </w:t>
      </w:r>
      <w:r w:rsidRPr="00773D2B">
        <w:rPr>
          <w:szCs w:val="26"/>
        </w:rPr>
        <w:t>establecía la obligación</w:t>
      </w:r>
      <w:r w:rsidR="00D90F1F">
        <w:rPr>
          <w:szCs w:val="26"/>
        </w:rPr>
        <w:t xml:space="preserve"> por parte</w:t>
      </w:r>
      <w:r w:rsidRPr="00773D2B">
        <w:rPr>
          <w:szCs w:val="26"/>
        </w:rPr>
        <w:t xml:space="preserve"> de la empresa arrendataria de </w:t>
      </w:r>
      <w:r w:rsidR="00D90F1F">
        <w:rPr>
          <w:szCs w:val="26"/>
        </w:rPr>
        <w:t>disponer de unos fondos propios de al menos</w:t>
      </w:r>
      <w:r w:rsidR="00096452" w:rsidRPr="00773D2B">
        <w:rPr>
          <w:szCs w:val="26"/>
        </w:rPr>
        <w:t xml:space="preserve"> 500.000 euros para continuar con la gestión del CN.</w:t>
      </w:r>
    </w:p>
    <w:p w14:paraId="7EAB4663" w14:textId="77777777" w:rsidR="00F76B67" w:rsidRDefault="00D90F1F" w:rsidP="00750C68">
      <w:pPr>
        <w:pStyle w:val="texto"/>
        <w:tabs>
          <w:tab w:val="clear" w:pos="2835"/>
          <w:tab w:val="clear" w:pos="3969"/>
          <w:tab w:val="clear" w:pos="5103"/>
          <w:tab w:val="clear" w:pos="6237"/>
          <w:tab w:val="clear" w:pos="7371"/>
        </w:tabs>
        <w:spacing w:before="120" w:after="120"/>
        <w:rPr>
          <w:szCs w:val="26"/>
        </w:rPr>
      </w:pPr>
      <w:r>
        <w:rPr>
          <w:szCs w:val="26"/>
        </w:rPr>
        <w:t>E</w:t>
      </w:r>
      <w:r w:rsidR="00F76B67">
        <w:rPr>
          <w:szCs w:val="26"/>
        </w:rPr>
        <w:t xml:space="preserve">n </w:t>
      </w:r>
      <w:r w:rsidR="00773D2B">
        <w:rPr>
          <w:szCs w:val="26"/>
        </w:rPr>
        <w:t>noviembre de 2019,</w:t>
      </w:r>
      <w:r>
        <w:rPr>
          <w:szCs w:val="26"/>
        </w:rPr>
        <w:t xml:space="preserve"> ante la imposibilidad de cumplir las obligaciones de disposición de esos fondos propios tal y como establecía el contrato cuya vigencia comenzaba en enero de 2020,</w:t>
      </w:r>
      <w:r w:rsidR="00773D2B">
        <w:rPr>
          <w:szCs w:val="26"/>
        </w:rPr>
        <w:t xml:space="preserve"> </w:t>
      </w:r>
      <w:r w:rsidR="00C6795A">
        <w:rPr>
          <w:szCs w:val="26"/>
        </w:rPr>
        <w:t>l</w:t>
      </w:r>
      <w:r w:rsidR="00096452" w:rsidRPr="00071F36">
        <w:rPr>
          <w:szCs w:val="26"/>
        </w:rPr>
        <w:t xml:space="preserve">a empresa solicitó la resolución del contrato de arrendamiento firmado en julio, </w:t>
      </w:r>
      <w:r w:rsidR="00F76B67">
        <w:rPr>
          <w:szCs w:val="26"/>
        </w:rPr>
        <w:t>petición</w:t>
      </w:r>
      <w:r w:rsidR="00096452" w:rsidRPr="00071F36">
        <w:rPr>
          <w:szCs w:val="26"/>
        </w:rPr>
        <w:t xml:space="preserve"> que fue aceptada por NICDO.</w:t>
      </w:r>
      <w:r w:rsidR="00096452">
        <w:rPr>
          <w:szCs w:val="26"/>
        </w:rPr>
        <w:t xml:space="preserve"> </w:t>
      </w:r>
    </w:p>
    <w:p w14:paraId="0BB84C43" w14:textId="77777777" w:rsidR="00096452" w:rsidRPr="001F198A" w:rsidRDefault="00F76B67" w:rsidP="00750C68">
      <w:pPr>
        <w:pStyle w:val="texto"/>
        <w:tabs>
          <w:tab w:val="clear" w:pos="2835"/>
          <w:tab w:val="clear" w:pos="3969"/>
          <w:tab w:val="clear" w:pos="5103"/>
          <w:tab w:val="clear" w:pos="6237"/>
          <w:tab w:val="clear" w:pos="7371"/>
        </w:tabs>
        <w:spacing w:before="120" w:after="120"/>
        <w:rPr>
          <w:szCs w:val="26"/>
        </w:rPr>
      </w:pPr>
      <w:r>
        <w:rPr>
          <w:szCs w:val="26"/>
        </w:rPr>
        <w:t>En estas circunstancias, considerando varios informes de valoración del estado de las instalaciones</w:t>
      </w:r>
      <w:r w:rsidR="00773D2B">
        <w:rPr>
          <w:szCs w:val="26"/>
        </w:rPr>
        <w:t>,</w:t>
      </w:r>
      <w:r>
        <w:rPr>
          <w:szCs w:val="26"/>
        </w:rPr>
        <w:t xml:space="preserve"> y debido a la sucesión de varios impagos</w:t>
      </w:r>
      <w:r w:rsidR="009703D4">
        <w:rPr>
          <w:szCs w:val="26"/>
        </w:rPr>
        <w:t xml:space="preserve"> que se detallan en </w:t>
      </w:r>
      <w:r>
        <w:rPr>
          <w:szCs w:val="26"/>
        </w:rPr>
        <w:t xml:space="preserve">el epígrafe IV.2 de este informe, se ejecutó un total de 720.467 euros del millón </w:t>
      </w:r>
      <w:r w:rsidR="000B224A">
        <w:rPr>
          <w:szCs w:val="26"/>
        </w:rPr>
        <w:t>a</w:t>
      </w:r>
      <w:r>
        <w:rPr>
          <w:szCs w:val="26"/>
        </w:rPr>
        <w:t>portado</w:t>
      </w:r>
      <w:r w:rsidR="009703D4">
        <w:rPr>
          <w:szCs w:val="26"/>
        </w:rPr>
        <w:t xml:space="preserve"> como aval</w:t>
      </w:r>
      <w:r>
        <w:rPr>
          <w:szCs w:val="26"/>
        </w:rPr>
        <w:t xml:space="preserve"> por la empresa. </w:t>
      </w:r>
      <w:r w:rsidR="00096452" w:rsidRPr="001F198A">
        <w:rPr>
          <w:szCs w:val="26"/>
        </w:rPr>
        <w:br w:type="page"/>
      </w:r>
    </w:p>
    <w:p w14:paraId="38526967" w14:textId="77777777" w:rsidR="003F445E" w:rsidRPr="00134DF4" w:rsidRDefault="003F445E" w:rsidP="003F445E">
      <w:pPr>
        <w:pStyle w:val="atitulo1"/>
        <w:spacing w:after="160"/>
      </w:pPr>
      <w:bookmarkStart w:id="12" w:name="_Toc92970043"/>
      <w:r>
        <w:lastRenderedPageBreak/>
        <w:t>I</w:t>
      </w:r>
      <w:r w:rsidRPr="00134DF4">
        <w:t>I</w:t>
      </w:r>
      <w:r>
        <w:t>I</w:t>
      </w:r>
      <w:r w:rsidRPr="00134DF4">
        <w:t>. Objetivo</w:t>
      </w:r>
      <w:r w:rsidR="004708EC">
        <w:t>s y</w:t>
      </w:r>
      <w:r>
        <w:t xml:space="preserve"> </w:t>
      </w:r>
      <w:r w:rsidRPr="00134DF4">
        <w:t>alcance</w:t>
      </w:r>
      <w:bookmarkEnd w:id="12"/>
      <w:r>
        <w:t xml:space="preserve"> </w:t>
      </w:r>
      <w:bookmarkEnd w:id="5"/>
    </w:p>
    <w:p w14:paraId="4CA25DB3" w14:textId="77777777" w:rsidR="00273E51" w:rsidRDefault="00273E51" w:rsidP="00750C68">
      <w:pPr>
        <w:pStyle w:val="texto"/>
        <w:tabs>
          <w:tab w:val="clear" w:pos="2835"/>
          <w:tab w:val="clear" w:pos="3969"/>
          <w:tab w:val="clear" w:pos="5103"/>
          <w:tab w:val="clear" w:pos="6237"/>
          <w:tab w:val="clear" w:pos="7371"/>
        </w:tabs>
        <w:spacing w:before="120" w:after="120"/>
        <w:rPr>
          <w:szCs w:val="26"/>
        </w:rPr>
      </w:pPr>
      <w:bookmarkStart w:id="13" w:name="_Toc41485557"/>
      <w:r>
        <w:rPr>
          <w:szCs w:val="26"/>
        </w:rPr>
        <w:t>Teniendo en cuenta la petición parlamentaria recibida, los objetivos de este trabajo han sido los siguientes:</w:t>
      </w:r>
    </w:p>
    <w:p w14:paraId="0BF1683C" w14:textId="77777777" w:rsidR="00273E51" w:rsidRPr="00F4042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rsidRPr="00C56CB0">
        <w:rPr>
          <w:szCs w:val="26"/>
        </w:rPr>
        <w:t>Re</w:t>
      </w:r>
      <w:r w:rsidRPr="00F40420">
        <w:rPr>
          <w:rFonts w:cs="Arial"/>
        </w:rPr>
        <w:t>visar los procesos de arrendamiento del CN llevados a cabo en 2014 y 2019.</w:t>
      </w:r>
    </w:p>
    <w:p w14:paraId="47386EDC" w14:textId="331B9ACC" w:rsidR="00273E51" w:rsidRPr="00C56CB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sidRPr="00F40420">
        <w:rPr>
          <w:rFonts w:cs="Arial"/>
        </w:rPr>
        <w:t>Evaluar el cumplimiento de las cláusulas establecidas en el contrato de arrendamie</w:t>
      </w:r>
      <w:r w:rsidRPr="00C56CB0">
        <w:rPr>
          <w:szCs w:val="26"/>
        </w:rPr>
        <w:t>nto de 2014.</w:t>
      </w:r>
      <w:r w:rsidR="003E43DB">
        <w:rPr>
          <w:szCs w:val="26"/>
        </w:rPr>
        <w:t xml:space="preserve"> </w:t>
      </w:r>
    </w:p>
    <w:p w14:paraId="5B01B614" w14:textId="77777777" w:rsidR="00273E51" w:rsidRPr="005355B5" w:rsidRDefault="00273E51" w:rsidP="00750C68">
      <w:pPr>
        <w:pStyle w:val="texto"/>
        <w:spacing w:before="120" w:after="120"/>
        <w:rPr>
          <w:szCs w:val="26"/>
        </w:rPr>
      </w:pPr>
      <w:r>
        <w:rPr>
          <w:szCs w:val="26"/>
        </w:rPr>
        <w:t>El alcance temporal de nuestro trabajo ha abarcado desde que se produjo el arrendamiento en 2014 hasta la fecha de redacción de este informe y para realizarlo hemos analizado</w:t>
      </w:r>
      <w:r w:rsidRPr="005355B5">
        <w:rPr>
          <w:szCs w:val="26"/>
        </w:rPr>
        <w:t xml:space="preserve"> la siguiente información: </w:t>
      </w:r>
    </w:p>
    <w:p w14:paraId="6BB2F408" w14:textId="77777777" w:rsidR="00273E51" w:rsidRPr="00F40420"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rPr>
          <w:szCs w:val="26"/>
        </w:rPr>
        <w:t>Proc</w:t>
      </w:r>
      <w:r w:rsidRPr="00F40420">
        <w:rPr>
          <w:rFonts w:cs="Arial"/>
        </w:rPr>
        <w:t>esos de arrendamiento realizado</w:t>
      </w:r>
      <w:r w:rsidR="000B224A">
        <w:rPr>
          <w:rFonts w:cs="Arial"/>
        </w:rPr>
        <w:t>s</w:t>
      </w:r>
      <w:r w:rsidRPr="00F40420">
        <w:rPr>
          <w:rFonts w:cs="Arial"/>
        </w:rPr>
        <w:t xml:space="preserve"> en 2014 y 2019. </w:t>
      </w:r>
    </w:p>
    <w:p w14:paraId="4B48BDC8" w14:textId="531A463E" w:rsidR="00273E51" w:rsidRDefault="00273E51"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sidRPr="00F40420">
        <w:rPr>
          <w:rFonts w:cs="Arial"/>
        </w:rPr>
        <w:t xml:space="preserve">Documentación de los expedientes de arrendamiento </w:t>
      </w:r>
      <w:r w:rsidR="00D90F1F">
        <w:rPr>
          <w:rFonts w:cs="Arial"/>
        </w:rPr>
        <w:t>revisado</w:t>
      </w:r>
      <w:r w:rsidRPr="00F40420">
        <w:rPr>
          <w:rFonts w:cs="Arial"/>
        </w:rPr>
        <w:t>s: actas, contratos, fa</w:t>
      </w:r>
      <w:r>
        <w:rPr>
          <w:szCs w:val="26"/>
        </w:rPr>
        <w:t>cturas, etc.</w:t>
      </w:r>
      <w:r w:rsidR="003E43DB">
        <w:rPr>
          <w:szCs w:val="26"/>
        </w:rPr>
        <w:t xml:space="preserve"> </w:t>
      </w:r>
    </w:p>
    <w:p w14:paraId="40A58AA2" w14:textId="77777777" w:rsidR="00273E51" w:rsidRDefault="00FD2F9C" w:rsidP="00750C68">
      <w:pPr>
        <w:pStyle w:val="texto"/>
        <w:tabs>
          <w:tab w:val="clear" w:pos="2835"/>
          <w:tab w:val="clear" w:pos="3969"/>
          <w:tab w:val="clear" w:pos="5103"/>
          <w:tab w:val="clear" w:pos="6237"/>
          <w:tab w:val="clear" w:pos="7371"/>
        </w:tabs>
        <w:spacing w:before="120" w:after="120"/>
        <w:rPr>
          <w:szCs w:val="26"/>
        </w:rPr>
      </w:pPr>
      <w:r>
        <w:rPr>
          <w:szCs w:val="26"/>
        </w:rPr>
        <w:t>Si bien no ha constituido una limitación al alcance de nuestro trabajo</w:t>
      </w:r>
      <w:r w:rsidR="00580FB0">
        <w:rPr>
          <w:szCs w:val="26"/>
        </w:rPr>
        <w:t>,</w:t>
      </w:r>
      <w:r>
        <w:rPr>
          <w:szCs w:val="26"/>
        </w:rPr>
        <w:t xml:space="preserve"> queremos señalar que las conclusiones sobre el cumplimiento de algunas cláusulas las hemos alcanzado de acuerdo a la documentación técnica que nos han facilitado</w:t>
      </w:r>
      <w:r w:rsidR="00580FB0">
        <w:rPr>
          <w:szCs w:val="26"/>
        </w:rPr>
        <w:t>,</w:t>
      </w:r>
      <w:r>
        <w:rPr>
          <w:szCs w:val="26"/>
        </w:rPr>
        <w:t xml:space="preserve"> sin que hayamos realizado una comprobación más exhaustiva al respecto. </w:t>
      </w:r>
    </w:p>
    <w:p w14:paraId="29C42EB0" w14:textId="77777777" w:rsidR="00273E51" w:rsidRDefault="00273E51" w:rsidP="00920EC4">
      <w:pPr>
        <w:tabs>
          <w:tab w:val="left" w:pos="8789"/>
        </w:tabs>
        <w:spacing w:after="0"/>
        <w:ind w:firstLine="0"/>
        <w:jc w:val="left"/>
        <w:rPr>
          <w:spacing w:val="6"/>
          <w:sz w:val="26"/>
          <w:szCs w:val="26"/>
        </w:rPr>
      </w:pPr>
      <w:r>
        <w:rPr>
          <w:szCs w:val="26"/>
        </w:rPr>
        <w:br w:type="page"/>
      </w:r>
    </w:p>
    <w:p w14:paraId="663FD480" w14:textId="77777777" w:rsidR="002422F8" w:rsidRPr="00BB1925" w:rsidRDefault="002422F8" w:rsidP="002422F8">
      <w:pPr>
        <w:pStyle w:val="atitulo1"/>
      </w:pPr>
      <w:bookmarkStart w:id="14" w:name="_Toc92970044"/>
      <w:r>
        <w:lastRenderedPageBreak/>
        <w:t>I</w:t>
      </w:r>
      <w:r w:rsidRPr="00BB1925">
        <w:t>V. Conclusione</w:t>
      </w:r>
      <w:r w:rsidRPr="0095428C">
        <w:t>s y recomendaciones</w:t>
      </w:r>
      <w:bookmarkEnd w:id="13"/>
      <w:bookmarkEnd w:id="14"/>
    </w:p>
    <w:p w14:paraId="39C8260A" w14:textId="77777777" w:rsidR="002422F8" w:rsidRPr="005543B7" w:rsidRDefault="002422F8" w:rsidP="00D240DE">
      <w:pPr>
        <w:pStyle w:val="atitulo3"/>
        <w:spacing w:before="240"/>
      </w:pPr>
      <w:r w:rsidRPr="005543B7">
        <w:t xml:space="preserve">Responsabilidad </w:t>
      </w:r>
      <w:r w:rsidR="00A640C6" w:rsidRPr="005543B7">
        <w:t xml:space="preserve">de la </w:t>
      </w:r>
      <w:r w:rsidR="00A640C6" w:rsidRPr="006405A8">
        <w:t>Administración</w:t>
      </w:r>
      <w:r w:rsidR="00A640C6" w:rsidRPr="005543B7">
        <w:t xml:space="preserve"> de la Comunidad Foral de Navarra</w:t>
      </w:r>
      <w:r w:rsidRPr="005543B7">
        <w:t xml:space="preserve"> </w:t>
      </w:r>
    </w:p>
    <w:p w14:paraId="4E682AEB" w14:textId="77777777" w:rsidR="00273E51" w:rsidRDefault="00273E51" w:rsidP="00750C68">
      <w:pPr>
        <w:pStyle w:val="texto"/>
        <w:spacing w:before="120" w:after="120"/>
      </w:pPr>
      <w:r>
        <w:t xml:space="preserve">La responsabilidad de la gestión del CN es </w:t>
      </w:r>
      <w:r w:rsidRPr="000B1CAC">
        <w:t xml:space="preserve">de NICDO </w:t>
      </w:r>
      <w:r>
        <w:t>que debe garantizar que las actividades relacionadas con esta gestión resultan conformes con las normas aplicables, y debe establecer los sistemas de control interno que considere necesarios para que dicha gestión se realice adecuadamente</w:t>
      </w:r>
      <w:r w:rsidRPr="00F377C9">
        <w:t>.</w:t>
      </w:r>
    </w:p>
    <w:p w14:paraId="0D4358AF" w14:textId="77777777" w:rsidR="002422F8" w:rsidRPr="00F377C9" w:rsidRDefault="00526ACA" w:rsidP="00D240DE">
      <w:pPr>
        <w:pStyle w:val="atitulo3"/>
        <w:spacing w:before="240"/>
      </w:pPr>
      <w:r>
        <w:t xml:space="preserve">Responsabilidad de la Cámara de </w:t>
      </w:r>
      <w:r w:rsidR="002422F8" w:rsidRPr="00F377C9">
        <w:t>Comptos de Navarra</w:t>
      </w:r>
    </w:p>
    <w:p w14:paraId="6BADE6D9" w14:textId="77777777" w:rsidR="002422F8" w:rsidRPr="00135F74" w:rsidRDefault="002422F8" w:rsidP="00657F27">
      <w:pPr>
        <w:pStyle w:val="texto"/>
        <w:spacing w:before="120" w:after="120"/>
      </w:pPr>
      <w:r w:rsidRPr="00135F74">
        <w:t xml:space="preserve">Nuestra responsabilidad es </w:t>
      </w:r>
      <w:r w:rsidR="00904FDA" w:rsidRPr="00135F74">
        <w:t>alcanzar conclusiones</w:t>
      </w:r>
      <w:r w:rsidRPr="00135F74">
        <w:t xml:space="preserve"> basada</w:t>
      </w:r>
      <w:r w:rsidR="00904FDA" w:rsidRPr="00135F74">
        <w:t>s</w:t>
      </w:r>
      <w:r w:rsidRPr="00135F74">
        <w:t xml:space="preserve"> en nuestra fiscaliza</w:t>
      </w:r>
      <w:r w:rsidR="00273E51">
        <w:t xml:space="preserve">ción en relación con los procesos de arrendamiento del CN en 2014 y 2019, con el cumplimiento de las cláusulas establecidas </w:t>
      </w:r>
      <w:r w:rsidR="00F14A0B">
        <w:t>en el contrato de arrendamiento de 2014 y con la gestión actual del CN.</w:t>
      </w:r>
    </w:p>
    <w:p w14:paraId="097DF24B" w14:textId="77777777" w:rsidR="002422F8" w:rsidRDefault="002422F8" w:rsidP="00657F27">
      <w:pPr>
        <w:pStyle w:val="texto"/>
        <w:spacing w:before="120" w:after="120"/>
      </w:pPr>
      <w:r w:rsidRPr="00F377C9">
        <w:t>Para ello, hemos llevado a cabo la misma de conformidad con los principios fundamentales de fiscalización de las Instituciones Públicas de Control Externo</w:t>
      </w:r>
      <w:r w:rsidR="00A640C6">
        <w:t xml:space="preserve"> y en especial los establecidos en la</w:t>
      </w:r>
      <w:r w:rsidR="009D4A9A">
        <w:t xml:space="preserve"> </w:t>
      </w:r>
      <w:r w:rsidR="00F14A0B">
        <w:t>ISSAI-ES</w:t>
      </w:r>
      <w:r w:rsidR="00E77A05">
        <w:t xml:space="preserve"> </w:t>
      </w:r>
      <w:r w:rsidR="00F14A0B">
        <w:t>400</w:t>
      </w:r>
      <w:r w:rsidR="00A640C6">
        <w:rPr>
          <w:szCs w:val="26"/>
        </w:rPr>
        <w:t xml:space="preserve"> referida</w:t>
      </w:r>
      <w:r w:rsidR="00F14A0B">
        <w:rPr>
          <w:szCs w:val="26"/>
        </w:rPr>
        <w:t xml:space="preserve"> a la</w:t>
      </w:r>
      <w:r w:rsidR="00E77A05">
        <w:rPr>
          <w:szCs w:val="26"/>
        </w:rPr>
        <w:t>s</w:t>
      </w:r>
      <w:r w:rsidR="00F14A0B">
        <w:rPr>
          <w:szCs w:val="26"/>
        </w:rPr>
        <w:t xml:space="preserve"> fiscalizaciones de cumplimiento de legalidad</w:t>
      </w:r>
      <w:r w:rsidRPr="00F377C9">
        <w:t xml:space="preserve">. Dichos principios exigen que cumplamos los requerimientos de ética, así como que planifiquemos y ejecutemos la </w:t>
      </w:r>
      <w:r>
        <w:t xml:space="preserve">auditoría de forma que obtengamos un conocimiento adecuado de los procedimientos empleados en la gestión </w:t>
      </w:r>
      <w:r w:rsidR="00F14A0B">
        <w:t xml:space="preserve">del CN y </w:t>
      </w:r>
      <w:r>
        <w:t xml:space="preserve">una seguridad razonable de que </w:t>
      </w:r>
      <w:r w:rsidR="008D488C">
        <w:t>la información</w:t>
      </w:r>
      <w:r w:rsidRPr="00F377C9">
        <w:t xml:space="preserve"> est</w:t>
      </w:r>
      <w:r w:rsidR="008D488C">
        <w:t>é</w:t>
      </w:r>
      <w:r w:rsidRPr="00F377C9">
        <w:t xml:space="preserve"> libre de incorrecciones materiales </w:t>
      </w:r>
      <w:r w:rsidR="008D488C">
        <w:t xml:space="preserve">y </w:t>
      </w:r>
      <w:r w:rsidR="00F14A0B">
        <w:t>conforme</w:t>
      </w:r>
      <w:r w:rsidRPr="00F377C9">
        <w:t xml:space="preserve">, en todos los aspectos significativos, con la normativa vigente. </w:t>
      </w:r>
    </w:p>
    <w:p w14:paraId="3FC4EA9B" w14:textId="77777777" w:rsidR="002422F8" w:rsidRDefault="002422F8" w:rsidP="00657F27">
      <w:pPr>
        <w:pStyle w:val="texto"/>
        <w:spacing w:before="120" w:after="120"/>
      </w:pPr>
      <w:r w:rsidRPr="00F377C9">
        <w:t>Una fiscalización requiere la aplicación de procedimientos para obtener evidencia de auditoría sobre</w:t>
      </w:r>
      <w:r>
        <w:t xml:space="preserve"> los procedimientos empleados en la gestión</w:t>
      </w:r>
      <w:r w:rsidRPr="00F377C9">
        <w:t xml:space="preserve"> y sobre el cumplimiento de los aspectos relevantes establecidos en la normativa durante </w:t>
      </w:r>
      <w:r>
        <w:t>los ejercicios fiscalizados</w:t>
      </w:r>
      <w:r w:rsidRPr="00F377C9">
        <w:t xml:space="preserve">. </w:t>
      </w:r>
    </w:p>
    <w:p w14:paraId="00692177" w14:textId="77777777" w:rsidR="002422F8" w:rsidRDefault="002422F8" w:rsidP="00657F27">
      <w:pPr>
        <w:pStyle w:val="texto"/>
        <w:spacing w:before="120" w:after="120"/>
      </w:pPr>
      <w:r w:rsidRPr="00F377C9">
        <w:t>Los procedimientos seleccionados dependen del juicio del auditor, incluida la valoración de los riesgos tanto</w:t>
      </w:r>
      <w:r>
        <w:t xml:space="preserve"> de incorrección material</w:t>
      </w:r>
      <w:r w:rsidRPr="00F377C9">
        <w:t>, debida a fraude o error, como de incumplimientos significativos de la legalidad. Al efectuar dichas valoraciones del riesgo, el auditor tiene en cuenta el control interno relevante para</w:t>
      </w:r>
      <w:r>
        <w:t xml:space="preserve"> la gestión analizada</w:t>
      </w:r>
      <w:r w:rsidRPr="00F377C9">
        <w:t xml:space="preserve">, con el fin de diseñar los procedimientos de auditoría que sean adecuados en función de las circunstancias. </w:t>
      </w:r>
    </w:p>
    <w:p w14:paraId="5C358DF2" w14:textId="77777777" w:rsidR="00F14A0B" w:rsidRDefault="002422F8" w:rsidP="00657F27">
      <w:pPr>
        <w:pStyle w:val="texto"/>
        <w:spacing w:before="120" w:after="120"/>
        <w:rPr>
          <w:szCs w:val="26"/>
        </w:rPr>
      </w:pPr>
      <w:r>
        <w:t>Consideramos que la evidencia de auditoría que hemos obtenido</w:t>
      </w:r>
      <w:r w:rsidR="004C0EE8">
        <w:t xml:space="preserve"> </w:t>
      </w:r>
      <w:r>
        <w:t xml:space="preserve">proporciona una base suficiente y adecuada para </w:t>
      </w:r>
      <w:r w:rsidR="004C0EE8">
        <w:t xml:space="preserve">poder alcanzar una conclusión </w:t>
      </w:r>
      <w:r w:rsidR="00BB341C">
        <w:t xml:space="preserve">sobre la gestión </w:t>
      </w:r>
      <w:r w:rsidR="00F14A0B">
        <w:t>del CN</w:t>
      </w:r>
      <w:r w:rsidR="001E0083">
        <w:rPr>
          <w:szCs w:val="26"/>
        </w:rPr>
        <w:t>.</w:t>
      </w:r>
    </w:p>
    <w:p w14:paraId="0D937434" w14:textId="77777777" w:rsidR="00F14A0B" w:rsidRDefault="00F14A0B">
      <w:pPr>
        <w:spacing w:after="0"/>
        <w:ind w:firstLine="0"/>
        <w:jc w:val="left"/>
        <w:rPr>
          <w:spacing w:val="6"/>
          <w:sz w:val="26"/>
          <w:szCs w:val="26"/>
        </w:rPr>
      </w:pPr>
      <w:r>
        <w:rPr>
          <w:szCs w:val="26"/>
        </w:rPr>
        <w:br w:type="page"/>
      </w:r>
    </w:p>
    <w:p w14:paraId="6CDDB758" w14:textId="77777777" w:rsidR="001E0083" w:rsidRPr="005A1E61" w:rsidRDefault="001E0083" w:rsidP="002C0A84">
      <w:pPr>
        <w:pStyle w:val="atitulo2"/>
        <w:spacing w:before="240"/>
      </w:pPr>
      <w:bookmarkStart w:id="15" w:name="_Toc40889398"/>
      <w:bookmarkStart w:id="16" w:name="_Toc41649700"/>
      <w:bookmarkStart w:id="17" w:name="_Toc92970045"/>
      <w:bookmarkStart w:id="18" w:name="_Toc41485560"/>
      <w:r w:rsidRPr="005A1E61">
        <w:lastRenderedPageBreak/>
        <w:t xml:space="preserve">IV.1 </w:t>
      </w:r>
      <w:bookmarkEnd w:id="15"/>
      <w:bookmarkEnd w:id="16"/>
      <w:r w:rsidR="00F14A0B" w:rsidRPr="005A1E61">
        <w:t>Revisión de los procedimientos de arrendamiento</w:t>
      </w:r>
      <w:r w:rsidR="001411A1" w:rsidRPr="005A1E61">
        <w:t xml:space="preserve"> del C</w:t>
      </w:r>
      <w:r w:rsidR="00B404FE" w:rsidRPr="005A1E61">
        <w:t xml:space="preserve">ircuito de </w:t>
      </w:r>
      <w:r w:rsidR="001411A1" w:rsidRPr="005A1E61">
        <w:t>N</w:t>
      </w:r>
      <w:r w:rsidR="00B404FE" w:rsidRPr="005A1E61">
        <w:t>avarra</w:t>
      </w:r>
      <w:r w:rsidR="00F14A0B" w:rsidRPr="005A1E61">
        <w:t xml:space="preserve"> de 2014 y 2019</w:t>
      </w:r>
      <w:bookmarkEnd w:id="17"/>
    </w:p>
    <w:p w14:paraId="10CF9D9D" w14:textId="77777777" w:rsidR="00D51C9B" w:rsidRPr="005A1E61" w:rsidRDefault="00D51C9B" w:rsidP="00901C19">
      <w:pPr>
        <w:pStyle w:val="atitulo3"/>
        <w:spacing w:before="240"/>
      </w:pPr>
      <w:bookmarkStart w:id="19" w:name="_Toc41485563"/>
      <w:bookmarkEnd w:id="18"/>
      <w:r w:rsidRPr="005A1E61">
        <w:t>IV.1.1. Arrendamiento del Circuito de Navarra en 2014</w:t>
      </w:r>
    </w:p>
    <w:p w14:paraId="07DE4038" w14:textId="77777777" w:rsidR="00773BB1" w:rsidRDefault="001411A1" w:rsidP="00750C68">
      <w:pPr>
        <w:pStyle w:val="texto"/>
        <w:spacing w:before="120" w:after="120"/>
        <w:rPr>
          <w:szCs w:val="26"/>
        </w:rPr>
      </w:pPr>
      <w:r>
        <w:rPr>
          <w:szCs w:val="26"/>
        </w:rPr>
        <w:t>Como ya se ha citado, en octubre de 2013</w:t>
      </w:r>
      <w:r w:rsidR="006E5C76">
        <w:rPr>
          <w:szCs w:val="26"/>
        </w:rPr>
        <w:t>,</w:t>
      </w:r>
      <w:r>
        <w:rPr>
          <w:szCs w:val="26"/>
        </w:rPr>
        <w:t xml:space="preserve"> la CPEN comenzó el proceso de selección de candidatos </w:t>
      </w:r>
      <w:r w:rsidR="00F76B67">
        <w:rPr>
          <w:szCs w:val="26"/>
        </w:rPr>
        <w:t>para optar al arrendamiento con opción de compraventa vinculante y derecho de tanteo del CN</w:t>
      </w:r>
      <w:r w:rsidR="0085545C">
        <w:rPr>
          <w:szCs w:val="26"/>
        </w:rPr>
        <w:t>.</w:t>
      </w:r>
    </w:p>
    <w:p w14:paraId="74524FF3" w14:textId="77777777" w:rsidR="00DB13A6" w:rsidRDefault="00CE3C97" w:rsidP="00750C68">
      <w:pPr>
        <w:pStyle w:val="texto"/>
        <w:spacing w:before="120" w:after="120"/>
      </w:pPr>
      <w:r>
        <w:t>Al respecto, c</w:t>
      </w:r>
      <w:r w:rsidR="00A2387F">
        <w:t>onsta un informe sobre los aspectos económicos de la operación y su valoración en la que se analiza</w:t>
      </w:r>
      <w:r w:rsidR="00DB13A6">
        <w:t>ban los siguientes puntos:</w:t>
      </w:r>
    </w:p>
    <w:p w14:paraId="14D2128B" w14:textId="77777777" w:rsidR="00DB13A6" w:rsidRPr="005A1E61" w:rsidRDefault="00DB13A6"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rFonts w:cs="Arial"/>
        </w:rPr>
      </w:pPr>
      <w:r>
        <w:t>E</w:t>
      </w:r>
      <w:r w:rsidR="00A2387F">
        <w:t>l i</w:t>
      </w:r>
      <w:r w:rsidR="00A2387F" w:rsidRPr="005A1E61">
        <w:rPr>
          <w:rFonts w:cs="Arial"/>
        </w:rPr>
        <w:t>mpacto en la CPEN de la operación de arrendamiento</w:t>
      </w:r>
      <w:r w:rsidR="000D36FA" w:rsidRPr="005A1E61">
        <w:rPr>
          <w:rFonts w:cs="Arial"/>
        </w:rPr>
        <w:t xml:space="preserve"> frente a la opción de seguir con el modelo de gestión propia</w:t>
      </w:r>
      <w:r w:rsidR="00A70A43" w:rsidRPr="005A1E61">
        <w:rPr>
          <w:rFonts w:cs="Arial"/>
        </w:rPr>
        <w:t xml:space="preserve">: </w:t>
      </w:r>
      <w:r w:rsidRPr="005A1E61">
        <w:rPr>
          <w:rFonts w:cs="Arial"/>
        </w:rPr>
        <w:t>se concluye que</w:t>
      </w:r>
      <w:r w:rsidR="00A70A43" w:rsidRPr="005A1E61">
        <w:rPr>
          <w:rFonts w:cs="Arial"/>
        </w:rPr>
        <w:t xml:space="preserve">, teniendo en cuenta que la CPEN tenía que hacer frente a la devolución de la deuda e intereses independientemente del modelo de gestión del CN, si se cerraba la operación de arrendamiento, esta sociedad tendría un superávit </w:t>
      </w:r>
      <w:r w:rsidR="00C6795A">
        <w:rPr>
          <w:rFonts w:cs="Arial"/>
        </w:rPr>
        <w:t xml:space="preserve">en el periodo 2014-2018 </w:t>
      </w:r>
      <w:r w:rsidR="00A70A43" w:rsidRPr="005A1E61">
        <w:rPr>
          <w:rFonts w:cs="Arial"/>
        </w:rPr>
        <w:t>de 5,4 millones comparándolo con la opción de seguir con el modelo actual de explotación</w:t>
      </w:r>
      <w:r w:rsidR="0085545C">
        <w:rPr>
          <w:rFonts w:cs="Arial"/>
        </w:rPr>
        <w:t xml:space="preserve"> que implicaría en este mismo periodo unas pérdidas estimadas de 4,3 millones. </w:t>
      </w:r>
    </w:p>
    <w:p w14:paraId="5A1E1C50" w14:textId="77777777" w:rsidR="00C97CF4" w:rsidRPr="0085545C" w:rsidRDefault="00A70A43"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85545C">
        <w:rPr>
          <w:rFonts w:cs="Arial"/>
        </w:rPr>
        <w:t xml:space="preserve">El </w:t>
      </w:r>
      <w:r w:rsidR="0085545C">
        <w:rPr>
          <w:rFonts w:cs="Arial"/>
        </w:rPr>
        <w:t xml:space="preserve">análisis del </w:t>
      </w:r>
      <w:r w:rsidRPr="0085545C">
        <w:rPr>
          <w:rFonts w:cs="Arial"/>
        </w:rPr>
        <w:t>imp</w:t>
      </w:r>
      <w:r w:rsidRPr="0085545C">
        <w:t xml:space="preserve">acto </w:t>
      </w:r>
      <w:r w:rsidR="000D36FA" w:rsidRPr="0085545C">
        <w:t>de una posibl</w:t>
      </w:r>
      <w:r w:rsidRPr="0085545C">
        <w:t>e venta del CN por 15 millones</w:t>
      </w:r>
      <w:r w:rsidR="0085545C">
        <w:t xml:space="preserve"> en el que se </w:t>
      </w:r>
      <w:r w:rsidR="00107D77">
        <w:t>llegaba, entre otras, a las siguientes conclusiones</w:t>
      </w:r>
      <w:r w:rsidR="00C97CF4" w:rsidRPr="0085545C">
        <w:t>:</w:t>
      </w:r>
    </w:p>
    <w:p w14:paraId="5030FD48" w14:textId="77777777" w:rsidR="00107D77" w:rsidRDefault="00BE128C"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S</w:t>
      </w:r>
      <w:r w:rsidR="00C97CF4">
        <w:t>e produciría un resultado net</w:t>
      </w:r>
      <w:r>
        <w:t>o</w:t>
      </w:r>
      <w:r w:rsidR="00C97CF4">
        <w:t xml:space="preserve"> </w:t>
      </w:r>
      <w:r w:rsidR="00D5282C">
        <w:t xml:space="preserve">aproximado </w:t>
      </w:r>
      <w:r w:rsidR="00C97CF4">
        <w:t>de sa</w:t>
      </w:r>
      <w:r w:rsidR="00107D77">
        <w:t>lida de fondos de 52,8 millones obtenido de la siguiente forma:</w:t>
      </w:r>
    </w:p>
    <w:p w14:paraId="0271934B" w14:textId="77777777" w:rsidR="00107D77" w:rsidRDefault="00BE128C" w:rsidP="00750C68">
      <w:pPr>
        <w:pStyle w:val="texto"/>
        <w:numPr>
          <w:ilvl w:val="2"/>
          <w:numId w:val="43"/>
        </w:numPr>
        <w:tabs>
          <w:tab w:val="clear" w:pos="2835"/>
          <w:tab w:val="clear" w:pos="3969"/>
          <w:tab w:val="clear" w:pos="5103"/>
          <w:tab w:val="clear" w:pos="6237"/>
          <w:tab w:val="clear" w:pos="7371"/>
          <w:tab w:val="left" w:pos="426"/>
        </w:tabs>
        <w:spacing w:before="120" w:after="120"/>
        <w:ind w:left="0" w:firstLine="284"/>
      </w:pPr>
      <w:r>
        <w:t xml:space="preserve">Gastos: un total de 69 millones obtenido con una inversión de 55 millones en el CN, un déficit de explotación de cinco millones y un abono de intereses de nueve millones. </w:t>
      </w:r>
    </w:p>
    <w:p w14:paraId="5A2C5972" w14:textId="77777777" w:rsidR="00BE128C" w:rsidRDefault="00BE128C" w:rsidP="00750C68">
      <w:pPr>
        <w:pStyle w:val="texto"/>
        <w:numPr>
          <w:ilvl w:val="2"/>
          <w:numId w:val="43"/>
        </w:numPr>
        <w:tabs>
          <w:tab w:val="clear" w:pos="2835"/>
          <w:tab w:val="clear" w:pos="3969"/>
          <w:tab w:val="clear" w:pos="5103"/>
          <w:tab w:val="clear" w:pos="6237"/>
          <w:tab w:val="clear" w:pos="7371"/>
          <w:tab w:val="left" w:pos="426"/>
        </w:tabs>
        <w:spacing w:before="120" w:after="120"/>
        <w:ind w:left="0" w:firstLine="284"/>
      </w:pPr>
      <w:r>
        <w:t>Ingresos: un total de 16,2 millones obtenido de los ingresos previstos por arrendamiento de 1,2 millones y la venta de 15 millones.</w:t>
      </w:r>
    </w:p>
    <w:p w14:paraId="727042E7" w14:textId="77777777" w:rsidR="00E9407F" w:rsidRDefault="00C97CF4"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 xml:space="preserve">La cantidad anterior no contiene el impacto económico del CN en Navarra que se cifra en un millón anual </w:t>
      </w:r>
      <w:r w:rsidR="00E9407F">
        <w:t>extrapolando los resultados del periodo 2010-2013 al periodo 2014-2018.</w:t>
      </w:r>
    </w:p>
    <w:p w14:paraId="57C39C9D" w14:textId="77777777" w:rsidR="000D36FA" w:rsidRDefault="00E9407F" w:rsidP="00750C68">
      <w:pPr>
        <w:pStyle w:val="texto"/>
        <w:numPr>
          <w:ilvl w:val="1"/>
          <w:numId w:val="43"/>
        </w:numPr>
        <w:tabs>
          <w:tab w:val="clear" w:pos="2835"/>
          <w:tab w:val="clear" w:pos="3969"/>
          <w:tab w:val="clear" w:pos="5103"/>
          <w:tab w:val="clear" w:pos="6237"/>
          <w:tab w:val="clear" w:pos="7371"/>
          <w:tab w:val="left" w:pos="567"/>
        </w:tabs>
        <w:spacing w:before="120" w:after="120"/>
        <w:ind w:left="0" w:firstLine="284"/>
      </w:pPr>
      <w:r>
        <w:t>C</w:t>
      </w:r>
      <w:r w:rsidR="00A70A43">
        <w:t>on ese importe se podría devolver la deuda que estaría pend</w:t>
      </w:r>
      <w:r w:rsidR="00DB4254">
        <w:t>iente a 31 de diciembre de 2018</w:t>
      </w:r>
      <w:r w:rsidR="00514F42">
        <w:t>,</w:t>
      </w:r>
      <w:r>
        <w:t xml:space="preserve"> estima</w:t>
      </w:r>
      <w:r w:rsidR="00514F42">
        <w:t>da en</w:t>
      </w:r>
      <w:r w:rsidR="00C97CF4">
        <w:t xml:space="preserve"> 14,8 millones</w:t>
      </w:r>
      <w:r w:rsidR="00DB4254">
        <w:t xml:space="preserve">. </w:t>
      </w:r>
    </w:p>
    <w:p w14:paraId="065C2741" w14:textId="77777777" w:rsidR="00A70A43" w:rsidRDefault="00A70A43" w:rsidP="00750C68">
      <w:pPr>
        <w:pStyle w:val="texto"/>
        <w:tabs>
          <w:tab w:val="clear" w:pos="2835"/>
          <w:tab w:val="clear" w:pos="3969"/>
          <w:tab w:val="clear" w:pos="5103"/>
          <w:tab w:val="clear" w:pos="6237"/>
          <w:tab w:val="clear" w:pos="7371"/>
        </w:tabs>
        <w:spacing w:before="120" w:after="120"/>
      </w:pPr>
      <w:r>
        <w:t>Considerando ambas conclusiones y que a estas se llega realizando estimaciones de algunas de las variables como los ingresos por arrendamiento sujetos a la evolución del resultado de la arrendataria, costes asociados al contrato, impacto económico del CN en Navarra, etc., la operación de arrendamiento se valora positivamente.</w:t>
      </w:r>
    </w:p>
    <w:p w14:paraId="185A9187" w14:textId="77777777" w:rsidR="00B82EA1" w:rsidRDefault="00B82EA1" w:rsidP="00A70A43">
      <w:pPr>
        <w:pStyle w:val="texto"/>
        <w:tabs>
          <w:tab w:val="clear" w:pos="2835"/>
          <w:tab w:val="clear" w:pos="3969"/>
          <w:tab w:val="clear" w:pos="5103"/>
          <w:tab w:val="clear" w:pos="6237"/>
          <w:tab w:val="clear" w:pos="7371"/>
        </w:tabs>
        <w:spacing w:before="120" w:after="120"/>
      </w:pPr>
    </w:p>
    <w:p w14:paraId="658DA243" w14:textId="77777777" w:rsidR="0094780F" w:rsidRDefault="00F242EE" w:rsidP="0094780F">
      <w:pPr>
        <w:pStyle w:val="texto"/>
        <w:spacing w:before="120" w:after="120"/>
      </w:pPr>
      <w:r>
        <w:lastRenderedPageBreak/>
        <w:t xml:space="preserve">Tras este análisis, la CPEN procedió a realizar la publicidad correspondiente en el Portal de Contratación para seleccionar a posibles candidatos. </w:t>
      </w:r>
      <w:r w:rsidR="006E5C76" w:rsidRPr="0094780F">
        <w:t>Este p</w:t>
      </w:r>
      <w:r w:rsidR="00F76B67" w:rsidRPr="0094780F">
        <w:t>roceso de selección no daba lugar a ningún tipo de contrato</w:t>
      </w:r>
      <w:r w:rsidR="0094780F" w:rsidRPr="0094780F">
        <w:t>,</w:t>
      </w:r>
      <w:r w:rsidR="00F76B67" w:rsidRPr="0094780F">
        <w:t xml:space="preserve"> ni otorgaba derecho alguno a las candidaturas que resultaran seleccionadas, sino que se utilizaba para elegir a las mejores candidaturas en aras a la igualdad, transparencia y objetividad. </w:t>
      </w:r>
    </w:p>
    <w:p w14:paraId="0596C35A" w14:textId="77777777" w:rsidR="00A2387F" w:rsidRDefault="00A2387F" w:rsidP="00A2387F">
      <w:pPr>
        <w:pStyle w:val="texto"/>
        <w:spacing w:before="120" w:after="120"/>
      </w:pPr>
      <w:r w:rsidRPr="0094780F">
        <w:t>Se presentaron cuatro candidatos de los que se seleccionó a dos</w:t>
      </w:r>
      <w:r>
        <w:t xml:space="preserve"> constando un informe sobre </w:t>
      </w:r>
      <w:r w:rsidR="00C83E39">
        <w:t>la</w:t>
      </w:r>
      <w:r>
        <w:t xml:space="preserve"> selección de estas candidaturas. </w:t>
      </w:r>
      <w:r w:rsidR="00AF1CC0">
        <w:t>La CPEN</w:t>
      </w:r>
      <w:r>
        <w:t xml:space="preserve"> inició con dos candidaturas</w:t>
      </w:r>
      <w:r w:rsidRPr="0094780F">
        <w:t xml:space="preserve"> la comunicación del </w:t>
      </w:r>
      <w:proofErr w:type="spellStart"/>
      <w:r w:rsidRPr="0094780F">
        <w:t>Term</w:t>
      </w:r>
      <w:proofErr w:type="spellEnd"/>
      <w:r w:rsidRPr="0094780F">
        <w:t xml:space="preserve"> </w:t>
      </w:r>
      <w:proofErr w:type="spellStart"/>
      <w:r w:rsidRPr="0094780F">
        <w:t>sheet</w:t>
      </w:r>
      <w:proofErr w:type="spellEnd"/>
      <w:r w:rsidRPr="0094780F">
        <w:t xml:space="preserve"> o condiciones mínimas a cumplir en la negociación del contrato</w:t>
      </w:r>
      <w:r>
        <w:t xml:space="preserve"> tras la que se presentaron ofertas sobre las cuales consta un informe de evaluación.</w:t>
      </w:r>
    </w:p>
    <w:p w14:paraId="03D11377" w14:textId="77777777" w:rsidR="00A2387F" w:rsidRPr="0094780F" w:rsidRDefault="00A2387F" w:rsidP="00A2387F">
      <w:pPr>
        <w:pStyle w:val="texto"/>
        <w:spacing w:before="120" w:after="120"/>
      </w:pPr>
      <w:r>
        <w:t>T</w:t>
      </w:r>
      <w:r w:rsidRPr="0094780F">
        <w:t>ras esta fase, finalmente solo se presentó una oferta en firme para el contrato de arrendamiento de la instalación durante un periodo de entre tres y cinco años, con opción vinculante de compraventa a partir del tercer año y derecho de tanteo ante ofertas de compraventa de terceros.</w:t>
      </w:r>
    </w:p>
    <w:p w14:paraId="06E45F73" w14:textId="77777777" w:rsidR="00F76B67" w:rsidRPr="0094780F" w:rsidRDefault="00F76B67" w:rsidP="0094780F">
      <w:pPr>
        <w:pStyle w:val="texto"/>
        <w:spacing w:before="120" w:after="120"/>
      </w:pPr>
      <w:r w:rsidRPr="0094780F">
        <w:t>En diciembre de 2013, se formalizó el precontrato con la empresa que habí</w:t>
      </w:r>
      <w:r w:rsidR="0094780F" w:rsidRPr="0094780F">
        <w:t>a presentado la oferta en firme</w:t>
      </w:r>
      <w:r w:rsidR="002A012B">
        <w:t>.</w:t>
      </w:r>
      <w:r w:rsidR="0094780F" w:rsidRPr="0094780F">
        <w:t xml:space="preserve"> </w:t>
      </w:r>
      <w:r w:rsidR="002A012B">
        <w:t>E</w:t>
      </w:r>
      <w:r w:rsidR="0094780F" w:rsidRPr="0094780F">
        <w:t xml:space="preserve">n </w:t>
      </w:r>
      <w:r w:rsidRPr="0094780F">
        <w:t>febrero de 2014, NICDO formalizó el contrato de arrendamiento que incluyó tanto las instalaciones como su fondo de comercio y actividad.</w:t>
      </w:r>
      <w:r w:rsidR="00FD3A2C">
        <w:t xml:space="preserve"> La empresa arrendataria en su propuesta de mejora de las condiciones mínimas establecidas ofertó como garantía la constitución de un aval por un millón de euros frente a los 500.000 euros exigidos</w:t>
      </w:r>
      <w:r w:rsidRPr="0094780F">
        <w:t xml:space="preserve">. </w:t>
      </w:r>
    </w:p>
    <w:p w14:paraId="022E807E" w14:textId="77777777" w:rsidR="00F76B67" w:rsidRPr="002975A2" w:rsidRDefault="00F76B67" w:rsidP="002975A2">
      <w:pPr>
        <w:pStyle w:val="texto"/>
        <w:tabs>
          <w:tab w:val="clear" w:pos="2835"/>
          <w:tab w:val="clear" w:pos="3969"/>
          <w:tab w:val="clear" w:pos="5103"/>
          <w:tab w:val="clear" w:pos="6237"/>
          <w:tab w:val="clear" w:pos="7371"/>
        </w:tabs>
        <w:spacing w:after="100"/>
      </w:pPr>
      <w:r w:rsidRPr="002975A2">
        <w:t xml:space="preserve">En el contrato se incluyeron 36 cláusulas referidas a diversos aspectos entre los cuales destacamos los siguientes: </w:t>
      </w:r>
    </w:p>
    <w:p w14:paraId="4D0420B6"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La empresa arrendataria explotará el CN directamente y a riesgo y ventura de su gestión</w:t>
      </w:r>
      <w:r w:rsidR="002975A2">
        <w:t>,</w:t>
      </w:r>
      <w:r w:rsidRPr="002975A2">
        <w:t xml:space="preserve"> sin que NICDO deba asumir ningún tipo de responsabilidad salvo que se prevea algo expresamente en el contrato.</w:t>
      </w:r>
    </w:p>
    <w:p w14:paraId="3267D623" w14:textId="77777777" w:rsidR="00F76B67" w:rsidRPr="005844DE"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5844DE">
        <w:t>Se aplicarán las disposiciones contenidas en el Código Civil en lo no previsto explícitamente en el contrato.</w:t>
      </w:r>
    </w:p>
    <w:p w14:paraId="548EDC66"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La renta para 2014 será de 150.000 euros, para 2015 de 250.000 euros y para la tercera, cuarta y quinta anualidad de 300.000 euros. Estas cantidades se incrementarán si el 20 por ciento del EBITDA de la arrendataria es superior a las cantidades señaladas; en estos casos, la rent</w:t>
      </w:r>
      <w:r w:rsidR="002975A2">
        <w:t>a será el 20 por ciento del indicador financiero mencionado</w:t>
      </w:r>
      <w:r w:rsidRPr="002975A2">
        <w:t>.</w:t>
      </w:r>
    </w:p>
    <w:p w14:paraId="07AA0D2D"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 xml:space="preserve">Para verificar este aspecto, la arrendataria formulará las cuentas y las remitirá a NICDO junto al informe de auditoría de las mismas. </w:t>
      </w:r>
    </w:p>
    <w:p w14:paraId="21C81BD7"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 xml:space="preserve">Se especifican cuáles son las inversiones iniciales en el CN, así como las posteriores, y quién las debe asumir. </w:t>
      </w:r>
    </w:p>
    <w:p w14:paraId="14E0CC31"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 xml:space="preserve">Al respecto, se prevé la constitución de una Comisión Técnica formada por cuatro personas, dos representantes de NICDO y otros dos de la arrendataria que se reunirá al menos una vez al semestre para la supervisión del mantenimiento </w:t>
      </w:r>
      <w:r w:rsidRPr="002975A2">
        <w:lastRenderedPageBreak/>
        <w:t xml:space="preserve">del CN, identificación de nuevas inversiones, obras, etc., y seguimiento y control del diseño y ejecución de las obras. </w:t>
      </w:r>
    </w:p>
    <w:p w14:paraId="0F06396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El mantenimiento y conservación de los elementos del CN correrá a cargo de la arrendataria</w:t>
      </w:r>
      <w:r w:rsidR="002A012B">
        <w:t>,</w:t>
      </w:r>
      <w:r w:rsidRPr="002975A2">
        <w:t xml:space="preserve"> </w:t>
      </w:r>
      <w:r w:rsidR="00F35BA8">
        <w:t>debiendo cumplir el plan de mantenimiento establecido en el Anexo III del contrato de arrendamiento</w:t>
      </w:r>
      <w:r w:rsidRPr="002975A2">
        <w:t>. La Comisión Técnica podrá dar recomendaciones en relación a este plan, si bien la arrendataria podrá aceptarlas o no.</w:t>
      </w:r>
    </w:p>
    <w:p w14:paraId="7CD5412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 xml:space="preserve">La arrendataria se compromete a subrogar a los trabajadores sin prescindir de ninguna persona en los tres meses siguientes a la firma del contrato. Asimismo, se compromete a que durante 2014 la plantilla media sea al menos de 15 empleados y durante 2015 al menos de 19. </w:t>
      </w:r>
    </w:p>
    <w:p w14:paraId="1C31E82A" w14:textId="77777777" w:rsidR="00F76B67" w:rsidRPr="002975A2" w:rsidRDefault="00F76B67"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pPr>
      <w:r w:rsidRPr="002975A2">
        <w:t>Se establece que la arrendataria podrá realizar en el CN cuantas actividades estime</w:t>
      </w:r>
      <w:r w:rsidR="00E24A50">
        <w:t xml:space="preserve"> oportunas</w:t>
      </w:r>
      <w:r w:rsidRPr="002975A2">
        <w:t xml:space="preserve"> siempre que no afecte negativamente a la imagen del circuito, a la del Gobierno de Navarra o a la de la Comunidad Foral de Navarra.</w:t>
      </w:r>
    </w:p>
    <w:p w14:paraId="41A44922" w14:textId="77777777" w:rsidR="00F76B67" w:rsidRDefault="00F76B67" w:rsidP="001E7F16">
      <w:pPr>
        <w:pStyle w:val="texto"/>
        <w:tabs>
          <w:tab w:val="clear" w:pos="2835"/>
          <w:tab w:val="clear" w:pos="3969"/>
          <w:tab w:val="clear" w:pos="5103"/>
          <w:tab w:val="clear" w:pos="6237"/>
          <w:tab w:val="clear" w:pos="7371"/>
        </w:tabs>
        <w:spacing w:after="100"/>
        <w:ind w:firstLine="426"/>
        <w:rPr>
          <w:szCs w:val="26"/>
        </w:rPr>
      </w:pPr>
      <w:r>
        <w:rPr>
          <w:szCs w:val="26"/>
        </w:rPr>
        <w:t>Al respecto</w:t>
      </w:r>
      <w:r w:rsidR="00E24A50">
        <w:rPr>
          <w:szCs w:val="26"/>
        </w:rPr>
        <w:t>,</w:t>
      </w:r>
      <w:r>
        <w:rPr>
          <w:szCs w:val="26"/>
        </w:rPr>
        <w:t xml:space="preserve"> se prevé la constitución de una Comisión de Seguimiento y Control compuesta por cuatro miembros</w:t>
      </w:r>
      <w:r w:rsidR="00E24A50">
        <w:rPr>
          <w:szCs w:val="26"/>
        </w:rPr>
        <w:t>,</w:t>
      </w:r>
      <w:r>
        <w:rPr>
          <w:szCs w:val="26"/>
        </w:rPr>
        <w:t xml:space="preserve"> dos designados por NICDO y dos por la arrendataria</w:t>
      </w:r>
      <w:r w:rsidR="003B44F5">
        <w:rPr>
          <w:szCs w:val="26"/>
        </w:rPr>
        <w:t>,</w:t>
      </w:r>
      <w:r>
        <w:rPr>
          <w:szCs w:val="26"/>
        </w:rPr>
        <w:t xml:space="preserve"> para supervisar las actividades que se desarrollen, así como la gestión contable y fiscal. </w:t>
      </w:r>
    </w:p>
    <w:p w14:paraId="569667D4" w14:textId="77777777" w:rsidR="00DB4254" w:rsidRPr="004E0163" w:rsidRDefault="00DB4254" w:rsidP="00920EC4">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ind w:left="0" w:firstLine="289"/>
        <w:rPr>
          <w:strike/>
        </w:rPr>
      </w:pPr>
      <w:r>
        <w:t>Se contempla la opción de compra a favor de la empresa arrendataria</w:t>
      </w:r>
      <w:r w:rsidR="00C4113C">
        <w:t xml:space="preserve"> por una cantidad que será la mayor de los siguientes importes: el resultante de multiplicar por siete el EBITDA debidamente auditado a la fecha de ejercicio de la opción de compra</w:t>
      </w:r>
      <w:r w:rsidR="0018460C">
        <w:t>;</w:t>
      </w:r>
      <w:r w:rsidR="00C4113C">
        <w:t xml:space="preserve"> el resultante de valorar el CN mediante el método de descuento de flujo</w:t>
      </w:r>
      <w:r w:rsidR="00AF1CC0">
        <w:t>s</w:t>
      </w:r>
      <w:r w:rsidR="00C4113C">
        <w:t xml:space="preserve"> de caja libres de la explotación aplicando una tasa de descuento del siete por ciento</w:t>
      </w:r>
      <w:r w:rsidR="0018460C">
        <w:t>;</w:t>
      </w:r>
      <w:r w:rsidR="00C4113C">
        <w:t xml:space="preserve"> y los 15 millones resultantes del análisis realizado previamente con el que se hacía frente a la deuda contraída para la construcción del CN.</w:t>
      </w:r>
    </w:p>
    <w:p w14:paraId="631A1EFC" w14:textId="77777777" w:rsidR="006D0336" w:rsidRPr="001645CE" w:rsidRDefault="00EF5E29" w:rsidP="00750C68">
      <w:pPr>
        <w:pStyle w:val="texto"/>
        <w:tabs>
          <w:tab w:val="clear" w:pos="2835"/>
          <w:tab w:val="clear" w:pos="3969"/>
          <w:tab w:val="clear" w:pos="5103"/>
          <w:tab w:val="clear" w:pos="6237"/>
          <w:tab w:val="clear" w:pos="7371"/>
          <w:tab w:val="left" w:pos="480"/>
          <w:tab w:val="num" w:pos="600"/>
          <w:tab w:val="num" w:pos="720"/>
          <w:tab w:val="num" w:pos="1320"/>
          <w:tab w:val="num" w:pos="2062"/>
        </w:tabs>
        <w:spacing w:after="120"/>
        <w:ind w:firstLine="289"/>
      </w:pPr>
      <w:r w:rsidRPr="001645CE">
        <w:t xml:space="preserve">Estos criterios para determinar la cantidad para ejercer la opción de compra </w:t>
      </w:r>
      <w:r w:rsidR="004B264B" w:rsidRPr="001645CE">
        <w:t xml:space="preserve">se </w:t>
      </w:r>
      <w:r w:rsidRPr="001645CE">
        <w:t>ajustan a</w:t>
      </w:r>
      <w:r w:rsidR="004B264B" w:rsidRPr="001645CE">
        <w:t xml:space="preserve"> los criterios contables y</w:t>
      </w:r>
      <w:r w:rsidR="00CA3EBD" w:rsidRPr="001645CE">
        <w:t xml:space="preserve"> especificaciones relacionadas con este tipo de infraestructuras</w:t>
      </w:r>
      <w:r w:rsidR="004B264B" w:rsidRPr="001645CE">
        <w:t xml:space="preserve"> de empresas públicas</w:t>
      </w:r>
      <w:r w:rsidR="00F42F09" w:rsidRPr="001645CE">
        <w:t>.</w:t>
      </w:r>
      <w:r w:rsidR="006D0336" w:rsidRPr="001645CE">
        <w:t xml:space="preserve"> </w:t>
      </w:r>
      <w:r w:rsidR="006D0336" w:rsidRPr="001645CE">
        <w:rPr>
          <w:bCs/>
        </w:rPr>
        <w:t>En el marco de la convocatoria pública para optar al arrendamiento con opción de compra del CN, y teniendo en cuenta la oferta de precio de opción de compra realizada por la candidatura basada en parámetros variables vinculados al EBITDA y a los flujos de caja, se negoció la redacción de esta cláusula que fijaba el precio de la citada opción en la cifra mayor que resultara de aplicar los citados parámetros</w:t>
      </w:r>
      <w:r w:rsidR="00A15634">
        <w:rPr>
          <w:bCs/>
        </w:rPr>
        <w:t>. Se</w:t>
      </w:r>
      <w:r w:rsidR="006D0336" w:rsidRPr="001645CE">
        <w:rPr>
          <w:bCs/>
        </w:rPr>
        <w:t xml:space="preserve"> previ</w:t>
      </w:r>
      <w:r w:rsidR="00A15634">
        <w:rPr>
          <w:bCs/>
        </w:rPr>
        <w:t>ó</w:t>
      </w:r>
      <w:r w:rsidR="006D0336" w:rsidRPr="001645CE">
        <w:rPr>
          <w:bCs/>
        </w:rPr>
        <w:t xml:space="preserve"> que, si la cifra resultante no alcanzaba la cantidad de 15 millones, s</w:t>
      </w:r>
      <w:r w:rsidR="00A15634">
        <w:rPr>
          <w:bCs/>
        </w:rPr>
        <w:t>ería e</w:t>
      </w:r>
      <w:r w:rsidR="006D0336" w:rsidRPr="001645CE">
        <w:rPr>
          <w:bCs/>
        </w:rPr>
        <w:t>sta la cantidad fijada como precio, con lo cual se garantizaba el hacer frente a la deuda existente a la fecha de finalización del contrato de arrendamiento.</w:t>
      </w:r>
    </w:p>
    <w:p w14:paraId="7C2383C2" w14:textId="77777777" w:rsidR="00D51C9B" w:rsidRPr="00655CC5" w:rsidRDefault="00D51C9B" w:rsidP="00D240DE">
      <w:pPr>
        <w:pStyle w:val="atitulo3"/>
        <w:spacing w:before="240"/>
        <w:ind w:left="1004" w:hanging="1004"/>
      </w:pPr>
      <w:r>
        <w:lastRenderedPageBreak/>
        <w:t>IV.1</w:t>
      </w:r>
      <w:r w:rsidRPr="00655CC5">
        <w:t>.</w:t>
      </w:r>
      <w:r>
        <w:t>2</w:t>
      </w:r>
      <w:r w:rsidRPr="00655CC5">
        <w:t xml:space="preserve">. </w:t>
      </w:r>
      <w:r>
        <w:t>Arrendamiento del Circuito de Navarra en 2019</w:t>
      </w:r>
    </w:p>
    <w:p w14:paraId="79829DFD" w14:textId="77777777" w:rsidR="00762E01" w:rsidRDefault="00F76B67" w:rsidP="00750C68">
      <w:pPr>
        <w:pStyle w:val="texto"/>
        <w:tabs>
          <w:tab w:val="clear" w:pos="2835"/>
          <w:tab w:val="clear" w:pos="3969"/>
          <w:tab w:val="clear" w:pos="5103"/>
          <w:tab w:val="clear" w:pos="6237"/>
          <w:tab w:val="clear" w:pos="7371"/>
        </w:tabs>
        <w:spacing w:before="120" w:after="120"/>
        <w:rPr>
          <w:szCs w:val="26"/>
        </w:rPr>
      </w:pPr>
      <w:r w:rsidRPr="00BF2867">
        <w:rPr>
          <w:szCs w:val="26"/>
        </w:rPr>
        <w:t xml:space="preserve">En </w:t>
      </w:r>
      <w:r>
        <w:rPr>
          <w:szCs w:val="26"/>
        </w:rPr>
        <w:t xml:space="preserve">noviembre de </w:t>
      </w:r>
      <w:r w:rsidRPr="00BF2867">
        <w:rPr>
          <w:szCs w:val="26"/>
        </w:rPr>
        <w:t>2018, ante el próximo fin del contrato</w:t>
      </w:r>
      <w:r>
        <w:rPr>
          <w:szCs w:val="26"/>
        </w:rPr>
        <w:t xml:space="preserve"> de arrendamiento anterior</w:t>
      </w:r>
      <w:r w:rsidRPr="00BF2867">
        <w:rPr>
          <w:szCs w:val="26"/>
        </w:rPr>
        <w:t xml:space="preserve">, las dos partes negociaron la prórroga para el año 2019 </w:t>
      </w:r>
      <w:r w:rsidR="00204A17">
        <w:rPr>
          <w:szCs w:val="26"/>
        </w:rPr>
        <w:t xml:space="preserve">prácticamente </w:t>
      </w:r>
      <w:r w:rsidRPr="00BF2867">
        <w:rPr>
          <w:szCs w:val="26"/>
        </w:rPr>
        <w:t>en las mismas condiciones</w:t>
      </w:r>
      <w:r>
        <w:rPr>
          <w:szCs w:val="26"/>
        </w:rPr>
        <w:t>, si bien se dejaron sin vigencia tres cláusulas del anterior contrato</w:t>
      </w:r>
      <w:r w:rsidR="00116F8B">
        <w:rPr>
          <w:szCs w:val="26"/>
        </w:rPr>
        <w:t>. Se</w:t>
      </w:r>
      <w:r>
        <w:rPr>
          <w:szCs w:val="26"/>
        </w:rPr>
        <w:t xml:space="preserve"> refer</w:t>
      </w:r>
      <w:r w:rsidR="00116F8B">
        <w:rPr>
          <w:szCs w:val="26"/>
        </w:rPr>
        <w:t>ían</w:t>
      </w:r>
      <w:r>
        <w:rPr>
          <w:szCs w:val="26"/>
        </w:rPr>
        <w:t xml:space="preserve"> a la opción de compra del CN a favor de la empresa, a la opción de venta a favor de </w:t>
      </w:r>
      <w:r w:rsidR="00204A17">
        <w:rPr>
          <w:szCs w:val="26"/>
        </w:rPr>
        <w:t>NICDO y a la venta a terceros, modificando además la referida al incumplimiento penal de la empresa arrendataria que se establece en 500.000 euros</w:t>
      </w:r>
      <w:r w:rsidR="00204A17" w:rsidRPr="00750C68">
        <w:footnoteReference w:id="2"/>
      </w:r>
      <w:r w:rsidR="00204A17">
        <w:rPr>
          <w:szCs w:val="26"/>
        </w:rPr>
        <w:t xml:space="preserve">. </w:t>
      </w:r>
    </w:p>
    <w:p w14:paraId="22F3DE22" w14:textId="77777777" w:rsidR="00773D2B" w:rsidRPr="00D5282C" w:rsidRDefault="00773D2B" w:rsidP="00750C68">
      <w:pPr>
        <w:pStyle w:val="texto"/>
        <w:tabs>
          <w:tab w:val="clear" w:pos="2835"/>
          <w:tab w:val="clear" w:pos="3969"/>
          <w:tab w:val="clear" w:pos="5103"/>
          <w:tab w:val="clear" w:pos="6237"/>
          <w:tab w:val="clear" w:pos="7371"/>
        </w:tabs>
        <w:spacing w:before="120" w:after="120"/>
        <w:rPr>
          <w:szCs w:val="26"/>
        </w:rPr>
      </w:pPr>
      <w:r w:rsidRPr="00D5282C">
        <w:rPr>
          <w:szCs w:val="26"/>
        </w:rPr>
        <w:t>En julio de 2019</w:t>
      </w:r>
      <w:r w:rsidR="00F35BA8">
        <w:rPr>
          <w:szCs w:val="26"/>
        </w:rPr>
        <w:t>, tras realizar un nuevo proceso de selección de candidatos para optar al arrendamiento con opción de compraventa del CN,</w:t>
      </w:r>
      <w:r w:rsidRPr="00D5282C">
        <w:rPr>
          <w:szCs w:val="26"/>
        </w:rPr>
        <w:t xml:space="preserve"> se firmó el nuevo contrato para el periodo 2020-2024 en el que se exigía a la empresa arrendataria </w:t>
      </w:r>
      <w:r w:rsidR="00F35BA8">
        <w:rPr>
          <w:szCs w:val="26"/>
        </w:rPr>
        <w:t>disponer de unos fondos propios de al menos</w:t>
      </w:r>
      <w:r w:rsidRPr="00D5282C">
        <w:rPr>
          <w:szCs w:val="26"/>
        </w:rPr>
        <w:t xml:space="preserve"> 500.000 euros. </w:t>
      </w:r>
    </w:p>
    <w:p w14:paraId="009D957F" w14:textId="1B28C752" w:rsidR="00762E01" w:rsidRDefault="00F76B67" w:rsidP="00750C68">
      <w:pPr>
        <w:pStyle w:val="texto"/>
        <w:tabs>
          <w:tab w:val="clear" w:pos="2835"/>
          <w:tab w:val="clear" w:pos="3969"/>
          <w:tab w:val="clear" w:pos="5103"/>
          <w:tab w:val="clear" w:pos="6237"/>
          <w:tab w:val="clear" w:pos="7371"/>
        </w:tabs>
        <w:spacing w:before="120" w:after="120"/>
        <w:rPr>
          <w:szCs w:val="26"/>
        </w:rPr>
      </w:pPr>
      <w:r w:rsidRPr="00FB26C4">
        <w:rPr>
          <w:szCs w:val="26"/>
        </w:rPr>
        <w:t>Hasta 2019, la empresa</w:t>
      </w:r>
      <w:r>
        <w:rPr>
          <w:szCs w:val="26"/>
        </w:rPr>
        <w:t xml:space="preserve"> arrendataria</w:t>
      </w:r>
      <w:r w:rsidRPr="00FB26C4">
        <w:rPr>
          <w:szCs w:val="26"/>
        </w:rPr>
        <w:t xml:space="preserve"> había pagado en algunos casos con retraso el alquiler, pero siempre había abonado la cantidad acordada. Sin embargo, </w:t>
      </w:r>
      <w:r>
        <w:rPr>
          <w:szCs w:val="26"/>
        </w:rPr>
        <w:t>la empresa dejó de pagar el alquiler del segundo trimestre de este año por un total de 76.500 euros.</w:t>
      </w:r>
      <w:r w:rsidR="003E43DB">
        <w:rPr>
          <w:szCs w:val="26"/>
        </w:rPr>
        <w:t xml:space="preserve"> </w:t>
      </w:r>
    </w:p>
    <w:p w14:paraId="387CE621" w14:textId="77777777" w:rsidR="00762E01" w:rsidRDefault="00F76B67" w:rsidP="00750C68">
      <w:pPr>
        <w:pStyle w:val="texto"/>
        <w:tabs>
          <w:tab w:val="clear" w:pos="2835"/>
          <w:tab w:val="clear" w:pos="3969"/>
          <w:tab w:val="clear" w:pos="5103"/>
          <w:tab w:val="clear" w:pos="6237"/>
          <w:tab w:val="clear" w:pos="7371"/>
        </w:tabs>
        <w:spacing w:before="120" w:after="120"/>
        <w:rPr>
          <w:szCs w:val="26"/>
        </w:rPr>
      </w:pPr>
      <w:r w:rsidRPr="00773D2B">
        <w:rPr>
          <w:szCs w:val="26"/>
        </w:rPr>
        <w:t xml:space="preserve">En este </w:t>
      </w:r>
      <w:r w:rsidRPr="00D5282C">
        <w:rPr>
          <w:szCs w:val="26"/>
        </w:rPr>
        <w:t>contexto</w:t>
      </w:r>
      <w:r w:rsidR="00773D2B" w:rsidRPr="00D5282C">
        <w:rPr>
          <w:szCs w:val="26"/>
        </w:rPr>
        <w:t xml:space="preserve"> de impagos y ante el incumplimiento de la obligación de </w:t>
      </w:r>
      <w:r w:rsidR="00F35BA8">
        <w:rPr>
          <w:szCs w:val="26"/>
        </w:rPr>
        <w:t>disposición de los fondos propios mínimos exigidos</w:t>
      </w:r>
      <w:r w:rsidRPr="00D5282C">
        <w:rPr>
          <w:szCs w:val="26"/>
        </w:rPr>
        <w:t xml:space="preserve">, en noviembre de 2019, </w:t>
      </w:r>
      <w:r w:rsidRPr="00773D2B">
        <w:rPr>
          <w:szCs w:val="26"/>
        </w:rPr>
        <w:t>la empresa solicitó la resolución del contrato de arrendamiento firmado en julio,</w:t>
      </w:r>
      <w:r w:rsidR="00D5282C">
        <w:rPr>
          <w:szCs w:val="26"/>
        </w:rPr>
        <w:t xml:space="preserve"> que era de aplicación a partir de enero de 2020, petición</w:t>
      </w:r>
      <w:r w:rsidRPr="00773D2B">
        <w:rPr>
          <w:szCs w:val="26"/>
        </w:rPr>
        <w:t xml:space="preserve"> que fue aceptada por NICDO. </w:t>
      </w:r>
    </w:p>
    <w:p w14:paraId="2A955449" w14:textId="77777777" w:rsidR="00762E01" w:rsidRPr="00655CC5" w:rsidRDefault="00762E01" w:rsidP="00750C68">
      <w:pPr>
        <w:pStyle w:val="atitulo3"/>
        <w:spacing w:before="120" w:after="120"/>
      </w:pPr>
      <w:r>
        <w:t>IV.1</w:t>
      </w:r>
      <w:r w:rsidRPr="00655CC5">
        <w:t>.</w:t>
      </w:r>
      <w:r>
        <w:t>3</w:t>
      </w:r>
      <w:r w:rsidRPr="00655CC5">
        <w:t xml:space="preserve">. </w:t>
      </w:r>
      <w:r>
        <w:t>Hechos posteriores al fin del arrendamiento del Circuito de Navarra en 2019</w:t>
      </w:r>
    </w:p>
    <w:p w14:paraId="3DCF40B9" w14:textId="77777777" w:rsidR="00AA7048" w:rsidRDefault="00AA7048" w:rsidP="00750C68">
      <w:pPr>
        <w:pStyle w:val="texto"/>
        <w:tabs>
          <w:tab w:val="clear" w:pos="2835"/>
          <w:tab w:val="clear" w:pos="3969"/>
          <w:tab w:val="clear" w:pos="5103"/>
          <w:tab w:val="clear" w:pos="6237"/>
          <w:tab w:val="clear" w:pos="7371"/>
        </w:tabs>
        <w:spacing w:before="120" w:after="120"/>
        <w:rPr>
          <w:szCs w:val="26"/>
        </w:rPr>
      </w:pPr>
      <w:r>
        <w:rPr>
          <w:szCs w:val="26"/>
        </w:rPr>
        <w:t>A continuación, señalamos los hechos posteriores que esta Cámara ha considerado más relev</w:t>
      </w:r>
      <w:r w:rsidR="00F35BA8">
        <w:rPr>
          <w:szCs w:val="26"/>
        </w:rPr>
        <w:t>antes que acontecieron tras la finalización</w:t>
      </w:r>
      <w:r>
        <w:rPr>
          <w:szCs w:val="26"/>
        </w:rPr>
        <w:t xml:space="preserve"> del contrato de arrendamiento de 201</w:t>
      </w:r>
      <w:r w:rsidR="00F35BA8">
        <w:rPr>
          <w:szCs w:val="26"/>
        </w:rPr>
        <w:t>9</w:t>
      </w:r>
      <w:r>
        <w:rPr>
          <w:szCs w:val="26"/>
        </w:rPr>
        <w:t>:</w:t>
      </w:r>
    </w:p>
    <w:p w14:paraId="52F2C8A1" w14:textId="77777777" w:rsidR="00F35BA8" w:rsidRDefault="00F35BA8"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Pr>
          <w:szCs w:val="26"/>
        </w:rPr>
        <w:t>Con carácter previo a la devolución del CN</w:t>
      </w:r>
      <w:r w:rsidR="00F76B67" w:rsidRPr="00920EC4">
        <w:t>, la empr</w:t>
      </w:r>
      <w:r w:rsidR="00AF1CC0">
        <w:t>esa estaba obligada</w:t>
      </w:r>
      <w:r w:rsidR="00F76B67" w:rsidRPr="00920EC4">
        <w:t xml:space="preserve"> a hacer un informe </w:t>
      </w:r>
      <w:r>
        <w:t>del inventario en el que se describieran los bienes y derechos existentes y el estado de los mismos</w:t>
      </w:r>
      <w:r w:rsidR="00F76B67" w:rsidRPr="00920EC4">
        <w:t xml:space="preserve">. </w:t>
      </w:r>
      <w:r>
        <w:t>En este contexto, NICDO planteó en la Comisión de Seguimiento y Control de diciembre de 2019</w:t>
      </w:r>
      <w:r w:rsidR="00230906">
        <w:t xml:space="preserve"> c</w:t>
      </w:r>
      <w:r w:rsidR="00116F8B">
        <w:t>ontratar</w:t>
      </w:r>
      <w:r>
        <w:t xml:space="preserve"> de la elaboración de dicho informe y de otro que analizara la situación de los trabajadores, de los proveedores, la valoración del fondo de comercio y el inventario de bienes muebles propiedad del arrendatario. La empresa arrendataria mostró su conformidad al respecto</w:t>
      </w:r>
      <w:r w:rsidR="00DD0086">
        <w:t>.</w:t>
      </w:r>
    </w:p>
    <w:p w14:paraId="4707B702" w14:textId="77777777" w:rsidR="00D85A2E" w:rsidRDefault="00F76B67" w:rsidP="00750C68">
      <w:pPr>
        <w:pStyle w:val="texto"/>
        <w:tabs>
          <w:tab w:val="clear" w:pos="2835"/>
          <w:tab w:val="clear" w:pos="3969"/>
          <w:tab w:val="clear" w:pos="5103"/>
          <w:tab w:val="clear" w:pos="6237"/>
          <w:tab w:val="clear" w:pos="7371"/>
        </w:tabs>
        <w:spacing w:before="120" w:after="120"/>
        <w:rPr>
          <w:szCs w:val="26"/>
        </w:rPr>
      </w:pPr>
      <w:r w:rsidRPr="00F35BA8">
        <w:rPr>
          <w:szCs w:val="26"/>
        </w:rPr>
        <w:lastRenderedPageBreak/>
        <w:t xml:space="preserve">Al respecto, en diciembre de 2019 NICDO </w:t>
      </w:r>
      <w:r w:rsidR="007A1436" w:rsidRPr="00F35BA8">
        <w:rPr>
          <w:szCs w:val="26"/>
        </w:rPr>
        <w:t>contrató a</w:t>
      </w:r>
      <w:r w:rsidRPr="00F35BA8">
        <w:rPr>
          <w:szCs w:val="26"/>
        </w:rPr>
        <w:t xml:space="preserve"> una firma de auditoría, previo acuerdo con la empresa, para realizar esta valoración por un total de </w:t>
      </w:r>
      <w:r w:rsidR="00F35BA8">
        <w:rPr>
          <w:szCs w:val="26"/>
        </w:rPr>
        <w:t>9.700</w:t>
      </w:r>
      <w:r w:rsidRPr="00F35BA8">
        <w:rPr>
          <w:szCs w:val="26"/>
        </w:rPr>
        <w:t xml:space="preserve"> euros (IVA excluido).</w:t>
      </w:r>
    </w:p>
    <w:p w14:paraId="0E049E7F" w14:textId="77777777" w:rsidR="00762E01"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920EC4">
        <w:t>En diciembre de 2019, dado que</w:t>
      </w:r>
      <w:r w:rsidR="007A1436">
        <w:t xml:space="preserve"> nuevamente</w:t>
      </w:r>
      <w:r w:rsidRPr="00920EC4">
        <w:t xml:space="preserve"> la empresa dejó de pagar la factura de arrendamiento del tercer trimestre por 76.500 euros, NICDO ejecutó por primera vez el aval para cubrir los impagos. </w:t>
      </w:r>
      <w:r w:rsidR="00762E01" w:rsidRPr="00920EC4">
        <w:t>Al respecto señalamos que l</w:t>
      </w:r>
      <w:r w:rsidRPr="00920EC4">
        <w:t xml:space="preserve">a empresa también dejó de pagar la factura del arrendamiento del último trimestre de 2019 por </w:t>
      </w:r>
      <w:r w:rsidR="00762E01" w:rsidRPr="00920EC4">
        <w:t>el importe señalado</w:t>
      </w:r>
      <w:r w:rsidRPr="00920EC4">
        <w:t>.</w:t>
      </w:r>
    </w:p>
    <w:p w14:paraId="62412EA6" w14:textId="77777777" w:rsidR="0053245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920EC4">
        <w:t>La firma de auditoría entregó el informe de valoración en febrero de 2020 en el que se cifraban los gastos imputables a la empresa arrendataria en un total de 487.769 euros (IVA excluido).</w:t>
      </w:r>
    </w:p>
    <w:p w14:paraId="79A77F33" w14:textId="77777777"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920EC4">
        <w:t xml:space="preserve">La empresa arrendataria </w:t>
      </w:r>
      <w:r w:rsidR="00FA152F">
        <w:t>trasladó diversas cuestiones</w:t>
      </w:r>
      <w:r w:rsidR="00D85A2E">
        <w:t xml:space="preserve"> sobre las valoraciones</w:t>
      </w:r>
      <w:r w:rsidR="00FA152F">
        <w:t xml:space="preserve"> a NICDO</w:t>
      </w:r>
      <w:r w:rsidR="00D85A2E">
        <w:t xml:space="preserve"> lo que motivó que se disminuyera la valoración del importe de gastos imputables a la misma</w:t>
      </w:r>
      <w:r w:rsidRPr="00920EC4">
        <w:t xml:space="preserve"> en 19.230 euros; además, también discrepaba sobre la valoración del fondo de comercio</w:t>
      </w:r>
      <w:r w:rsidR="00AA7048" w:rsidRPr="00920EC4">
        <w:t>,</w:t>
      </w:r>
      <w:r w:rsidRPr="00920EC4">
        <w:t xml:space="preserve"> ya que</w:t>
      </w:r>
      <w:r w:rsidR="00AA7048" w:rsidRPr="00920EC4">
        <w:t>,</w:t>
      </w:r>
      <w:r w:rsidRPr="00920EC4">
        <w:t xml:space="preserve"> según el informe de la firma de auditoría</w:t>
      </w:r>
      <w:r w:rsidR="00AA7048" w:rsidRPr="00920EC4">
        <w:t>,</w:t>
      </w:r>
      <w:r w:rsidRPr="00920EC4">
        <w:t xml:space="preserve"> era inferior al existente en 2014 al inicio del contrato. </w:t>
      </w:r>
    </w:p>
    <w:p w14:paraId="29C7D31F" w14:textId="77777777"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920EC4">
        <w:t>En julio de 2020</w:t>
      </w:r>
      <w:r w:rsidR="00AA7048" w:rsidRPr="00920EC4">
        <w:t>,</w:t>
      </w:r>
      <w:r w:rsidRPr="00920EC4">
        <w:t xml:space="preserve"> NICDO volvió a ejecutar el aval para cubrir los impagos de la empresa incluyendo</w:t>
      </w:r>
      <w:r w:rsidR="007A1436">
        <w:t xml:space="preserve"> los gastos imputables a la empresa, </w:t>
      </w:r>
      <w:r w:rsidR="007A1436" w:rsidRPr="00920EC4">
        <w:t>descontando el importe de 19.230 euros alegado</w:t>
      </w:r>
      <w:r w:rsidR="007A1436">
        <w:t>.</w:t>
      </w:r>
      <w:r w:rsidRPr="00920EC4">
        <w:t xml:space="preserve"> </w:t>
      </w:r>
    </w:p>
    <w:p w14:paraId="71FB0F05" w14:textId="12D2C5E8" w:rsidR="00F76B67" w:rsidRPr="00920EC4"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rsidRPr="00920EC4">
        <w:t xml:space="preserve">Ante las discrepancias existentes que básicamente se referían a la valoración </w:t>
      </w:r>
      <w:r w:rsidR="00D85A2E">
        <w:t>del estado de la instalación (inventario sobre los bienes y derechos y estado de los mismos)</w:t>
      </w:r>
      <w:r w:rsidRPr="00920EC4">
        <w:t xml:space="preserve">, en octubre de 2020 NICDO y la empresa arrendataria llegaron al acuerdo de que el Colegio de Ingenieros designara a dos peritos para que ofertaran el peritaje de la valoración del estado </w:t>
      </w:r>
      <w:r w:rsidRPr="00BC7A00">
        <w:t>de la instalación, asumiendo que dicha valoración sería vinculante para las dos partes y que el coste de esta actuación se asumiría a partes iguales.</w:t>
      </w:r>
      <w:r w:rsidR="003E43DB">
        <w:t xml:space="preserve"> </w:t>
      </w:r>
    </w:p>
    <w:p w14:paraId="477C2CF3" w14:textId="77777777" w:rsidR="00D85A2E"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sidRPr="00920EC4">
        <w:t>En enero de 2021</w:t>
      </w:r>
      <w:r w:rsidR="00AA7048" w:rsidRPr="00920EC4">
        <w:t>,</w:t>
      </w:r>
      <w:r w:rsidRPr="00920EC4">
        <w:t xml:space="preserve"> el perito contratado emitió el informe definitivo que valoraba la responsabilidad de la empresa por el estado de las instalaciones en 240.176 euros (IVA excluido) frente a los 468.539 euros</w:t>
      </w:r>
      <w:r w:rsidR="001E7F16" w:rsidRPr="00920EC4">
        <w:t xml:space="preserve"> (IVA excluido)</w:t>
      </w:r>
      <w:r w:rsidRPr="00920EC4">
        <w:t xml:space="preserve"> de la firma de auditoría </w:t>
      </w:r>
      <w:r>
        <w:rPr>
          <w:szCs w:val="26"/>
        </w:rPr>
        <w:t>(descontado el importe alegado por la empresa arrendataria); la razón fundamental de esta diferencia es que parte de los gastos se consider</w:t>
      </w:r>
      <w:r w:rsidR="00AA7048">
        <w:rPr>
          <w:szCs w:val="26"/>
        </w:rPr>
        <w:t>ó</w:t>
      </w:r>
      <w:r>
        <w:rPr>
          <w:szCs w:val="26"/>
        </w:rPr>
        <w:t xml:space="preserve"> que </w:t>
      </w:r>
      <w:r w:rsidR="00AA7048">
        <w:rPr>
          <w:szCs w:val="26"/>
        </w:rPr>
        <w:t>eran</w:t>
      </w:r>
      <w:r>
        <w:rPr>
          <w:szCs w:val="26"/>
        </w:rPr>
        <w:t xml:space="preserve"> responsabilidad de NICDO y no de la </w:t>
      </w:r>
      <w:r w:rsidR="00212953">
        <w:rPr>
          <w:szCs w:val="26"/>
        </w:rPr>
        <w:t>empresa.</w:t>
      </w:r>
      <w:r w:rsidR="00212953" w:rsidRPr="00532457">
        <w:rPr>
          <w:szCs w:val="26"/>
        </w:rPr>
        <w:t xml:space="preserve"> </w:t>
      </w:r>
    </w:p>
    <w:p w14:paraId="01D5431E" w14:textId="77777777" w:rsidR="00D85A2E" w:rsidRPr="00B100E6" w:rsidRDefault="00212953"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0"/>
        <w:rPr>
          <w:szCs w:val="26"/>
        </w:rPr>
      </w:pPr>
      <w:r w:rsidRPr="00B100E6">
        <w:rPr>
          <w:szCs w:val="26"/>
        </w:rPr>
        <w:t>En</w:t>
      </w:r>
      <w:r w:rsidR="00F76B67" w:rsidRPr="00B100E6">
        <w:rPr>
          <w:szCs w:val="26"/>
        </w:rPr>
        <w:t xml:space="preserve"> febrero de 2021</w:t>
      </w:r>
      <w:r w:rsidR="00AA7048" w:rsidRPr="00B100E6">
        <w:rPr>
          <w:szCs w:val="26"/>
        </w:rPr>
        <w:t>,</w:t>
      </w:r>
      <w:r w:rsidR="00F76B67" w:rsidRPr="00B100E6">
        <w:rPr>
          <w:szCs w:val="26"/>
        </w:rPr>
        <w:t xml:space="preserve"> NICDO devolvió a </w:t>
      </w:r>
      <w:r w:rsidR="00D85A2E" w:rsidRPr="00B100E6">
        <w:rPr>
          <w:szCs w:val="26"/>
        </w:rPr>
        <w:t>una entidad bancaria, en virtud de un acuerdo suscrito entre ésta y la empresa arrendataria en febrero de 2021,</w:t>
      </w:r>
      <w:r w:rsidR="00F76B67" w:rsidRPr="00B100E6">
        <w:rPr>
          <w:szCs w:val="26"/>
        </w:rPr>
        <w:t xml:space="preserve"> la diferencia entre la valoración del primer informe que ya se había ejecutado del aval (468.539 euros) y los 240.176 euros</w:t>
      </w:r>
      <w:r w:rsidR="001E7F16" w:rsidRPr="00B100E6">
        <w:rPr>
          <w:szCs w:val="26"/>
        </w:rPr>
        <w:t xml:space="preserve"> (IVA excluido)</w:t>
      </w:r>
      <w:r w:rsidR="00D85A2E" w:rsidRPr="00B100E6">
        <w:rPr>
          <w:szCs w:val="26"/>
        </w:rPr>
        <w:t xml:space="preserve"> de este segundo informe.</w:t>
      </w:r>
    </w:p>
    <w:p w14:paraId="6D7C8B65" w14:textId="77777777" w:rsidR="00F76B67" w:rsidRDefault="00F76B67"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 xml:space="preserve">Teniendo en cuenta los importes que la empresa arrendataria debía a la Hacienda Foral de </w:t>
      </w:r>
      <w:r w:rsidRPr="00920EC4">
        <w:t>Navarra</w:t>
      </w:r>
      <w:r>
        <w:rPr>
          <w:szCs w:val="26"/>
        </w:rPr>
        <w:t xml:space="preserve"> por impagos referidos al Impuesto sobre la Renta de las Personas Físicas, Impuesto sobre el Valor Añadido e Impuesto sobre las Actividades Económicas, así como los anticipos </w:t>
      </w:r>
      <w:r w:rsidR="00D85A2E">
        <w:rPr>
          <w:szCs w:val="26"/>
        </w:rPr>
        <w:t xml:space="preserve">cobrados por la empresa arrendataria </w:t>
      </w:r>
      <w:r w:rsidR="00D85A2E">
        <w:rPr>
          <w:szCs w:val="26"/>
        </w:rPr>
        <w:lastRenderedPageBreak/>
        <w:t>por cuotas giradas a socios</w:t>
      </w:r>
      <w:r>
        <w:rPr>
          <w:szCs w:val="26"/>
        </w:rPr>
        <w:t>, el total del aval ejecutado ascendió a 720.467 euros según el siguiente desglose:</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846"/>
        <w:gridCol w:w="943"/>
      </w:tblGrid>
      <w:tr w:rsidR="00F76B67" w:rsidRPr="00D93BBE" w14:paraId="5B8DD83F" w14:textId="77777777" w:rsidTr="00A915CB">
        <w:trPr>
          <w:trHeight w:val="255"/>
          <w:jc w:val="center"/>
        </w:trPr>
        <w:tc>
          <w:tcPr>
            <w:tcW w:w="7846" w:type="dxa"/>
            <w:tcBorders>
              <w:bottom w:val="single" w:sz="4" w:space="0" w:color="auto"/>
            </w:tcBorders>
            <w:shd w:val="clear" w:color="auto" w:fill="8DB3E2" w:themeFill="text2" w:themeFillTint="66"/>
            <w:vAlign w:val="center"/>
          </w:tcPr>
          <w:p w14:paraId="5DFC960E"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93BBE">
              <w:rPr>
                <w:rFonts w:ascii="Arial" w:hAnsi="Arial" w:cs="Arial"/>
                <w:sz w:val="18"/>
                <w:szCs w:val="18"/>
              </w:rPr>
              <w:t>Concepto</w:t>
            </w:r>
          </w:p>
        </w:tc>
        <w:tc>
          <w:tcPr>
            <w:tcW w:w="943" w:type="dxa"/>
            <w:tcBorders>
              <w:bottom w:val="single" w:sz="4" w:space="0" w:color="auto"/>
            </w:tcBorders>
            <w:shd w:val="clear" w:color="auto" w:fill="8DB3E2" w:themeFill="text2" w:themeFillTint="66"/>
            <w:vAlign w:val="center"/>
          </w:tcPr>
          <w:p w14:paraId="3E158B4D"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93BBE">
              <w:rPr>
                <w:rFonts w:ascii="Arial" w:hAnsi="Arial" w:cs="Arial"/>
                <w:sz w:val="18"/>
                <w:szCs w:val="18"/>
              </w:rPr>
              <w:t>Importe</w:t>
            </w:r>
          </w:p>
        </w:tc>
      </w:tr>
      <w:tr w:rsidR="00F76B67" w:rsidRPr="00D93BBE" w14:paraId="598CFD12" w14:textId="77777777" w:rsidTr="00A915CB">
        <w:trPr>
          <w:trHeight w:val="198"/>
          <w:jc w:val="center"/>
        </w:trPr>
        <w:tc>
          <w:tcPr>
            <w:tcW w:w="7846" w:type="dxa"/>
            <w:tcBorders>
              <w:top w:val="single" w:sz="4" w:space="0" w:color="auto"/>
              <w:bottom w:val="single" w:sz="2" w:space="0" w:color="auto"/>
            </w:tcBorders>
            <w:vAlign w:val="center"/>
          </w:tcPr>
          <w:p w14:paraId="6BADC978"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Renta tres trimestres pendientes menos facturas por obras realizadas por la arrendataria</w:t>
            </w:r>
          </w:p>
        </w:tc>
        <w:tc>
          <w:tcPr>
            <w:tcW w:w="943" w:type="dxa"/>
            <w:tcBorders>
              <w:top w:val="single" w:sz="4" w:space="0" w:color="auto"/>
              <w:bottom w:val="single" w:sz="2" w:space="0" w:color="auto"/>
            </w:tcBorders>
            <w:vAlign w:val="center"/>
          </w:tcPr>
          <w:p w14:paraId="0516DF9B"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161.008</w:t>
            </w:r>
          </w:p>
        </w:tc>
      </w:tr>
      <w:tr w:rsidR="00F76B67" w:rsidRPr="00D93BBE" w14:paraId="309958C8" w14:textId="77777777" w:rsidTr="00A915CB">
        <w:trPr>
          <w:trHeight w:val="198"/>
          <w:jc w:val="center"/>
        </w:trPr>
        <w:tc>
          <w:tcPr>
            <w:tcW w:w="7846" w:type="dxa"/>
            <w:tcBorders>
              <w:top w:val="single" w:sz="2" w:space="0" w:color="auto"/>
              <w:bottom w:val="single" w:sz="2" w:space="0" w:color="auto"/>
            </w:tcBorders>
            <w:vAlign w:val="center"/>
          </w:tcPr>
          <w:p w14:paraId="10D58B7C"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93BBE">
              <w:rPr>
                <w:rFonts w:ascii="Arial Narrow" w:hAnsi="Arial Narrow"/>
                <w:sz w:val="20"/>
              </w:rPr>
              <w:t>Pagos pendientes Iberdrola</w:t>
            </w:r>
          </w:p>
        </w:tc>
        <w:tc>
          <w:tcPr>
            <w:tcW w:w="943" w:type="dxa"/>
            <w:tcBorders>
              <w:top w:val="single" w:sz="2" w:space="0" w:color="auto"/>
              <w:bottom w:val="single" w:sz="2" w:space="0" w:color="auto"/>
            </w:tcBorders>
            <w:vAlign w:val="center"/>
          </w:tcPr>
          <w:p w14:paraId="6B54D5C2"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D93BBE">
              <w:rPr>
                <w:rFonts w:ascii="Arial Narrow" w:hAnsi="Arial Narrow"/>
                <w:sz w:val="20"/>
              </w:rPr>
              <w:t>18.797</w:t>
            </w:r>
          </w:p>
        </w:tc>
      </w:tr>
      <w:tr w:rsidR="00F76B67" w:rsidRPr="00D93BBE" w14:paraId="0BF1F535" w14:textId="77777777" w:rsidTr="00A915CB">
        <w:trPr>
          <w:trHeight w:val="198"/>
          <w:jc w:val="center"/>
        </w:trPr>
        <w:tc>
          <w:tcPr>
            <w:tcW w:w="7846" w:type="dxa"/>
            <w:tcBorders>
              <w:top w:val="single" w:sz="2" w:space="0" w:color="auto"/>
              <w:bottom w:val="single" w:sz="2" w:space="0" w:color="auto"/>
            </w:tcBorders>
            <w:vAlign w:val="center"/>
          </w:tcPr>
          <w:p w14:paraId="05EFBA51"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93BBE">
              <w:rPr>
                <w:rFonts w:ascii="Arial Narrow" w:hAnsi="Arial Narrow"/>
                <w:sz w:val="20"/>
              </w:rPr>
              <w:t>Anticipos cobrados</w:t>
            </w:r>
            <w:r>
              <w:rPr>
                <w:rFonts w:ascii="Arial Narrow" w:hAnsi="Arial Narrow"/>
                <w:sz w:val="20"/>
              </w:rPr>
              <w:t xml:space="preserve"> por la arrendataria por cuotas giradas a socios y renta cuarto trimestre 2019</w:t>
            </w:r>
          </w:p>
        </w:tc>
        <w:tc>
          <w:tcPr>
            <w:tcW w:w="943" w:type="dxa"/>
            <w:tcBorders>
              <w:top w:val="single" w:sz="2" w:space="0" w:color="auto"/>
              <w:bottom w:val="single" w:sz="2" w:space="0" w:color="auto"/>
            </w:tcBorders>
            <w:vAlign w:val="center"/>
          </w:tcPr>
          <w:p w14:paraId="58CB57BE"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138.370</w:t>
            </w:r>
          </w:p>
        </w:tc>
      </w:tr>
      <w:tr w:rsidR="00F76B67" w:rsidRPr="00D93BBE" w14:paraId="40193CCA" w14:textId="77777777" w:rsidTr="00A915CB">
        <w:trPr>
          <w:trHeight w:val="198"/>
          <w:jc w:val="center"/>
        </w:trPr>
        <w:tc>
          <w:tcPr>
            <w:tcW w:w="7846" w:type="dxa"/>
            <w:tcBorders>
              <w:top w:val="single" w:sz="2" w:space="0" w:color="auto"/>
              <w:bottom w:val="single" w:sz="2" w:space="0" w:color="auto"/>
            </w:tcBorders>
            <w:vAlign w:val="center"/>
          </w:tcPr>
          <w:p w14:paraId="5C58BC48"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93BBE">
              <w:rPr>
                <w:rFonts w:ascii="Arial Narrow" w:hAnsi="Arial Narrow"/>
                <w:sz w:val="20"/>
              </w:rPr>
              <w:t>Coste reparaciones</w:t>
            </w:r>
          </w:p>
        </w:tc>
        <w:tc>
          <w:tcPr>
            <w:tcW w:w="943" w:type="dxa"/>
            <w:tcBorders>
              <w:top w:val="single" w:sz="2" w:space="0" w:color="auto"/>
              <w:bottom w:val="single" w:sz="2" w:space="0" w:color="auto"/>
            </w:tcBorders>
            <w:vAlign w:val="center"/>
          </w:tcPr>
          <w:p w14:paraId="533C01AD"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D93BBE">
              <w:rPr>
                <w:rFonts w:ascii="Arial Narrow" w:hAnsi="Arial Narrow"/>
                <w:sz w:val="20"/>
              </w:rPr>
              <w:t>240.176</w:t>
            </w:r>
          </w:p>
        </w:tc>
      </w:tr>
      <w:tr w:rsidR="00F76B67" w:rsidRPr="00D93BBE" w14:paraId="357961F7" w14:textId="77777777" w:rsidTr="00A915CB">
        <w:trPr>
          <w:trHeight w:val="198"/>
          <w:jc w:val="center"/>
        </w:trPr>
        <w:tc>
          <w:tcPr>
            <w:tcW w:w="7846" w:type="dxa"/>
            <w:tcBorders>
              <w:top w:val="single" w:sz="2" w:space="0" w:color="auto"/>
              <w:bottom w:val="single" w:sz="2" w:space="0" w:color="auto"/>
            </w:tcBorders>
            <w:vAlign w:val="center"/>
          </w:tcPr>
          <w:p w14:paraId="233DDD4A"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93BBE">
              <w:rPr>
                <w:rFonts w:ascii="Arial Narrow" w:hAnsi="Arial Narrow"/>
                <w:sz w:val="20"/>
              </w:rPr>
              <w:t>Deudas Hacienda Foral de Navarra</w:t>
            </w:r>
          </w:p>
        </w:tc>
        <w:tc>
          <w:tcPr>
            <w:tcW w:w="943" w:type="dxa"/>
            <w:tcBorders>
              <w:top w:val="single" w:sz="2" w:space="0" w:color="auto"/>
              <w:bottom w:val="single" w:sz="2" w:space="0" w:color="auto"/>
            </w:tcBorders>
            <w:vAlign w:val="center"/>
          </w:tcPr>
          <w:p w14:paraId="175F1370"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D93BBE">
              <w:rPr>
                <w:rFonts w:ascii="Arial Narrow" w:hAnsi="Arial Narrow"/>
                <w:sz w:val="20"/>
              </w:rPr>
              <w:t>128.125</w:t>
            </w:r>
          </w:p>
        </w:tc>
      </w:tr>
      <w:tr w:rsidR="00F76B67" w:rsidRPr="00D93BBE" w14:paraId="35DDF82D" w14:textId="77777777" w:rsidTr="00A915CB">
        <w:trPr>
          <w:trHeight w:val="198"/>
          <w:jc w:val="center"/>
        </w:trPr>
        <w:tc>
          <w:tcPr>
            <w:tcW w:w="7846" w:type="dxa"/>
            <w:tcBorders>
              <w:top w:val="single" w:sz="2" w:space="0" w:color="auto"/>
              <w:bottom w:val="single" w:sz="4" w:space="0" w:color="auto"/>
            </w:tcBorders>
            <w:vAlign w:val="center"/>
          </w:tcPr>
          <w:p w14:paraId="0CB01601"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93BBE">
              <w:rPr>
                <w:rFonts w:ascii="Arial Narrow" w:hAnsi="Arial Narrow"/>
                <w:sz w:val="20"/>
              </w:rPr>
              <w:t>Deudas Ayuntamiento Los Arcos</w:t>
            </w:r>
          </w:p>
        </w:tc>
        <w:tc>
          <w:tcPr>
            <w:tcW w:w="943" w:type="dxa"/>
            <w:tcBorders>
              <w:top w:val="single" w:sz="2" w:space="0" w:color="auto"/>
              <w:bottom w:val="single" w:sz="4" w:space="0" w:color="auto"/>
            </w:tcBorders>
            <w:vAlign w:val="center"/>
          </w:tcPr>
          <w:p w14:paraId="5A48CC99"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D93BBE">
              <w:rPr>
                <w:rFonts w:ascii="Arial Narrow" w:hAnsi="Arial Narrow"/>
                <w:sz w:val="20"/>
              </w:rPr>
              <w:t>33.990</w:t>
            </w:r>
          </w:p>
        </w:tc>
      </w:tr>
      <w:tr w:rsidR="00F76B67" w:rsidRPr="00D93BBE" w14:paraId="50C5D4E0" w14:textId="77777777" w:rsidTr="00A915CB">
        <w:trPr>
          <w:trHeight w:val="255"/>
          <w:jc w:val="center"/>
        </w:trPr>
        <w:tc>
          <w:tcPr>
            <w:tcW w:w="7846" w:type="dxa"/>
            <w:tcBorders>
              <w:top w:val="single" w:sz="4" w:space="0" w:color="auto"/>
            </w:tcBorders>
            <w:shd w:val="clear" w:color="auto" w:fill="8DB3E2" w:themeFill="text2" w:themeFillTint="66"/>
            <w:vAlign w:val="center"/>
          </w:tcPr>
          <w:p w14:paraId="1F86B416"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93BBE">
              <w:rPr>
                <w:rFonts w:ascii="Arial" w:hAnsi="Arial" w:cs="Arial"/>
                <w:sz w:val="18"/>
                <w:szCs w:val="18"/>
              </w:rPr>
              <w:t>Total</w:t>
            </w:r>
          </w:p>
        </w:tc>
        <w:tc>
          <w:tcPr>
            <w:tcW w:w="943" w:type="dxa"/>
            <w:tcBorders>
              <w:top w:val="single" w:sz="4" w:space="0" w:color="auto"/>
            </w:tcBorders>
            <w:shd w:val="clear" w:color="auto" w:fill="8DB3E2" w:themeFill="text2" w:themeFillTint="66"/>
            <w:vAlign w:val="center"/>
          </w:tcPr>
          <w:p w14:paraId="0DB76C63" w14:textId="77777777" w:rsidR="00F76B67" w:rsidRPr="00D93BBE" w:rsidRDefault="00F76B67" w:rsidP="006E5C7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720.467</w:t>
            </w:r>
          </w:p>
        </w:tc>
      </w:tr>
    </w:tbl>
    <w:p w14:paraId="50847715" w14:textId="77777777" w:rsidR="002422F8" w:rsidRDefault="002422F8" w:rsidP="006035DA">
      <w:pPr>
        <w:pStyle w:val="atitulo2"/>
        <w:spacing w:before="240"/>
        <w:rPr>
          <w:bCs w:val="0"/>
          <w:iCs w:val="0"/>
        </w:rPr>
      </w:pPr>
      <w:bookmarkStart w:id="20" w:name="_Toc92970046"/>
      <w:r>
        <w:rPr>
          <w:bCs w:val="0"/>
          <w:iCs w:val="0"/>
        </w:rPr>
        <w:t>I</w:t>
      </w:r>
      <w:r w:rsidRPr="00CD04FD">
        <w:rPr>
          <w:bCs w:val="0"/>
          <w:iCs w:val="0"/>
        </w:rPr>
        <w:t>V</w:t>
      </w:r>
      <w:r w:rsidR="006A3983">
        <w:rPr>
          <w:bCs w:val="0"/>
          <w:iCs w:val="0"/>
        </w:rPr>
        <w:t>.2</w:t>
      </w:r>
      <w:r w:rsidRPr="00CD04FD">
        <w:rPr>
          <w:bCs w:val="0"/>
          <w:iCs w:val="0"/>
        </w:rPr>
        <w:t xml:space="preserve"> </w:t>
      </w:r>
      <w:bookmarkEnd w:id="19"/>
      <w:r w:rsidR="004C5180">
        <w:rPr>
          <w:bCs w:val="0"/>
          <w:iCs w:val="0"/>
        </w:rPr>
        <w:t>Revisión del cumplimiento de cláusulas del contrato de arrendamiento del Circuito de Navarra de 2014</w:t>
      </w:r>
      <w:bookmarkEnd w:id="20"/>
    </w:p>
    <w:p w14:paraId="04D93514" w14:textId="68FF1E1B" w:rsidR="001E7F16" w:rsidRDefault="001E7F16" w:rsidP="00750C68">
      <w:pPr>
        <w:pStyle w:val="texto"/>
        <w:spacing w:before="120" w:after="120"/>
        <w:rPr>
          <w:szCs w:val="26"/>
        </w:rPr>
      </w:pPr>
      <w:r>
        <w:rPr>
          <w:szCs w:val="26"/>
        </w:rPr>
        <w:t>El contrato de arrendamiento formalizado en 2014 contenía 36 cláusul</w:t>
      </w:r>
      <w:r w:rsidR="008C02F6">
        <w:rPr>
          <w:szCs w:val="26"/>
        </w:rPr>
        <w:t>as referidas a diversos aspectos de las cuales son evaluables 2</w:t>
      </w:r>
      <w:r w:rsidR="002F6E3F">
        <w:rPr>
          <w:szCs w:val="26"/>
        </w:rPr>
        <w:t>0</w:t>
      </w:r>
      <w:r w:rsidR="008C02F6">
        <w:rPr>
          <w:szCs w:val="26"/>
        </w:rPr>
        <w:t xml:space="preserve">, ya que el resto se refieren a hechos descriptivos del contrato que no son susceptibles de ser revisadas. En concreto las cláusulas revisadas </w:t>
      </w:r>
      <w:r w:rsidR="00FD2F9C">
        <w:rPr>
          <w:szCs w:val="26"/>
        </w:rPr>
        <w:t>y su grado de cumplimiento son las siguientes</w:t>
      </w:r>
      <w:r w:rsidR="008C02F6">
        <w:rPr>
          <w:szCs w:val="26"/>
        </w:rPr>
        <w:t>:</w:t>
      </w:r>
      <w:r w:rsidR="003E43DB">
        <w:rPr>
          <w:szCs w:val="26"/>
        </w:rPr>
        <w:t xml:space="preserve"> </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26"/>
        <w:gridCol w:w="5419"/>
        <w:gridCol w:w="2344"/>
      </w:tblGrid>
      <w:tr w:rsidR="00532457" w:rsidRPr="008C02F6" w14:paraId="69F6C019" w14:textId="77777777" w:rsidTr="00D240DE">
        <w:trPr>
          <w:trHeight w:val="255"/>
          <w:jc w:val="center"/>
        </w:trPr>
        <w:tc>
          <w:tcPr>
            <w:tcW w:w="993" w:type="dxa"/>
            <w:shd w:val="clear" w:color="auto" w:fill="8DB3E2" w:themeFill="text2" w:themeFillTint="66"/>
            <w:vAlign w:val="center"/>
          </w:tcPr>
          <w:p w14:paraId="1BD5E894" w14:textId="77777777" w:rsidR="00532457" w:rsidRPr="008C02F6" w:rsidRDefault="00532457" w:rsidP="00850879">
            <w:pPr>
              <w:pStyle w:val="texto"/>
              <w:spacing w:after="0"/>
              <w:ind w:left="-105" w:firstLine="0"/>
              <w:jc w:val="left"/>
              <w:rPr>
                <w:rFonts w:ascii="Arial" w:hAnsi="Arial" w:cs="Arial"/>
                <w:sz w:val="18"/>
                <w:szCs w:val="18"/>
              </w:rPr>
            </w:pPr>
            <w:r w:rsidRPr="008C02F6">
              <w:rPr>
                <w:rFonts w:ascii="Arial" w:hAnsi="Arial" w:cs="Arial"/>
                <w:sz w:val="18"/>
                <w:szCs w:val="18"/>
              </w:rPr>
              <w:t>Cláusula</w:t>
            </w:r>
          </w:p>
        </w:tc>
        <w:tc>
          <w:tcPr>
            <w:tcW w:w="5244" w:type="dxa"/>
            <w:shd w:val="clear" w:color="auto" w:fill="8DB3E2" w:themeFill="text2" w:themeFillTint="66"/>
            <w:vAlign w:val="center"/>
          </w:tcPr>
          <w:p w14:paraId="784844F6" w14:textId="77777777" w:rsidR="00532457" w:rsidRPr="008C02F6" w:rsidRDefault="00532457" w:rsidP="00D240DE">
            <w:pPr>
              <w:pStyle w:val="texto"/>
              <w:spacing w:after="0"/>
              <w:ind w:left="-6" w:firstLine="0"/>
              <w:jc w:val="left"/>
              <w:rPr>
                <w:rFonts w:ascii="Arial" w:hAnsi="Arial" w:cs="Arial"/>
                <w:sz w:val="18"/>
                <w:szCs w:val="18"/>
              </w:rPr>
            </w:pPr>
            <w:r w:rsidRPr="008C02F6">
              <w:rPr>
                <w:rFonts w:ascii="Arial" w:hAnsi="Arial" w:cs="Arial"/>
                <w:sz w:val="18"/>
                <w:szCs w:val="18"/>
              </w:rPr>
              <w:t>Descripción</w:t>
            </w:r>
          </w:p>
        </w:tc>
        <w:tc>
          <w:tcPr>
            <w:tcW w:w="2268" w:type="dxa"/>
            <w:shd w:val="clear" w:color="auto" w:fill="8DB3E2" w:themeFill="text2" w:themeFillTint="66"/>
            <w:vAlign w:val="center"/>
          </w:tcPr>
          <w:p w14:paraId="078A9159" w14:textId="77777777" w:rsidR="00532457" w:rsidRPr="008C02F6" w:rsidRDefault="00532457" w:rsidP="00850879">
            <w:pPr>
              <w:pStyle w:val="texto"/>
              <w:spacing w:after="0"/>
              <w:ind w:firstLine="0"/>
              <w:jc w:val="right"/>
              <w:rPr>
                <w:rFonts w:ascii="Arial" w:hAnsi="Arial" w:cs="Arial"/>
                <w:sz w:val="18"/>
                <w:szCs w:val="18"/>
              </w:rPr>
            </w:pPr>
            <w:r>
              <w:rPr>
                <w:rFonts w:ascii="Arial" w:hAnsi="Arial" w:cs="Arial"/>
                <w:sz w:val="18"/>
                <w:szCs w:val="18"/>
              </w:rPr>
              <w:t>Grado de cumplimiento</w:t>
            </w:r>
          </w:p>
        </w:tc>
      </w:tr>
      <w:tr w:rsidR="00532457" w14:paraId="063D9F0B" w14:textId="77777777" w:rsidTr="00D240DE">
        <w:trPr>
          <w:trHeight w:val="198"/>
          <w:jc w:val="center"/>
        </w:trPr>
        <w:tc>
          <w:tcPr>
            <w:tcW w:w="993" w:type="dxa"/>
            <w:tcBorders>
              <w:bottom w:val="single" w:sz="2" w:space="0" w:color="auto"/>
            </w:tcBorders>
            <w:vAlign w:val="center"/>
          </w:tcPr>
          <w:p w14:paraId="3A3464D6"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3ª</w:t>
            </w:r>
          </w:p>
        </w:tc>
        <w:tc>
          <w:tcPr>
            <w:tcW w:w="5244" w:type="dxa"/>
            <w:tcBorders>
              <w:bottom w:val="single" w:sz="2" w:space="0" w:color="auto"/>
            </w:tcBorders>
            <w:vAlign w:val="center"/>
          </w:tcPr>
          <w:p w14:paraId="070D32D9" w14:textId="77777777" w:rsidR="00A0326D"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Contenido</w:t>
            </w:r>
            <w:r w:rsidR="00E42235">
              <w:rPr>
                <w:rFonts w:ascii="Arial Narrow" w:hAnsi="Arial Narrow"/>
                <w:sz w:val="20"/>
                <w:szCs w:val="20"/>
              </w:rPr>
              <w:t xml:space="preserve"> y valoración</w:t>
            </w:r>
            <w:r w:rsidRPr="008C02F6">
              <w:rPr>
                <w:rFonts w:ascii="Arial Narrow" w:hAnsi="Arial Narrow"/>
                <w:sz w:val="20"/>
                <w:szCs w:val="20"/>
              </w:rPr>
              <w:t xml:space="preserve"> del CN: instalaciones, bienes </w:t>
            </w:r>
          </w:p>
          <w:p w14:paraId="20645ECA"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inventariables y no inventariables, fondo de comercio, etc.</w:t>
            </w:r>
          </w:p>
        </w:tc>
        <w:tc>
          <w:tcPr>
            <w:tcW w:w="2268" w:type="dxa"/>
            <w:tcBorders>
              <w:bottom w:val="single" w:sz="2" w:space="0" w:color="auto"/>
            </w:tcBorders>
            <w:vAlign w:val="center"/>
          </w:tcPr>
          <w:p w14:paraId="45952873" w14:textId="77777777" w:rsidR="00532457" w:rsidRPr="002F6E3F" w:rsidRDefault="002F6E3F" w:rsidP="00850879">
            <w:pPr>
              <w:pStyle w:val="texto"/>
              <w:spacing w:after="0"/>
              <w:ind w:firstLine="0"/>
              <w:jc w:val="right"/>
              <w:rPr>
                <w:rFonts w:ascii="Arial Narrow" w:hAnsi="Arial Narrow"/>
                <w:sz w:val="20"/>
                <w:szCs w:val="20"/>
              </w:rPr>
            </w:pPr>
            <w:r w:rsidRPr="002F6E3F">
              <w:rPr>
                <w:rFonts w:ascii="Arial Narrow" w:hAnsi="Arial Narrow"/>
                <w:sz w:val="20"/>
                <w:szCs w:val="20"/>
              </w:rPr>
              <w:t xml:space="preserve"> Cumplida parcialmente</w:t>
            </w:r>
          </w:p>
        </w:tc>
      </w:tr>
      <w:tr w:rsidR="00532457" w14:paraId="53BC8AB3" w14:textId="77777777" w:rsidTr="00D240DE">
        <w:trPr>
          <w:trHeight w:val="198"/>
          <w:jc w:val="center"/>
        </w:trPr>
        <w:tc>
          <w:tcPr>
            <w:tcW w:w="993" w:type="dxa"/>
            <w:tcBorders>
              <w:top w:val="single" w:sz="2" w:space="0" w:color="auto"/>
              <w:bottom w:val="single" w:sz="2" w:space="0" w:color="auto"/>
            </w:tcBorders>
            <w:vAlign w:val="center"/>
          </w:tcPr>
          <w:p w14:paraId="050B259E"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4ª</w:t>
            </w:r>
          </w:p>
        </w:tc>
        <w:tc>
          <w:tcPr>
            <w:tcW w:w="5244" w:type="dxa"/>
            <w:tcBorders>
              <w:top w:val="single" w:sz="2" w:space="0" w:color="auto"/>
              <w:bottom w:val="single" w:sz="2" w:space="0" w:color="auto"/>
            </w:tcBorders>
            <w:vAlign w:val="center"/>
          </w:tcPr>
          <w:p w14:paraId="17AECFDB"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Duración del contrato</w:t>
            </w:r>
          </w:p>
        </w:tc>
        <w:tc>
          <w:tcPr>
            <w:tcW w:w="2268" w:type="dxa"/>
            <w:tcBorders>
              <w:top w:val="single" w:sz="2" w:space="0" w:color="auto"/>
              <w:bottom w:val="single" w:sz="2" w:space="0" w:color="auto"/>
            </w:tcBorders>
            <w:vAlign w:val="center"/>
          </w:tcPr>
          <w:p w14:paraId="2868B38A"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149B59F5" w14:textId="77777777" w:rsidTr="00D240DE">
        <w:trPr>
          <w:trHeight w:val="198"/>
          <w:jc w:val="center"/>
        </w:trPr>
        <w:tc>
          <w:tcPr>
            <w:tcW w:w="993" w:type="dxa"/>
            <w:tcBorders>
              <w:top w:val="single" w:sz="2" w:space="0" w:color="auto"/>
              <w:bottom w:val="single" w:sz="2" w:space="0" w:color="auto"/>
            </w:tcBorders>
            <w:vAlign w:val="center"/>
          </w:tcPr>
          <w:p w14:paraId="0321DF81"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5ª</w:t>
            </w:r>
          </w:p>
        </w:tc>
        <w:tc>
          <w:tcPr>
            <w:tcW w:w="5244" w:type="dxa"/>
            <w:tcBorders>
              <w:top w:val="single" w:sz="2" w:space="0" w:color="auto"/>
              <w:bottom w:val="single" w:sz="2" w:space="0" w:color="auto"/>
            </w:tcBorders>
            <w:vAlign w:val="center"/>
          </w:tcPr>
          <w:p w14:paraId="45880F9C"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Renta del arrendamiento: importe, IVA, pagos, etc.</w:t>
            </w:r>
          </w:p>
        </w:tc>
        <w:tc>
          <w:tcPr>
            <w:tcW w:w="2268" w:type="dxa"/>
            <w:tcBorders>
              <w:top w:val="single" w:sz="2" w:space="0" w:color="auto"/>
              <w:bottom w:val="single" w:sz="2" w:space="0" w:color="auto"/>
            </w:tcBorders>
            <w:vAlign w:val="center"/>
          </w:tcPr>
          <w:p w14:paraId="0FCBB2E9"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 parcialmente</w:t>
            </w:r>
          </w:p>
        </w:tc>
      </w:tr>
      <w:tr w:rsidR="00532457" w14:paraId="1206E2D5" w14:textId="77777777" w:rsidTr="00D240DE">
        <w:trPr>
          <w:trHeight w:val="198"/>
          <w:jc w:val="center"/>
        </w:trPr>
        <w:tc>
          <w:tcPr>
            <w:tcW w:w="993" w:type="dxa"/>
            <w:tcBorders>
              <w:top w:val="single" w:sz="2" w:space="0" w:color="auto"/>
              <w:bottom w:val="single" w:sz="2" w:space="0" w:color="auto"/>
            </w:tcBorders>
            <w:vAlign w:val="center"/>
          </w:tcPr>
          <w:p w14:paraId="26D6C028"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6ª</w:t>
            </w:r>
          </w:p>
        </w:tc>
        <w:tc>
          <w:tcPr>
            <w:tcW w:w="5244" w:type="dxa"/>
            <w:tcBorders>
              <w:top w:val="single" w:sz="2" w:space="0" w:color="auto"/>
              <w:bottom w:val="single" w:sz="2" w:space="0" w:color="auto"/>
            </w:tcBorders>
            <w:vAlign w:val="center"/>
          </w:tcPr>
          <w:p w14:paraId="17968232"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Inversiones en el CN, nuevas obras y Comisión Técnica</w:t>
            </w:r>
          </w:p>
        </w:tc>
        <w:tc>
          <w:tcPr>
            <w:tcW w:w="2268" w:type="dxa"/>
            <w:tcBorders>
              <w:top w:val="single" w:sz="2" w:space="0" w:color="auto"/>
              <w:bottom w:val="single" w:sz="2" w:space="0" w:color="auto"/>
            </w:tcBorders>
            <w:vAlign w:val="center"/>
          </w:tcPr>
          <w:p w14:paraId="040D6C7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62B1EBF4" w14:textId="77777777" w:rsidTr="00D240DE">
        <w:trPr>
          <w:trHeight w:val="198"/>
          <w:jc w:val="center"/>
        </w:trPr>
        <w:tc>
          <w:tcPr>
            <w:tcW w:w="993" w:type="dxa"/>
            <w:tcBorders>
              <w:top w:val="single" w:sz="2" w:space="0" w:color="auto"/>
              <w:bottom w:val="single" w:sz="2" w:space="0" w:color="auto"/>
            </w:tcBorders>
            <w:vAlign w:val="center"/>
          </w:tcPr>
          <w:p w14:paraId="2D38B170"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7ª</w:t>
            </w:r>
          </w:p>
        </w:tc>
        <w:tc>
          <w:tcPr>
            <w:tcW w:w="5244" w:type="dxa"/>
            <w:tcBorders>
              <w:top w:val="single" w:sz="2" w:space="0" w:color="auto"/>
              <w:bottom w:val="single" w:sz="2" w:space="0" w:color="auto"/>
            </w:tcBorders>
            <w:vAlign w:val="center"/>
          </w:tcPr>
          <w:p w14:paraId="72FBE808"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Mantenimiento del CN</w:t>
            </w:r>
          </w:p>
        </w:tc>
        <w:tc>
          <w:tcPr>
            <w:tcW w:w="2268" w:type="dxa"/>
            <w:tcBorders>
              <w:top w:val="single" w:sz="2" w:space="0" w:color="auto"/>
              <w:bottom w:val="single" w:sz="2" w:space="0" w:color="auto"/>
            </w:tcBorders>
            <w:vAlign w:val="center"/>
          </w:tcPr>
          <w:p w14:paraId="45016CA6" w14:textId="77777777" w:rsidR="00532457" w:rsidRPr="008C02F6" w:rsidRDefault="00E42235" w:rsidP="00850879">
            <w:pPr>
              <w:pStyle w:val="texto"/>
              <w:spacing w:after="0"/>
              <w:ind w:firstLine="0"/>
              <w:jc w:val="right"/>
              <w:rPr>
                <w:rFonts w:ascii="Arial Narrow" w:hAnsi="Arial Narrow"/>
                <w:sz w:val="20"/>
                <w:szCs w:val="20"/>
              </w:rPr>
            </w:pPr>
            <w:r>
              <w:rPr>
                <w:rFonts w:ascii="Arial Narrow" w:hAnsi="Arial Narrow"/>
                <w:sz w:val="20"/>
                <w:szCs w:val="20"/>
              </w:rPr>
              <w:t>Incumplida</w:t>
            </w:r>
          </w:p>
        </w:tc>
      </w:tr>
      <w:tr w:rsidR="00532457" w14:paraId="1754BBB9" w14:textId="77777777" w:rsidTr="00D240DE">
        <w:trPr>
          <w:trHeight w:val="198"/>
          <w:jc w:val="center"/>
        </w:trPr>
        <w:tc>
          <w:tcPr>
            <w:tcW w:w="993" w:type="dxa"/>
            <w:tcBorders>
              <w:top w:val="single" w:sz="2" w:space="0" w:color="auto"/>
              <w:bottom w:val="single" w:sz="2" w:space="0" w:color="auto"/>
            </w:tcBorders>
            <w:vAlign w:val="center"/>
          </w:tcPr>
          <w:p w14:paraId="5EB5CCB3"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8ª</w:t>
            </w:r>
          </w:p>
        </w:tc>
        <w:tc>
          <w:tcPr>
            <w:tcW w:w="5244" w:type="dxa"/>
            <w:tcBorders>
              <w:top w:val="single" w:sz="2" w:space="0" w:color="auto"/>
              <w:bottom w:val="single" w:sz="2" w:space="0" w:color="auto"/>
            </w:tcBorders>
            <w:vAlign w:val="center"/>
          </w:tcPr>
          <w:p w14:paraId="7F7ADFCA"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Trabajadores y empleados del CN</w:t>
            </w:r>
          </w:p>
        </w:tc>
        <w:tc>
          <w:tcPr>
            <w:tcW w:w="2268" w:type="dxa"/>
            <w:tcBorders>
              <w:top w:val="single" w:sz="2" w:space="0" w:color="auto"/>
              <w:bottom w:val="single" w:sz="2" w:space="0" w:color="auto"/>
            </w:tcBorders>
            <w:vAlign w:val="center"/>
          </w:tcPr>
          <w:p w14:paraId="27E856C0" w14:textId="77777777" w:rsidR="00532457" w:rsidRPr="008C02F6" w:rsidRDefault="00205444" w:rsidP="00850879">
            <w:pPr>
              <w:pStyle w:val="texto"/>
              <w:spacing w:after="0"/>
              <w:ind w:firstLine="0"/>
              <w:jc w:val="right"/>
              <w:rPr>
                <w:rFonts w:ascii="Arial Narrow" w:hAnsi="Arial Narrow"/>
                <w:sz w:val="20"/>
                <w:szCs w:val="20"/>
              </w:rPr>
            </w:pPr>
            <w:r>
              <w:rPr>
                <w:rFonts w:ascii="Arial Narrow" w:hAnsi="Arial Narrow"/>
                <w:sz w:val="20"/>
                <w:szCs w:val="20"/>
              </w:rPr>
              <w:t>C</w:t>
            </w:r>
            <w:r w:rsidR="00532457">
              <w:rPr>
                <w:rFonts w:ascii="Arial Narrow" w:hAnsi="Arial Narrow"/>
                <w:sz w:val="20"/>
                <w:szCs w:val="20"/>
              </w:rPr>
              <w:t>umplida</w:t>
            </w:r>
            <w:r>
              <w:rPr>
                <w:rFonts w:ascii="Arial Narrow" w:hAnsi="Arial Narrow"/>
                <w:sz w:val="20"/>
                <w:szCs w:val="20"/>
              </w:rPr>
              <w:t xml:space="preserve"> parcialmente</w:t>
            </w:r>
          </w:p>
        </w:tc>
      </w:tr>
      <w:tr w:rsidR="00532457" w14:paraId="4428B530" w14:textId="77777777" w:rsidTr="00D240DE">
        <w:trPr>
          <w:trHeight w:val="198"/>
          <w:jc w:val="center"/>
        </w:trPr>
        <w:tc>
          <w:tcPr>
            <w:tcW w:w="993" w:type="dxa"/>
            <w:tcBorders>
              <w:top w:val="single" w:sz="2" w:space="0" w:color="auto"/>
              <w:bottom w:val="single" w:sz="2" w:space="0" w:color="auto"/>
            </w:tcBorders>
            <w:vAlign w:val="center"/>
          </w:tcPr>
          <w:p w14:paraId="28B275FC"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9ª</w:t>
            </w:r>
          </w:p>
        </w:tc>
        <w:tc>
          <w:tcPr>
            <w:tcW w:w="5244" w:type="dxa"/>
            <w:tcBorders>
              <w:top w:val="single" w:sz="2" w:space="0" w:color="auto"/>
              <w:bottom w:val="single" w:sz="2" w:space="0" w:color="auto"/>
            </w:tcBorders>
            <w:vAlign w:val="center"/>
          </w:tcPr>
          <w:p w14:paraId="61650CDA"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Obligaciones laborales, legales y Seguridad Social</w:t>
            </w:r>
          </w:p>
        </w:tc>
        <w:tc>
          <w:tcPr>
            <w:tcW w:w="2268" w:type="dxa"/>
            <w:tcBorders>
              <w:top w:val="single" w:sz="2" w:space="0" w:color="auto"/>
              <w:bottom w:val="single" w:sz="2" w:space="0" w:color="auto"/>
            </w:tcBorders>
            <w:vAlign w:val="center"/>
          </w:tcPr>
          <w:p w14:paraId="7CAAEBE5"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2F6E3F" w:rsidRPr="002F6E3F" w14:paraId="07271BFA" w14:textId="77777777" w:rsidTr="00D240DE">
        <w:trPr>
          <w:trHeight w:val="198"/>
          <w:jc w:val="center"/>
        </w:trPr>
        <w:tc>
          <w:tcPr>
            <w:tcW w:w="993" w:type="dxa"/>
            <w:tcBorders>
              <w:top w:val="single" w:sz="2" w:space="0" w:color="auto"/>
              <w:bottom w:val="single" w:sz="2" w:space="0" w:color="auto"/>
            </w:tcBorders>
            <w:vAlign w:val="center"/>
          </w:tcPr>
          <w:p w14:paraId="68BBDC29" w14:textId="77777777" w:rsidR="00532457" w:rsidRPr="002F6E3F" w:rsidRDefault="00532457" w:rsidP="00850879">
            <w:pPr>
              <w:pStyle w:val="texto"/>
              <w:spacing w:after="0"/>
              <w:ind w:left="-105" w:firstLine="0"/>
              <w:jc w:val="left"/>
              <w:rPr>
                <w:rFonts w:ascii="Arial Narrow" w:hAnsi="Arial Narrow"/>
                <w:sz w:val="20"/>
                <w:szCs w:val="20"/>
              </w:rPr>
            </w:pPr>
            <w:r w:rsidRPr="002F6E3F">
              <w:rPr>
                <w:rFonts w:ascii="Arial Narrow" w:hAnsi="Arial Narrow"/>
                <w:sz w:val="20"/>
                <w:szCs w:val="20"/>
              </w:rPr>
              <w:t>11ª</w:t>
            </w:r>
          </w:p>
        </w:tc>
        <w:tc>
          <w:tcPr>
            <w:tcW w:w="5244" w:type="dxa"/>
            <w:tcBorders>
              <w:top w:val="single" w:sz="2" w:space="0" w:color="auto"/>
              <w:bottom w:val="single" w:sz="2" w:space="0" w:color="auto"/>
            </w:tcBorders>
            <w:vAlign w:val="center"/>
          </w:tcPr>
          <w:p w14:paraId="09F9F60D" w14:textId="77777777" w:rsidR="00532457" w:rsidRPr="002F6E3F" w:rsidRDefault="00532457" w:rsidP="00D240DE">
            <w:pPr>
              <w:pStyle w:val="texto"/>
              <w:spacing w:after="0"/>
              <w:ind w:left="-6" w:firstLine="0"/>
              <w:jc w:val="left"/>
              <w:rPr>
                <w:rFonts w:ascii="Arial Narrow" w:hAnsi="Arial Narrow"/>
                <w:sz w:val="20"/>
                <w:szCs w:val="20"/>
              </w:rPr>
            </w:pPr>
            <w:r w:rsidRPr="002F6E3F">
              <w:rPr>
                <w:rFonts w:ascii="Arial Narrow" w:hAnsi="Arial Narrow"/>
                <w:sz w:val="20"/>
                <w:szCs w:val="20"/>
              </w:rPr>
              <w:t>Derecho de control, Comisión de Control y seguimiento</w:t>
            </w:r>
          </w:p>
        </w:tc>
        <w:tc>
          <w:tcPr>
            <w:tcW w:w="2268" w:type="dxa"/>
            <w:tcBorders>
              <w:top w:val="single" w:sz="2" w:space="0" w:color="auto"/>
              <w:bottom w:val="single" w:sz="2" w:space="0" w:color="auto"/>
            </w:tcBorders>
            <w:vAlign w:val="center"/>
          </w:tcPr>
          <w:p w14:paraId="55610C71" w14:textId="77777777" w:rsidR="00532457" w:rsidRPr="002F6E3F" w:rsidRDefault="00532457" w:rsidP="00850879">
            <w:pPr>
              <w:pStyle w:val="texto"/>
              <w:spacing w:after="0"/>
              <w:ind w:firstLine="0"/>
              <w:jc w:val="right"/>
              <w:rPr>
                <w:rFonts w:ascii="Arial Narrow" w:hAnsi="Arial Narrow"/>
                <w:sz w:val="20"/>
                <w:szCs w:val="20"/>
              </w:rPr>
            </w:pPr>
            <w:r w:rsidRPr="002F6E3F">
              <w:rPr>
                <w:rFonts w:ascii="Arial Narrow" w:hAnsi="Arial Narrow"/>
                <w:sz w:val="20"/>
                <w:szCs w:val="20"/>
              </w:rPr>
              <w:t>Cumplida</w:t>
            </w:r>
          </w:p>
        </w:tc>
      </w:tr>
      <w:tr w:rsidR="00532457" w14:paraId="10DD22EF" w14:textId="77777777" w:rsidTr="00D240DE">
        <w:trPr>
          <w:trHeight w:val="198"/>
          <w:jc w:val="center"/>
        </w:trPr>
        <w:tc>
          <w:tcPr>
            <w:tcW w:w="993" w:type="dxa"/>
            <w:tcBorders>
              <w:top w:val="single" w:sz="2" w:space="0" w:color="auto"/>
              <w:bottom w:val="single" w:sz="2" w:space="0" w:color="auto"/>
            </w:tcBorders>
            <w:vAlign w:val="center"/>
          </w:tcPr>
          <w:p w14:paraId="0268FFE5"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13ª</w:t>
            </w:r>
          </w:p>
        </w:tc>
        <w:tc>
          <w:tcPr>
            <w:tcW w:w="5244" w:type="dxa"/>
            <w:tcBorders>
              <w:top w:val="single" w:sz="2" w:space="0" w:color="auto"/>
              <w:bottom w:val="single" w:sz="2" w:space="0" w:color="auto"/>
            </w:tcBorders>
            <w:vAlign w:val="center"/>
          </w:tcPr>
          <w:p w14:paraId="112D9EE7"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Cuentas anuales de la arrendataria y auditorías</w:t>
            </w:r>
          </w:p>
        </w:tc>
        <w:tc>
          <w:tcPr>
            <w:tcW w:w="2268" w:type="dxa"/>
            <w:tcBorders>
              <w:top w:val="single" w:sz="2" w:space="0" w:color="auto"/>
              <w:bottom w:val="single" w:sz="2" w:space="0" w:color="auto"/>
            </w:tcBorders>
            <w:vAlign w:val="center"/>
          </w:tcPr>
          <w:p w14:paraId="1E35CBEE"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Incumplida</w:t>
            </w:r>
          </w:p>
        </w:tc>
      </w:tr>
      <w:tr w:rsidR="00532457" w14:paraId="03C0CC29" w14:textId="77777777" w:rsidTr="00D240DE">
        <w:trPr>
          <w:trHeight w:val="198"/>
          <w:jc w:val="center"/>
        </w:trPr>
        <w:tc>
          <w:tcPr>
            <w:tcW w:w="993" w:type="dxa"/>
            <w:tcBorders>
              <w:top w:val="single" w:sz="2" w:space="0" w:color="auto"/>
              <w:bottom w:val="single" w:sz="2" w:space="0" w:color="auto"/>
            </w:tcBorders>
            <w:vAlign w:val="center"/>
          </w:tcPr>
          <w:p w14:paraId="0E91EA84"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14ª</w:t>
            </w:r>
          </w:p>
        </w:tc>
        <w:tc>
          <w:tcPr>
            <w:tcW w:w="5244" w:type="dxa"/>
            <w:tcBorders>
              <w:top w:val="single" w:sz="2" w:space="0" w:color="auto"/>
              <w:bottom w:val="single" w:sz="2" w:space="0" w:color="auto"/>
            </w:tcBorders>
            <w:vAlign w:val="center"/>
          </w:tcPr>
          <w:p w14:paraId="0EDE8C91"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 xml:space="preserve">Marcas, propiedad intelectual e industrial </w:t>
            </w:r>
          </w:p>
        </w:tc>
        <w:tc>
          <w:tcPr>
            <w:tcW w:w="2268" w:type="dxa"/>
            <w:tcBorders>
              <w:top w:val="single" w:sz="2" w:space="0" w:color="auto"/>
              <w:bottom w:val="single" w:sz="2" w:space="0" w:color="auto"/>
            </w:tcBorders>
            <w:vAlign w:val="center"/>
          </w:tcPr>
          <w:p w14:paraId="0AC35C83"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55FC4730" w14:textId="77777777" w:rsidTr="00D240DE">
        <w:trPr>
          <w:trHeight w:val="198"/>
          <w:jc w:val="center"/>
        </w:trPr>
        <w:tc>
          <w:tcPr>
            <w:tcW w:w="993" w:type="dxa"/>
            <w:tcBorders>
              <w:top w:val="single" w:sz="2" w:space="0" w:color="auto"/>
              <w:bottom w:val="single" w:sz="2" w:space="0" w:color="auto"/>
            </w:tcBorders>
            <w:vAlign w:val="center"/>
          </w:tcPr>
          <w:p w14:paraId="1664E7B6"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15ª</w:t>
            </w:r>
          </w:p>
        </w:tc>
        <w:tc>
          <w:tcPr>
            <w:tcW w:w="5244" w:type="dxa"/>
            <w:tcBorders>
              <w:top w:val="single" w:sz="2" w:space="0" w:color="auto"/>
              <w:bottom w:val="single" w:sz="2" w:space="0" w:color="auto"/>
            </w:tcBorders>
            <w:vAlign w:val="center"/>
          </w:tcPr>
          <w:p w14:paraId="3819E80A"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Licencias explotación del CN</w:t>
            </w:r>
          </w:p>
        </w:tc>
        <w:tc>
          <w:tcPr>
            <w:tcW w:w="2268" w:type="dxa"/>
            <w:tcBorders>
              <w:top w:val="single" w:sz="2" w:space="0" w:color="auto"/>
              <w:bottom w:val="single" w:sz="2" w:space="0" w:color="auto"/>
            </w:tcBorders>
            <w:vAlign w:val="center"/>
          </w:tcPr>
          <w:p w14:paraId="54E7A6F1"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30C86232" w14:textId="77777777" w:rsidTr="00D240DE">
        <w:trPr>
          <w:trHeight w:val="198"/>
          <w:jc w:val="center"/>
        </w:trPr>
        <w:tc>
          <w:tcPr>
            <w:tcW w:w="993" w:type="dxa"/>
            <w:tcBorders>
              <w:top w:val="single" w:sz="2" w:space="0" w:color="auto"/>
              <w:bottom w:val="single" w:sz="2" w:space="0" w:color="auto"/>
            </w:tcBorders>
            <w:vAlign w:val="center"/>
          </w:tcPr>
          <w:p w14:paraId="4A43DBE5"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16ª</w:t>
            </w:r>
          </w:p>
        </w:tc>
        <w:tc>
          <w:tcPr>
            <w:tcW w:w="5244" w:type="dxa"/>
            <w:tcBorders>
              <w:top w:val="single" w:sz="2" w:space="0" w:color="auto"/>
              <w:bottom w:val="single" w:sz="2" w:space="0" w:color="auto"/>
            </w:tcBorders>
            <w:vAlign w:val="center"/>
          </w:tcPr>
          <w:p w14:paraId="2857C9C4"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Homologación deportiva</w:t>
            </w:r>
          </w:p>
        </w:tc>
        <w:tc>
          <w:tcPr>
            <w:tcW w:w="2268" w:type="dxa"/>
            <w:tcBorders>
              <w:top w:val="single" w:sz="2" w:space="0" w:color="auto"/>
              <w:bottom w:val="single" w:sz="2" w:space="0" w:color="auto"/>
            </w:tcBorders>
            <w:vAlign w:val="center"/>
          </w:tcPr>
          <w:p w14:paraId="4AE43B6B"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60B85376" w14:textId="77777777" w:rsidTr="00D240DE">
        <w:trPr>
          <w:trHeight w:val="198"/>
          <w:jc w:val="center"/>
        </w:trPr>
        <w:tc>
          <w:tcPr>
            <w:tcW w:w="993" w:type="dxa"/>
            <w:tcBorders>
              <w:top w:val="single" w:sz="2" w:space="0" w:color="auto"/>
              <w:bottom w:val="single" w:sz="2" w:space="0" w:color="auto"/>
            </w:tcBorders>
            <w:vAlign w:val="center"/>
          </w:tcPr>
          <w:p w14:paraId="126BE857"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17ª</w:t>
            </w:r>
          </w:p>
        </w:tc>
        <w:tc>
          <w:tcPr>
            <w:tcW w:w="5244" w:type="dxa"/>
            <w:tcBorders>
              <w:top w:val="single" w:sz="2" w:space="0" w:color="auto"/>
              <w:bottom w:val="single" w:sz="2" w:space="0" w:color="auto"/>
            </w:tcBorders>
            <w:vAlign w:val="center"/>
          </w:tcPr>
          <w:p w14:paraId="50BD12B8"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Subarrendamiento</w:t>
            </w:r>
          </w:p>
        </w:tc>
        <w:tc>
          <w:tcPr>
            <w:tcW w:w="2268" w:type="dxa"/>
            <w:tcBorders>
              <w:top w:val="single" w:sz="2" w:space="0" w:color="auto"/>
              <w:bottom w:val="single" w:sz="2" w:space="0" w:color="auto"/>
            </w:tcBorders>
            <w:vAlign w:val="center"/>
          </w:tcPr>
          <w:p w14:paraId="0083F0C5"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6B287CC0" w14:textId="77777777" w:rsidTr="00D240DE">
        <w:trPr>
          <w:trHeight w:val="198"/>
          <w:jc w:val="center"/>
        </w:trPr>
        <w:tc>
          <w:tcPr>
            <w:tcW w:w="993" w:type="dxa"/>
            <w:tcBorders>
              <w:top w:val="single" w:sz="2" w:space="0" w:color="auto"/>
              <w:bottom w:val="single" w:sz="2" w:space="0" w:color="auto"/>
            </w:tcBorders>
            <w:vAlign w:val="center"/>
          </w:tcPr>
          <w:p w14:paraId="1A66C1EB"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18ª</w:t>
            </w:r>
          </w:p>
        </w:tc>
        <w:tc>
          <w:tcPr>
            <w:tcW w:w="5244" w:type="dxa"/>
            <w:tcBorders>
              <w:top w:val="single" w:sz="2" w:space="0" w:color="auto"/>
              <w:bottom w:val="single" w:sz="2" w:space="0" w:color="auto"/>
            </w:tcBorders>
            <w:vAlign w:val="center"/>
          </w:tcPr>
          <w:p w14:paraId="732A1076"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Recuperación de posesión del CN por parte de NICDO</w:t>
            </w:r>
          </w:p>
        </w:tc>
        <w:tc>
          <w:tcPr>
            <w:tcW w:w="2268" w:type="dxa"/>
            <w:tcBorders>
              <w:top w:val="single" w:sz="2" w:space="0" w:color="auto"/>
              <w:bottom w:val="single" w:sz="2" w:space="0" w:color="auto"/>
            </w:tcBorders>
            <w:vAlign w:val="center"/>
          </w:tcPr>
          <w:p w14:paraId="2FC672A2"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61FE4591" w14:textId="77777777" w:rsidTr="00D240DE">
        <w:trPr>
          <w:trHeight w:val="198"/>
          <w:jc w:val="center"/>
        </w:trPr>
        <w:tc>
          <w:tcPr>
            <w:tcW w:w="993" w:type="dxa"/>
            <w:tcBorders>
              <w:top w:val="single" w:sz="2" w:space="0" w:color="auto"/>
              <w:bottom w:val="single" w:sz="2" w:space="0" w:color="auto"/>
            </w:tcBorders>
            <w:vAlign w:val="center"/>
          </w:tcPr>
          <w:p w14:paraId="0B46D208"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19ª</w:t>
            </w:r>
          </w:p>
        </w:tc>
        <w:tc>
          <w:tcPr>
            <w:tcW w:w="5244" w:type="dxa"/>
            <w:tcBorders>
              <w:top w:val="single" w:sz="2" w:space="0" w:color="auto"/>
              <w:bottom w:val="single" w:sz="2" w:space="0" w:color="auto"/>
            </w:tcBorders>
            <w:vAlign w:val="center"/>
          </w:tcPr>
          <w:p w14:paraId="36F42F2F"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Cambios legales durante la duración del contrato</w:t>
            </w:r>
          </w:p>
        </w:tc>
        <w:tc>
          <w:tcPr>
            <w:tcW w:w="2268" w:type="dxa"/>
            <w:tcBorders>
              <w:top w:val="single" w:sz="2" w:space="0" w:color="auto"/>
              <w:bottom w:val="single" w:sz="2" w:space="0" w:color="auto"/>
            </w:tcBorders>
            <w:vAlign w:val="center"/>
          </w:tcPr>
          <w:p w14:paraId="50C2F35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7A9C3F36" w14:textId="77777777" w:rsidTr="00D240DE">
        <w:trPr>
          <w:trHeight w:val="198"/>
          <w:jc w:val="center"/>
        </w:trPr>
        <w:tc>
          <w:tcPr>
            <w:tcW w:w="993" w:type="dxa"/>
            <w:tcBorders>
              <w:top w:val="single" w:sz="2" w:space="0" w:color="auto"/>
              <w:bottom w:val="single" w:sz="2" w:space="0" w:color="auto"/>
            </w:tcBorders>
            <w:vAlign w:val="center"/>
          </w:tcPr>
          <w:p w14:paraId="72BFBA44"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20ª</w:t>
            </w:r>
          </w:p>
        </w:tc>
        <w:tc>
          <w:tcPr>
            <w:tcW w:w="5244" w:type="dxa"/>
            <w:tcBorders>
              <w:top w:val="single" w:sz="2" w:space="0" w:color="auto"/>
              <w:bottom w:val="single" w:sz="2" w:space="0" w:color="auto"/>
            </w:tcBorders>
            <w:vAlign w:val="center"/>
          </w:tcPr>
          <w:p w14:paraId="4059C6CD"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Seguros relacionados con la explotación del CN</w:t>
            </w:r>
          </w:p>
        </w:tc>
        <w:tc>
          <w:tcPr>
            <w:tcW w:w="2268" w:type="dxa"/>
            <w:tcBorders>
              <w:top w:val="single" w:sz="2" w:space="0" w:color="auto"/>
              <w:bottom w:val="single" w:sz="2" w:space="0" w:color="auto"/>
            </w:tcBorders>
            <w:vAlign w:val="center"/>
          </w:tcPr>
          <w:p w14:paraId="4F2C894D"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3C5F45BB" w14:textId="77777777" w:rsidTr="00D240DE">
        <w:trPr>
          <w:trHeight w:val="198"/>
          <w:jc w:val="center"/>
        </w:trPr>
        <w:tc>
          <w:tcPr>
            <w:tcW w:w="993" w:type="dxa"/>
            <w:tcBorders>
              <w:top w:val="single" w:sz="2" w:space="0" w:color="auto"/>
              <w:bottom w:val="single" w:sz="2" w:space="0" w:color="auto"/>
            </w:tcBorders>
            <w:vAlign w:val="center"/>
          </w:tcPr>
          <w:p w14:paraId="5731FE91"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21ª</w:t>
            </w:r>
          </w:p>
        </w:tc>
        <w:tc>
          <w:tcPr>
            <w:tcW w:w="5244" w:type="dxa"/>
            <w:tcBorders>
              <w:top w:val="single" w:sz="2" w:space="0" w:color="auto"/>
              <w:bottom w:val="single" w:sz="2" w:space="0" w:color="auto"/>
            </w:tcBorders>
            <w:vAlign w:val="center"/>
          </w:tcPr>
          <w:p w14:paraId="33FFD592"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Impuestos y tasas relacionadas con la explotación del CN</w:t>
            </w:r>
          </w:p>
        </w:tc>
        <w:tc>
          <w:tcPr>
            <w:tcW w:w="2268" w:type="dxa"/>
            <w:tcBorders>
              <w:top w:val="single" w:sz="2" w:space="0" w:color="auto"/>
              <w:bottom w:val="single" w:sz="2" w:space="0" w:color="auto"/>
            </w:tcBorders>
            <w:vAlign w:val="center"/>
          </w:tcPr>
          <w:p w14:paraId="78B1142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Incumplida</w:t>
            </w:r>
          </w:p>
        </w:tc>
      </w:tr>
      <w:tr w:rsidR="00532457" w14:paraId="1FE16526" w14:textId="77777777" w:rsidTr="00D240DE">
        <w:trPr>
          <w:trHeight w:val="198"/>
          <w:jc w:val="center"/>
        </w:trPr>
        <w:tc>
          <w:tcPr>
            <w:tcW w:w="993" w:type="dxa"/>
            <w:tcBorders>
              <w:top w:val="single" w:sz="2" w:space="0" w:color="auto"/>
              <w:bottom w:val="single" w:sz="2" w:space="0" w:color="auto"/>
            </w:tcBorders>
            <w:vAlign w:val="center"/>
          </w:tcPr>
          <w:p w14:paraId="2E02F2DF" w14:textId="77777777" w:rsidR="00532457" w:rsidRPr="008C02F6" w:rsidRDefault="00532457" w:rsidP="00850879">
            <w:pPr>
              <w:pStyle w:val="texto"/>
              <w:spacing w:after="0"/>
              <w:ind w:left="-105" w:firstLine="0"/>
              <w:jc w:val="left"/>
              <w:rPr>
                <w:rFonts w:ascii="Arial Narrow" w:hAnsi="Arial Narrow"/>
                <w:sz w:val="20"/>
                <w:szCs w:val="20"/>
              </w:rPr>
            </w:pPr>
            <w:r>
              <w:rPr>
                <w:rFonts w:ascii="Arial Narrow" w:hAnsi="Arial Narrow"/>
                <w:sz w:val="20"/>
                <w:szCs w:val="20"/>
              </w:rPr>
              <w:t>22ª</w:t>
            </w:r>
          </w:p>
        </w:tc>
        <w:tc>
          <w:tcPr>
            <w:tcW w:w="5244" w:type="dxa"/>
            <w:tcBorders>
              <w:top w:val="single" w:sz="2" w:space="0" w:color="auto"/>
              <w:bottom w:val="single" w:sz="2" w:space="0" w:color="auto"/>
            </w:tcBorders>
            <w:vAlign w:val="center"/>
          </w:tcPr>
          <w:p w14:paraId="422C29FB" w14:textId="77777777" w:rsidR="00532457" w:rsidRPr="008C02F6" w:rsidRDefault="00532457" w:rsidP="00D240DE">
            <w:pPr>
              <w:pStyle w:val="texto"/>
              <w:spacing w:after="0"/>
              <w:ind w:left="-6" w:firstLine="0"/>
              <w:jc w:val="left"/>
              <w:rPr>
                <w:rFonts w:ascii="Arial Narrow" w:hAnsi="Arial Narrow"/>
                <w:sz w:val="20"/>
                <w:szCs w:val="20"/>
              </w:rPr>
            </w:pPr>
            <w:r>
              <w:rPr>
                <w:rFonts w:ascii="Arial Narrow" w:hAnsi="Arial Narrow"/>
                <w:sz w:val="20"/>
                <w:szCs w:val="20"/>
              </w:rPr>
              <w:t>Obligaciones de la empresa arrendataria</w:t>
            </w:r>
          </w:p>
        </w:tc>
        <w:tc>
          <w:tcPr>
            <w:tcW w:w="2268" w:type="dxa"/>
            <w:tcBorders>
              <w:top w:val="single" w:sz="2" w:space="0" w:color="auto"/>
              <w:bottom w:val="single" w:sz="2" w:space="0" w:color="auto"/>
            </w:tcBorders>
            <w:vAlign w:val="center"/>
          </w:tcPr>
          <w:p w14:paraId="33535B46" w14:textId="77777777" w:rsidR="00532457"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 parcialmente</w:t>
            </w:r>
          </w:p>
        </w:tc>
      </w:tr>
      <w:tr w:rsidR="00532457" w14:paraId="5731F192" w14:textId="77777777" w:rsidTr="00D240DE">
        <w:trPr>
          <w:trHeight w:val="198"/>
          <w:jc w:val="center"/>
        </w:trPr>
        <w:tc>
          <w:tcPr>
            <w:tcW w:w="993" w:type="dxa"/>
            <w:tcBorders>
              <w:top w:val="single" w:sz="2" w:space="0" w:color="auto"/>
              <w:bottom w:val="single" w:sz="2" w:space="0" w:color="auto"/>
            </w:tcBorders>
            <w:vAlign w:val="center"/>
          </w:tcPr>
          <w:p w14:paraId="24F218AE"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25ª</w:t>
            </w:r>
          </w:p>
        </w:tc>
        <w:tc>
          <w:tcPr>
            <w:tcW w:w="5244" w:type="dxa"/>
            <w:tcBorders>
              <w:top w:val="single" w:sz="2" w:space="0" w:color="auto"/>
              <w:bottom w:val="single" w:sz="2" w:space="0" w:color="auto"/>
            </w:tcBorders>
            <w:vAlign w:val="center"/>
          </w:tcPr>
          <w:p w14:paraId="76A995B0"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Pruebas comprometidas para celebrar en el CN</w:t>
            </w:r>
          </w:p>
        </w:tc>
        <w:tc>
          <w:tcPr>
            <w:tcW w:w="2268" w:type="dxa"/>
            <w:tcBorders>
              <w:top w:val="single" w:sz="2" w:space="0" w:color="auto"/>
              <w:bottom w:val="single" w:sz="2" w:space="0" w:color="auto"/>
            </w:tcBorders>
            <w:vAlign w:val="center"/>
          </w:tcPr>
          <w:p w14:paraId="62E06FE8"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r w:rsidR="00532457" w14:paraId="2B42AE39" w14:textId="77777777" w:rsidTr="00D240DE">
        <w:trPr>
          <w:trHeight w:val="198"/>
          <w:jc w:val="center"/>
        </w:trPr>
        <w:tc>
          <w:tcPr>
            <w:tcW w:w="993" w:type="dxa"/>
            <w:tcBorders>
              <w:top w:val="single" w:sz="2" w:space="0" w:color="auto"/>
              <w:bottom w:val="single" w:sz="4" w:space="0" w:color="auto"/>
            </w:tcBorders>
            <w:vAlign w:val="center"/>
          </w:tcPr>
          <w:p w14:paraId="320D4329" w14:textId="77777777" w:rsidR="00532457" w:rsidRPr="008C02F6" w:rsidRDefault="00532457" w:rsidP="00850879">
            <w:pPr>
              <w:pStyle w:val="texto"/>
              <w:spacing w:after="0"/>
              <w:ind w:left="-105" w:firstLine="0"/>
              <w:jc w:val="left"/>
              <w:rPr>
                <w:rFonts w:ascii="Arial Narrow" w:hAnsi="Arial Narrow"/>
                <w:sz w:val="20"/>
                <w:szCs w:val="20"/>
              </w:rPr>
            </w:pPr>
            <w:r w:rsidRPr="008C02F6">
              <w:rPr>
                <w:rFonts w:ascii="Arial Narrow" w:hAnsi="Arial Narrow"/>
                <w:sz w:val="20"/>
                <w:szCs w:val="20"/>
              </w:rPr>
              <w:t>30ª</w:t>
            </w:r>
          </w:p>
        </w:tc>
        <w:tc>
          <w:tcPr>
            <w:tcW w:w="5244" w:type="dxa"/>
            <w:tcBorders>
              <w:top w:val="single" w:sz="2" w:space="0" w:color="auto"/>
              <w:bottom w:val="single" w:sz="4" w:space="0" w:color="auto"/>
            </w:tcBorders>
            <w:vAlign w:val="center"/>
          </w:tcPr>
          <w:p w14:paraId="41D63C8F" w14:textId="77777777" w:rsidR="00532457" w:rsidRPr="008C02F6" w:rsidRDefault="00532457" w:rsidP="00D240DE">
            <w:pPr>
              <w:pStyle w:val="texto"/>
              <w:spacing w:after="0"/>
              <w:ind w:left="-6" w:firstLine="0"/>
              <w:jc w:val="left"/>
              <w:rPr>
                <w:rFonts w:ascii="Arial Narrow" w:hAnsi="Arial Narrow"/>
                <w:sz w:val="20"/>
                <w:szCs w:val="20"/>
              </w:rPr>
            </w:pPr>
            <w:r w:rsidRPr="008C02F6">
              <w:rPr>
                <w:rFonts w:ascii="Arial Narrow" w:hAnsi="Arial Narrow"/>
                <w:sz w:val="20"/>
                <w:szCs w:val="20"/>
              </w:rPr>
              <w:t>Aval para garantizar el cumplimiento del contrato</w:t>
            </w:r>
          </w:p>
        </w:tc>
        <w:tc>
          <w:tcPr>
            <w:tcW w:w="2268" w:type="dxa"/>
            <w:tcBorders>
              <w:top w:val="single" w:sz="2" w:space="0" w:color="auto"/>
              <w:bottom w:val="single" w:sz="4" w:space="0" w:color="auto"/>
            </w:tcBorders>
            <w:vAlign w:val="center"/>
          </w:tcPr>
          <w:p w14:paraId="52DE0A6C" w14:textId="77777777" w:rsidR="00532457" w:rsidRPr="008C02F6" w:rsidRDefault="00532457" w:rsidP="00850879">
            <w:pPr>
              <w:pStyle w:val="texto"/>
              <w:spacing w:after="0"/>
              <w:ind w:firstLine="0"/>
              <w:jc w:val="right"/>
              <w:rPr>
                <w:rFonts w:ascii="Arial Narrow" w:hAnsi="Arial Narrow"/>
                <w:sz w:val="20"/>
                <w:szCs w:val="20"/>
              </w:rPr>
            </w:pPr>
            <w:r>
              <w:rPr>
                <w:rFonts w:ascii="Arial Narrow" w:hAnsi="Arial Narrow"/>
                <w:sz w:val="20"/>
                <w:szCs w:val="20"/>
              </w:rPr>
              <w:t>Cumplida</w:t>
            </w:r>
          </w:p>
        </w:tc>
      </w:tr>
    </w:tbl>
    <w:p w14:paraId="38228425" w14:textId="77777777" w:rsidR="00D521AC" w:rsidRDefault="00E42235" w:rsidP="00E42235">
      <w:pPr>
        <w:pStyle w:val="texto"/>
        <w:spacing w:before="120" w:after="120"/>
        <w:rPr>
          <w:szCs w:val="26"/>
        </w:rPr>
      </w:pPr>
      <w:r>
        <w:rPr>
          <w:szCs w:val="26"/>
        </w:rPr>
        <w:t xml:space="preserve">Del análisis del cuadro anterior podemos concluir </w:t>
      </w:r>
      <w:r w:rsidRPr="00A76CD2">
        <w:rPr>
          <w:szCs w:val="26"/>
        </w:rPr>
        <w:t xml:space="preserve">que 13 cláusulas se cumplieron, </w:t>
      </w:r>
      <w:r w:rsidR="00205444" w:rsidRPr="00A76CD2">
        <w:rPr>
          <w:szCs w:val="26"/>
        </w:rPr>
        <w:t xml:space="preserve">cuatro lo hicieron parcialmente y </w:t>
      </w:r>
      <w:r w:rsidR="001B06DD" w:rsidRPr="00A76CD2">
        <w:rPr>
          <w:szCs w:val="26"/>
        </w:rPr>
        <w:t>los tres restantes</w:t>
      </w:r>
      <w:r w:rsidRPr="00A76CD2">
        <w:rPr>
          <w:szCs w:val="26"/>
        </w:rPr>
        <w:t xml:space="preserve"> se incumplieron. A conti</w:t>
      </w:r>
      <w:r>
        <w:rPr>
          <w:szCs w:val="26"/>
        </w:rPr>
        <w:t>nuación, describimos el detalle de estos cumplimientos parciales o incumplimientos:</w:t>
      </w:r>
    </w:p>
    <w:p w14:paraId="1F344534" w14:textId="77777777" w:rsidR="00E42235"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 xml:space="preserve">La cláusula 3ª se incumple al no estar valorados económicamente los bienes catalogados como categoría 2 en el plazo indicado; si bien esta valoración se </w:t>
      </w:r>
      <w:r>
        <w:rPr>
          <w:szCs w:val="26"/>
        </w:rPr>
        <w:lastRenderedPageBreak/>
        <w:t xml:space="preserve">acaba realizando, los pagos que debía realizar la empresa arrendataria a NICDO se realizan también con retraso. </w:t>
      </w:r>
    </w:p>
    <w:p w14:paraId="334F937D" w14:textId="22057F94" w:rsidR="00E42235"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La cláusula 5ª se cumple parcialmente dado que la empresa arrendataria siempre acaba abonando la renta, pero en 26 de 33 pagos incurre en retrasos respecto a los plazos establecidos</w:t>
      </w:r>
      <w:r w:rsidRPr="002952DB">
        <w:rPr>
          <w:szCs w:val="26"/>
        </w:rPr>
        <w:t>.</w:t>
      </w:r>
      <w:r w:rsidR="003E43DB">
        <w:rPr>
          <w:szCs w:val="26"/>
        </w:rPr>
        <w:t xml:space="preserve"> </w:t>
      </w:r>
    </w:p>
    <w:p w14:paraId="0ED9F3B6" w14:textId="77777777" w:rsidR="00224154" w:rsidRDefault="00E42235"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 xml:space="preserve">Respecto a la cláusula 7ª señalamos que se </w:t>
      </w:r>
      <w:r w:rsidR="00C9010E">
        <w:rPr>
          <w:szCs w:val="26"/>
        </w:rPr>
        <w:t>consensuó</w:t>
      </w:r>
      <w:r>
        <w:rPr>
          <w:szCs w:val="26"/>
        </w:rPr>
        <w:t xml:space="preserve"> un plan de mantenimiento anual al cual la Comisión Técnica </w:t>
      </w:r>
      <w:r w:rsidR="00C9010E">
        <w:rPr>
          <w:szCs w:val="26"/>
        </w:rPr>
        <w:t>valoró su cumplimiento por parte de la empresa arrendataria en</w:t>
      </w:r>
      <w:r>
        <w:rPr>
          <w:szCs w:val="26"/>
        </w:rPr>
        <w:t xml:space="preserve"> los años 2015 y 2016</w:t>
      </w:r>
      <w:r w:rsidR="002F6E3F">
        <w:rPr>
          <w:szCs w:val="26"/>
        </w:rPr>
        <w:t>.</w:t>
      </w:r>
    </w:p>
    <w:p w14:paraId="5A6743AA" w14:textId="77777777" w:rsidR="00224154" w:rsidRDefault="00224154" w:rsidP="00750C68">
      <w:pPr>
        <w:pStyle w:val="texto"/>
        <w:tabs>
          <w:tab w:val="clear" w:pos="2835"/>
          <w:tab w:val="clear" w:pos="3969"/>
          <w:tab w:val="clear" w:pos="5103"/>
          <w:tab w:val="clear" w:pos="6237"/>
          <w:tab w:val="clear" w:pos="7371"/>
        </w:tabs>
        <w:spacing w:before="120" w:after="120"/>
        <w:rPr>
          <w:szCs w:val="26"/>
        </w:rPr>
      </w:pPr>
      <w:r>
        <w:rPr>
          <w:szCs w:val="26"/>
        </w:rPr>
        <w:t>Sobre los años 2017, 2018 y 2019 no hay constancia de la conformidad al cumplimiento del plan por parte de la Comisión Técnica.</w:t>
      </w:r>
    </w:p>
    <w:p w14:paraId="469BB397" w14:textId="77777777" w:rsidR="00E42235" w:rsidRDefault="00224154" w:rsidP="00750C68">
      <w:pPr>
        <w:pStyle w:val="texto"/>
        <w:tabs>
          <w:tab w:val="clear" w:pos="2835"/>
          <w:tab w:val="clear" w:pos="3969"/>
          <w:tab w:val="clear" w:pos="5103"/>
          <w:tab w:val="clear" w:pos="6237"/>
          <w:tab w:val="clear" w:pos="7371"/>
        </w:tabs>
        <w:spacing w:before="120" w:after="120"/>
        <w:rPr>
          <w:szCs w:val="26"/>
        </w:rPr>
      </w:pPr>
      <w:r>
        <w:rPr>
          <w:szCs w:val="26"/>
        </w:rPr>
        <w:t xml:space="preserve">En el caso del </w:t>
      </w:r>
      <w:r w:rsidR="002F6E3F">
        <w:rPr>
          <w:szCs w:val="26"/>
        </w:rPr>
        <w:t xml:space="preserve">plan </w:t>
      </w:r>
      <w:r>
        <w:rPr>
          <w:szCs w:val="26"/>
        </w:rPr>
        <w:t>referido a 2017</w:t>
      </w:r>
      <w:r w:rsidR="002F6E3F">
        <w:rPr>
          <w:szCs w:val="26"/>
        </w:rPr>
        <w:t>,</w:t>
      </w:r>
      <w:r>
        <w:rPr>
          <w:szCs w:val="26"/>
        </w:rPr>
        <w:t xml:space="preserve"> no constan diversos certificados relacionados con varios aspectos como los compresores o la climatización. En cuanto al plan de 2018</w:t>
      </w:r>
      <w:r w:rsidR="002F6E3F">
        <w:rPr>
          <w:szCs w:val="26"/>
        </w:rPr>
        <w:t>,</w:t>
      </w:r>
      <w:r>
        <w:rPr>
          <w:szCs w:val="26"/>
        </w:rPr>
        <w:t xml:space="preserve"> no constan los certificados de revisiones técnico-legales. En relación con el plan de 2019</w:t>
      </w:r>
      <w:r w:rsidR="002F6E3F">
        <w:rPr>
          <w:szCs w:val="26"/>
        </w:rPr>
        <w:t>,</w:t>
      </w:r>
      <w:r>
        <w:rPr>
          <w:szCs w:val="26"/>
        </w:rPr>
        <w:t xml:space="preserve"> tampoco consta documentación de certificación técnico-legal de revisiones y mantenimiento. </w:t>
      </w:r>
    </w:p>
    <w:p w14:paraId="5E4571BC" w14:textId="77777777" w:rsidR="00224154" w:rsidRDefault="00224154" w:rsidP="00750C68">
      <w:pPr>
        <w:pStyle w:val="texto"/>
        <w:tabs>
          <w:tab w:val="clear" w:pos="2835"/>
          <w:tab w:val="clear" w:pos="3969"/>
          <w:tab w:val="clear" w:pos="5103"/>
          <w:tab w:val="clear" w:pos="6237"/>
          <w:tab w:val="clear" w:pos="7371"/>
        </w:tabs>
        <w:spacing w:before="120" w:after="120"/>
        <w:rPr>
          <w:szCs w:val="26"/>
        </w:rPr>
      </w:pPr>
      <w:r>
        <w:rPr>
          <w:szCs w:val="26"/>
        </w:rPr>
        <w:t>En resumen, a partir de 2017 se pusieron de manifiesto problemas en cuanto al cumplimiento de las obligaciones de mantenimiento por parte de la empresa arrendataria que supus</w:t>
      </w:r>
      <w:r w:rsidR="007A1436">
        <w:rPr>
          <w:szCs w:val="26"/>
        </w:rPr>
        <w:t>ieron</w:t>
      </w:r>
      <w:r>
        <w:rPr>
          <w:szCs w:val="26"/>
        </w:rPr>
        <w:t xml:space="preserve"> que</w:t>
      </w:r>
      <w:r w:rsidR="0098265B">
        <w:rPr>
          <w:szCs w:val="26"/>
        </w:rPr>
        <w:t xml:space="preserve"> la Comisión Técnica</w:t>
      </w:r>
      <w:r>
        <w:rPr>
          <w:szCs w:val="26"/>
        </w:rPr>
        <w:t xml:space="preserve"> no</w:t>
      </w:r>
      <w:r w:rsidR="0098265B">
        <w:rPr>
          <w:szCs w:val="26"/>
        </w:rPr>
        <w:t xml:space="preserve"> </w:t>
      </w:r>
      <w:r>
        <w:rPr>
          <w:szCs w:val="26"/>
        </w:rPr>
        <w:t>diera la conformidad a la ejecución del plan de mantenimiento del periodo 2017-2019.</w:t>
      </w:r>
    </w:p>
    <w:p w14:paraId="292916E2"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La cláusula 8ª establecía la obligación de subrogac</w:t>
      </w:r>
      <w:r w:rsidR="007A1436">
        <w:rPr>
          <w:szCs w:val="26"/>
        </w:rPr>
        <w:t>ión del personal que conformaba</w:t>
      </w:r>
      <w:r>
        <w:rPr>
          <w:szCs w:val="26"/>
        </w:rPr>
        <w:t xml:space="preserve"> la plantilla del CN en las mismas condiciones, si bien se preveía la posibilidad de que la empresa arrendataria adecuara la plantilla a sus necesidades manteniendo siempre una plantilla mínima media en 2014</w:t>
      </w:r>
      <w:r w:rsidR="00E6029A">
        <w:rPr>
          <w:szCs w:val="26"/>
        </w:rPr>
        <w:t xml:space="preserve"> de 15 empleados</w:t>
      </w:r>
      <w:r>
        <w:rPr>
          <w:szCs w:val="26"/>
        </w:rPr>
        <w:t xml:space="preserve"> y </w:t>
      </w:r>
      <w:r w:rsidR="00E6029A">
        <w:rPr>
          <w:szCs w:val="26"/>
        </w:rPr>
        <w:t xml:space="preserve">de 19 en </w:t>
      </w:r>
      <w:r>
        <w:rPr>
          <w:szCs w:val="26"/>
        </w:rPr>
        <w:t>2015. Si bien la subrogación se realizó adecuadamente, la plantilla media en los años indicados fue inferior a la prevista según los datos indicados en el informe de auditor</w:t>
      </w:r>
      <w:r w:rsidR="00E6029A">
        <w:rPr>
          <w:szCs w:val="26"/>
        </w:rPr>
        <w:t>ía de cuentas que la cifraban en 14 para el 2014 y en 16 para 2015.</w:t>
      </w:r>
    </w:p>
    <w:p w14:paraId="285FB0EC" w14:textId="77777777" w:rsidR="00A76CD2" w:rsidRDefault="00497FDA"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La cláusula 13ª establecía</w:t>
      </w:r>
      <w:r w:rsidR="00205444">
        <w:rPr>
          <w:szCs w:val="26"/>
        </w:rPr>
        <w:t xml:space="preserve"> que</w:t>
      </w:r>
      <w:r>
        <w:rPr>
          <w:szCs w:val="26"/>
        </w:rPr>
        <w:t xml:space="preserve"> la empresa arrendataria debía formular sus cuentas anuales en tres meses desde la finalización del ejercicio y que la junta general debía aprobarlas en los seis meses siguientes al cierre del ejercicio. </w:t>
      </w:r>
    </w:p>
    <w:p w14:paraId="7A1318E2" w14:textId="77777777" w:rsidR="00224154" w:rsidRDefault="0062071C" w:rsidP="00750C68">
      <w:pPr>
        <w:pStyle w:val="texto"/>
        <w:tabs>
          <w:tab w:val="clear" w:pos="2835"/>
          <w:tab w:val="clear" w:pos="3969"/>
          <w:tab w:val="clear" w:pos="5103"/>
          <w:tab w:val="clear" w:pos="6237"/>
          <w:tab w:val="clear" w:pos="7371"/>
        </w:tabs>
        <w:spacing w:before="120" w:after="120"/>
        <w:rPr>
          <w:szCs w:val="26"/>
        </w:rPr>
      </w:pPr>
      <w:r>
        <w:rPr>
          <w:szCs w:val="26"/>
        </w:rPr>
        <w:t xml:space="preserve">Las cuentas de </w:t>
      </w:r>
      <w:r w:rsidR="002F6E3F">
        <w:rPr>
          <w:szCs w:val="26"/>
        </w:rPr>
        <w:t xml:space="preserve">2016, </w:t>
      </w:r>
      <w:r w:rsidR="0085304A">
        <w:rPr>
          <w:szCs w:val="26"/>
        </w:rPr>
        <w:t>2017</w:t>
      </w:r>
      <w:r w:rsidR="002F6E3F">
        <w:rPr>
          <w:szCs w:val="26"/>
        </w:rPr>
        <w:t xml:space="preserve"> y 2018 se presentaron con retraso y las de 2019 ni siquiera se presentaron; respecto </w:t>
      </w:r>
      <w:r w:rsidR="00A76CD2">
        <w:rPr>
          <w:szCs w:val="26"/>
        </w:rPr>
        <w:t>a</w:t>
      </w:r>
      <w:r w:rsidR="002F6E3F">
        <w:rPr>
          <w:szCs w:val="26"/>
        </w:rPr>
        <w:t xml:space="preserve"> la auditoría de las cuentas, </w:t>
      </w:r>
      <w:r w:rsidR="00A76CD2">
        <w:rPr>
          <w:szCs w:val="26"/>
        </w:rPr>
        <w:t xml:space="preserve">no se realizó para los </w:t>
      </w:r>
      <w:r w:rsidR="0085304A">
        <w:rPr>
          <w:szCs w:val="26"/>
        </w:rPr>
        <w:t>ejercicios 2018 y 2019.</w:t>
      </w:r>
    </w:p>
    <w:p w14:paraId="49AE9D6C"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t>La cláusula 21ª regulaba el abono de impuestos a los que debía hacer frente la empresa arrendataria. Como ya hemos mencionado, la empresa arrendataria incumplió sus obligaciones fiscales, si bien gracias a la ejecución del aval se ha hecho frente a estos impagos.</w:t>
      </w:r>
    </w:p>
    <w:p w14:paraId="4ADA13DF" w14:textId="77777777" w:rsidR="00205444" w:rsidRDefault="00205444" w:rsidP="00750C68">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rPr>
          <w:szCs w:val="26"/>
        </w:rPr>
        <w:lastRenderedPageBreak/>
        <w:t xml:space="preserve">La cláusula 22ª establecía las obligaciones de la empresa arrendataria entre las que </w:t>
      </w:r>
      <w:r w:rsidR="0098265B">
        <w:rPr>
          <w:szCs w:val="26"/>
        </w:rPr>
        <w:t>estaban algunas de</w:t>
      </w:r>
      <w:r>
        <w:rPr>
          <w:szCs w:val="26"/>
        </w:rPr>
        <w:t xml:space="preserve"> las aquí analizadas</w:t>
      </w:r>
      <w:r w:rsidR="0098265B">
        <w:rPr>
          <w:szCs w:val="26"/>
        </w:rPr>
        <w:t xml:space="preserve"> como el </w:t>
      </w:r>
      <w:r>
        <w:rPr>
          <w:szCs w:val="26"/>
        </w:rPr>
        <w:t xml:space="preserve">mantenimiento </w:t>
      </w:r>
      <w:r w:rsidR="00A577F5">
        <w:rPr>
          <w:szCs w:val="26"/>
        </w:rPr>
        <w:t xml:space="preserve">y conservación </w:t>
      </w:r>
      <w:r>
        <w:rPr>
          <w:szCs w:val="26"/>
        </w:rPr>
        <w:t xml:space="preserve">de las instalaciones, </w:t>
      </w:r>
      <w:r w:rsidR="00A577F5">
        <w:rPr>
          <w:szCs w:val="26"/>
        </w:rPr>
        <w:t>realización de informes de auditoría, presentación de estados financieros semestrales, etc. Teniendo en cuenta el análisis descrito en los puntos anteriores</w:t>
      </w:r>
      <w:r w:rsidR="00C6795A">
        <w:rPr>
          <w:szCs w:val="26"/>
        </w:rPr>
        <w:t>,</w:t>
      </w:r>
      <w:r w:rsidR="00A577F5">
        <w:rPr>
          <w:szCs w:val="26"/>
        </w:rPr>
        <w:t xml:space="preserve"> esta cláusula se cumplió parcialmente ya que la empresa no hizo frente a todas sus obligaciones adecuadamente. </w:t>
      </w:r>
    </w:p>
    <w:p w14:paraId="2B393179" w14:textId="77777777" w:rsidR="004C5180" w:rsidRDefault="004C5180" w:rsidP="00850879">
      <w:pPr>
        <w:pStyle w:val="atitulo2"/>
        <w:spacing w:before="240"/>
        <w:rPr>
          <w:bCs w:val="0"/>
          <w:iCs w:val="0"/>
        </w:rPr>
      </w:pPr>
      <w:bookmarkStart w:id="21" w:name="_Toc92970047"/>
      <w:r>
        <w:rPr>
          <w:bCs w:val="0"/>
          <w:iCs w:val="0"/>
        </w:rPr>
        <w:t>I</w:t>
      </w:r>
      <w:r w:rsidRPr="00CD04FD">
        <w:rPr>
          <w:bCs w:val="0"/>
          <w:iCs w:val="0"/>
        </w:rPr>
        <w:t>V</w:t>
      </w:r>
      <w:r w:rsidR="004708EC">
        <w:rPr>
          <w:bCs w:val="0"/>
          <w:iCs w:val="0"/>
        </w:rPr>
        <w:t>.3</w:t>
      </w:r>
      <w:r w:rsidRPr="00CD04FD">
        <w:rPr>
          <w:bCs w:val="0"/>
          <w:iCs w:val="0"/>
        </w:rPr>
        <w:t xml:space="preserve"> </w:t>
      </w:r>
      <w:r w:rsidR="004708EC">
        <w:rPr>
          <w:bCs w:val="0"/>
          <w:iCs w:val="0"/>
        </w:rPr>
        <w:t>Conclusión final y recomendaciones</w:t>
      </w:r>
      <w:bookmarkEnd w:id="21"/>
    </w:p>
    <w:p w14:paraId="4C2BB22B" w14:textId="77777777" w:rsidR="008D63D4" w:rsidRDefault="004708EC" w:rsidP="00750C68">
      <w:pPr>
        <w:pStyle w:val="texto"/>
        <w:spacing w:before="120" w:after="120"/>
        <w:rPr>
          <w:szCs w:val="26"/>
        </w:rPr>
      </w:pPr>
      <w:r>
        <w:rPr>
          <w:szCs w:val="26"/>
        </w:rPr>
        <w:t xml:space="preserve">El CN se inauguró en 2010 como una infraestructura </w:t>
      </w:r>
      <w:r w:rsidR="00335F77" w:rsidRPr="001F198A">
        <w:rPr>
          <w:szCs w:val="26"/>
        </w:rPr>
        <w:t xml:space="preserve">para generar y albergar eventos </w:t>
      </w:r>
      <w:r w:rsidR="00335F77">
        <w:rPr>
          <w:szCs w:val="26"/>
        </w:rPr>
        <w:t>tanto corporativos como de ocio</w:t>
      </w:r>
      <w:r w:rsidR="00F32020">
        <w:rPr>
          <w:szCs w:val="26"/>
        </w:rPr>
        <w:t xml:space="preserve"> con un coste de 55</w:t>
      </w:r>
      <w:r>
        <w:rPr>
          <w:szCs w:val="26"/>
        </w:rPr>
        <w:t xml:space="preserve"> millones siendo propiedad de </w:t>
      </w:r>
      <w:r w:rsidR="00C9010E">
        <w:rPr>
          <w:szCs w:val="26"/>
        </w:rPr>
        <w:t>NICDO</w:t>
      </w:r>
      <w:r>
        <w:rPr>
          <w:szCs w:val="26"/>
        </w:rPr>
        <w:t xml:space="preserve">. </w:t>
      </w:r>
      <w:r w:rsidR="008D63D4">
        <w:rPr>
          <w:szCs w:val="26"/>
        </w:rPr>
        <w:t xml:space="preserve">La gestión de esta infraestructura se llevó a cabo por </w:t>
      </w:r>
      <w:r w:rsidR="00110B31">
        <w:rPr>
          <w:szCs w:val="26"/>
        </w:rPr>
        <w:t>NICDO</w:t>
      </w:r>
      <w:r w:rsidR="008D63D4">
        <w:rPr>
          <w:szCs w:val="26"/>
        </w:rPr>
        <w:t xml:space="preserve"> hasta 2013, cuando se </w:t>
      </w:r>
      <w:r w:rsidR="00335F77">
        <w:rPr>
          <w:szCs w:val="26"/>
        </w:rPr>
        <w:t xml:space="preserve">contempló la posibilidad de arrendar el CN </w:t>
      </w:r>
      <w:r w:rsidR="008D63D4">
        <w:rPr>
          <w:szCs w:val="26"/>
        </w:rPr>
        <w:t xml:space="preserve">tras </w:t>
      </w:r>
      <w:r w:rsidR="00DB4254">
        <w:rPr>
          <w:szCs w:val="26"/>
        </w:rPr>
        <w:t>obtener</w:t>
      </w:r>
      <w:r w:rsidR="008D63D4">
        <w:rPr>
          <w:szCs w:val="26"/>
        </w:rPr>
        <w:t xml:space="preserve"> un déficit de explotación acumulado de cinco millones.</w:t>
      </w:r>
    </w:p>
    <w:p w14:paraId="435EF2D6" w14:textId="77777777" w:rsidR="00335F77" w:rsidRDefault="008D63D4" w:rsidP="00750C68">
      <w:pPr>
        <w:pStyle w:val="texto"/>
        <w:spacing w:before="120" w:after="120"/>
        <w:rPr>
          <w:szCs w:val="26"/>
        </w:rPr>
      </w:pPr>
      <w:r>
        <w:rPr>
          <w:szCs w:val="26"/>
        </w:rPr>
        <w:t>Previamente al arrendamiento se realizaron</w:t>
      </w:r>
      <w:r w:rsidR="00335F77">
        <w:rPr>
          <w:szCs w:val="26"/>
        </w:rPr>
        <w:t xml:space="preserve"> informes </w:t>
      </w:r>
      <w:r>
        <w:rPr>
          <w:szCs w:val="26"/>
        </w:rPr>
        <w:t>analizando las distintas posibilidades llegando a la conclusión de que arrendar el CN era la mejor opción de gestión</w:t>
      </w:r>
      <w:r w:rsidR="00DB4254">
        <w:rPr>
          <w:szCs w:val="26"/>
        </w:rPr>
        <w:t xml:space="preserve">. </w:t>
      </w:r>
    </w:p>
    <w:p w14:paraId="2C96E611" w14:textId="77777777" w:rsidR="004C07AB" w:rsidRDefault="00204A17" w:rsidP="00750C68">
      <w:pPr>
        <w:pStyle w:val="texto"/>
        <w:spacing w:before="120" w:after="120"/>
        <w:rPr>
          <w:szCs w:val="26"/>
        </w:rPr>
      </w:pPr>
      <w:r>
        <w:rPr>
          <w:szCs w:val="26"/>
        </w:rPr>
        <w:t xml:space="preserve">El procedimiento de arrendamiento se realizó de acuerdo a los principios de publicidad y concurrencia, y en </w:t>
      </w:r>
      <w:r w:rsidR="004C07AB">
        <w:rPr>
          <w:szCs w:val="26"/>
        </w:rPr>
        <w:t>2014</w:t>
      </w:r>
      <w:r>
        <w:rPr>
          <w:szCs w:val="26"/>
        </w:rPr>
        <w:t>,</w:t>
      </w:r>
      <w:r w:rsidR="004C07AB">
        <w:rPr>
          <w:szCs w:val="26"/>
        </w:rPr>
        <w:t xml:space="preserve"> se formalizó el primer contrato de arrendamiento del CN </w:t>
      </w:r>
      <w:r w:rsidR="00110B31">
        <w:rPr>
          <w:szCs w:val="26"/>
        </w:rPr>
        <w:t xml:space="preserve">para el periodo 2014-2018. </w:t>
      </w:r>
      <w:r w:rsidR="009F3099">
        <w:rPr>
          <w:szCs w:val="26"/>
        </w:rPr>
        <w:t>L</w:t>
      </w:r>
      <w:r w:rsidR="00110B31">
        <w:rPr>
          <w:szCs w:val="26"/>
        </w:rPr>
        <w:t>a ejecución del contrato</w:t>
      </w:r>
      <w:r w:rsidR="009F3099">
        <w:rPr>
          <w:szCs w:val="26"/>
        </w:rPr>
        <w:t xml:space="preserve"> fue controlada a través de dos comisiones donde se pusieron de manifiesto varios incumplimientos de </w:t>
      </w:r>
      <w:r w:rsidR="00110B31">
        <w:rPr>
          <w:szCs w:val="26"/>
        </w:rPr>
        <w:t>algunas de las cláusulas del contrato relevantes como la referida al mantenimiento de las instalaciones</w:t>
      </w:r>
      <w:r w:rsidR="00FE0152">
        <w:rPr>
          <w:szCs w:val="26"/>
        </w:rPr>
        <w:t>. P</w:t>
      </w:r>
      <w:r w:rsidR="00110B31">
        <w:rPr>
          <w:szCs w:val="26"/>
        </w:rPr>
        <w:t xml:space="preserve">osteriormente se </w:t>
      </w:r>
      <w:r w:rsidR="00CC4E1B">
        <w:rPr>
          <w:szCs w:val="26"/>
        </w:rPr>
        <w:t>ha ejecutado el aval por un total de 720.467 euros para hacer frente a estas circunstancias y al resto de obligaciones que la empresa h</w:t>
      </w:r>
      <w:r w:rsidR="009F3099">
        <w:rPr>
          <w:szCs w:val="26"/>
        </w:rPr>
        <w:t>a</w:t>
      </w:r>
      <w:r w:rsidR="00CC4E1B">
        <w:rPr>
          <w:szCs w:val="26"/>
        </w:rPr>
        <w:t xml:space="preserve"> dejado de atender.</w:t>
      </w:r>
      <w:r w:rsidR="0098265B">
        <w:rPr>
          <w:szCs w:val="26"/>
        </w:rPr>
        <w:t xml:space="preserve"> </w:t>
      </w:r>
    </w:p>
    <w:p w14:paraId="3404EA5A" w14:textId="77777777" w:rsidR="00CC4E1B" w:rsidRDefault="00CC4E1B" w:rsidP="00750C68">
      <w:pPr>
        <w:pStyle w:val="texto"/>
        <w:spacing w:before="120" w:after="120"/>
        <w:rPr>
          <w:szCs w:val="26"/>
        </w:rPr>
      </w:pPr>
      <w:r>
        <w:rPr>
          <w:szCs w:val="26"/>
        </w:rPr>
        <w:t>En 2018 se formalizó la prórroga del contrato para 2019</w:t>
      </w:r>
      <w:r w:rsidR="00FE0152">
        <w:rPr>
          <w:szCs w:val="26"/>
        </w:rPr>
        <w:t>,</w:t>
      </w:r>
      <w:r>
        <w:rPr>
          <w:szCs w:val="26"/>
        </w:rPr>
        <w:t xml:space="preserve"> </w:t>
      </w:r>
      <w:r w:rsidR="00204A17">
        <w:rPr>
          <w:szCs w:val="26"/>
        </w:rPr>
        <w:t xml:space="preserve">firmándose en julio de 2019 uno nuevo para el periodo 2020-2024. Los incumplimientos de pagos, y del resto de obligaciones descritas en este informe por parte de la empresa, </w:t>
      </w:r>
      <w:r>
        <w:rPr>
          <w:szCs w:val="26"/>
        </w:rPr>
        <w:t>motivaro</w:t>
      </w:r>
      <w:r w:rsidR="00204A17">
        <w:rPr>
          <w:szCs w:val="26"/>
        </w:rPr>
        <w:t xml:space="preserve">n que </w:t>
      </w:r>
      <w:r w:rsidR="00C9010E">
        <w:rPr>
          <w:szCs w:val="26"/>
        </w:rPr>
        <w:t>se ejecutara</w:t>
      </w:r>
      <w:r w:rsidR="00204A17">
        <w:rPr>
          <w:szCs w:val="26"/>
        </w:rPr>
        <w:t xml:space="preserve"> el aval de acuerdo a los informes de valoración realizados por expertos independientes.</w:t>
      </w:r>
    </w:p>
    <w:p w14:paraId="3B9F3FCF" w14:textId="77777777" w:rsidR="004708EC" w:rsidRDefault="00CC4E1B" w:rsidP="00750C68">
      <w:pPr>
        <w:pStyle w:val="texto"/>
        <w:spacing w:before="120" w:after="120"/>
        <w:rPr>
          <w:szCs w:val="26"/>
        </w:rPr>
      </w:pPr>
      <w:r>
        <w:rPr>
          <w:szCs w:val="26"/>
        </w:rPr>
        <w:t xml:space="preserve">Desde 2020, tras </w:t>
      </w:r>
      <w:r w:rsidR="00A577F5">
        <w:rPr>
          <w:szCs w:val="26"/>
        </w:rPr>
        <w:t xml:space="preserve">la </w:t>
      </w:r>
      <w:r w:rsidR="00C9010E">
        <w:rPr>
          <w:szCs w:val="26"/>
        </w:rPr>
        <w:t>finalización</w:t>
      </w:r>
      <w:r w:rsidR="00A577F5">
        <w:rPr>
          <w:szCs w:val="26"/>
        </w:rPr>
        <w:t xml:space="preserve"> del contrato de arrendamiento, NICDO asumió la gesti</w:t>
      </w:r>
      <w:r w:rsidR="00E6029A">
        <w:rPr>
          <w:szCs w:val="26"/>
        </w:rPr>
        <w:t>ón directa del CN. Durante 2020 los gastos e ingresos asociados a esta gestión ascendieron a 2,40 y 0,68 millones respectivamente con una plantilla media de nueve empleados</w:t>
      </w:r>
      <w:r w:rsidR="004708EC">
        <w:rPr>
          <w:szCs w:val="26"/>
        </w:rPr>
        <w:t xml:space="preserve">, si bien la pandemia de la COVID-19 influyó en estos indicadores. </w:t>
      </w:r>
    </w:p>
    <w:p w14:paraId="675FBC1E" w14:textId="77777777" w:rsidR="00CC4E1B" w:rsidRDefault="00CC4E1B" w:rsidP="00750C68">
      <w:pPr>
        <w:pStyle w:val="texto"/>
        <w:spacing w:before="120" w:after="120"/>
        <w:rPr>
          <w:szCs w:val="26"/>
        </w:rPr>
      </w:pPr>
      <w:r>
        <w:rPr>
          <w:szCs w:val="26"/>
        </w:rPr>
        <w:t>En definitiva, podemos concluir que NICDO</w:t>
      </w:r>
      <w:r w:rsidR="009F3099">
        <w:rPr>
          <w:szCs w:val="26"/>
        </w:rPr>
        <w:t xml:space="preserve"> llevó a cabo los procedimientos de arrendamiento del CN de manera razonable, actuó </w:t>
      </w:r>
      <w:r w:rsidR="009F3099" w:rsidRPr="004836D2">
        <w:rPr>
          <w:szCs w:val="26"/>
        </w:rPr>
        <w:t>en su defensa a través de las comisiones creadas para ello, ejecutó posteriormente el aval por las obligaciones desatendidas por parte de la empresa arrendataria y todo ello velando y asegurando la continuidad de la ac</w:t>
      </w:r>
      <w:r w:rsidR="00E77E9F">
        <w:rPr>
          <w:szCs w:val="26"/>
        </w:rPr>
        <w:t>tividad de esta infraestructura.</w:t>
      </w:r>
    </w:p>
    <w:p w14:paraId="5EC0B585" w14:textId="77777777" w:rsidR="001A427D" w:rsidRDefault="001A427D" w:rsidP="00750C68">
      <w:pPr>
        <w:pStyle w:val="texto"/>
        <w:spacing w:before="120" w:after="120"/>
        <w:rPr>
          <w:szCs w:val="26"/>
        </w:rPr>
      </w:pPr>
    </w:p>
    <w:p w14:paraId="22009B5D" w14:textId="77777777" w:rsidR="000673EF" w:rsidRPr="00ED0F4A" w:rsidRDefault="00E77E9F" w:rsidP="00750C68">
      <w:pPr>
        <w:pStyle w:val="texto"/>
        <w:spacing w:before="120" w:after="120"/>
        <w:rPr>
          <w:szCs w:val="26"/>
        </w:rPr>
      </w:pPr>
      <w:r w:rsidRPr="00ED0F4A">
        <w:rPr>
          <w:szCs w:val="26"/>
        </w:rPr>
        <w:lastRenderedPageBreak/>
        <w:t>Recomendamos</w:t>
      </w:r>
      <w:r w:rsidR="000673EF" w:rsidRPr="00ED0F4A">
        <w:rPr>
          <w:szCs w:val="26"/>
        </w:rPr>
        <w:t>:</w:t>
      </w:r>
    </w:p>
    <w:p w14:paraId="0C5515C8" w14:textId="77777777" w:rsidR="00394FC9" w:rsidRPr="00394FC9" w:rsidRDefault="000673EF" w:rsidP="00124F95">
      <w:pPr>
        <w:pStyle w:val="texto"/>
        <w:numPr>
          <w:ilvl w:val="0"/>
          <w:numId w:val="44"/>
        </w:numPr>
        <w:tabs>
          <w:tab w:val="clear" w:pos="2835"/>
          <w:tab w:val="clear" w:pos="3969"/>
          <w:tab w:val="clear" w:pos="5103"/>
          <w:tab w:val="clear" w:pos="6237"/>
          <w:tab w:val="clear" w:pos="7371"/>
        </w:tabs>
        <w:spacing w:before="120" w:after="120"/>
        <w:ind w:left="0" w:firstLine="284"/>
      </w:pPr>
      <w:r w:rsidRPr="00394FC9">
        <w:rPr>
          <w:i/>
          <w:szCs w:val="26"/>
        </w:rPr>
        <w:t>Analizar cuál es la alternativa de gestión más económica, eficaz y eficiente u</w:t>
      </w:r>
      <w:r w:rsidR="00E77E9F" w:rsidRPr="00394FC9">
        <w:rPr>
          <w:i/>
          <w:szCs w:val="26"/>
        </w:rPr>
        <w:t>na vez que se recupere el ritmo de actividad ha</w:t>
      </w:r>
      <w:r w:rsidRPr="00394FC9">
        <w:rPr>
          <w:i/>
          <w:szCs w:val="26"/>
        </w:rPr>
        <w:t>bitual en esta infraestructura.</w:t>
      </w:r>
    </w:p>
    <w:p w14:paraId="373148B6" w14:textId="77777777" w:rsidR="00394FC9" w:rsidRPr="00394FC9" w:rsidRDefault="00394FC9" w:rsidP="00394FC9">
      <w:pPr>
        <w:pStyle w:val="texto"/>
        <w:numPr>
          <w:ilvl w:val="0"/>
          <w:numId w:val="44"/>
        </w:numPr>
        <w:tabs>
          <w:tab w:val="clear" w:pos="2835"/>
          <w:tab w:val="clear" w:pos="3969"/>
          <w:tab w:val="clear" w:pos="5103"/>
          <w:tab w:val="clear" w:pos="6237"/>
          <w:tab w:val="clear" w:pos="7371"/>
        </w:tabs>
        <w:spacing w:before="120" w:after="120"/>
        <w:ind w:left="0" w:firstLine="284"/>
        <w:rPr>
          <w:i/>
          <w:szCs w:val="26"/>
        </w:rPr>
      </w:pPr>
      <w:r w:rsidRPr="00394FC9">
        <w:rPr>
          <w:i/>
          <w:szCs w:val="26"/>
        </w:rPr>
        <w:t>Llevar a cabo análisis rigurosos y exhaustivos previos a la toma de decisiones sobre la realización de inversiones, especialmente las de determinada envergadura.</w:t>
      </w:r>
    </w:p>
    <w:p w14:paraId="78BF4AA7" w14:textId="77777777" w:rsidR="00B76259" w:rsidRPr="00394FC9" w:rsidRDefault="00B76259" w:rsidP="00394FC9">
      <w:pPr>
        <w:pStyle w:val="texto"/>
        <w:spacing w:before="120" w:after="120"/>
        <w:rPr>
          <w:szCs w:val="26"/>
        </w:rPr>
      </w:pPr>
      <w:r w:rsidRPr="00394FC9">
        <w:rPr>
          <w:szCs w:val="26"/>
        </w:rPr>
        <w:t>Informe que se emite a propuesta de la auditora Karen Moreno Orduña, responsable de la realización de este trabajo, una vez cumplimentados los trámites previstos por la normativa vigente.</w:t>
      </w:r>
    </w:p>
    <w:p w14:paraId="5D9FCF05" w14:textId="77777777" w:rsidR="001830DF" w:rsidRPr="00125C91" w:rsidRDefault="001830DF" w:rsidP="00750C68">
      <w:pPr>
        <w:pStyle w:val="texto"/>
        <w:spacing w:before="120" w:after="120"/>
      </w:pPr>
    </w:p>
    <w:p w14:paraId="56D5D173" w14:textId="77777777" w:rsidR="00A577F5" w:rsidRPr="00B100E6" w:rsidRDefault="00CC4E1B" w:rsidP="00CC4E1B">
      <w:pPr>
        <w:pStyle w:val="texto"/>
        <w:spacing w:before="120" w:after="120"/>
        <w:jc w:val="center"/>
        <w:rPr>
          <w:szCs w:val="26"/>
        </w:rPr>
      </w:pPr>
      <w:r w:rsidRPr="00B100E6">
        <w:rPr>
          <w:szCs w:val="26"/>
        </w:rPr>
        <w:t xml:space="preserve">Pamplona a </w:t>
      </w:r>
      <w:r w:rsidR="00F42F09" w:rsidRPr="00B100E6">
        <w:rPr>
          <w:szCs w:val="26"/>
        </w:rPr>
        <w:t>1</w:t>
      </w:r>
      <w:r w:rsidR="00E45060">
        <w:rPr>
          <w:szCs w:val="26"/>
        </w:rPr>
        <w:t>3</w:t>
      </w:r>
      <w:r w:rsidR="00C9010E" w:rsidRPr="00B100E6">
        <w:rPr>
          <w:szCs w:val="26"/>
        </w:rPr>
        <w:t xml:space="preserve"> </w:t>
      </w:r>
      <w:r w:rsidR="003870E4" w:rsidRPr="00B100E6">
        <w:rPr>
          <w:szCs w:val="26"/>
        </w:rPr>
        <w:t xml:space="preserve">de </w:t>
      </w:r>
      <w:r w:rsidR="00B3214F" w:rsidRPr="00B100E6">
        <w:rPr>
          <w:szCs w:val="26"/>
        </w:rPr>
        <w:t>enero</w:t>
      </w:r>
      <w:r w:rsidRPr="00B100E6">
        <w:rPr>
          <w:szCs w:val="26"/>
        </w:rPr>
        <w:t xml:space="preserve"> de 202</w:t>
      </w:r>
      <w:r w:rsidR="00B3214F" w:rsidRPr="00B100E6">
        <w:rPr>
          <w:szCs w:val="26"/>
        </w:rPr>
        <w:t>2</w:t>
      </w:r>
    </w:p>
    <w:p w14:paraId="63D1126D" w14:textId="77777777" w:rsidR="00A87FBB" w:rsidRPr="001F055D" w:rsidRDefault="00CC4E1B" w:rsidP="00B3214F">
      <w:pPr>
        <w:pStyle w:val="texto"/>
        <w:spacing w:before="120" w:after="120"/>
        <w:jc w:val="center"/>
        <w:rPr>
          <w:sz w:val="24"/>
        </w:rPr>
      </w:pPr>
      <w:r>
        <w:rPr>
          <w:szCs w:val="26"/>
        </w:rPr>
        <w:t xml:space="preserve">La </w:t>
      </w:r>
      <w:r w:rsidR="00B76259">
        <w:rPr>
          <w:szCs w:val="26"/>
        </w:rPr>
        <w:t>presidenta, Asunción Olaechea Estanga</w:t>
      </w:r>
      <w:bookmarkEnd w:id="6"/>
      <w:bookmarkEnd w:id="7"/>
      <w:bookmarkEnd w:id="8"/>
      <w:bookmarkEnd w:id="9"/>
      <w:bookmarkEnd w:id="10"/>
      <w:bookmarkEnd w:id="11"/>
    </w:p>
    <w:sectPr w:rsidR="00A87FBB" w:rsidRPr="001F055D" w:rsidSect="00650738">
      <w:headerReference w:type="default" r:id="rId14"/>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7417" w14:textId="77777777" w:rsidR="00D03E05" w:rsidRDefault="00D03E05">
      <w:r>
        <w:separator/>
      </w:r>
    </w:p>
  </w:endnote>
  <w:endnote w:type="continuationSeparator" w:id="0">
    <w:p w14:paraId="415DC2BD" w14:textId="77777777" w:rsidR="00D03E05" w:rsidRDefault="00D03E05">
      <w:r>
        <w:continuationSeparator/>
      </w:r>
    </w:p>
    <w:p w14:paraId="45049F9B" w14:textId="77777777" w:rsidR="00D03E05" w:rsidRDefault="00D03E05"/>
    <w:p w14:paraId="5D6BDA11" w14:textId="77777777" w:rsidR="00D03E05" w:rsidRDefault="00D03E05"/>
    <w:p w14:paraId="0D99B970" w14:textId="77777777" w:rsidR="00D03E05" w:rsidRDefault="00D0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E254" w14:textId="77777777" w:rsidR="006E5C76" w:rsidRDefault="006E5C7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397B71" w14:textId="77777777" w:rsidR="006E5C76" w:rsidRDefault="006E5C7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0D27" w14:textId="77777777" w:rsidR="006E5C76" w:rsidRPr="00F03814" w:rsidRDefault="006E5C7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AAAC3D6" wp14:editId="4427C61A">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56158EE6" w14:textId="77777777" w:rsidR="006E5C76" w:rsidRPr="00F74E38" w:rsidRDefault="006E5C7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1390" w14:textId="77777777" w:rsidR="006E5C76" w:rsidRDefault="006E5C7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A9E" w14:textId="4155EB07" w:rsidR="006E5C76" w:rsidRPr="00F03814" w:rsidRDefault="006E5C76" w:rsidP="00335869">
    <w:pPr>
      <w:pStyle w:val="Piedepgina"/>
      <w:tabs>
        <w:tab w:val="clear" w:pos="2835"/>
        <w:tab w:val="clear" w:pos="3969"/>
        <w:tab w:val="clear" w:pos="4252"/>
        <w:tab w:val="clear" w:pos="5103"/>
        <w:tab w:val="clear" w:pos="6237"/>
        <w:tab w:val="clear" w:pos="7371"/>
        <w:tab w:val="clear" w:pos="8504"/>
        <w:tab w:val="center" w:pos="8760"/>
      </w:tabs>
      <w:spacing w:after="0"/>
      <w:ind w:right="29"/>
      <w:jc w:val="left"/>
      <w:rPr>
        <w:rFonts w:ascii="Trajan" w:hAnsi="Trajan"/>
        <w:sz w:val="24"/>
        <w:szCs w:val="24"/>
      </w:rPr>
    </w:pPr>
    <w:r>
      <w:rPr>
        <w:rFonts w:ascii="GillSans" w:hAnsi="GillSans"/>
        <w:noProof/>
        <w:lang w:val="es-ES" w:eastAsia="es-ES"/>
      </w:rPr>
      <w:drawing>
        <wp:inline distT="0" distB="0" distL="0" distR="0" wp14:anchorId="0A1CCD8D" wp14:editId="0E06600F">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003E43DB">
      <w:rPr>
        <w:rFonts w:ascii="GillSans" w:hAnsi="GillSans"/>
      </w:rPr>
      <w:t xml:space="preserve">                             </w:t>
    </w:r>
    <w:r w:rsidRPr="001D4F09">
      <w:rPr>
        <w:rStyle w:val="Nmerodepgina"/>
        <w:szCs w:val="24"/>
      </w:rPr>
      <w:t xml:space="preserve">- </w:t>
    </w:r>
    <w:r w:rsidR="00650738">
      <w:rPr>
        <w:rStyle w:val="Nmerodepgina"/>
        <w:szCs w:val="24"/>
      </w:rPr>
      <w:fldChar w:fldCharType="begin"/>
    </w:r>
    <w:r w:rsidR="00650738">
      <w:rPr>
        <w:rStyle w:val="Nmerodepgina"/>
        <w:szCs w:val="24"/>
      </w:rPr>
      <w:instrText xml:space="preserve"> PAGE  \* Arabic </w:instrText>
    </w:r>
    <w:r w:rsidR="00650738">
      <w:rPr>
        <w:rStyle w:val="Nmerodepgina"/>
        <w:szCs w:val="24"/>
      </w:rPr>
      <w:fldChar w:fldCharType="separate"/>
    </w:r>
    <w:r w:rsidR="00650738">
      <w:rPr>
        <w:rStyle w:val="Nmerodepgina"/>
        <w:noProof/>
        <w:szCs w:val="24"/>
      </w:rPr>
      <w:t>16</w:t>
    </w:r>
    <w:r w:rsidR="00650738">
      <w:rPr>
        <w:rStyle w:val="Nmerodepgina"/>
        <w:szCs w:val="24"/>
      </w:rPr>
      <w:fldChar w:fldCharType="end"/>
    </w:r>
    <w:r w:rsidRPr="001D4F09">
      <w:rPr>
        <w:rStyle w:val="Nmerodepgina"/>
        <w:szCs w:val="24"/>
      </w:rPr>
      <w:t xml:space="preserve"> -</w:t>
    </w:r>
  </w:p>
  <w:p w14:paraId="6F9BCB7C" w14:textId="77777777" w:rsidR="006E5C76" w:rsidRPr="00C13453" w:rsidRDefault="006E5C76" w:rsidP="00D2472C">
    <w:pPr>
      <w:pStyle w:val="BorradorProvisional"/>
      <w:ind w:left="0"/>
      <w:jc w:val="center"/>
    </w:pPr>
  </w:p>
  <w:p w14:paraId="46DA36F4" w14:textId="77777777" w:rsidR="006E5C76" w:rsidRDefault="006E5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D378" w14:textId="77777777" w:rsidR="00D03E05" w:rsidRDefault="00D03E05" w:rsidP="001D0224">
      <w:pPr>
        <w:ind w:firstLine="0"/>
      </w:pPr>
      <w:r>
        <w:separator/>
      </w:r>
    </w:p>
  </w:footnote>
  <w:footnote w:type="continuationSeparator" w:id="0">
    <w:p w14:paraId="55776E68" w14:textId="77777777" w:rsidR="00D03E05" w:rsidRDefault="00D03E05">
      <w:r>
        <w:continuationSeparator/>
      </w:r>
    </w:p>
    <w:p w14:paraId="61D37428" w14:textId="77777777" w:rsidR="00D03E05" w:rsidRDefault="00D03E05"/>
    <w:p w14:paraId="081BFD59" w14:textId="77777777" w:rsidR="00D03E05" w:rsidRDefault="00D03E05"/>
    <w:p w14:paraId="34D2F881" w14:textId="77777777" w:rsidR="00D03E05" w:rsidRDefault="00D03E05"/>
  </w:footnote>
  <w:footnote w:id="1">
    <w:p w14:paraId="259FDE04" w14:textId="77777777" w:rsidR="006E5C76" w:rsidRPr="009F07B0" w:rsidRDefault="006E5C76" w:rsidP="009F07B0">
      <w:pPr>
        <w:pStyle w:val="Textonotapie"/>
        <w:ind w:firstLine="0"/>
        <w:rPr>
          <w:lang w:val="es-ES"/>
        </w:rPr>
      </w:pPr>
      <w:r>
        <w:rPr>
          <w:rStyle w:val="Refdenotaalpie"/>
        </w:rPr>
        <w:footnoteRef/>
      </w:r>
      <w:r>
        <w:t xml:space="preserve"> </w:t>
      </w:r>
      <w:r w:rsidR="00B30BE2">
        <w:rPr>
          <w:lang w:val="es-ES"/>
        </w:rPr>
        <w:t xml:space="preserve">Esta cifra </w:t>
      </w:r>
      <w:r w:rsidR="007B49FD">
        <w:rPr>
          <w:lang w:val="es-ES"/>
        </w:rPr>
        <w:t>es la señalada en el informe sobre la valoración económica del arrendamiento que realiza la CPEN y se compone de 20 millones de capital y 35 millones de un préstamo</w:t>
      </w:r>
      <w:r>
        <w:rPr>
          <w:lang w:val="es-ES"/>
        </w:rPr>
        <w:t>.</w:t>
      </w:r>
    </w:p>
  </w:footnote>
  <w:footnote w:id="2">
    <w:p w14:paraId="01150CA2" w14:textId="77777777" w:rsidR="00204A17" w:rsidRDefault="00204A17" w:rsidP="00204A17">
      <w:pPr>
        <w:pStyle w:val="Textonotapie"/>
        <w:ind w:firstLine="0"/>
      </w:pPr>
      <w:r>
        <w:rPr>
          <w:rStyle w:val="Refdenotaalpie"/>
        </w:rPr>
        <w:footnoteRef/>
      </w:r>
      <w:r>
        <w:t xml:space="preserve"> Se propuso modificar también el aval sustituyendo el millón de euros anterior por 500.000 euros; finalmente esta modificación del aval no llegó a producirse, por lo que se siguió manteniendo el millón de euros establecido inicialmente.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741" w14:textId="77777777" w:rsidR="00650738" w:rsidRDefault="006507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3C88" w14:textId="77777777" w:rsidR="001F4AFD" w:rsidRDefault="001F4AFD" w:rsidP="00E73AE3">
    <w:pPr>
      <w:pStyle w:val="Encabezado"/>
      <w:pBdr>
        <w:bottom w:val="single" w:sz="4" w:space="1" w:color="auto"/>
      </w:pBdr>
      <w:spacing w:after="40"/>
      <w:ind w:firstLine="0"/>
      <w:rPr>
        <w:lang w:val="es-ES"/>
      </w:rPr>
    </w:pPr>
  </w:p>
  <w:p w14:paraId="391130FB" w14:textId="77777777" w:rsidR="001F4AFD" w:rsidRDefault="001F4AFD" w:rsidP="00E73AE3">
    <w:pPr>
      <w:pStyle w:val="Encabezado"/>
      <w:pBdr>
        <w:bottom w:val="single" w:sz="4" w:space="1" w:color="auto"/>
      </w:pBdr>
      <w:spacing w:after="40"/>
      <w:ind w:firstLine="0"/>
      <w:rPr>
        <w:lang w:val="es-ES"/>
      </w:rPr>
    </w:pPr>
    <w:r>
      <w:rPr>
        <w:b/>
        <w:noProof/>
        <w:lang w:val="es-ES" w:eastAsia="es-ES"/>
      </w:rPr>
      <w:drawing>
        <wp:anchor distT="0" distB="0" distL="114300" distR="114300" simplePos="0" relativeHeight="251659264" behindDoc="1" locked="0" layoutInCell="1" allowOverlap="1" wp14:anchorId="31746192" wp14:editId="58CFE5AB">
          <wp:simplePos x="0" y="0"/>
          <wp:positionH relativeFrom="margin">
            <wp:posOffset>-37465</wp:posOffset>
          </wp:positionH>
          <wp:positionV relativeFrom="paragraph">
            <wp:posOffset>95250</wp:posOffset>
          </wp:positionV>
          <wp:extent cx="771525" cy="762000"/>
          <wp:effectExtent l="0" t="0" r="9525" b="0"/>
          <wp:wrapNone/>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0E586" w14:textId="77777777" w:rsidR="001F4AFD" w:rsidRDefault="001F4AFD" w:rsidP="00E73AE3">
    <w:pPr>
      <w:pStyle w:val="Encabezado"/>
      <w:pBdr>
        <w:bottom w:val="single" w:sz="4" w:space="1" w:color="auto"/>
      </w:pBdr>
      <w:spacing w:after="40"/>
      <w:ind w:firstLine="0"/>
      <w:rPr>
        <w:lang w:val="es-ES"/>
      </w:rPr>
    </w:pPr>
  </w:p>
  <w:p w14:paraId="48C22570" w14:textId="77777777" w:rsidR="001F4AFD" w:rsidRDefault="001F4AFD" w:rsidP="00E73AE3">
    <w:pPr>
      <w:pStyle w:val="Encabezado"/>
      <w:pBdr>
        <w:bottom w:val="single" w:sz="4" w:space="1" w:color="auto"/>
      </w:pBdr>
      <w:spacing w:after="40"/>
      <w:ind w:firstLine="0"/>
      <w:rPr>
        <w:lang w:val="es-ES"/>
      </w:rPr>
    </w:pPr>
  </w:p>
  <w:p w14:paraId="5B2318C5" w14:textId="77777777" w:rsidR="001F4AFD" w:rsidRDefault="001F4AFD" w:rsidP="00E73AE3">
    <w:pPr>
      <w:pStyle w:val="Encabezado"/>
      <w:pBdr>
        <w:bottom w:val="single" w:sz="4" w:space="1" w:color="auto"/>
      </w:pBdr>
      <w:spacing w:after="40"/>
      <w:ind w:firstLine="0"/>
      <w:rPr>
        <w:lang w:val="es-ES"/>
      </w:rPr>
    </w:pPr>
  </w:p>
  <w:p w14:paraId="6C7A2AA9" w14:textId="77777777" w:rsidR="001F4AFD" w:rsidRDefault="001F4AFD" w:rsidP="001F4AFD">
    <w:pPr>
      <w:pStyle w:val="Encabezado"/>
      <w:pBdr>
        <w:bottom w:val="single" w:sz="4" w:space="1" w:color="auto"/>
      </w:pBdr>
      <w:spacing w:after="40"/>
      <w:ind w:firstLine="0"/>
      <w:jc w:val="left"/>
      <w:rPr>
        <w:lang w:val="es-ES"/>
      </w:rPr>
    </w:pPr>
  </w:p>
  <w:p w14:paraId="25C38138" w14:textId="77777777" w:rsidR="001F4AFD" w:rsidRDefault="001F4AFD" w:rsidP="00E73AE3">
    <w:pPr>
      <w:pStyle w:val="Encabezado"/>
      <w:pBdr>
        <w:bottom w:val="single" w:sz="4" w:space="1" w:color="auto"/>
      </w:pBdr>
      <w:spacing w:after="40"/>
      <w:ind w:firstLine="0"/>
      <w:rPr>
        <w:lang w:val="es-ES"/>
      </w:rPr>
    </w:pPr>
  </w:p>
  <w:p w14:paraId="58410381" w14:textId="77777777" w:rsidR="006E5C76" w:rsidRDefault="006E5C76" w:rsidP="00E73AE3">
    <w:pPr>
      <w:pStyle w:val="Encabezado"/>
      <w:pBdr>
        <w:bottom w:val="single" w:sz="4" w:space="1" w:color="auto"/>
      </w:pBdr>
      <w:spacing w:after="40"/>
      <w:ind w:firstLine="0"/>
      <w:rPr>
        <w:lang w:val="es-ES"/>
      </w:rPr>
    </w:pPr>
    <w:r>
      <w:rPr>
        <w:lang w:val="es-ES"/>
      </w:rPr>
      <w:t>INFORME DE FISCALIZACIÓN SOBRE EL ARRENDAMIENTO DEL CIRCUITO DE NAVARRA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ECCF" w14:textId="77777777" w:rsidR="006E5C76" w:rsidRDefault="006E5C76" w:rsidP="006A2D41">
    <w:pPr>
      <w:pStyle w:val="Encabezado"/>
      <w:ind w:firstLine="0"/>
      <w:jc w:val="left"/>
    </w:pPr>
    <w:r>
      <w:rPr>
        <w:noProof/>
        <w:lang w:val="es-ES" w:eastAsia="es-ES"/>
      </w:rPr>
      <w:drawing>
        <wp:inline distT="0" distB="0" distL="0" distR="0" wp14:anchorId="44E7B9B9" wp14:editId="08CCC5BA">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520" w14:textId="3BD4A565" w:rsidR="006E5C76" w:rsidRDefault="006E5C76" w:rsidP="00810B0F">
    <w:pPr>
      <w:pStyle w:val="Encabezado"/>
      <w:pBdr>
        <w:bottom w:val="single" w:sz="4" w:space="1" w:color="auto"/>
      </w:pBdr>
      <w:tabs>
        <w:tab w:val="clear" w:pos="4252"/>
        <w:tab w:val="clear" w:pos="8504"/>
        <w:tab w:val="center" w:pos="1134"/>
      </w:tabs>
      <w:spacing w:after="40"/>
      <w:ind w:firstLine="0"/>
      <w:jc w:val="left"/>
      <w:rPr>
        <w:lang w:val="es-ES"/>
      </w:rPr>
    </w:pPr>
    <w:r>
      <w:rPr>
        <w:b/>
        <w:noProof/>
        <w:lang w:val="es-ES" w:eastAsia="es-ES"/>
      </w:rPr>
      <w:drawing>
        <wp:inline distT="0" distB="0" distL="0" distR="0" wp14:anchorId="32CA2A0B" wp14:editId="10BBA7B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3E43DB">
      <w:rPr>
        <w:lang w:val="es-ES"/>
      </w:rPr>
      <w:t xml:space="preserve">        </w:t>
    </w:r>
    <w:r w:rsidR="00810B0F">
      <w:rPr>
        <w:lang w:val="es-ES"/>
      </w:rPr>
      <w:t xml:space="preserve">INFORME DE FISCALIZACIÓN </w:t>
    </w:r>
    <w:r w:rsidR="00807286">
      <w:rPr>
        <w:lang w:val="es-ES"/>
      </w:rPr>
      <w:t>sobre e</w:t>
    </w:r>
    <w:r w:rsidR="00810B0F">
      <w:rPr>
        <w:lang w:val="es-ES"/>
      </w:rPr>
      <w:t>LARRENDAMIENTO DEL CIRCUITO DE NAVARRA</w:t>
    </w:r>
  </w:p>
  <w:p w14:paraId="4481F140" w14:textId="77777777" w:rsidR="006E5C76" w:rsidRPr="00D53414" w:rsidRDefault="006E5C76" w:rsidP="00D53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028"/>
    <w:multiLevelType w:val="hybridMultilevel"/>
    <w:tmpl w:val="EE000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60C372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15:restartNumberingAfterBreak="0">
    <w:nsid w:val="078E0D07"/>
    <w:multiLevelType w:val="hybridMultilevel"/>
    <w:tmpl w:val="0B3077C8"/>
    <w:lvl w:ilvl="0" w:tplc="0C0A0001">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C70245"/>
    <w:multiLevelType w:val="hybridMultilevel"/>
    <w:tmpl w:val="9ACADF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AAD304B"/>
    <w:multiLevelType w:val="hybridMultilevel"/>
    <w:tmpl w:val="78B2D7B4"/>
    <w:lvl w:ilvl="0" w:tplc="0C0A0001">
      <w:start w:val="1"/>
      <w:numFmt w:val="bullet"/>
      <w:lvlText w:val=""/>
      <w:lvlJc w:val="left"/>
      <w:pPr>
        <w:ind w:left="1080" w:hanging="360"/>
      </w:pPr>
      <w:rPr>
        <w:rFonts w:ascii="Symbol" w:hAnsi="Symbol" w:hint="default"/>
      </w:rPr>
    </w:lvl>
    <w:lvl w:ilvl="1" w:tplc="0C0A0017">
      <w:start w:val="1"/>
      <w:numFmt w:val="lowerLetter"/>
      <w:lvlText w:val="%2)"/>
      <w:lvlJc w:val="left"/>
      <w:pPr>
        <w:ind w:left="1800" w:hanging="360"/>
      </w:pPr>
      <w:rPr>
        <w:rFonts w:hint="default"/>
      </w:rPr>
    </w:lvl>
    <w:lvl w:ilvl="2" w:tplc="B33EEC96">
      <w:start w:val="4"/>
      <w:numFmt w:val="bullet"/>
      <w:lvlText w:val="-"/>
      <w:lvlJc w:val="left"/>
      <w:pPr>
        <w:ind w:left="2520" w:hanging="360"/>
      </w:pPr>
      <w:rPr>
        <w:rFonts w:ascii="Times New Roman" w:eastAsia="Times New Roman" w:hAnsi="Times New Roman" w:cs="Times New Roman"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C2F07E2"/>
    <w:multiLevelType w:val="hybridMultilevel"/>
    <w:tmpl w:val="3BBE3358"/>
    <w:lvl w:ilvl="0" w:tplc="0C0A0017">
      <w:start w:val="1"/>
      <w:numFmt w:val="lowerLetter"/>
      <w:lvlText w:val="%1)"/>
      <w:lvlJc w:val="left"/>
      <w:pPr>
        <w:ind w:left="1004" w:hanging="360"/>
      </w:pPr>
      <w:rPr>
        <w:rFont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15:restartNumberingAfterBreak="0">
    <w:nsid w:val="16EE67D0"/>
    <w:multiLevelType w:val="hybridMultilevel"/>
    <w:tmpl w:val="061A59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A50225E"/>
    <w:multiLevelType w:val="hybridMultilevel"/>
    <w:tmpl w:val="DCE62680"/>
    <w:lvl w:ilvl="0" w:tplc="F50A19D2">
      <w:start w:val="46"/>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C273720"/>
    <w:multiLevelType w:val="hybridMultilevel"/>
    <w:tmpl w:val="B0C028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C900677"/>
    <w:multiLevelType w:val="hybridMultilevel"/>
    <w:tmpl w:val="5FCCAF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DA44BC4"/>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 w15:restartNumberingAfterBreak="0">
    <w:nsid w:val="20AB67C7"/>
    <w:multiLevelType w:val="hybridMultilevel"/>
    <w:tmpl w:val="5B7CF64A"/>
    <w:lvl w:ilvl="0" w:tplc="DA2AFB2A">
      <w:start w:val="1"/>
      <w:numFmt w:val="bullet"/>
      <w:lvlText w:val=""/>
      <w:lvlJc w:val="left"/>
      <w:pPr>
        <w:ind w:left="360"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3EE18F2"/>
    <w:multiLevelType w:val="hybridMultilevel"/>
    <w:tmpl w:val="AEE05A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5EC7860"/>
    <w:multiLevelType w:val="hybridMultilevel"/>
    <w:tmpl w:val="FD6A5E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357516C"/>
    <w:multiLevelType w:val="hybridMultilevel"/>
    <w:tmpl w:val="4B74183C"/>
    <w:lvl w:ilvl="0" w:tplc="39ACD2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E50B60"/>
    <w:multiLevelType w:val="hybridMultilevel"/>
    <w:tmpl w:val="F1C6EF2C"/>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37D64A5A"/>
    <w:multiLevelType w:val="hybridMultilevel"/>
    <w:tmpl w:val="990E2EF4"/>
    <w:lvl w:ilvl="0" w:tplc="96F84780">
      <w:start w:val="1"/>
      <w:numFmt w:val="lowerLetter"/>
      <w:lvlText w:val="%1)"/>
      <w:lvlJc w:val="left"/>
      <w:pPr>
        <w:ind w:left="1003" w:hanging="360"/>
      </w:pPr>
      <w:rPr>
        <w:rFonts w:hint="default"/>
        <w:b w:val="0"/>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9" w15:restartNumberingAfterBreak="0">
    <w:nsid w:val="3B752E78"/>
    <w:multiLevelType w:val="hybridMultilevel"/>
    <w:tmpl w:val="C5944D64"/>
    <w:lvl w:ilvl="0" w:tplc="0C0A0011">
      <w:start w:val="1"/>
      <w:numFmt w:val="decimal"/>
      <w:lvlText w:val="%1)"/>
      <w:lvlJc w:val="left"/>
      <w:pPr>
        <w:ind w:left="2140"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20" w15:restartNumberingAfterBreak="0">
    <w:nsid w:val="3C8336F3"/>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1" w15:restartNumberingAfterBreak="0">
    <w:nsid w:val="3ECB370B"/>
    <w:multiLevelType w:val="hybridMultilevel"/>
    <w:tmpl w:val="E6A04D7C"/>
    <w:lvl w:ilvl="0" w:tplc="0C0A0001">
      <w:start w:val="1"/>
      <w:numFmt w:val="bullet"/>
      <w:lvlText w:val=""/>
      <w:lvlJc w:val="left"/>
      <w:pPr>
        <w:ind w:left="1145" w:hanging="360"/>
      </w:pPr>
      <w:rPr>
        <w:rFonts w:ascii="Symbol" w:hAnsi="Symbol" w:hint="default"/>
      </w:rPr>
    </w:lvl>
    <w:lvl w:ilvl="1" w:tplc="0C0A0017">
      <w:start w:val="1"/>
      <w:numFmt w:val="lowerLetter"/>
      <w:lvlText w:val="%2)"/>
      <w:lvlJc w:val="left"/>
      <w:pPr>
        <w:ind w:left="1865" w:hanging="360"/>
      </w:pPr>
      <w:rPr>
        <w:rFonts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2" w15:restartNumberingAfterBreak="0">
    <w:nsid w:val="41616E7B"/>
    <w:multiLevelType w:val="hybridMultilevel"/>
    <w:tmpl w:val="6E5E7B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46E6C6F"/>
    <w:multiLevelType w:val="hybridMultilevel"/>
    <w:tmpl w:val="F6DCEDC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447E6A3F"/>
    <w:multiLevelType w:val="hybridMultilevel"/>
    <w:tmpl w:val="BCF45C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465561EC"/>
    <w:multiLevelType w:val="hybridMultilevel"/>
    <w:tmpl w:val="4E2A10DC"/>
    <w:lvl w:ilvl="0" w:tplc="0C0A0017">
      <w:start w:val="1"/>
      <w:numFmt w:val="lowerLetter"/>
      <w:lvlText w:val="%1)"/>
      <w:lvlJc w:val="left"/>
      <w:pPr>
        <w:ind w:left="1003" w:hanging="360"/>
      </w:pPr>
      <w:rPr>
        <w:rFonts w:hint="default"/>
        <w:color w:val="auto"/>
      </w:rPr>
    </w:lvl>
    <w:lvl w:ilvl="1" w:tplc="0C0A0017">
      <w:start w:val="1"/>
      <w:numFmt w:val="lowerLetter"/>
      <w:lvlText w:val="%2)"/>
      <w:lvlJc w:val="left"/>
      <w:pPr>
        <w:ind w:left="2367" w:hanging="360"/>
      </w:pPr>
      <w:rPr>
        <w:rFonts w:hint="default"/>
      </w:rPr>
    </w:lvl>
    <w:lvl w:ilvl="2" w:tplc="24FC36C2">
      <w:start w:val="1"/>
      <w:numFmt w:val="decimal"/>
      <w:lvlText w:val="%3."/>
      <w:lvlJc w:val="left"/>
      <w:pPr>
        <w:ind w:left="3087" w:hanging="360"/>
      </w:pPr>
      <w:rPr>
        <w:rFont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6" w15:restartNumberingAfterBreak="0">
    <w:nsid w:val="4A305662"/>
    <w:multiLevelType w:val="hybridMultilevel"/>
    <w:tmpl w:val="6044767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4A5D049F"/>
    <w:multiLevelType w:val="hybridMultilevel"/>
    <w:tmpl w:val="4464472C"/>
    <w:lvl w:ilvl="0" w:tplc="B4DC08B6">
      <w:start w:val="1"/>
      <w:numFmt w:val="lowerLetter"/>
      <w:lvlText w:val="%1)"/>
      <w:lvlJc w:val="left"/>
      <w:pPr>
        <w:ind w:left="1353" w:hanging="360"/>
      </w:pPr>
      <w:rPr>
        <w:rFont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4CAB0F80"/>
    <w:multiLevelType w:val="hybridMultilevel"/>
    <w:tmpl w:val="685E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37051A"/>
    <w:multiLevelType w:val="hybridMultilevel"/>
    <w:tmpl w:val="F0A0DEEA"/>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0" w15:restartNumberingAfterBreak="0">
    <w:nsid w:val="55487EB4"/>
    <w:multiLevelType w:val="hybridMultilevel"/>
    <w:tmpl w:val="26421CE6"/>
    <w:lvl w:ilvl="0" w:tplc="0C0A0017">
      <w:start w:val="1"/>
      <w:numFmt w:val="lowerLetter"/>
      <w:lvlText w:val="%1)"/>
      <w:lvlJc w:val="left"/>
      <w:pPr>
        <w:ind w:left="720" w:hanging="360"/>
      </w:pPr>
      <w:rPr>
        <w:rFonts w:hint="default"/>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1" w15:restartNumberingAfterBreak="0">
    <w:nsid w:val="58917C68"/>
    <w:multiLevelType w:val="hybridMultilevel"/>
    <w:tmpl w:val="E06AC546"/>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8E8769A"/>
    <w:multiLevelType w:val="hybridMultilevel"/>
    <w:tmpl w:val="1D861E8C"/>
    <w:lvl w:ilvl="0" w:tplc="565693B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44B5128"/>
    <w:multiLevelType w:val="singleLevel"/>
    <w:tmpl w:val="F50A19D2"/>
    <w:lvl w:ilvl="0">
      <w:start w:val="46"/>
      <w:numFmt w:val="bullet"/>
      <w:lvlText w:val=""/>
      <w:lvlJc w:val="left"/>
      <w:pPr>
        <w:tabs>
          <w:tab w:val="num" w:pos="560"/>
        </w:tabs>
        <w:ind w:left="30" w:firstLine="170"/>
      </w:pPr>
      <w:rPr>
        <w:rFonts w:ascii="Wingdings" w:hAnsi="Wingdings" w:hint="default"/>
      </w:rPr>
    </w:lvl>
  </w:abstractNum>
  <w:abstractNum w:abstractNumId="34" w15:restartNumberingAfterBreak="0">
    <w:nsid w:val="65484046"/>
    <w:multiLevelType w:val="hybridMultilevel"/>
    <w:tmpl w:val="1C065ED4"/>
    <w:lvl w:ilvl="0" w:tplc="38E4CA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A51B8E"/>
    <w:multiLevelType w:val="hybridMultilevel"/>
    <w:tmpl w:val="26421CE6"/>
    <w:lvl w:ilvl="0" w:tplc="0C0A0017">
      <w:start w:val="1"/>
      <w:numFmt w:val="lowerLetter"/>
      <w:lvlText w:val="%1)"/>
      <w:lvlJc w:val="left"/>
      <w:pPr>
        <w:ind w:left="1069" w:hanging="360"/>
      </w:pPr>
      <w:rPr>
        <w:rFonts w:hint="default"/>
        <w:color w:val="auto"/>
      </w:rPr>
    </w:lvl>
    <w:lvl w:ilvl="1" w:tplc="0C0A0017">
      <w:start w:val="1"/>
      <w:numFmt w:val="lowerLetter"/>
      <w:lvlText w:val="%2)"/>
      <w:lvlJc w:val="left"/>
      <w:pPr>
        <w:ind w:left="2433" w:hanging="360"/>
      </w:pPr>
      <w:rPr>
        <w:rFonts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6" w15:restartNumberingAfterBreak="0">
    <w:nsid w:val="6A5207BB"/>
    <w:multiLevelType w:val="hybridMultilevel"/>
    <w:tmpl w:val="6F1CFB74"/>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DF808AC"/>
    <w:multiLevelType w:val="hybridMultilevel"/>
    <w:tmpl w:val="BB4E3E4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15:restartNumberingAfterBreak="0">
    <w:nsid w:val="700D0087"/>
    <w:multiLevelType w:val="hybridMultilevel"/>
    <w:tmpl w:val="EDA69948"/>
    <w:lvl w:ilvl="0" w:tplc="267481DA">
      <w:numFmt w:val="bullet"/>
      <w:lvlText w:val="-"/>
      <w:lvlJc w:val="left"/>
      <w:pPr>
        <w:ind w:left="4339" w:hanging="360"/>
      </w:pPr>
      <w:rPr>
        <w:rFonts w:ascii="Times New Roman" w:eastAsia="Times New Roman" w:hAnsi="Times New Roman" w:cs="Times New Roman" w:hint="default"/>
      </w:rPr>
    </w:lvl>
    <w:lvl w:ilvl="1" w:tplc="0C0A0003" w:tentative="1">
      <w:start w:val="1"/>
      <w:numFmt w:val="bullet"/>
      <w:lvlText w:val="o"/>
      <w:lvlJc w:val="left"/>
      <w:pPr>
        <w:ind w:left="5059" w:hanging="360"/>
      </w:pPr>
      <w:rPr>
        <w:rFonts w:ascii="Courier New" w:hAnsi="Courier New" w:cs="Courier New" w:hint="default"/>
      </w:rPr>
    </w:lvl>
    <w:lvl w:ilvl="2" w:tplc="0C0A0005" w:tentative="1">
      <w:start w:val="1"/>
      <w:numFmt w:val="bullet"/>
      <w:lvlText w:val=""/>
      <w:lvlJc w:val="left"/>
      <w:pPr>
        <w:ind w:left="5779" w:hanging="360"/>
      </w:pPr>
      <w:rPr>
        <w:rFonts w:ascii="Wingdings" w:hAnsi="Wingdings" w:hint="default"/>
      </w:rPr>
    </w:lvl>
    <w:lvl w:ilvl="3" w:tplc="0C0A0001" w:tentative="1">
      <w:start w:val="1"/>
      <w:numFmt w:val="bullet"/>
      <w:lvlText w:val=""/>
      <w:lvlJc w:val="left"/>
      <w:pPr>
        <w:ind w:left="6499" w:hanging="360"/>
      </w:pPr>
      <w:rPr>
        <w:rFonts w:ascii="Symbol" w:hAnsi="Symbol" w:hint="default"/>
      </w:rPr>
    </w:lvl>
    <w:lvl w:ilvl="4" w:tplc="0C0A0003" w:tentative="1">
      <w:start w:val="1"/>
      <w:numFmt w:val="bullet"/>
      <w:lvlText w:val="o"/>
      <w:lvlJc w:val="left"/>
      <w:pPr>
        <w:ind w:left="7219" w:hanging="360"/>
      </w:pPr>
      <w:rPr>
        <w:rFonts w:ascii="Courier New" w:hAnsi="Courier New" w:cs="Courier New" w:hint="default"/>
      </w:rPr>
    </w:lvl>
    <w:lvl w:ilvl="5" w:tplc="0C0A0005" w:tentative="1">
      <w:start w:val="1"/>
      <w:numFmt w:val="bullet"/>
      <w:lvlText w:val=""/>
      <w:lvlJc w:val="left"/>
      <w:pPr>
        <w:ind w:left="7939" w:hanging="360"/>
      </w:pPr>
      <w:rPr>
        <w:rFonts w:ascii="Wingdings" w:hAnsi="Wingdings" w:hint="default"/>
      </w:rPr>
    </w:lvl>
    <w:lvl w:ilvl="6" w:tplc="0C0A0001" w:tentative="1">
      <w:start w:val="1"/>
      <w:numFmt w:val="bullet"/>
      <w:lvlText w:val=""/>
      <w:lvlJc w:val="left"/>
      <w:pPr>
        <w:ind w:left="8659" w:hanging="360"/>
      </w:pPr>
      <w:rPr>
        <w:rFonts w:ascii="Symbol" w:hAnsi="Symbol" w:hint="default"/>
      </w:rPr>
    </w:lvl>
    <w:lvl w:ilvl="7" w:tplc="0C0A0003" w:tentative="1">
      <w:start w:val="1"/>
      <w:numFmt w:val="bullet"/>
      <w:lvlText w:val="o"/>
      <w:lvlJc w:val="left"/>
      <w:pPr>
        <w:ind w:left="9379" w:hanging="360"/>
      </w:pPr>
      <w:rPr>
        <w:rFonts w:ascii="Courier New" w:hAnsi="Courier New" w:cs="Courier New" w:hint="default"/>
      </w:rPr>
    </w:lvl>
    <w:lvl w:ilvl="8" w:tplc="0C0A0005" w:tentative="1">
      <w:start w:val="1"/>
      <w:numFmt w:val="bullet"/>
      <w:lvlText w:val=""/>
      <w:lvlJc w:val="left"/>
      <w:pPr>
        <w:ind w:left="10099" w:hanging="360"/>
      </w:pPr>
      <w:rPr>
        <w:rFonts w:ascii="Wingdings" w:hAnsi="Wingdings" w:hint="default"/>
      </w:rPr>
    </w:lvl>
  </w:abstractNum>
  <w:abstractNum w:abstractNumId="39" w15:restartNumberingAfterBreak="0">
    <w:nsid w:val="70467F8A"/>
    <w:multiLevelType w:val="hybridMultilevel"/>
    <w:tmpl w:val="65525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2823179"/>
    <w:multiLevelType w:val="hybridMultilevel"/>
    <w:tmpl w:val="640696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74A062AE"/>
    <w:multiLevelType w:val="hybridMultilevel"/>
    <w:tmpl w:val="8A845238"/>
    <w:lvl w:ilvl="0" w:tplc="0C0A0001">
      <w:start w:val="1"/>
      <w:numFmt w:val="bullet"/>
      <w:lvlText w:val=""/>
      <w:lvlJc w:val="left"/>
      <w:pPr>
        <w:ind w:left="1004" w:hanging="360"/>
      </w:pPr>
      <w:rPr>
        <w:rFonts w:ascii="Symbol" w:hAnsi="Symbol" w:hint="default"/>
      </w:rPr>
    </w:lvl>
    <w:lvl w:ilvl="1" w:tplc="82AEF1E8">
      <w:start w:val="1"/>
      <w:numFmt w:val="decimal"/>
      <w:lvlText w:val="%2."/>
      <w:lvlJc w:val="left"/>
      <w:pPr>
        <w:ind w:left="1724" w:hanging="360"/>
      </w:pPr>
      <w:rPr>
        <w:rFonts w:ascii="Times New Roman" w:eastAsia="Times New Roman" w:hAnsi="Times New Roman" w:cs="Times New Roman"/>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76D87BC2"/>
    <w:multiLevelType w:val="hybridMultilevel"/>
    <w:tmpl w:val="4C5A8886"/>
    <w:lvl w:ilvl="0" w:tplc="F99EAFF2">
      <w:start w:val="1"/>
      <w:numFmt w:val="lowerLetter"/>
      <w:lvlText w:val="%1)"/>
      <w:lvlJc w:val="left"/>
      <w:pPr>
        <w:ind w:left="720" w:hanging="360"/>
      </w:pPr>
      <w:rPr>
        <w:rFonts w:hint="default"/>
        <w:b w:val="0"/>
        <w:color w:val="auto"/>
      </w:rPr>
    </w:lvl>
    <w:lvl w:ilvl="1" w:tplc="0C0A0017">
      <w:start w:val="1"/>
      <w:numFmt w:val="lowerLetter"/>
      <w:lvlText w:val="%2)"/>
      <w:lvlJc w:val="left"/>
      <w:pPr>
        <w:ind w:left="2084" w:hanging="360"/>
      </w:pPr>
      <w:rPr>
        <w:rFonts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3" w15:restartNumberingAfterBreak="0">
    <w:nsid w:val="7B19405B"/>
    <w:multiLevelType w:val="hybridMultilevel"/>
    <w:tmpl w:val="2BDCEB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13"/>
  </w:num>
  <w:num w:numId="4">
    <w:abstractNumId w:val="17"/>
  </w:num>
  <w:num w:numId="5">
    <w:abstractNumId w:val="27"/>
  </w:num>
  <w:num w:numId="6">
    <w:abstractNumId w:val="32"/>
  </w:num>
  <w:num w:numId="7">
    <w:abstractNumId w:val="21"/>
  </w:num>
  <w:num w:numId="8">
    <w:abstractNumId w:val="41"/>
  </w:num>
  <w:num w:numId="9">
    <w:abstractNumId w:val="31"/>
  </w:num>
  <w:num w:numId="10">
    <w:abstractNumId w:val="4"/>
  </w:num>
  <w:num w:numId="11">
    <w:abstractNumId w:val="37"/>
  </w:num>
  <w:num w:numId="12">
    <w:abstractNumId w:val="11"/>
  </w:num>
  <w:num w:numId="13">
    <w:abstractNumId w:val="19"/>
  </w:num>
  <w:num w:numId="14">
    <w:abstractNumId w:val="22"/>
  </w:num>
  <w:num w:numId="15">
    <w:abstractNumId w:val="9"/>
  </w:num>
  <w:num w:numId="16">
    <w:abstractNumId w:val="23"/>
  </w:num>
  <w:num w:numId="17">
    <w:abstractNumId w:val="25"/>
  </w:num>
  <w:num w:numId="18">
    <w:abstractNumId w:val="2"/>
  </w:num>
  <w:num w:numId="19">
    <w:abstractNumId w:val="6"/>
  </w:num>
  <w:num w:numId="20">
    <w:abstractNumId w:val="24"/>
  </w:num>
  <w:num w:numId="21">
    <w:abstractNumId w:val="28"/>
  </w:num>
  <w:num w:numId="22">
    <w:abstractNumId w:val="33"/>
  </w:num>
  <w:num w:numId="23">
    <w:abstractNumId w:val="26"/>
  </w:num>
  <w:num w:numId="24">
    <w:abstractNumId w:val="35"/>
  </w:num>
  <w:num w:numId="25">
    <w:abstractNumId w:val="30"/>
  </w:num>
  <w:num w:numId="26">
    <w:abstractNumId w:val="12"/>
  </w:num>
  <w:num w:numId="27">
    <w:abstractNumId w:val="18"/>
  </w:num>
  <w:num w:numId="28">
    <w:abstractNumId w:val="39"/>
  </w:num>
  <w:num w:numId="29">
    <w:abstractNumId w:val="43"/>
  </w:num>
  <w:num w:numId="30">
    <w:abstractNumId w:val="8"/>
  </w:num>
  <w:num w:numId="31">
    <w:abstractNumId w:val="0"/>
  </w:num>
  <w:num w:numId="32">
    <w:abstractNumId w:val="14"/>
  </w:num>
  <w:num w:numId="33">
    <w:abstractNumId w:val="10"/>
  </w:num>
  <w:num w:numId="34">
    <w:abstractNumId w:val="42"/>
  </w:num>
  <w:num w:numId="35">
    <w:abstractNumId w:val="15"/>
  </w:num>
  <w:num w:numId="36">
    <w:abstractNumId w:val="29"/>
  </w:num>
  <w:num w:numId="37">
    <w:abstractNumId w:val="20"/>
  </w:num>
  <w:num w:numId="38">
    <w:abstractNumId w:val="34"/>
  </w:num>
  <w:num w:numId="39">
    <w:abstractNumId w:val="38"/>
  </w:num>
  <w:num w:numId="40">
    <w:abstractNumId w:val="36"/>
  </w:num>
  <w:num w:numId="41">
    <w:abstractNumId w:val="3"/>
  </w:num>
  <w:num w:numId="42">
    <w:abstractNumId w:val="1"/>
  </w:num>
  <w:num w:numId="43">
    <w:abstractNumId w:val="5"/>
  </w:num>
  <w:num w:numId="4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1F"/>
    <w:rsid w:val="000018CB"/>
    <w:rsid w:val="000019D8"/>
    <w:rsid w:val="000031FC"/>
    <w:rsid w:val="000064BD"/>
    <w:rsid w:val="00006736"/>
    <w:rsid w:val="00006A97"/>
    <w:rsid w:val="0000758E"/>
    <w:rsid w:val="0001123B"/>
    <w:rsid w:val="00012A7F"/>
    <w:rsid w:val="00017A3A"/>
    <w:rsid w:val="000229B5"/>
    <w:rsid w:val="00026B26"/>
    <w:rsid w:val="00034826"/>
    <w:rsid w:val="00036E42"/>
    <w:rsid w:val="00041DEC"/>
    <w:rsid w:val="00041F22"/>
    <w:rsid w:val="0004218B"/>
    <w:rsid w:val="00042EB6"/>
    <w:rsid w:val="0004336A"/>
    <w:rsid w:val="0004373B"/>
    <w:rsid w:val="000448FA"/>
    <w:rsid w:val="00045EE8"/>
    <w:rsid w:val="0005073A"/>
    <w:rsid w:val="00051169"/>
    <w:rsid w:val="00053A42"/>
    <w:rsid w:val="0005517D"/>
    <w:rsid w:val="00060CA6"/>
    <w:rsid w:val="0006133D"/>
    <w:rsid w:val="000619E4"/>
    <w:rsid w:val="00062F2D"/>
    <w:rsid w:val="00063585"/>
    <w:rsid w:val="000673EF"/>
    <w:rsid w:val="00071476"/>
    <w:rsid w:val="00071CD0"/>
    <w:rsid w:val="00075692"/>
    <w:rsid w:val="00076E53"/>
    <w:rsid w:val="00077BAF"/>
    <w:rsid w:val="000805AD"/>
    <w:rsid w:val="00080605"/>
    <w:rsid w:val="00087B8D"/>
    <w:rsid w:val="00093D67"/>
    <w:rsid w:val="00093E60"/>
    <w:rsid w:val="000952A1"/>
    <w:rsid w:val="00095923"/>
    <w:rsid w:val="00096452"/>
    <w:rsid w:val="000A0146"/>
    <w:rsid w:val="000A18B7"/>
    <w:rsid w:val="000A2C1E"/>
    <w:rsid w:val="000A4697"/>
    <w:rsid w:val="000A7C86"/>
    <w:rsid w:val="000B10AB"/>
    <w:rsid w:val="000B1CAC"/>
    <w:rsid w:val="000B224A"/>
    <w:rsid w:val="000B2728"/>
    <w:rsid w:val="000B3943"/>
    <w:rsid w:val="000B4477"/>
    <w:rsid w:val="000B4AB2"/>
    <w:rsid w:val="000B7D38"/>
    <w:rsid w:val="000C0704"/>
    <w:rsid w:val="000C101A"/>
    <w:rsid w:val="000C2B07"/>
    <w:rsid w:val="000C2E09"/>
    <w:rsid w:val="000C39CC"/>
    <w:rsid w:val="000C4267"/>
    <w:rsid w:val="000C7566"/>
    <w:rsid w:val="000D0395"/>
    <w:rsid w:val="000D06B5"/>
    <w:rsid w:val="000D12D8"/>
    <w:rsid w:val="000D188E"/>
    <w:rsid w:val="000D226E"/>
    <w:rsid w:val="000D341C"/>
    <w:rsid w:val="000D36FA"/>
    <w:rsid w:val="000D3B1F"/>
    <w:rsid w:val="000D4C33"/>
    <w:rsid w:val="000D5335"/>
    <w:rsid w:val="000D5882"/>
    <w:rsid w:val="000D7E96"/>
    <w:rsid w:val="000E13BC"/>
    <w:rsid w:val="000E7B86"/>
    <w:rsid w:val="000F200C"/>
    <w:rsid w:val="000F2B66"/>
    <w:rsid w:val="000F3D83"/>
    <w:rsid w:val="000F501B"/>
    <w:rsid w:val="000F73F0"/>
    <w:rsid w:val="000F7C5F"/>
    <w:rsid w:val="00100F12"/>
    <w:rsid w:val="00103589"/>
    <w:rsid w:val="001045C9"/>
    <w:rsid w:val="0010543A"/>
    <w:rsid w:val="00107CC1"/>
    <w:rsid w:val="00107D77"/>
    <w:rsid w:val="001105F6"/>
    <w:rsid w:val="00110B31"/>
    <w:rsid w:val="00111A92"/>
    <w:rsid w:val="00113389"/>
    <w:rsid w:val="001145C3"/>
    <w:rsid w:val="001161D2"/>
    <w:rsid w:val="00116A75"/>
    <w:rsid w:val="00116F30"/>
    <w:rsid w:val="00116F8B"/>
    <w:rsid w:val="001175BF"/>
    <w:rsid w:val="00117CBE"/>
    <w:rsid w:val="00120C90"/>
    <w:rsid w:val="00121B91"/>
    <w:rsid w:val="00121D84"/>
    <w:rsid w:val="00124987"/>
    <w:rsid w:val="00130A37"/>
    <w:rsid w:val="00131DF1"/>
    <w:rsid w:val="00132C38"/>
    <w:rsid w:val="00133984"/>
    <w:rsid w:val="00135F74"/>
    <w:rsid w:val="0013627E"/>
    <w:rsid w:val="0013657A"/>
    <w:rsid w:val="001365C4"/>
    <w:rsid w:val="001411A1"/>
    <w:rsid w:val="0014139E"/>
    <w:rsid w:val="0014147D"/>
    <w:rsid w:val="0014151D"/>
    <w:rsid w:val="001415BF"/>
    <w:rsid w:val="00141D29"/>
    <w:rsid w:val="001431E6"/>
    <w:rsid w:val="00144B6B"/>
    <w:rsid w:val="0014506A"/>
    <w:rsid w:val="0014728F"/>
    <w:rsid w:val="00147536"/>
    <w:rsid w:val="0015183C"/>
    <w:rsid w:val="001521A2"/>
    <w:rsid w:val="00152358"/>
    <w:rsid w:val="001544CC"/>
    <w:rsid w:val="00155BFF"/>
    <w:rsid w:val="00157A17"/>
    <w:rsid w:val="00160F66"/>
    <w:rsid w:val="001633AF"/>
    <w:rsid w:val="00163A90"/>
    <w:rsid w:val="001645CE"/>
    <w:rsid w:val="00166644"/>
    <w:rsid w:val="00166A6C"/>
    <w:rsid w:val="0017052E"/>
    <w:rsid w:val="00173EDD"/>
    <w:rsid w:val="0017402B"/>
    <w:rsid w:val="001741DD"/>
    <w:rsid w:val="00175CE7"/>
    <w:rsid w:val="00176E97"/>
    <w:rsid w:val="00181D37"/>
    <w:rsid w:val="00182575"/>
    <w:rsid w:val="001830DF"/>
    <w:rsid w:val="001835B7"/>
    <w:rsid w:val="00183D11"/>
    <w:rsid w:val="0018426B"/>
    <w:rsid w:val="0018460C"/>
    <w:rsid w:val="001852E3"/>
    <w:rsid w:val="00185A37"/>
    <w:rsid w:val="001876FF"/>
    <w:rsid w:val="00193C6B"/>
    <w:rsid w:val="00194309"/>
    <w:rsid w:val="0019660E"/>
    <w:rsid w:val="001A0F7D"/>
    <w:rsid w:val="001A427D"/>
    <w:rsid w:val="001A588B"/>
    <w:rsid w:val="001B06DD"/>
    <w:rsid w:val="001B184D"/>
    <w:rsid w:val="001B1E68"/>
    <w:rsid w:val="001B2E34"/>
    <w:rsid w:val="001B39E2"/>
    <w:rsid w:val="001C0F14"/>
    <w:rsid w:val="001C1035"/>
    <w:rsid w:val="001C13E9"/>
    <w:rsid w:val="001C2B26"/>
    <w:rsid w:val="001C3A32"/>
    <w:rsid w:val="001C5783"/>
    <w:rsid w:val="001C64DC"/>
    <w:rsid w:val="001D0224"/>
    <w:rsid w:val="001D0C96"/>
    <w:rsid w:val="001D2D2A"/>
    <w:rsid w:val="001D4F09"/>
    <w:rsid w:val="001D5E79"/>
    <w:rsid w:val="001D6360"/>
    <w:rsid w:val="001D6E01"/>
    <w:rsid w:val="001E0083"/>
    <w:rsid w:val="001E0DAC"/>
    <w:rsid w:val="001E48B3"/>
    <w:rsid w:val="001E683C"/>
    <w:rsid w:val="001E7185"/>
    <w:rsid w:val="001E7F16"/>
    <w:rsid w:val="001F033A"/>
    <w:rsid w:val="001F055D"/>
    <w:rsid w:val="001F1482"/>
    <w:rsid w:val="001F1885"/>
    <w:rsid w:val="001F2074"/>
    <w:rsid w:val="001F20D7"/>
    <w:rsid w:val="001F4AFD"/>
    <w:rsid w:val="001F7744"/>
    <w:rsid w:val="00200616"/>
    <w:rsid w:val="002014EB"/>
    <w:rsid w:val="00202B1A"/>
    <w:rsid w:val="00204979"/>
    <w:rsid w:val="00204A17"/>
    <w:rsid w:val="00204CBC"/>
    <w:rsid w:val="00205444"/>
    <w:rsid w:val="00211D69"/>
    <w:rsid w:val="00212953"/>
    <w:rsid w:val="002179DB"/>
    <w:rsid w:val="00221FDE"/>
    <w:rsid w:val="00222CEA"/>
    <w:rsid w:val="00224154"/>
    <w:rsid w:val="002255DB"/>
    <w:rsid w:val="00227E48"/>
    <w:rsid w:val="002303C7"/>
    <w:rsid w:val="00230577"/>
    <w:rsid w:val="00230906"/>
    <w:rsid w:val="0023209D"/>
    <w:rsid w:val="002333F8"/>
    <w:rsid w:val="00233D79"/>
    <w:rsid w:val="00234768"/>
    <w:rsid w:val="00234873"/>
    <w:rsid w:val="0023701D"/>
    <w:rsid w:val="00237657"/>
    <w:rsid w:val="00240BB7"/>
    <w:rsid w:val="002422F8"/>
    <w:rsid w:val="00242BA7"/>
    <w:rsid w:val="002437B5"/>
    <w:rsid w:val="00244E6D"/>
    <w:rsid w:val="00244EF1"/>
    <w:rsid w:val="00245EA5"/>
    <w:rsid w:val="00246F21"/>
    <w:rsid w:val="00250C42"/>
    <w:rsid w:val="00252C64"/>
    <w:rsid w:val="00253E78"/>
    <w:rsid w:val="00256864"/>
    <w:rsid w:val="0026029F"/>
    <w:rsid w:val="00260B8C"/>
    <w:rsid w:val="0026237E"/>
    <w:rsid w:val="00262C3C"/>
    <w:rsid w:val="00264C88"/>
    <w:rsid w:val="0026532C"/>
    <w:rsid w:val="0026575D"/>
    <w:rsid w:val="002705B0"/>
    <w:rsid w:val="002717A6"/>
    <w:rsid w:val="00271B66"/>
    <w:rsid w:val="00272015"/>
    <w:rsid w:val="002736FB"/>
    <w:rsid w:val="00273C10"/>
    <w:rsid w:val="00273E51"/>
    <w:rsid w:val="002740D1"/>
    <w:rsid w:val="00274B4C"/>
    <w:rsid w:val="00276264"/>
    <w:rsid w:val="00281DCA"/>
    <w:rsid w:val="00281DD2"/>
    <w:rsid w:val="0029315C"/>
    <w:rsid w:val="00293A42"/>
    <w:rsid w:val="0029519E"/>
    <w:rsid w:val="002975A2"/>
    <w:rsid w:val="00297B04"/>
    <w:rsid w:val="00297C93"/>
    <w:rsid w:val="00297EA4"/>
    <w:rsid w:val="002A012B"/>
    <w:rsid w:val="002A056C"/>
    <w:rsid w:val="002A1AE8"/>
    <w:rsid w:val="002A3F74"/>
    <w:rsid w:val="002A48A3"/>
    <w:rsid w:val="002A540A"/>
    <w:rsid w:val="002A66A5"/>
    <w:rsid w:val="002A6EBB"/>
    <w:rsid w:val="002B21E9"/>
    <w:rsid w:val="002B2B87"/>
    <w:rsid w:val="002B4B24"/>
    <w:rsid w:val="002B4E0F"/>
    <w:rsid w:val="002B5754"/>
    <w:rsid w:val="002C0A84"/>
    <w:rsid w:val="002C7026"/>
    <w:rsid w:val="002C7E08"/>
    <w:rsid w:val="002D089F"/>
    <w:rsid w:val="002D4F3F"/>
    <w:rsid w:val="002D5635"/>
    <w:rsid w:val="002D65E8"/>
    <w:rsid w:val="002D68BC"/>
    <w:rsid w:val="002D7D32"/>
    <w:rsid w:val="002D7EF7"/>
    <w:rsid w:val="002E0011"/>
    <w:rsid w:val="002E02E5"/>
    <w:rsid w:val="002E0478"/>
    <w:rsid w:val="002E0791"/>
    <w:rsid w:val="002E0A99"/>
    <w:rsid w:val="002E0DFC"/>
    <w:rsid w:val="002E115B"/>
    <w:rsid w:val="002E1B92"/>
    <w:rsid w:val="002E7B81"/>
    <w:rsid w:val="002F09FB"/>
    <w:rsid w:val="002F0B1C"/>
    <w:rsid w:val="002F0FE3"/>
    <w:rsid w:val="002F1AF0"/>
    <w:rsid w:val="002F2530"/>
    <w:rsid w:val="002F272A"/>
    <w:rsid w:val="002F3225"/>
    <w:rsid w:val="002F53B4"/>
    <w:rsid w:val="002F6E3F"/>
    <w:rsid w:val="002F76D6"/>
    <w:rsid w:val="00303506"/>
    <w:rsid w:val="0030446A"/>
    <w:rsid w:val="00307057"/>
    <w:rsid w:val="00312513"/>
    <w:rsid w:val="00312819"/>
    <w:rsid w:val="003128F2"/>
    <w:rsid w:val="00312E9C"/>
    <w:rsid w:val="003132AA"/>
    <w:rsid w:val="00313875"/>
    <w:rsid w:val="00313BFC"/>
    <w:rsid w:val="00315D75"/>
    <w:rsid w:val="0031677C"/>
    <w:rsid w:val="003203BF"/>
    <w:rsid w:val="00321369"/>
    <w:rsid w:val="00324EE1"/>
    <w:rsid w:val="003255CE"/>
    <w:rsid w:val="00325BD1"/>
    <w:rsid w:val="003305EA"/>
    <w:rsid w:val="00330787"/>
    <w:rsid w:val="00331458"/>
    <w:rsid w:val="00331F51"/>
    <w:rsid w:val="00332CE9"/>
    <w:rsid w:val="00335869"/>
    <w:rsid w:val="00335F77"/>
    <w:rsid w:val="00337493"/>
    <w:rsid w:val="0034285F"/>
    <w:rsid w:val="00344960"/>
    <w:rsid w:val="003464A4"/>
    <w:rsid w:val="003511CA"/>
    <w:rsid w:val="00351684"/>
    <w:rsid w:val="00354458"/>
    <w:rsid w:val="00356CE9"/>
    <w:rsid w:val="00360B03"/>
    <w:rsid w:val="00362C6E"/>
    <w:rsid w:val="00363653"/>
    <w:rsid w:val="0036509D"/>
    <w:rsid w:val="0036517C"/>
    <w:rsid w:val="003720B7"/>
    <w:rsid w:val="0037228C"/>
    <w:rsid w:val="00372318"/>
    <w:rsid w:val="00372D5B"/>
    <w:rsid w:val="003738FD"/>
    <w:rsid w:val="00374579"/>
    <w:rsid w:val="003769EA"/>
    <w:rsid w:val="003810BE"/>
    <w:rsid w:val="003838FC"/>
    <w:rsid w:val="00385353"/>
    <w:rsid w:val="00386807"/>
    <w:rsid w:val="00386F6C"/>
    <w:rsid w:val="003870E4"/>
    <w:rsid w:val="00387709"/>
    <w:rsid w:val="00387794"/>
    <w:rsid w:val="00392773"/>
    <w:rsid w:val="00392D6C"/>
    <w:rsid w:val="00392FC6"/>
    <w:rsid w:val="003932AF"/>
    <w:rsid w:val="00394FC9"/>
    <w:rsid w:val="0039615B"/>
    <w:rsid w:val="00397162"/>
    <w:rsid w:val="00397D2E"/>
    <w:rsid w:val="003A335E"/>
    <w:rsid w:val="003A3DD2"/>
    <w:rsid w:val="003A60FF"/>
    <w:rsid w:val="003A70C9"/>
    <w:rsid w:val="003B2E71"/>
    <w:rsid w:val="003B3573"/>
    <w:rsid w:val="003B44F5"/>
    <w:rsid w:val="003B5813"/>
    <w:rsid w:val="003B59ED"/>
    <w:rsid w:val="003B5CD0"/>
    <w:rsid w:val="003C03EA"/>
    <w:rsid w:val="003C0BBF"/>
    <w:rsid w:val="003C196B"/>
    <w:rsid w:val="003C2310"/>
    <w:rsid w:val="003C2D5C"/>
    <w:rsid w:val="003C354B"/>
    <w:rsid w:val="003C4080"/>
    <w:rsid w:val="003C6E1D"/>
    <w:rsid w:val="003D058C"/>
    <w:rsid w:val="003D10CB"/>
    <w:rsid w:val="003D34EF"/>
    <w:rsid w:val="003D4762"/>
    <w:rsid w:val="003D6961"/>
    <w:rsid w:val="003D76B1"/>
    <w:rsid w:val="003E17A6"/>
    <w:rsid w:val="003E2B58"/>
    <w:rsid w:val="003E43DB"/>
    <w:rsid w:val="003E4AA5"/>
    <w:rsid w:val="003E5CD0"/>
    <w:rsid w:val="003F1CEC"/>
    <w:rsid w:val="003F42F0"/>
    <w:rsid w:val="003F43BF"/>
    <w:rsid w:val="003F445E"/>
    <w:rsid w:val="003F62F0"/>
    <w:rsid w:val="003F6BE4"/>
    <w:rsid w:val="003F780A"/>
    <w:rsid w:val="0040124F"/>
    <w:rsid w:val="00401FEB"/>
    <w:rsid w:val="00403CF8"/>
    <w:rsid w:val="004054A1"/>
    <w:rsid w:val="00407443"/>
    <w:rsid w:val="00407459"/>
    <w:rsid w:val="00407508"/>
    <w:rsid w:val="0040788E"/>
    <w:rsid w:val="0041027D"/>
    <w:rsid w:val="00414D01"/>
    <w:rsid w:val="0041665C"/>
    <w:rsid w:val="004170FE"/>
    <w:rsid w:val="004209E6"/>
    <w:rsid w:val="0042324B"/>
    <w:rsid w:val="004234E8"/>
    <w:rsid w:val="00426805"/>
    <w:rsid w:val="00430150"/>
    <w:rsid w:val="004302F9"/>
    <w:rsid w:val="00430744"/>
    <w:rsid w:val="0043229B"/>
    <w:rsid w:val="00435287"/>
    <w:rsid w:val="004374A4"/>
    <w:rsid w:val="00440A22"/>
    <w:rsid w:val="0044115A"/>
    <w:rsid w:val="0044254F"/>
    <w:rsid w:val="004437E0"/>
    <w:rsid w:val="00444BD8"/>
    <w:rsid w:val="00447A72"/>
    <w:rsid w:val="00447C39"/>
    <w:rsid w:val="0045550E"/>
    <w:rsid w:val="00455FC9"/>
    <w:rsid w:val="00456456"/>
    <w:rsid w:val="004608BF"/>
    <w:rsid w:val="0046233B"/>
    <w:rsid w:val="00462367"/>
    <w:rsid w:val="00463B4A"/>
    <w:rsid w:val="00464143"/>
    <w:rsid w:val="0046490C"/>
    <w:rsid w:val="00466915"/>
    <w:rsid w:val="00470287"/>
    <w:rsid w:val="00470733"/>
    <w:rsid w:val="004708EC"/>
    <w:rsid w:val="00474788"/>
    <w:rsid w:val="004777D7"/>
    <w:rsid w:val="00477C53"/>
    <w:rsid w:val="004813C6"/>
    <w:rsid w:val="00482DBF"/>
    <w:rsid w:val="004834FC"/>
    <w:rsid w:val="004836D2"/>
    <w:rsid w:val="00485380"/>
    <w:rsid w:val="00485999"/>
    <w:rsid w:val="00490BB4"/>
    <w:rsid w:val="00491BEB"/>
    <w:rsid w:val="00493D87"/>
    <w:rsid w:val="004950D4"/>
    <w:rsid w:val="00497600"/>
    <w:rsid w:val="00497FDA"/>
    <w:rsid w:val="004A0506"/>
    <w:rsid w:val="004A1AEB"/>
    <w:rsid w:val="004A1F9D"/>
    <w:rsid w:val="004A2113"/>
    <w:rsid w:val="004A2342"/>
    <w:rsid w:val="004A2F62"/>
    <w:rsid w:val="004A42AF"/>
    <w:rsid w:val="004A530A"/>
    <w:rsid w:val="004A6051"/>
    <w:rsid w:val="004B13E3"/>
    <w:rsid w:val="004B1590"/>
    <w:rsid w:val="004B198D"/>
    <w:rsid w:val="004B1DB8"/>
    <w:rsid w:val="004B264B"/>
    <w:rsid w:val="004B2E6C"/>
    <w:rsid w:val="004B2F01"/>
    <w:rsid w:val="004B4182"/>
    <w:rsid w:val="004B42DB"/>
    <w:rsid w:val="004B4364"/>
    <w:rsid w:val="004B4538"/>
    <w:rsid w:val="004B6FB6"/>
    <w:rsid w:val="004C07AB"/>
    <w:rsid w:val="004C0EE8"/>
    <w:rsid w:val="004C3423"/>
    <w:rsid w:val="004C3EF8"/>
    <w:rsid w:val="004C5180"/>
    <w:rsid w:val="004C571D"/>
    <w:rsid w:val="004C6948"/>
    <w:rsid w:val="004D1E22"/>
    <w:rsid w:val="004D1E55"/>
    <w:rsid w:val="004D35A2"/>
    <w:rsid w:val="004D5FD1"/>
    <w:rsid w:val="004E0163"/>
    <w:rsid w:val="004E1388"/>
    <w:rsid w:val="004E14B2"/>
    <w:rsid w:val="004E25C9"/>
    <w:rsid w:val="004E5BB2"/>
    <w:rsid w:val="004E6D6D"/>
    <w:rsid w:val="004F3C02"/>
    <w:rsid w:val="004F7C93"/>
    <w:rsid w:val="005003DC"/>
    <w:rsid w:val="0050175E"/>
    <w:rsid w:val="00503185"/>
    <w:rsid w:val="00506105"/>
    <w:rsid w:val="00513041"/>
    <w:rsid w:val="00513162"/>
    <w:rsid w:val="00514F42"/>
    <w:rsid w:val="005235DB"/>
    <w:rsid w:val="00525809"/>
    <w:rsid w:val="00526ACA"/>
    <w:rsid w:val="00532457"/>
    <w:rsid w:val="00533CB9"/>
    <w:rsid w:val="005350F5"/>
    <w:rsid w:val="00535130"/>
    <w:rsid w:val="00537302"/>
    <w:rsid w:val="00542484"/>
    <w:rsid w:val="00545591"/>
    <w:rsid w:val="0054761B"/>
    <w:rsid w:val="0055163D"/>
    <w:rsid w:val="005543B7"/>
    <w:rsid w:val="00555509"/>
    <w:rsid w:val="00561C5B"/>
    <w:rsid w:val="00564F2D"/>
    <w:rsid w:val="00565F85"/>
    <w:rsid w:val="00566CDA"/>
    <w:rsid w:val="0056727E"/>
    <w:rsid w:val="00567BA6"/>
    <w:rsid w:val="00570033"/>
    <w:rsid w:val="00570147"/>
    <w:rsid w:val="0057307E"/>
    <w:rsid w:val="00573A4C"/>
    <w:rsid w:val="00573DEF"/>
    <w:rsid w:val="00574B79"/>
    <w:rsid w:val="00574D12"/>
    <w:rsid w:val="005800B4"/>
    <w:rsid w:val="0058070B"/>
    <w:rsid w:val="00580FB0"/>
    <w:rsid w:val="0058187A"/>
    <w:rsid w:val="0058296F"/>
    <w:rsid w:val="0058440B"/>
    <w:rsid w:val="005844DE"/>
    <w:rsid w:val="00587ECB"/>
    <w:rsid w:val="00590A2B"/>
    <w:rsid w:val="00591B20"/>
    <w:rsid w:val="00594F02"/>
    <w:rsid w:val="00595016"/>
    <w:rsid w:val="005958C8"/>
    <w:rsid w:val="00595E80"/>
    <w:rsid w:val="005961EA"/>
    <w:rsid w:val="0059650E"/>
    <w:rsid w:val="00596953"/>
    <w:rsid w:val="005976EC"/>
    <w:rsid w:val="005978B7"/>
    <w:rsid w:val="005A10A4"/>
    <w:rsid w:val="005A1E61"/>
    <w:rsid w:val="005A2960"/>
    <w:rsid w:val="005A2D11"/>
    <w:rsid w:val="005A3EA6"/>
    <w:rsid w:val="005A6030"/>
    <w:rsid w:val="005A69CA"/>
    <w:rsid w:val="005B0FBD"/>
    <w:rsid w:val="005B57AD"/>
    <w:rsid w:val="005B5A06"/>
    <w:rsid w:val="005B638C"/>
    <w:rsid w:val="005B722E"/>
    <w:rsid w:val="005C02FE"/>
    <w:rsid w:val="005C50AC"/>
    <w:rsid w:val="005C6406"/>
    <w:rsid w:val="005D3D24"/>
    <w:rsid w:val="005D675C"/>
    <w:rsid w:val="005D69D1"/>
    <w:rsid w:val="005E210D"/>
    <w:rsid w:val="005E5808"/>
    <w:rsid w:val="005F0EFB"/>
    <w:rsid w:val="005F2315"/>
    <w:rsid w:val="005F2425"/>
    <w:rsid w:val="005F5EC7"/>
    <w:rsid w:val="005F7207"/>
    <w:rsid w:val="005F7FCF"/>
    <w:rsid w:val="00600FDB"/>
    <w:rsid w:val="006035DA"/>
    <w:rsid w:val="0060747D"/>
    <w:rsid w:val="00607691"/>
    <w:rsid w:val="0061062C"/>
    <w:rsid w:val="00613183"/>
    <w:rsid w:val="006133F0"/>
    <w:rsid w:val="00616888"/>
    <w:rsid w:val="006176BE"/>
    <w:rsid w:val="0062071C"/>
    <w:rsid w:val="006212CB"/>
    <w:rsid w:val="00621CF9"/>
    <w:rsid w:val="00626008"/>
    <w:rsid w:val="006279F9"/>
    <w:rsid w:val="0063321D"/>
    <w:rsid w:val="0063402D"/>
    <w:rsid w:val="006369EE"/>
    <w:rsid w:val="006405A8"/>
    <w:rsid w:val="006454D9"/>
    <w:rsid w:val="0064700E"/>
    <w:rsid w:val="00647CB8"/>
    <w:rsid w:val="00650183"/>
    <w:rsid w:val="00650677"/>
    <w:rsid w:val="00650738"/>
    <w:rsid w:val="00655D39"/>
    <w:rsid w:val="00655D5C"/>
    <w:rsid w:val="00657ABE"/>
    <w:rsid w:val="00657F27"/>
    <w:rsid w:val="006627D4"/>
    <w:rsid w:val="00666C24"/>
    <w:rsid w:val="00666D5F"/>
    <w:rsid w:val="00670658"/>
    <w:rsid w:val="00670F7F"/>
    <w:rsid w:val="00671EA9"/>
    <w:rsid w:val="00672B52"/>
    <w:rsid w:val="006736A9"/>
    <w:rsid w:val="00673BC7"/>
    <w:rsid w:val="00674975"/>
    <w:rsid w:val="00675D39"/>
    <w:rsid w:val="006775E3"/>
    <w:rsid w:val="006831AA"/>
    <w:rsid w:val="0068560B"/>
    <w:rsid w:val="00686B2F"/>
    <w:rsid w:val="006934C7"/>
    <w:rsid w:val="00694502"/>
    <w:rsid w:val="00695484"/>
    <w:rsid w:val="006A1277"/>
    <w:rsid w:val="006A2602"/>
    <w:rsid w:val="006A2D41"/>
    <w:rsid w:val="006A3983"/>
    <w:rsid w:val="006A4FFC"/>
    <w:rsid w:val="006A53E0"/>
    <w:rsid w:val="006A5E31"/>
    <w:rsid w:val="006A67E1"/>
    <w:rsid w:val="006C0010"/>
    <w:rsid w:val="006C18CA"/>
    <w:rsid w:val="006C2224"/>
    <w:rsid w:val="006C36FB"/>
    <w:rsid w:val="006C37E3"/>
    <w:rsid w:val="006C4B56"/>
    <w:rsid w:val="006C617C"/>
    <w:rsid w:val="006C621E"/>
    <w:rsid w:val="006C6B72"/>
    <w:rsid w:val="006C7D62"/>
    <w:rsid w:val="006D0336"/>
    <w:rsid w:val="006D0B23"/>
    <w:rsid w:val="006D2ED6"/>
    <w:rsid w:val="006D3B7A"/>
    <w:rsid w:val="006D459F"/>
    <w:rsid w:val="006D5685"/>
    <w:rsid w:val="006D7C63"/>
    <w:rsid w:val="006E1987"/>
    <w:rsid w:val="006E23B2"/>
    <w:rsid w:val="006E3E89"/>
    <w:rsid w:val="006E47DF"/>
    <w:rsid w:val="006E4EB7"/>
    <w:rsid w:val="006E5207"/>
    <w:rsid w:val="006E5C76"/>
    <w:rsid w:val="006E6E93"/>
    <w:rsid w:val="006F5C70"/>
    <w:rsid w:val="006F5DDB"/>
    <w:rsid w:val="006F6A20"/>
    <w:rsid w:val="00701079"/>
    <w:rsid w:val="0070295F"/>
    <w:rsid w:val="0070302E"/>
    <w:rsid w:val="007047B2"/>
    <w:rsid w:val="00704DE7"/>
    <w:rsid w:val="00705B70"/>
    <w:rsid w:val="00706868"/>
    <w:rsid w:val="007078B8"/>
    <w:rsid w:val="0071231C"/>
    <w:rsid w:val="00712E6F"/>
    <w:rsid w:val="0071371A"/>
    <w:rsid w:val="00715E32"/>
    <w:rsid w:val="00716082"/>
    <w:rsid w:val="007162D1"/>
    <w:rsid w:val="00716463"/>
    <w:rsid w:val="0071706E"/>
    <w:rsid w:val="007209AE"/>
    <w:rsid w:val="00724543"/>
    <w:rsid w:val="00727292"/>
    <w:rsid w:val="00727383"/>
    <w:rsid w:val="00732512"/>
    <w:rsid w:val="007352D3"/>
    <w:rsid w:val="00736A48"/>
    <w:rsid w:val="00737A20"/>
    <w:rsid w:val="00740009"/>
    <w:rsid w:val="00740254"/>
    <w:rsid w:val="00742F6A"/>
    <w:rsid w:val="007444D6"/>
    <w:rsid w:val="007446E8"/>
    <w:rsid w:val="00750C68"/>
    <w:rsid w:val="00751008"/>
    <w:rsid w:val="00751553"/>
    <w:rsid w:val="0075165E"/>
    <w:rsid w:val="007546D3"/>
    <w:rsid w:val="00754E10"/>
    <w:rsid w:val="00762A29"/>
    <w:rsid w:val="00762E01"/>
    <w:rsid w:val="0076327D"/>
    <w:rsid w:val="00767745"/>
    <w:rsid w:val="007679AB"/>
    <w:rsid w:val="007707FC"/>
    <w:rsid w:val="00770BE3"/>
    <w:rsid w:val="0077177A"/>
    <w:rsid w:val="007728A8"/>
    <w:rsid w:val="00773BB1"/>
    <w:rsid w:val="00773D2B"/>
    <w:rsid w:val="007764CC"/>
    <w:rsid w:val="00777B70"/>
    <w:rsid w:val="00783D5F"/>
    <w:rsid w:val="00785A76"/>
    <w:rsid w:val="00787852"/>
    <w:rsid w:val="007915BC"/>
    <w:rsid w:val="007967FA"/>
    <w:rsid w:val="00797E7A"/>
    <w:rsid w:val="007A067B"/>
    <w:rsid w:val="007A0E2C"/>
    <w:rsid w:val="007A0EA6"/>
    <w:rsid w:val="007A1436"/>
    <w:rsid w:val="007A2D9E"/>
    <w:rsid w:val="007A37AB"/>
    <w:rsid w:val="007A46AD"/>
    <w:rsid w:val="007A6617"/>
    <w:rsid w:val="007B0381"/>
    <w:rsid w:val="007B0F3D"/>
    <w:rsid w:val="007B148D"/>
    <w:rsid w:val="007B18C8"/>
    <w:rsid w:val="007B28DE"/>
    <w:rsid w:val="007B49FD"/>
    <w:rsid w:val="007B7A5F"/>
    <w:rsid w:val="007C36BE"/>
    <w:rsid w:val="007C698B"/>
    <w:rsid w:val="007D3FAE"/>
    <w:rsid w:val="007D53ED"/>
    <w:rsid w:val="007D6001"/>
    <w:rsid w:val="007D7F94"/>
    <w:rsid w:val="007E185F"/>
    <w:rsid w:val="007E1B76"/>
    <w:rsid w:val="007E219A"/>
    <w:rsid w:val="007E36C3"/>
    <w:rsid w:val="007E37BF"/>
    <w:rsid w:val="007E6593"/>
    <w:rsid w:val="007E70D3"/>
    <w:rsid w:val="007F1101"/>
    <w:rsid w:val="007F1C7E"/>
    <w:rsid w:val="007F2CB1"/>
    <w:rsid w:val="008000CB"/>
    <w:rsid w:val="008013B4"/>
    <w:rsid w:val="0080159C"/>
    <w:rsid w:val="008039E6"/>
    <w:rsid w:val="00803D20"/>
    <w:rsid w:val="008053B3"/>
    <w:rsid w:val="0080679D"/>
    <w:rsid w:val="00806DE6"/>
    <w:rsid w:val="00806E26"/>
    <w:rsid w:val="00807286"/>
    <w:rsid w:val="00810B0F"/>
    <w:rsid w:val="008112A0"/>
    <w:rsid w:val="00813166"/>
    <w:rsid w:val="00813CC2"/>
    <w:rsid w:val="00816195"/>
    <w:rsid w:val="0081696D"/>
    <w:rsid w:val="00816E01"/>
    <w:rsid w:val="00816F95"/>
    <w:rsid w:val="008173D0"/>
    <w:rsid w:val="00820F07"/>
    <w:rsid w:val="00823235"/>
    <w:rsid w:val="00824659"/>
    <w:rsid w:val="008249F1"/>
    <w:rsid w:val="00824AF2"/>
    <w:rsid w:val="008263F1"/>
    <w:rsid w:val="00826686"/>
    <w:rsid w:val="00826CBB"/>
    <w:rsid w:val="008320AC"/>
    <w:rsid w:val="00832131"/>
    <w:rsid w:val="00835563"/>
    <w:rsid w:val="00836511"/>
    <w:rsid w:val="00836B02"/>
    <w:rsid w:val="00836EC6"/>
    <w:rsid w:val="0083741E"/>
    <w:rsid w:val="00837985"/>
    <w:rsid w:val="00840E3D"/>
    <w:rsid w:val="00841D8C"/>
    <w:rsid w:val="00842220"/>
    <w:rsid w:val="008431E3"/>
    <w:rsid w:val="00844111"/>
    <w:rsid w:val="00844DE8"/>
    <w:rsid w:val="00844F74"/>
    <w:rsid w:val="00846382"/>
    <w:rsid w:val="00850879"/>
    <w:rsid w:val="00850F57"/>
    <w:rsid w:val="0085252E"/>
    <w:rsid w:val="0085304A"/>
    <w:rsid w:val="008536C2"/>
    <w:rsid w:val="0085545C"/>
    <w:rsid w:val="008600C7"/>
    <w:rsid w:val="008617D0"/>
    <w:rsid w:val="00861A60"/>
    <w:rsid w:val="00862357"/>
    <w:rsid w:val="00862D02"/>
    <w:rsid w:val="00862D57"/>
    <w:rsid w:val="008637B9"/>
    <w:rsid w:val="00864194"/>
    <w:rsid w:val="00864FE1"/>
    <w:rsid w:val="00866C2D"/>
    <w:rsid w:val="008678C8"/>
    <w:rsid w:val="00870399"/>
    <w:rsid w:val="0087053F"/>
    <w:rsid w:val="00870B82"/>
    <w:rsid w:val="008711EC"/>
    <w:rsid w:val="008718FE"/>
    <w:rsid w:val="008727EC"/>
    <w:rsid w:val="00872946"/>
    <w:rsid w:val="00875BBE"/>
    <w:rsid w:val="00880A9C"/>
    <w:rsid w:val="00881922"/>
    <w:rsid w:val="00883928"/>
    <w:rsid w:val="00883DDE"/>
    <w:rsid w:val="00885589"/>
    <w:rsid w:val="00891D73"/>
    <w:rsid w:val="00892A44"/>
    <w:rsid w:val="008950AB"/>
    <w:rsid w:val="00897CD6"/>
    <w:rsid w:val="00897F21"/>
    <w:rsid w:val="00897FA4"/>
    <w:rsid w:val="008A2DE8"/>
    <w:rsid w:val="008A312D"/>
    <w:rsid w:val="008A38E6"/>
    <w:rsid w:val="008A3E09"/>
    <w:rsid w:val="008A3E57"/>
    <w:rsid w:val="008A77A7"/>
    <w:rsid w:val="008B3F34"/>
    <w:rsid w:val="008B55A0"/>
    <w:rsid w:val="008C02F6"/>
    <w:rsid w:val="008C0EA9"/>
    <w:rsid w:val="008C0EF8"/>
    <w:rsid w:val="008C2849"/>
    <w:rsid w:val="008C4254"/>
    <w:rsid w:val="008C4D4F"/>
    <w:rsid w:val="008C56B9"/>
    <w:rsid w:val="008D05E0"/>
    <w:rsid w:val="008D091B"/>
    <w:rsid w:val="008D2600"/>
    <w:rsid w:val="008D488C"/>
    <w:rsid w:val="008D63D4"/>
    <w:rsid w:val="008D72F4"/>
    <w:rsid w:val="008D78F4"/>
    <w:rsid w:val="008E0AC0"/>
    <w:rsid w:val="008E221A"/>
    <w:rsid w:val="008E328B"/>
    <w:rsid w:val="008E37EE"/>
    <w:rsid w:val="008E3FFE"/>
    <w:rsid w:val="008E60BE"/>
    <w:rsid w:val="008E6B74"/>
    <w:rsid w:val="008E76AE"/>
    <w:rsid w:val="008F0FAF"/>
    <w:rsid w:val="008F1E3A"/>
    <w:rsid w:val="008F39B8"/>
    <w:rsid w:val="008F46CD"/>
    <w:rsid w:val="008F6480"/>
    <w:rsid w:val="008F68F5"/>
    <w:rsid w:val="008F7740"/>
    <w:rsid w:val="008F7E6E"/>
    <w:rsid w:val="00900CA2"/>
    <w:rsid w:val="009018CB"/>
    <w:rsid w:val="00901C19"/>
    <w:rsid w:val="00903653"/>
    <w:rsid w:val="009044B1"/>
    <w:rsid w:val="00904FDA"/>
    <w:rsid w:val="00904FFF"/>
    <w:rsid w:val="00910A52"/>
    <w:rsid w:val="00911479"/>
    <w:rsid w:val="00911FBE"/>
    <w:rsid w:val="00912A29"/>
    <w:rsid w:val="0091484D"/>
    <w:rsid w:val="00916D72"/>
    <w:rsid w:val="00920EC4"/>
    <w:rsid w:val="00925E71"/>
    <w:rsid w:val="0093329F"/>
    <w:rsid w:val="00937043"/>
    <w:rsid w:val="00942CEF"/>
    <w:rsid w:val="00943C94"/>
    <w:rsid w:val="009445D3"/>
    <w:rsid w:val="00945A46"/>
    <w:rsid w:val="009476AE"/>
    <w:rsid w:val="0094780F"/>
    <w:rsid w:val="00947BBC"/>
    <w:rsid w:val="00951F53"/>
    <w:rsid w:val="0095428C"/>
    <w:rsid w:val="00955A8A"/>
    <w:rsid w:val="009570D7"/>
    <w:rsid w:val="0096400D"/>
    <w:rsid w:val="00965A97"/>
    <w:rsid w:val="00966600"/>
    <w:rsid w:val="00966D29"/>
    <w:rsid w:val="009671D9"/>
    <w:rsid w:val="009703D4"/>
    <w:rsid w:val="00971352"/>
    <w:rsid w:val="00973CBC"/>
    <w:rsid w:val="00975E5B"/>
    <w:rsid w:val="009764D6"/>
    <w:rsid w:val="00977C8F"/>
    <w:rsid w:val="00977F94"/>
    <w:rsid w:val="0098265B"/>
    <w:rsid w:val="00983256"/>
    <w:rsid w:val="009861BD"/>
    <w:rsid w:val="009863E9"/>
    <w:rsid w:val="00987014"/>
    <w:rsid w:val="00990335"/>
    <w:rsid w:val="00992E20"/>
    <w:rsid w:val="009936FC"/>
    <w:rsid w:val="00993925"/>
    <w:rsid w:val="00993977"/>
    <w:rsid w:val="00997272"/>
    <w:rsid w:val="009A05D1"/>
    <w:rsid w:val="009A28AC"/>
    <w:rsid w:val="009A3A5B"/>
    <w:rsid w:val="009A3A69"/>
    <w:rsid w:val="009A3F2A"/>
    <w:rsid w:val="009B1D83"/>
    <w:rsid w:val="009B2AAC"/>
    <w:rsid w:val="009B3521"/>
    <w:rsid w:val="009B541C"/>
    <w:rsid w:val="009C0839"/>
    <w:rsid w:val="009C3DAB"/>
    <w:rsid w:val="009C4460"/>
    <w:rsid w:val="009C6F99"/>
    <w:rsid w:val="009D16A5"/>
    <w:rsid w:val="009D2D4A"/>
    <w:rsid w:val="009D4A9A"/>
    <w:rsid w:val="009D7192"/>
    <w:rsid w:val="009D7B67"/>
    <w:rsid w:val="009E0E38"/>
    <w:rsid w:val="009E1A35"/>
    <w:rsid w:val="009E37E1"/>
    <w:rsid w:val="009E3A97"/>
    <w:rsid w:val="009E51FD"/>
    <w:rsid w:val="009F07B0"/>
    <w:rsid w:val="009F09AA"/>
    <w:rsid w:val="009F2C16"/>
    <w:rsid w:val="009F2C1B"/>
    <w:rsid w:val="009F3099"/>
    <w:rsid w:val="009F335C"/>
    <w:rsid w:val="009F5864"/>
    <w:rsid w:val="00A002B5"/>
    <w:rsid w:val="00A01AC9"/>
    <w:rsid w:val="00A024D4"/>
    <w:rsid w:val="00A0260C"/>
    <w:rsid w:val="00A0326D"/>
    <w:rsid w:val="00A041B5"/>
    <w:rsid w:val="00A04503"/>
    <w:rsid w:val="00A04F8C"/>
    <w:rsid w:val="00A05158"/>
    <w:rsid w:val="00A068B8"/>
    <w:rsid w:val="00A079D3"/>
    <w:rsid w:val="00A135DC"/>
    <w:rsid w:val="00A13BF5"/>
    <w:rsid w:val="00A14837"/>
    <w:rsid w:val="00A15634"/>
    <w:rsid w:val="00A213ED"/>
    <w:rsid w:val="00A217FD"/>
    <w:rsid w:val="00A225E3"/>
    <w:rsid w:val="00A2387F"/>
    <w:rsid w:val="00A23A26"/>
    <w:rsid w:val="00A245DA"/>
    <w:rsid w:val="00A24A8F"/>
    <w:rsid w:val="00A25708"/>
    <w:rsid w:val="00A25BF0"/>
    <w:rsid w:val="00A27574"/>
    <w:rsid w:val="00A3026E"/>
    <w:rsid w:val="00A314A2"/>
    <w:rsid w:val="00A3225D"/>
    <w:rsid w:val="00A33E67"/>
    <w:rsid w:val="00A408E0"/>
    <w:rsid w:val="00A40A8C"/>
    <w:rsid w:val="00A4576A"/>
    <w:rsid w:val="00A45AD0"/>
    <w:rsid w:val="00A45EE9"/>
    <w:rsid w:val="00A53B91"/>
    <w:rsid w:val="00A53C14"/>
    <w:rsid w:val="00A577F5"/>
    <w:rsid w:val="00A579EA"/>
    <w:rsid w:val="00A6093E"/>
    <w:rsid w:val="00A61410"/>
    <w:rsid w:val="00A6198A"/>
    <w:rsid w:val="00A640C6"/>
    <w:rsid w:val="00A65108"/>
    <w:rsid w:val="00A70353"/>
    <w:rsid w:val="00A7067F"/>
    <w:rsid w:val="00A707A7"/>
    <w:rsid w:val="00A70A43"/>
    <w:rsid w:val="00A718FD"/>
    <w:rsid w:val="00A72341"/>
    <w:rsid w:val="00A7356C"/>
    <w:rsid w:val="00A76CD2"/>
    <w:rsid w:val="00A776D0"/>
    <w:rsid w:val="00A776ED"/>
    <w:rsid w:val="00A80E50"/>
    <w:rsid w:val="00A8137F"/>
    <w:rsid w:val="00A83501"/>
    <w:rsid w:val="00A83663"/>
    <w:rsid w:val="00A83B0F"/>
    <w:rsid w:val="00A84216"/>
    <w:rsid w:val="00A8474C"/>
    <w:rsid w:val="00A876F1"/>
    <w:rsid w:val="00A87FBB"/>
    <w:rsid w:val="00A90BFA"/>
    <w:rsid w:val="00A90DA6"/>
    <w:rsid w:val="00A915CB"/>
    <w:rsid w:val="00A92510"/>
    <w:rsid w:val="00A9260F"/>
    <w:rsid w:val="00A92BF3"/>
    <w:rsid w:val="00A943C8"/>
    <w:rsid w:val="00A950A4"/>
    <w:rsid w:val="00A9520D"/>
    <w:rsid w:val="00A96220"/>
    <w:rsid w:val="00A9747D"/>
    <w:rsid w:val="00AA00A6"/>
    <w:rsid w:val="00AA19F0"/>
    <w:rsid w:val="00AA2013"/>
    <w:rsid w:val="00AA37B1"/>
    <w:rsid w:val="00AA618E"/>
    <w:rsid w:val="00AA6BA8"/>
    <w:rsid w:val="00AA7048"/>
    <w:rsid w:val="00AA7F5A"/>
    <w:rsid w:val="00AB2340"/>
    <w:rsid w:val="00AB5248"/>
    <w:rsid w:val="00AB5FE4"/>
    <w:rsid w:val="00AB659D"/>
    <w:rsid w:val="00AC229F"/>
    <w:rsid w:val="00AC3E23"/>
    <w:rsid w:val="00AC781B"/>
    <w:rsid w:val="00AD1FCB"/>
    <w:rsid w:val="00AD4784"/>
    <w:rsid w:val="00AD7671"/>
    <w:rsid w:val="00AE0250"/>
    <w:rsid w:val="00AE03D3"/>
    <w:rsid w:val="00AE0B9E"/>
    <w:rsid w:val="00AE4C35"/>
    <w:rsid w:val="00AE53E8"/>
    <w:rsid w:val="00AE6FE4"/>
    <w:rsid w:val="00AF1CC0"/>
    <w:rsid w:val="00AF2059"/>
    <w:rsid w:val="00AF3D84"/>
    <w:rsid w:val="00AF4161"/>
    <w:rsid w:val="00AF580B"/>
    <w:rsid w:val="00B007C8"/>
    <w:rsid w:val="00B100E6"/>
    <w:rsid w:val="00B13FC6"/>
    <w:rsid w:val="00B14410"/>
    <w:rsid w:val="00B14F03"/>
    <w:rsid w:val="00B15CAB"/>
    <w:rsid w:val="00B15E61"/>
    <w:rsid w:val="00B23FA2"/>
    <w:rsid w:val="00B24F35"/>
    <w:rsid w:val="00B30BE2"/>
    <w:rsid w:val="00B3214F"/>
    <w:rsid w:val="00B32C88"/>
    <w:rsid w:val="00B34747"/>
    <w:rsid w:val="00B373AE"/>
    <w:rsid w:val="00B37C43"/>
    <w:rsid w:val="00B404FE"/>
    <w:rsid w:val="00B42E49"/>
    <w:rsid w:val="00B50903"/>
    <w:rsid w:val="00B53A0A"/>
    <w:rsid w:val="00B62FFE"/>
    <w:rsid w:val="00B634FE"/>
    <w:rsid w:val="00B65013"/>
    <w:rsid w:val="00B70071"/>
    <w:rsid w:val="00B708C1"/>
    <w:rsid w:val="00B70A17"/>
    <w:rsid w:val="00B7123A"/>
    <w:rsid w:val="00B72555"/>
    <w:rsid w:val="00B74316"/>
    <w:rsid w:val="00B7435C"/>
    <w:rsid w:val="00B76259"/>
    <w:rsid w:val="00B76F38"/>
    <w:rsid w:val="00B80562"/>
    <w:rsid w:val="00B8085D"/>
    <w:rsid w:val="00B81EFF"/>
    <w:rsid w:val="00B82EA1"/>
    <w:rsid w:val="00B836BB"/>
    <w:rsid w:val="00B84122"/>
    <w:rsid w:val="00B862B0"/>
    <w:rsid w:val="00B9048C"/>
    <w:rsid w:val="00B90B0D"/>
    <w:rsid w:val="00B966E8"/>
    <w:rsid w:val="00BA0414"/>
    <w:rsid w:val="00BA2B7C"/>
    <w:rsid w:val="00BA5C95"/>
    <w:rsid w:val="00BA7373"/>
    <w:rsid w:val="00BB142A"/>
    <w:rsid w:val="00BB341C"/>
    <w:rsid w:val="00BB34B9"/>
    <w:rsid w:val="00BB35C2"/>
    <w:rsid w:val="00BB3636"/>
    <w:rsid w:val="00BB3819"/>
    <w:rsid w:val="00BB3E86"/>
    <w:rsid w:val="00BB553B"/>
    <w:rsid w:val="00BB7B29"/>
    <w:rsid w:val="00BB7DAE"/>
    <w:rsid w:val="00BC170E"/>
    <w:rsid w:val="00BC28D7"/>
    <w:rsid w:val="00BC3007"/>
    <w:rsid w:val="00BC376C"/>
    <w:rsid w:val="00BC6321"/>
    <w:rsid w:val="00BC7817"/>
    <w:rsid w:val="00BC7A00"/>
    <w:rsid w:val="00BD2551"/>
    <w:rsid w:val="00BD2F3A"/>
    <w:rsid w:val="00BD3819"/>
    <w:rsid w:val="00BD46E5"/>
    <w:rsid w:val="00BD642D"/>
    <w:rsid w:val="00BD6988"/>
    <w:rsid w:val="00BD6E66"/>
    <w:rsid w:val="00BE128C"/>
    <w:rsid w:val="00BE198C"/>
    <w:rsid w:val="00BE1A77"/>
    <w:rsid w:val="00BE4742"/>
    <w:rsid w:val="00BE6354"/>
    <w:rsid w:val="00BE7383"/>
    <w:rsid w:val="00BE754D"/>
    <w:rsid w:val="00BF1DB9"/>
    <w:rsid w:val="00BF5F47"/>
    <w:rsid w:val="00BF6D10"/>
    <w:rsid w:val="00BF6E79"/>
    <w:rsid w:val="00BF7947"/>
    <w:rsid w:val="00BF7FD3"/>
    <w:rsid w:val="00C036BE"/>
    <w:rsid w:val="00C03F6C"/>
    <w:rsid w:val="00C05C08"/>
    <w:rsid w:val="00C07460"/>
    <w:rsid w:val="00C10938"/>
    <w:rsid w:val="00C12108"/>
    <w:rsid w:val="00C121D9"/>
    <w:rsid w:val="00C13453"/>
    <w:rsid w:val="00C172D8"/>
    <w:rsid w:val="00C21C37"/>
    <w:rsid w:val="00C220F9"/>
    <w:rsid w:val="00C2541C"/>
    <w:rsid w:val="00C25E5C"/>
    <w:rsid w:val="00C26862"/>
    <w:rsid w:val="00C30458"/>
    <w:rsid w:val="00C31DA6"/>
    <w:rsid w:val="00C32607"/>
    <w:rsid w:val="00C33260"/>
    <w:rsid w:val="00C37A65"/>
    <w:rsid w:val="00C4113C"/>
    <w:rsid w:val="00C43AE9"/>
    <w:rsid w:val="00C4476A"/>
    <w:rsid w:val="00C4598F"/>
    <w:rsid w:val="00C50360"/>
    <w:rsid w:val="00C50D30"/>
    <w:rsid w:val="00C54E12"/>
    <w:rsid w:val="00C55468"/>
    <w:rsid w:val="00C56015"/>
    <w:rsid w:val="00C60C15"/>
    <w:rsid w:val="00C61613"/>
    <w:rsid w:val="00C622C3"/>
    <w:rsid w:val="00C63BD5"/>
    <w:rsid w:val="00C6626C"/>
    <w:rsid w:val="00C67037"/>
    <w:rsid w:val="00C676BF"/>
    <w:rsid w:val="00C6795A"/>
    <w:rsid w:val="00C74906"/>
    <w:rsid w:val="00C75C9D"/>
    <w:rsid w:val="00C7723D"/>
    <w:rsid w:val="00C80CCD"/>
    <w:rsid w:val="00C81B40"/>
    <w:rsid w:val="00C81FEA"/>
    <w:rsid w:val="00C828B9"/>
    <w:rsid w:val="00C83969"/>
    <w:rsid w:val="00C83E39"/>
    <w:rsid w:val="00C851BE"/>
    <w:rsid w:val="00C86C95"/>
    <w:rsid w:val="00C9010E"/>
    <w:rsid w:val="00C9041B"/>
    <w:rsid w:val="00C949CD"/>
    <w:rsid w:val="00C9781F"/>
    <w:rsid w:val="00C97CF4"/>
    <w:rsid w:val="00CA05EB"/>
    <w:rsid w:val="00CA3515"/>
    <w:rsid w:val="00CA3A05"/>
    <w:rsid w:val="00CA3EBD"/>
    <w:rsid w:val="00CA4C4B"/>
    <w:rsid w:val="00CA59B6"/>
    <w:rsid w:val="00CA5A46"/>
    <w:rsid w:val="00CA70C1"/>
    <w:rsid w:val="00CA765E"/>
    <w:rsid w:val="00CB14E9"/>
    <w:rsid w:val="00CB1899"/>
    <w:rsid w:val="00CB202D"/>
    <w:rsid w:val="00CB29F9"/>
    <w:rsid w:val="00CB3DAF"/>
    <w:rsid w:val="00CB6D90"/>
    <w:rsid w:val="00CB72C3"/>
    <w:rsid w:val="00CC2EA2"/>
    <w:rsid w:val="00CC45E4"/>
    <w:rsid w:val="00CC4E1B"/>
    <w:rsid w:val="00CC682C"/>
    <w:rsid w:val="00CD019F"/>
    <w:rsid w:val="00CD126C"/>
    <w:rsid w:val="00CD1B43"/>
    <w:rsid w:val="00CD25B3"/>
    <w:rsid w:val="00CD27C5"/>
    <w:rsid w:val="00CD35CE"/>
    <w:rsid w:val="00CD3F00"/>
    <w:rsid w:val="00CD6D79"/>
    <w:rsid w:val="00CE08EF"/>
    <w:rsid w:val="00CE0B8B"/>
    <w:rsid w:val="00CE3C97"/>
    <w:rsid w:val="00CE4169"/>
    <w:rsid w:val="00CE4867"/>
    <w:rsid w:val="00CE5046"/>
    <w:rsid w:val="00CE7894"/>
    <w:rsid w:val="00CF06A1"/>
    <w:rsid w:val="00CF1467"/>
    <w:rsid w:val="00CF48D6"/>
    <w:rsid w:val="00CF57D6"/>
    <w:rsid w:val="00CF6C1B"/>
    <w:rsid w:val="00CF7872"/>
    <w:rsid w:val="00D019D5"/>
    <w:rsid w:val="00D03E05"/>
    <w:rsid w:val="00D040FE"/>
    <w:rsid w:val="00D0574F"/>
    <w:rsid w:val="00D06064"/>
    <w:rsid w:val="00D063A8"/>
    <w:rsid w:val="00D11568"/>
    <w:rsid w:val="00D14182"/>
    <w:rsid w:val="00D14573"/>
    <w:rsid w:val="00D168FD"/>
    <w:rsid w:val="00D16F64"/>
    <w:rsid w:val="00D203ED"/>
    <w:rsid w:val="00D224E3"/>
    <w:rsid w:val="00D22B37"/>
    <w:rsid w:val="00D240DE"/>
    <w:rsid w:val="00D2472C"/>
    <w:rsid w:val="00D279BA"/>
    <w:rsid w:val="00D350D5"/>
    <w:rsid w:val="00D35BCD"/>
    <w:rsid w:val="00D37677"/>
    <w:rsid w:val="00D404B5"/>
    <w:rsid w:val="00D42B7C"/>
    <w:rsid w:val="00D447CB"/>
    <w:rsid w:val="00D45BA5"/>
    <w:rsid w:val="00D471A6"/>
    <w:rsid w:val="00D47A49"/>
    <w:rsid w:val="00D47D16"/>
    <w:rsid w:val="00D505F4"/>
    <w:rsid w:val="00D50B06"/>
    <w:rsid w:val="00D51C9B"/>
    <w:rsid w:val="00D51CE1"/>
    <w:rsid w:val="00D521AC"/>
    <w:rsid w:val="00D5282C"/>
    <w:rsid w:val="00D53414"/>
    <w:rsid w:val="00D55C83"/>
    <w:rsid w:val="00D562F2"/>
    <w:rsid w:val="00D56B33"/>
    <w:rsid w:val="00D614C9"/>
    <w:rsid w:val="00D61B93"/>
    <w:rsid w:val="00D6311C"/>
    <w:rsid w:val="00D641D8"/>
    <w:rsid w:val="00D67E4A"/>
    <w:rsid w:val="00D72165"/>
    <w:rsid w:val="00D7402E"/>
    <w:rsid w:val="00D75902"/>
    <w:rsid w:val="00D763FD"/>
    <w:rsid w:val="00D81576"/>
    <w:rsid w:val="00D85479"/>
    <w:rsid w:val="00D85A2E"/>
    <w:rsid w:val="00D90AD1"/>
    <w:rsid w:val="00D90F1F"/>
    <w:rsid w:val="00D941F7"/>
    <w:rsid w:val="00DA0676"/>
    <w:rsid w:val="00DA1826"/>
    <w:rsid w:val="00DA4DDF"/>
    <w:rsid w:val="00DB0804"/>
    <w:rsid w:val="00DB13A6"/>
    <w:rsid w:val="00DB18A9"/>
    <w:rsid w:val="00DB2C0A"/>
    <w:rsid w:val="00DB2FC4"/>
    <w:rsid w:val="00DB4254"/>
    <w:rsid w:val="00DB4E9A"/>
    <w:rsid w:val="00DB5023"/>
    <w:rsid w:val="00DB6D9A"/>
    <w:rsid w:val="00DC3233"/>
    <w:rsid w:val="00DC382A"/>
    <w:rsid w:val="00DC4163"/>
    <w:rsid w:val="00DC6AFE"/>
    <w:rsid w:val="00DD0086"/>
    <w:rsid w:val="00DD2147"/>
    <w:rsid w:val="00DD4A97"/>
    <w:rsid w:val="00DE1923"/>
    <w:rsid w:val="00DE2B33"/>
    <w:rsid w:val="00DE394C"/>
    <w:rsid w:val="00DE485E"/>
    <w:rsid w:val="00DE5361"/>
    <w:rsid w:val="00DE5A40"/>
    <w:rsid w:val="00DE638B"/>
    <w:rsid w:val="00DE72EE"/>
    <w:rsid w:val="00DE7A89"/>
    <w:rsid w:val="00DF1696"/>
    <w:rsid w:val="00DF1D7A"/>
    <w:rsid w:val="00DF37E5"/>
    <w:rsid w:val="00DF5077"/>
    <w:rsid w:val="00DF6535"/>
    <w:rsid w:val="00DF6874"/>
    <w:rsid w:val="00E034FE"/>
    <w:rsid w:val="00E041E5"/>
    <w:rsid w:val="00E04888"/>
    <w:rsid w:val="00E05E53"/>
    <w:rsid w:val="00E0763B"/>
    <w:rsid w:val="00E07C7D"/>
    <w:rsid w:val="00E10302"/>
    <w:rsid w:val="00E107DC"/>
    <w:rsid w:val="00E110B2"/>
    <w:rsid w:val="00E14BAA"/>
    <w:rsid w:val="00E166AE"/>
    <w:rsid w:val="00E17EC5"/>
    <w:rsid w:val="00E21CA3"/>
    <w:rsid w:val="00E2425F"/>
    <w:rsid w:val="00E24A50"/>
    <w:rsid w:val="00E25DA1"/>
    <w:rsid w:val="00E26BFD"/>
    <w:rsid w:val="00E27E90"/>
    <w:rsid w:val="00E3153B"/>
    <w:rsid w:val="00E32511"/>
    <w:rsid w:val="00E328A6"/>
    <w:rsid w:val="00E32B03"/>
    <w:rsid w:val="00E33D02"/>
    <w:rsid w:val="00E34F2C"/>
    <w:rsid w:val="00E35D79"/>
    <w:rsid w:val="00E42235"/>
    <w:rsid w:val="00E422B8"/>
    <w:rsid w:val="00E43667"/>
    <w:rsid w:val="00E43D07"/>
    <w:rsid w:val="00E45060"/>
    <w:rsid w:val="00E45DD4"/>
    <w:rsid w:val="00E4641E"/>
    <w:rsid w:val="00E5032F"/>
    <w:rsid w:val="00E519AE"/>
    <w:rsid w:val="00E57AF7"/>
    <w:rsid w:val="00E6029A"/>
    <w:rsid w:val="00E61AD5"/>
    <w:rsid w:val="00E6241B"/>
    <w:rsid w:val="00E648C2"/>
    <w:rsid w:val="00E64FA8"/>
    <w:rsid w:val="00E64FCC"/>
    <w:rsid w:val="00E703B6"/>
    <w:rsid w:val="00E70567"/>
    <w:rsid w:val="00E70E3E"/>
    <w:rsid w:val="00E713AF"/>
    <w:rsid w:val="00E72200"/>
    <w:rsid w:val="00E72B1B"/>
    <w:rsid w:val="00E73AE3"/>
    <w:rsid w:val="00E75D47"/>
    <w:rsid w:val="00E75E34"/>
    <w:rsid w:val="00E76013"/>
    <w:rsid w:val="00E763DA"/>
    <w:rsid w:val="00E766F5"/>
    <w:rsid w:val="00E772A2"/>
    <w:rsid w:val="00E77A05"/>
    <w:rsid w:val="00E77E9F"/>
    <w:rsid w:val="00E80520"/>
    <w:rsid w:val="00E81692"/>
    <w:rsid w:val="00E82948"/>
    <w:rsid w:val="00E8400F"/>
    <w:rsid w:val="00E8528A"/>
    <w:rsid w:val="00E8722B"/>
    <w:rsid w:val="00E90218"/>
    <w:rsid w:val="00E913BB"/>
    <w:rsid w:val="00E92DF1"/>
    <w:rsid w:val="00E9407F"/>
    <w:rsid w:val="00E95F2E"/>
    <w:rsid w:val="00EA038F"/>
    <w:rsid w:val="00EA1252"/>
    <w:rsid w:val="00EA1508"/>
    <w:rsid w:val="00EA1541"/>
    <w:rsid w:val="00EA32E4"/>
    <w:rsid w:val="00EA3C9C"/>
    <w:rsid w:val="00EA7E36"/>
    <w:rsid w:val="00EB0898"/>
    <w:rsid w:val="00EB627B"/>
    <w:rsid w:val="00EB6D94"/>
    <w:rsid w:val="00EC0DF0"/>
    <w:rsid w:val="00EC4183"/>
    <w:rsid w:val="00EC4D9C"/>
    <w:rsid w:val="00EC6468"/>
    <w:rsid w:val="00EC6708"/>
    <w:rsid w:val="00ED0F4A"/>
    <w:rsid w:val="00ED1FF9"/>
    <w:rsid w:val="00ED207C"/>
    <w:rsid w:val="00ED325A"/>
    <w:rsid w:val="00ED3F41"/>
    <w:rsid w:val="00ED5615"/>
    <w:rsid w:val="00ED692E"/>
    <w:rsid w:val="00ED69AF"/>
    <w:rsid w:val="00ED7EBD"/>
    <w:rsid w:val="00EE1847"/>
    <w:rsid w:val="00EE1FFD"/>
    <w:rsid w:val="00EE240E"/>
    <w:rsid w:val="00EE2CB6"/>
    <w:rsid w:val="00EE55E1"/>
    <w:rsid w:val="00EE5DCD"/>
    <w:rsid w:val="00EE688E"/>
    <w:rsid w:val="00EE6A6D"/>
    <w:rsid w:val="00EF03E2"/>
    <w:rsid w:val="00EF1EFD"/>
    <w:rsid w:val="00EF28B6"/>
    <w:rsid w:val="00EF511B"/>
    <w:rsid w:val="00EF5E29"/>
    <w:rsid w:val="00EF7F8B"/>
    <w:rsid w:val="00F01F76"/>
    <w:rsid w:val="00F03814"/>
    <w:rsid w:val="00F07A09"/>
    <w:rsid w:val="00F109B0"/>
    <w:rsid w:val="00F130F5"/>
    <w:rsid w:val="00F1390C"/>
    <w:rsid w:val="00F14A0B"/>
    <w:rsid w:val="00F14D98"/>
    <w:rsid w:val="00F17410"/>
    <w:rsid w:val="00F20C5E"/>
    <w:rsid w:val="00F242EE"/>
    <w:rsid w:val="00F26091"/>
    <w:rsid w:val="00F32020"/>
    <w:rsid w:val="00F35BA8"/>
    <w:rsid w:val="00F35FA2"/>
    <w:rsid w:val="00F36A1D"/>
    <w:rsid w:val="00F36ECE"/>
    <w:rsid w:val="00F40420"/>
    <w:rsid w:val="00F41534"/>
    <w:rsid w:val="00F42F09"/>
    <w:rsid w:val="00F44278"/>
    <w:rsid w:val="00F45642"/>
    <w:rsid w:val="00F5104C"/>
    <w:rsid w:val="00F51843"/>
    <w:rsid w:val="00F51B65"/>
    <w:rsid w:val="00F52AAB"/>
    <w:rsid w:val="00F52EB6"/>
    <w:rsid w:val="00F541E1"/>
    <w:rsid w:val="00F54EA2"/>
    <w:rsid w:val="00F55010"/>
    <w:rsid w:val="00F55260"/>
    <w:rsid w:val="00F56853"/>
    <w:rsid w:val="00F6316B"/>
    <w:rsid w:val="00F65AE0"/>
    <w:rsid w:val="00F73EDC"/>
    <w:rsid w:val="00F74E38"/>
    <w:rsid w:val="00F76A00"/>
    <w:rsid w:val="00F76B67"/>
    <w:rsid w:val="00F76D6F"/>
    <w:rsid w:val="00F77717"/>
    <w:rsid w:val="00F778B0"/>
    <w:rsid w:val="00F83A60"/>
    <w:rsid w:val="00F83BC2"/>
    <w:rsid w:val="00F8630D"/>
    <w:rsid w:val="00F8795D"/>
    <w:rsid w:val="00F92EC1"/>
    <w:rsid w:val="00F94C47"/>
    <w:rsid w:val="00FA0421"/>
    <w:rsid w:val="00FA152F"/>
    <w:rsid w:val="00FA3295"/>
    <w:rsid w:val="00FA3389"/>
    <w:rsid w:val="00FA3476"/>
    <w:rsid w:val="00FA495F"/>
    <w:rsid w:val="00FA5028"/>
    <w:rsid w:val="00FB0C10"/>
    <w:rsid w:val="00FB2CD2"/>
    <w:rsid w:val="00FB3C36"/>
    <w:rsid w:val="00FB4280"/>
    <w:rsid w:val="00FB7837"/>
    <w:rsid w:val="00FB7CCE"/>
    <w:rsid w:val="00FC01C8"/>
    <w:rsid w:val="00FC443D"/>
    <w:rsid w:val="00FC5027"/>
    <w:rsid w:val="00FC50C7"/>
    <w:rsid w:val="00FC511D"/>
    <w:rsid w:val="00FC68BC"/>
    <w:rsid w:val="00FC7605"/>
    <w:rsid w:val="00FD0FB4"/>
    <w:rsid w:val="00FD11D4"/>
    <w:rsid w:val="00FD225D"/>
    <w:rsid w:val="00FD2384"/>
    <w:rsid w:val="00FD298A"/>
    <w:rsid w:val="00FD2F9C"/>
    <w:rsid w:val="00FD3A2C"/>
    <w:rsid w:val="00FD44CE"/>
    <w:rsid w:val="00FD6288"/>
    <w:rsid w:val="00FE0152"/>
    <w:rsid w:val="00FE452E"/>
    <w:rsid w:val="00FF0898"/>
    <w:rsid w:val="00FF2BBB"/>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D0F706"/>
  <w15:docId w15:val="{E2C1130A-8EAA-4A62-9932-034769C7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C9781F"/>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s-ES_tradnl"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s-ES_tradnl" w:eastAsia="en-US"/>
    </w:rPr>
  </w:style>
  <w:style w:type="character" w:customStyle="1" w:styleId="Ttulo2Car">
    <w:name w:val="Título 2 Car"/>
    <w:link w:val="Ttulo2"/>
    <w:locked/>
    <w:rsid w:val="00C9781F"/>
    <w:rPr>
      <w:rFonts w:ascii="Arial" w:hAnsi="Arial" w:cs="Arial"/>
      <w:b/>
      <w:bCs/>
      <w:i/>
      <w:iCs/>
      <w:sz w:val="28"/>
      <w:szCs w:val="28"/>
      <w:lang w:val="es-ES_tradnl" w:eastAsia="en-US"/>
    </w:rPr>
  </w:style>
  <w:style w:type="character" w:customStyle="1" w:styleId="Ttulo3Car">
    <w:name w:val="Título 3 Car"/>
    <w:link w:val="Ttulo3"/>
    <w:locked/>
    <w:rsid w:val="00C9781F"/>
    <w:rPr>
      <w:rFonts w:ascii="Arial" w:hAnsi="Arial" w:cs="Arial"/>
      <w:b/>
      <w:bCs/>
      <w:szCs w:val="26"/>
      <w:lang w:val="es-ES_tradnl"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s-ES_tradnl" w:eastAsia="en-US"/>
    </w:rPr>
  </w:style>
  <w:style w:type="character" w:customStyle="1" w:styleId="EncabezadoCar">
    <w:name w:val="Encabezado Car"/>
    <w:link w:val="Encabezado"/>
    <w:locked/>
    <w:rsid w:val="00C9781F"/>
    <w:rPr>
      <w:bCs/>
      <w:caps/>
      <w:sz w:val="14"/>
      <w:szCs w:val="12"/>
      <w:lang w:val="es-ES_tradnl" w:eastAsia="en-US"/>
    </w:rPr>
  </w:style>
  <w:style w:type="character" w:customStyle="1" w:styleId="PiedepginaCar">
    <w:name w:val="Pie de página Car"/>
    <w:link w:val="Piedepgina"/>
    <w:uiPriority w:val="99"/>
    <w:locked/>
    <w:rsid w:val="00C9781F"/>
    <w:rPr>
      <w:spacing w:val="6"/>
      <w:lang w:val="es-ES_tradnl"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lang w:val="es-ES"/>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s-ES_tradnl"/>
    </w:rPr>
  </w:style>
  <w:style w:type="character" w:customStyle="1" w:styleId="AyuntamientoCar">
    <w:name w:val="Ayuntamiento Car"/>
    <w:link w:val="Ayuntamiento"/>
    <w:locked/>
    <w:rsid w:val="00C9781F"/>
    <w:rPr>
      <w:rFonts w:ascii="Arial" w:hAnsi="Arial"/>
      <w:sz w:val="24"/>
      <w:lang w:val="x-none"/>
    </w:rPr>
  </w:style>
  <w:style w:type="paragraph" w:customStyle="1" w:styleId="Ayuntamiento">
    <w:name w:val="Ayuntamiento"/>
    <w:basedOn w:val="Normal"/>
    <w:link w:val="AyuntamientoCar"/>
    <w:rsid w:val="00C9781F"/>
    <w:pPr>
      <w:spacing w:after="0"/>
      <w:ind w:firstLine="0"/>
    </w:pPr>
    <w:rPr>
      <w:rFonts w:ascii="Arial" w:hAnsi="Arial"/>
      <w:sz w:val="24"/>
      <w:lang w:val="x-none" w:eastAsia="es-ES"/>
    </w:rPr>
  </w:style>
  <w:style w:type="character" w:customStyle="1" w:styleId="JavierCar">
    <w:name w:val="Javier Car"/>
    <w:link w:val="Javier"/>
    <w:locked/>
    <w:rsid w:val="00C9781F"/>
    <w:rPr>
      <w:rFonts w:ascii="Arial" w:hAnsi="Arial"/>
      <w:sz w:val="24"/>
      <w:lang w:val="x-none"/>
    </w:rPr>
  </w:style>
  <w:style w:type="paragraph" w:customStyle="1" w:styleId="Javier">
    <w:name w:val="Javier"/>
    <w:basedOn w:val="Normal"/>
    <w:link w:val="JavierCar"/>
    <w:rsid w:val="00C9781F"/>
    <w:pPr>
      <w:spacing w:after="0"/>
      <w:ind w:firstLine="0"/>
    </w:pPr>
    <w:rPr>
      <w:rFonts w:ascii="Arial" w:hAnsi="Arial"/>
      <w:sz w:val="24"/>
      <w:lang w:val="x-none"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val="es-ES"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s-ES_tradnl"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val="es-ES" w:eastAsia="es-ES"/>
    </w:rPr>
  </w:style>
  <w:style w:type="paragraph" w:customStyle="1" w:styleId="np">
    <w:name w:val="np"/>
    <w:basedOn w:val="Normal"/>
    <w:rsid w:val="00C9781F"/>
    <w:pPr>
      <w:spacing w:before="100" w:beforeAutospacing="1" w:after="100" w:afterAutospacing="1"/>
      <w:ind w:firstLine="0"/>
      <w:jc w:val="left"/>
    </w:pPr>
    <w:rPr>
      <w:sz w:val="24"/>
      <w:szCs w:val="24"/>
      <w:lang w:val="es-ES"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C9781F"/>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s-ES_tradnl" w:eastAsia="en-US"/>
    </w:rPr>
  </w:style>
  <w:style w:type="character" w:styleId="Refdenotaalfinal">
    <w:name w:val="endnote reference"/>
    <w:basedOn w:val="Fuentedeprrafopredeter"/>
    <w:rsid w:val="00B53A0A"/>
    <w:rPr>
      <w:vertAlign w:val="superscript"/>
    </w:rPr>
  </w:style>
  <w:style w:type="character" w:styleId="Hipervnculovisitado">
    <w:name w:val="FollowedHyperlink"/>
    <w:basedOn w:val="Fuentedeprrafopredeter"/>
    <w:uiPriority w:val="99"/>
    <w:unhideWhenUsed/>
    <w:rsid w:val="002422F8"/>
    <w:rPr>
      <w:color w:val="800080"/>
      <w:u w:val="single"/>
    </w:rPr>
  </w:style>
  <w:style w:type="paragraph" w:customStyle="1" w:styleId="xl66">
    <w:name w:val="xl66"/>
    <w:basedOn w:val="Normal"/>
    <w:rsid w:val="002422F8"/>
    <w:pPr>
      <w:spacing w:before="100" w:beforeAutospacing="1" w:after="100" w:afterAutospacing="1"/>
      <w:ind w:firstLine="0"/>
      <w:jc w:val="left"/>
    </w:pPr>
    <w:rPr>
      <w:lang w:val="es-ES" w:eastAsia="es-ES"/>
    </w:rPr>
  </w:style>
  <w:style w:type="paragraph" w:customStyle="1" w:styleId="xl67">
    <w:name w:val="xl67"/>
    <w:basedOn w:val="Normal"/>
    <w:rsid w:val="002422F8"/>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2422F8"/>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2422F8"/>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2422F8"/>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2422F8"/>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2422F8"/>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2422F8"/>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2422F8"/>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2422F8"/>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2422F8"/>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2422F8"/>
    <w:rPr>
      <w:rFonts w:ascii="EYInterstate Light" w:hAnsi="EYInterstate Light"/>
      <w:szCs w:val="24"/>
      <w:lang w:val="en-US" w:eastAsia="en-US"/>
    </w:rPr>
  </w:style>
  <w:style w:type="character" w:styleId="Refdecomentario">
    <w:name w:val="annotation reference"/>
    <w:basedOn w:val="Fuentedeprrafopredeter"/>
    <w:semiHidden/>
    <w:unhideWhenUsed/>
    <w:rsid w:val="002422F8"/>
    <w:rPr>
      <w:sz w:val="16"/>
      <w:szCs w:val="16"/>
    </w:rPr>
  </w:style>
  <w:style w:type="paragraph" w:styleId="Textocomentario">
    <w:name w:val="annotation text"/>
    <w:basedOn w:val="Normal"/>
    <w:link w:val="TextocomentarioCar"/>
    <w:unhideWhenUsed/>
    <w:rsid w:val="002422F8"/>
  </w:style>
  <w:style w:type="character" w:customStyle="1" w:styleId="TextocomentarioCar">
    <w:name w:val="Texto comentario Car"/>
    <w:basedOn w:val="Fuentedeprrafopredeter"/>
    <w:link w:val="Textocomentario"/>
    <w:rsid w:val="002422F8"/>
    <w:rPr>
      <w:lang w:val="es-ES_tradnl" w:eastAsia="en-US"/>
    </w:rPr>
  </w:style>
  <w:style w:type="paragraph" w:styleId="Asuntodelcomentario">
    <w:name w:val="annotation subject"/>
    <w:basedOn w:val="Textocomentario"/>
    <w:next w:val="Textocomentario"/>
    <w:link w:val="AsuntodelcomentarioCar"/>
    <w:semiHidden/>
    <w:unhideWhenUsed/>
    <w:rsid w:val="002422F8"/>
    <w:rPr>
      <w:b/>
      <w:bCs/>
    </w:rPr>
  </w:style>
  <w:style w:type="character" w:customStyle="1" w:styleId="AsuntodelcomentarioCar">
    <w:name w:val="Asunto del comentario Car"/>
    <w:basedOn w:val="TextocomentarioCar"/>
    <w:link w:val="Asuntodelcomentario"/>
    <w:semiHidden/>
    <w:rsid w:val="002422F8"/>
    <w:rPr>
      <w:b/>
      <w:bCs/>
      <w:lang w:val="es-ES_tradnl" w:eastAsia="en-US"/>
    </w:rPr>
  </w:style>
  <w:style w:type="paragraph" w:styleId="Revisin">
    <w:name w:val="Revision"/>
    <w:hidden/>
    <w:uiPriority w:val="99"/>
    <w:semiHidden/>
    <w:rsid w:val="002422F8"/>
    <w:rPr>
      <w:lang w:val="es-ES_tradnl" w:eastAsia="en-US"/>
    </w:rPr>
  </w:style>
  <w:style w:type="character" w:customStyle="1" w:styleId="jselectarea">
    <w:name w:val="jselectarea"/>
    <w:basedOn w:val="Fuentedeprrafopredeter"/>
    <w:rsid w:val="002422F8"/>
  </w:style>
  <w:style w:type="table" w:customStyle="1" w:styleId="TableNormal">
    <w:name w:val="Table Normal"/>
    <w:uiPriority w:val="59"/>
    <w:rsid w:val="001E0083"/>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character" w:customStyle="1" w:styleId="atitulo3Car">
    <w:name w:val="atitulo3 Car"/>
    <w:link w:val="atitulo3"/>
    <w:rsid w:val="00D51C9B"/>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325">
      <w:bodyDiv w:val="1"/>
      <w:marLeft w:val="0"/>
      <w:marRight w:val="0"/>
      <w:marTop w:val="0"/>
      <w:marBottom w:val="0"/>
      <w:divBdr>
        <w:top w:val="none" w:sz="0" w:space="0" w:color="auto"/>
        <w:left w:val="none" w:sz="0" w:space="0" w:color="auto"/>
        <w:bottom w:val="none" w:sz="0" w:space="0" w:color="auto"/>
        <w:right w:val="none" w:sz="0" w:space="0" w:color="auto"/>
      </w:divBdr>
    </w:div>
    <w:div w:id="44184374">
      <w:bodyDiv w:val="1"/>
      <w:marLeft w:val="0"/>
      <w:marRight w:val="0"/>
      <w:marTop w:val="0"/>
      <w:marBottom w:val="0"/>
      <w:divBdr>
        <w:top w:val="none" w:sz="0" w:space="0" w:color="auto"/>
        <w:left w:val="none" w:sz="0" w:space="0" w:color="auto"/>
        <w:bottom w:val="none" w:sz="0" w:space="0" w:color="auto"/>
        <w:right w:val="none" w:sz="0" w:space="0" w:color="auto"/>
      </w:divBdr>
    </w:div>
    <w:div w:id="44833984">
      <w:bodyDiv w:val="1"/>
      <w:marLeft w:val="0"/>
      <w:marRight w:val="0"/>
      <w:marTop w:val="0"/>
      <w:marBottom w:val="0"/>
      <w:divBdr>
        <w:top w:val="none" w:sz="0" w:space="0" w:color="auto"/>
        <w:left w:val="none" w:sz="0" w:space="0" w:color="auto"/>
        <w:bottom w:val="none" w:sz="0" w:space="0" w:color="auto"/>
        <w:right w:val="none" w:sz="0" w:space="0" w:color="auto"/>
      </w:divBdr>
    </w:div>
    <w:div w:id="91896666">
      <w:bodyDiv w:val="1"/>
      <w:marLeft w:val="0"/>
      <w:marRight w:val="0"/>
      <w:marTop w:val="0"/>
      <w:marBottom w:val="0"/>
      <w:divBdr>
        <w:top w:val="none" w:sz="0" w:space="0" w:color="auto"/>
        <w:left w:val="none" w:sz="0" w:space="0" w:color="auto"/>
        <w:bottom w:val="none" w:sz="0" w:space="0" w:color="auto"/>
        <w:right w:val="none" w:sz="0" w:space="0" w:color="auto"/>
      </w:divBdr>
    </w:div>
    <w:div w:id="110130411">
      <w:bodyDiv w:val="1"/>
      <w:marLeft w:val="0"/>
      <w:marRight w:val="0"/>
      <w:marTop w:val="0"/>
      <w:marBottom w:val="0"/>
      <w:divBdr>
        <w:top w:val="none" w:sz="0" w:space="0" w:color="auto"/>
        <w:left w:val="none" w:sz="0" w:space="0" w:color="auto"/>
        <w:bottom w:val="none" w:sz="0" w:space="0" w:color="auto"/>
        <w:right w:val="none" w:sz="0" w:space="0" w:color="auto"/>
      </w:divBdr>
    </w:div>
    <w:div w:id="538249641">
      <w:bodyDiv w:val="1"/>
      <w:marLeft w:val="0"/>
      <w:marRight w:val="0"/>
      <w:marTop w:val="0"/>
      <w:marBottom w:val="0"/>
      <w:divBdr>
        <w:top w:val="none" w:sz="0" w:space="0" w:color="auto"/>
        <w:left w:val="none" w:sz="0" w:space="0" w:color="auto"/>
        <w:bottom w:val="none" w:sz="0" w:space="0" w:color="auto"/>
        <w:right w:val="none" w:sz="0" w:space="0" w:color="auto"/>
      </w:divBdr>
    </w:div>
    <w:div w:id="643781579">
      <w:bodyDiv w:val="1"/>
      <w:marLeft w:val="0"/>
      <w:marRight w:val="0"/>
      <w:marTop w:val="0"/>
      <w:marBottom w:val="0"/>
      <w:divBdr>
        <w:top w:val="none" w:sz="0" w:space="0" w:color="auto"/>
        <w:left w:val="none" w:sz="0" w:space="0" w:color="auto"/>
        <w:bottom w:val="none" w:sz="0" w:space="0" w:color="auto"/>
        <w:right w:val="none" w:sz="0" w:space="0" w:color="auto"/>
      </w:divBdr>
    </w:div>
    <w:div w:id="658582588">
      <w:bodyDiv w:val="1"/>
      <w:marLeft w:val="0"/>
      <w:marRight w:val="0"/>
      <w:marTop w:val="0"/>
      <w:marBottom w:val="0"/>
      <w:divBdr>
        <w:top w:val="none" w:sz="0" w:space="0" w:color="auto"/>
        <w:left w:val="none" w:sz="0" w:space="0" w:color="auto"/>
        <w:bottom w:val="none" w:sz="0" w:space="0" w:color="auto"/>
        <w:right w:val="none" w:sz="0" w:space="0" w:color="auto"/>
      </w:divBdr>
    </w:div>
    <w:div w:id="832332764">
      <w:bodyDiv w:val="1"/>
      <w:marLeft w:val="0"/>
      <w:marRight w:val="0"/>
      <w:marTop w:val="0"/>
      <w:marBottom w:val="0"/>
      <w:divBdr>
        <w:top w:val="none" w:sz="0" w:space="0" w:color="auto"/>
        <w:left w:val="none" w:sz="0" w:space="0" w:color="auto"/>
        <w:bottom w:val="none" w:sz="0" w:space="0" w:color="auto"/>
        <w:right w:val="none" w:sz="0" w:space="0" w:color="auto"/>
      </w:divBdr>
    </w:div>
    <w:div w:id="1170025884">
      <w:bodyDiv w:val="1"/>
      <w:marLeft w:val="0"/>
      <w:marRight w:val="0"/>
      <w:marTop w:val="0"/>
      <w:marBottom w:val="0"/>
      <w:divBdr>
        <w:top w:val="none" w:sz="0" w:space="0" w:color="auto"/>
        <w:left w:val="none" w:sz="0" w:space="0" w:color="auto"/>
        <w:bottom w:val="none" w:sz="0" w:space="0" w:color="auto"/>
        <w:right w:val="none" w:sz="0" w:space="0" w:color="auto"/>
      </w:divBdr>
    </w:div>
    <w:div w:id="1396709143">
      <w:bodyDiv w:val="1"/>
      <w:marLeft w:val="0"/>
      <w:marRight w:val="0"/>
      <w:marTop w:val="0"/>
      <w:marBottom w:val="0"/>
      <w:divBdr>
        <w:top w:val="none" w:sz="0" w:space="0" w:color="auto"/>
        <w:left w:val="none" w:sz="0" w:space="0" w:color="auto"/>
        <w:bottom w:val="none" w:sz="0" w:space="0" w:color="auto"/>
        <w:right w:val="none" w:sz="0" w:space="0" w:color="auto"/>
      </w:divBdr>
    </w:div>
    <w:div w:id="1927224416">
      <w:bodyDiv w:val="1"/>
      <w:marLeft w:val="0"/>
      <w:marRight w:val="0"/>
      <w:marTop w:val="0"/>
      <w:marBottom w:val="0"/>
      <w:divBdr>
        <w:top w:val="none" w:sz="0" w:space="0" w:color="auto"/>
        <w:left w:val="none" w:sz="0" w:space="0" w:color="auto"/>
        <w:bottom w:val="none" w:sz="0" w:space="0" w:color="auto"/>
        <w:right w:val="none" w:sz="0" w:space="0" w:color="auto"/>
      </w:divBdr>
    </w:div>
    <w:div w:id="2016615848">
      <w:bodyDiv w:val="1"/>
      <w:marLeft w:val="0"/>
      <w:marRight w:val="0"/>
      <w:marTop w:val="0"/>
      <w:marBottom w:val="0"/>
      <w:divBdr>
        <w:top w:val="none" w:sz="0" w:space="0" w:color="auto"/>
        <w:left w:val="none" w:sz="0" w:space="0" w:color="auto"/>
        <w:bottom w:val="none" w:sz="0" w:space="0" w:color="auto"/>
        <w:right w:val="none" w:sz="0" w:space="0" w:color="auto"/>
      </w:divBdr>
    </w:div>
    <w:div w:id="20521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14C2-7592-4D90-B839-87F2469A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4881</Words>
  <Characters>26095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Elizalde Elizalde, Julia (Cámara de Comptos)</dc:creator>
  <cp:lastModifiedBy>Aranaz, Carlota</cp:lastModifiedBy>
  <cp:revision>4</cp:revision>
  <cp:lastPrinted>2021-10-28T10:11:00Z</cp:lastPrinted>
  <dcterms:created xsi:type="dcterms:W3CDTF">2022-01-17T07:24:00Z</dcterms:created>
  <dcterms:modified xsi:type="dcterms:W3CDTF">2022-01-25T08:11:00Z</dcterms:modified>
</cp:coreProperties>
</file>