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204979" w:rsidRDefault="00FA495F" w:rsidP="00075677">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-151765</wp:posOffset>
                </wp:positionH>
                <wp:positionV relativeFrom="paragraph">
                  <wp:posOffset>-819150</wp:posOffset>
                </wp:positionV>
                <wp:extent cx="1105535" cy="9144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144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B3331A" w:rsidRPr="003A7956" w:rsidRDefault="00B3331A" w:rsidP="004C3423">
                            <w:pPr>
                              <w:spacing w:after="0"/>
                              <w:ind w:firstLine="0"/>
                              <w:jc w:val="center"/>
                              <w:rPr>
                                <w:sz w:val="18"/>
                                <w:szCs w:val="18"/>
                                <w:lang w:val="es-ES"/>
                              </w:rPr>
                            </w:pPr>
                            <w:r w:rsidRPr="003A7956">
                              <w:rPr>
                                <w:sz w:val="18"/>
                                <w:szCs w:val="18"/>
                                <w:lang w:val="es-ES"/>
                              </w:rPr>
                              <w:t>CAMARA DE</w:t>
                            </w:r>
                          </w:p>
                          <w:p w:rsidR="00B3331A" w:rsidRPr="003A7956" w:rsidRDefault="00B3331A" w:rsidP="004C3423">
                            <w:pPr>
                              <w:spacing w:after="0"/>
                              <w:ind w:firstLine="0"/>
                              <w:jc w:val="center"/>
                              <w:rPr>
                                <w:sz w:val="18"/>
                                <w:szCs w:val="18"/>
                                <w:lang w:val="es-ES"/>
                              </w:rPr>
                            </w:pPr>
                            <w:r w:rsidRPr="003A7956">
                              <w:rPr>
                                <w:sz w:val="18"/>
                                <w:szCs w:val="18"/>
                                <w:lang w:val="es-ES"/>
                              </w:rPr>
                              <w:t>COMPTOS</w:t>
                            </w:r>
                          </w:p>
                          <w:p w:rsidR="00B3331A" w:rsidRPr="003A7956" w:rsidRDefault="00B3331A" w:rsidP="004C3423">
                            <w:pPr>
                              <w:spacing w:after="0"/>
                              <w:ind w:firstLine="0"/>
                              <w:jc w:val="center"/>
                              <w:rPr>
                                <w:sz w:val="18"/>
                                <w:szCs w:val="18"/>
                                <w:lang w:val="es-ES"/>
                              </w:rPr>
                            </w:pPr>
                            <w:r w:rsidRPr="003A7956">
                              <w:rPr>
                                <w:sz w:val="18"/>
                                <w:szCs w:val="18"/>
                                <w:lang w:val="es-ES"/>
                              </w:rPr>
                              <w:t>DE NAVARRA</w:t>
                            </w:r>
                          </w:p>
                          <w:p w:rsidR="00B3331A" w:rsidRPr="003A7956" w:rsidRDefault="00B3331A" w:rsidP="004C3423">
                            <w:pPr>
                              <w:spacing w:after="0"/>
                              <w:ind w:firstLine="0"/>
                              <w:jc w:val="center"/>
                              <w:rPr>
                                <w:color w:val="808080"/>
                                <w:sz w:val="18"/>
                                <w:szCs w:val="18"/>
                                <w:lang w:val="es-ES"/>
                              </w:rPr>
                            </w:pPr>
                            <w:r w:rsidRPr="003A7956">
                              <w:rPr>
                                <w:color w:val="808080"/>
                                <w:sz w:val="18"/>
                                <w:szCs w:val="18"/>
                                <w:lang w:val="es-ES"/>
                              </w:rPr>
                              <w:t>NAFARROAKO</w:t>
                            </w:r>
                          </w:p>
                          <w:p w:rsidR="00B3331A" w:rsidRPr="003A7956" w:rsidRDefault="00B3331A" w:rsidP="004C3423">
                            <w:pPr>
                              <w:spacing w:after="0"/>
                              <w:ind w:firstLine="0"/>
                              <w:jc w:val="center"/>
                              <w:rPr>
                                <w:color w:val="808080"/>
                                <w:sz w:val="18"/>
                                <w:szCs w:val="18"/>
                                <w:lang w:val="es-ES"/>
                              </w:rPr>
                            </w:pPr>
                            <w:r w:rsidRPr="003A7956">
                              <w:rPr>
                                <w:color w:val="808080"/>
                                <w:sz w:val="18"/>
                                <w:szCs w:val="18"/>
                                <w:lang w:val="es-ES"/>
                              </w:rPr>
                              <w:t>KONTUEN</w:t>
                            </w:r>
                          </w:p>
                          <w:p w:rsidR="00B3331A" w:rsidRPr="002C7026" w:rsidRDefault="00B3331A" w:rsidP="002C7026">
                            <w:pPr>
                              <w:spacing w:after="0"/>
                              <w:ind w:firstLine="0"/>
                              <w:jc w:val="center"/>
                              <w:rPr>
                                <w:rFonts w:ascii="Trajan" w:hAnsi="Trajan"/>
                                <w:color w:val="808080"/>
                                <w:sz w:val="18"/>
                                <w:szCs w:val="18"/>
                                <w:lang w:val="es-ES"/>
                              </w:rPr>
                            </w:pPr>
                            <w:r w:rsidRPr="003A7956">
                              <w:rPr>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1.95pt;margin-top:-64.5pt;width:87.0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" stroked="f" strokecolor="white">
                <v:textbox>
                  <w:txbxContent>
                    <w:p w:rsidR="00B3331A" w:rsidRPr="003A7956" w:rsidRDefault="00B3331A" w:rsidP="004C3423">
                      <w:pPr>
                        <w:spacing w:after="0"/>
                        <w:ind w:firstLine="0"/>
                        <w:jc w:val="center"/>
                        <w:rPr>
                          <w:sz w:val="18"/>
                          <w:szCs w:val="18"/>
                          <w:lang w:val="es-ES"/>
                        </w:rPr>
                      </w:pPr>
                      <w:r w:rsidRPr="003A7956">
                        <w:rPr>
                          <w:sz w:val="18"/>
                          <w:szCs w:val="18"/>
                          <w:lang w:val="es-ES"/>
                        </w:rPr>
                        <w:t>CAMARA DE</w:t>
                      </w:r>
                    </w:p>
                    <w:p w:rsidR="00B3331A" w:rsidRPr="003A7956" w:rsidRDefault="00B3331A" w:rsidP="004C3423">
                      <w:pPr>
                        <w:spacing w:after="0"/>
                        <w:ind w:firstLine="0"/>
                        <w:jc w:val="center"/>
                        <w:rPr>
                          <w:sz w:val="18"/>
                          <w:szCs w:val="18"/>
                          <w:lang w:val="es-ES"/>
                        </w:rPr>
                      </w:pPr>
                      <w:r w:rsidRPr="003A7956">
                        <w:rPr>
                          <w:sz w:val="18"/>
                          <w:szCs w:val="18"/>
                          <w:lang w:val="es-ES"/>
                        </w:rPr>
                        <w:t>COMPTOS</w:t>
                      </w:r>
                    </w:p>
                    <w:p w:rsidR="00B3331A" w:rsidRPr="003A7956" w:rsidRDefault="00B3331A" w:rsidP="004C3423">
                      <w:pPr>
                        <w:spacing w:after="0"/>
                        <w:ind w:firstLine="0"/>
                        <w:jc w:val="center"/>
                        <w:rPr>
                          <w:sz w:val="18"/>
                          <w:szCs w:val="18"/>
                          <w:lang w:val="es-ES"/>
                        </w:rPr>
                      </w:pPr>
                      <w:r w:rsidRPr="003A7956">
                        <w:rPr>
                          <w:sz w:val="18"/>
                          <w:szCs w:val="18"/>
                          <w:lang w:val="es-ES"/>
                        </w:rPr>
                        <w:t>DE NAVARRA</w:t>
                      </w:r>
                    </w:p>
                    <w:p w:rsidR="00B3331A" w:rsidRPr="003A7956" w:rsidRDefault="00B3331A" w:rsidP="004C3423">
                      <w:pPr>
                        <w:spacing w:after="0"/>
                        <w:ind w:firstLine="0"/>
                        <w:jc w:val="center"/>
                        <w:rPr>
                          <w:color w:val="808080"/>
                          <w:sz w:val="18"/>
                          <w:szCs w:val="18"/>
                          <w:lang w:val="es-ES"/>
                        </w:rPr>
                      </w:pPr>
                      <w:r w:rsidRPr="003A7956">
                        <w:rPr>
                          <w:color w:val="808080"/>
                          <w:sz w:val="18"/>
                          <w:szCs w:val="18"/>
                          <w:lang w:val="es-ES"/>
                        </w:rPr>
                        <w:t>NAFARROAKO</w:t>
                      </w:r>
                    </w:p>
                    <w:p w:rsidR="00B3331A" w:rsidRPr="003A7956" w:rsidRDefault="00B3331A" w:rsidP="004C3423">
                      <w:pPr>
                        <w:spacing w:after="0"/>
                        <w:ind w:firstLine="0"/>
                        <w:jc w:val="center"/>
                        <w:rPr>
                          <w:color w:val="808080"/>
                          <w:sz w:val="18"/>
                          <w:szCs w:val="18"/>
                          <w:lang w:val="es-ES"/>
                        </w:rPr>
                      </w:pPr>
                      <w:r w:rsidRPr="003A7956">
                        <w:rPr>
                          <w:color w:val="808080"/>
                          <w:sz w:val="18"/>
                          <w:szCs w:val="18"/>
                          <w:lang w:val="es-ES"/>
                        </w:rPr>
                        <w:t>KONTUEN</w:t>
                      </w:r>
                    </w:p>
                    <w:p w:rsidR="00B3331A" w:rsidRPr="002C7026" w:rsidRDefault="00B3331A" w:rsidP="002C7026">
                      <w:pPr>
                        <w:spacing w:after="0"/>
                        <w:ind w:firstLine="0"/>
                        <w:jc w:val="center"/>
                        <w:rPr>
                          <w:rFonts w:ascii="Trajan" w:hAnsi="Trajan"/>
                          <w:color w:val="808080"/>
                          <w:sz w:val="18"/>
                          <w:szCs w:val="18"/>
                          <w:lang w:val="es-ES"/>
                        </w:rPr>
                      </w:pPr>
                      <w:r w:rsidRPr="003A7956">
                        <w:rPr>
                          <w:color w:val="808080"/>
                          <w:sz w:val="18"/>
                          <w:szCs w:val="18"/>
                          <w:lang w:val="es-ES"/>
                        </w:rPr>
                        <w:t>GANBERA</w:t>
                      </w:r>
                    </w:p>
                  </w:txbxContent>
                </v:textbox>
              </v:shape>
            </w:pict>
          </mc:Fallback>
        </mc:AlternateContent>
      </w:r>
    </w:p>
    <w:p w:rsidR="00204F99" w:rsidRDefault="00204F99" w:rsidP="00204F99">
      <w:pPr>
        <w:pStyle w:val="EstiloPortada"/>
        <w:ind w:left="4253" w:right="-425"/>
        <w:rPr>
          <w:sz w:val="44"/>
          <w:szCs w:val="44"/>
        </w:rPr>
      </w:pPr>
    </w:p>
    <w:p w:rsidR="00EA408D" w:rsidRDefault="00EA408D" w:rsidP="00204F99">
      <w:pPr>
        <w:pStyle w:val="EstiloPortada"/>
        <w:ind w:left="4253" w:right="-425"/>
        <w:rPr>
          <w:sz w:val="44"/>
          <w:szCs w:val="44"/>
        </w:rPr>
      </w:pPr>
    </w:p>
    <w:p w:rsidR="00204F99" w:rsidRPr="00204F99" w:rsidRDefault="00204F99" w:rsidP="00D746D1">
      <w:pPr>
        <w:pStyle w:val="EstiloPortada"/>
        <w:ind w:left="2268" w:right="-425"/>
        <w:rPr>
          <w:sz w:val="44"/>
          <w:szCs w:val="44"/>
        </w:rPr>
      </w:pPr>
      <w:r>
        <w:rPr>
          <w:sz w:val="44"/>
          <w:szCs w:val="44"/>
        </w:rPr>
        <w:t>Subvenciones de la A</w:t>
      </w:r>
      <w:r w:rsidR="00D746D1">
        <w:rPr>
          <w:sz w:val="44"/>
          <w:szCs w:val="44"/>
        </w:rPr>
        <w:t>dministración de la Comunidad Foral de Navarra</w:t>
      </w:r>
      <w:r>
        <w:rPr>
          <w:sz w:val="44"/>
          <w:szCs w:val="44"/>
        </w:rPr>
        <w:t xml:space="preserve"> </w:t>
      </w:r>
      <w:r w:rsidR="008867A2">
        <w:rPr>
          <w:sz w:val="44"/>
          <w:szCs w:val="44"/>
        </w:rPr>
        <w:t xml:space="preserve"> </w:t>
      </w:r>
      <w:r w:rsidR="00CE4616">
        <w:rPr>
          <w:sz w:val="44"/>
          <w:szCs w:val="44"/>
        </w:rPr>
        <w:t xml:space="preserve">a </w:t>
      </w:r>
      <w:r>
        <w:rPr>
          <w:sz w:val="44"/>
          <w:szCs w:val="44"/>
        </w:rPr>
        <w:t>empresas privadas, 2020</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5D3454" w:rsidP="009936FC">
      <w:pPr>
        <w:pStyle w:val="Fechaportada"/>
      </w:pPr>
      <w:r>
        <w:t>Septiembre</w:t>
      </w:r>
      <w:r w:rsidR="00253E78" w:rsidRPr="001D4F09">
        <w:t xml:space="preserve"> de 20</w:t>
      </w:r>
      <w:r w:rsidR="00204F99">
        <w:t>21</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F4544B"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81830144" w:history="1">
        <w:r w:rsidR="00F4544B" w:rsidRPr="004242C2">
          <w:rPr>
            <w:rStyle w:val="Hipervnculo"/>
            <w:noProof/>
          </w:rPr>
          <w:t>I. Introducción</w:t>
        </w:r>
        <w:r w:rsidR="00F4544B">
          <w:rPr>
            <w:noProof/>
            <w:webHidden/>
          </w:rPr>
          <w:tab/>
        </w:r>
        <w:r w:rsidR="00F4544B">
          <w:rPr>
            <w:noProof/>
            <w:webHidden/>
          </w:rPr>
          <w:fldChar w:fldCharType="begin"/>
        </w:r>
        <w:r w:rsidR="00F4544B">
          <w:rPr>
            <w:noProof/>
            <w:webHidden/>
          </w:rPr>
          <w:instrText xml:space="preserve"> PAGEREF _Toc81830144 \h </w:instrText>
        </w:r>
        <w:r w:rsidR="00F4544B">
          <w:rPr>
            <w:noProof/>
            <w:webHidden/>
          </w:rPr>
        </w:r>
        <w:r w:rsidR="00F4544B">
          <w:rPr>
            <w:noProof/>
            <w:webHidden/>
          </w:rPr>
          <w:fldChar w:fldCharType="separate"/>
        </w:r>
        <w:r w:rsidR="00652A89">
          <w:rPr>
            <w:noProof/>
            <w:webHidden/>
          </w:rPr>
          <w:t>3</w:t>
        </w:r>
        <w:r w:rsidR="00F4544B">
          <w:rPr>
            <w:noProof/>
            <w:webHidden/>
          </w:rPr>
          <w:fldChar w:fldCharType="end"/>
        </w:r>
      </w:hyperlink>
    </w:p>
    <w:p w:rsidR="00F4544B" w:rsidRDefault="007D325C">
      <w:pPr>
        <w:pStyle w:val="TDC1"/>
        <w:rPr>
          <w:rFonts w:asciiTheme="minorHAnsi" w:eastAsiaTheme="minorEastAsia" w:hAnsiTheme="minorHAnsi" w:cstheme="minorBidi"/>
          <w:smallCaps w:val="0"/>
          <w:noProof/>
          <w:szCs w:val="22"/>
          <w:lang w:val="es-ES" w:eastAsia="es-ES"/>
        </w:rPr>
      </w:pPr>
      <w:hyperlink w:anchor="_Toc81830145" w:history="1">
        <w:r w:rsidR="00F4544B" w:rsidRPr="004242C2">
          <w:rPr>
            <w:rStyle w:val="Hipervnculo"/>
            <w:noProof/>
          </w:rPr>
          <w:t>II. Subvenciones de la Administración de la Comunidad Foral de Navarra a empresas privadas</w:t>
        </w:r>
        <w:r w:rsidR="00F4544B">
          <w:rPr>
            <w:noProof/>
            <w:webHidden/>
          </w:rPr>
          <w:tab/>
        </w:r>
        <w:r w:rsidR="00F4544B">
          <w:rPr>
            <w:noProof/>
            <w:webHidden/>
          </w:rPr>
          <w:fldChar w:fldCharType="begin"/>
        </w:r>
        <w:r w:rsidR="00F4544B">
          <w:rPr>
            <w:noProof/>
            <w:webHidden/>
          </w:rPr>
          <w:instrText xml:space="preserve"> PAGEREF _Toc81830145 \h </w:instrText>
        </w:r>
        <w:r w:rsidR="00F4544B">
          <w:rPr>
            <w:noProof/>
            <w:webHidden/>
          </w:rPr>
        </w:r>
        <w:r w:rsidR="00F4544B">
          <w:rPr>
            <w:noProof/>
            <w:webHidden/>
          </w:rPr>
          <w:fldChar w:fldCharType="separate"/>
        </w:r>
        <w:r w:rsidR="00652A89">
          <w:rPr>
            <w:noProof/>
            <w:webHidden/>
          </w:rPr>
          <w:t>4</w:t>
        </w:r>
        <w:r w:rsidR="00F4544B">
          <w:rPr>
            <w:noProof/>
            <w:webHidden/>
          </w:rPr>
          <w:fldChar w:fldCharType="end"/>
        </w:r>
      </w:hyperlink>
    </w:p>
    <w:p w:rsidR="00F4544B" w:rsidRDefault="007D325C">
      <w:pPr>
        <w:pStyle w:val="TDC2"/>
        <w:rPr>
          <w:rFonts w:asciiTheme="minorHAnsi" w:eastAsiaTheme="minorEastAsia" w:hAnsiTheme="minorHAnsi" w:cstheme="minorBidi"/>
          <w:noProof/>
          <w:szCs w:val="22"/>
          <w:lang w:val="es-ES" w:eastAsia="es-ES"/>
        </w:rPr>
      </w:pPr>
      <w:hyperlink w:anchor="_Toc81830146" w:history="1">
        <w:r w:rsidR="00F4544B" w:rsidRPr="004242C2">
          <w:rPr>
            <w:rStyle w:val="Hipervnculo"/>
            <w:noProof/>
          </w:rPr>
          <w:t>II.1. Gasto por transferencias a empresas privadas</w:t>
        </w:r>
        <w:r w:rsidR="00F4544B">
          <w:rPr>
            <w:noProof/>
            <w:webHidden/>
          </w:rPr>
          <w:tab/>
        </w:r>
        <w:r w:rsidR="00F4544B">
          <w:rPr>
            <w:noProof/>
            <w:webHidden/>
          </w:rPr>
          <w:fldChar w:fldCharType="begin"/>
        </w:r>
        <w:r w:rsidR="00F4544B">
          <w:rPr>
            <w:noProof/>
            <w:webHidden/>
          </w:rPr>
          <w:instrText xml:space="preserve"> PAGEREF _Toc81830146 \h </w:instrText>
        </w:r>
        <w:r w:rsidR="00F4544B">
          <w:rPr>
            <w:noProof/>
            <w:webHidden/>
          </w:rPr>
        </w:r>
        <w:r w:rsidR="00F4544B">
          <w:rPr>
            <w:noProof/>
            <w:webHidden/>
          </w:rPr>
          <w:fldChar w:fldCharType="separate"/>
        </w:r>
        <w:r w:rsidR="00652A89">
          <w:rPr>
            <w:noProof/>
            <w:webHidden/>
          </w:rPr>
          <w:t>4</w:t>
        </w:r>
        <w:r w:rsidR="00F4544B">
          <w:rPr>
            <w:noProof/>
            <w:webHidden/>
          </w:rPr>
          <w:fldChar w:fldCharType="end"/>
        </w:r>
      </w:hyperlink>
    </w:p>
    <w:p w:rsidR="00F4544B" w:rsidRDefault="007D325C">
      <w:pPr>
        <w:pStyle w:val="TDC2"/>
        <w:rPr>
          <w:rFonts w:asciiTheme="minorHAnsi" w:eastAsiaTheme="minorEastAsia" w:hAnsiTheme="minorHAnsi" w:cstheme="minorBidi"/>
          <w:noProof/>
          <w:szCs w:val="22"/>
          <w:lang w:val="es-ES" w:eastAsia="es-ES"/>
        </w:rPr>
      </w:pPr>
      <w:hyperlink w:anchor="_Toc81830147" w:history="1">
        <w:r w:rsidR="00F4544B" w:rsidRPr="004242C2">
          <w:rPr>
            <w:rStyle w:val="Hipervnculo"/>
            <w:noProof/>
          </w:rPr>
          <w:t>II.2. Plan estratégico de subvenciones</w:t>
        </w:r>
        <w:r w:rsidR="00F4544B">
          <w:rPr>
            <w:noProof/>
            <w:webHidden/>
          </w:rPr>
          <w:tab/>
        </w:r>
        <w:r w:rsidR="00F4544B">
          <w:rPr>
            <w:noProof/>
            <w:webHidden/>
          </w:rPr>
          <w:fldChar w:fldCharType="begin"/>
        </w:r>
        <w:r w:rsidR="00F4544B">
          <w:rPr>
            <w:noProof/>
            <w:webHidden/>
          </w:rPr>
          <w:instrText xml:space="preserve"> PAGEREF _Toc81830147 \h </w:instrText>
        </w:r>
        <w:r w:rsidR="00F4544B">
          <w:rPr>
            <w:noProof/>
            <w:webHidden/>
          </w:rPr>
        </w:r>
        <w:r w:rsidR="00F4544B">
          <w:rPr>
            <w:noProof/>
            <w:webHidden/>
          </w:rPr>
          <w:fldChar w:fldCharType="separate"/>
        </w:r>
        <w:r w:rsidR="00652A89">
          <w:rPr>
            <w:noProof/>
            <w:webHidden/>
          </w:rPr>
          <w:t>7</w:t>
        </w:r>
        <w:r w:rsidR="00F4544B">
          <w:rPr>
            <w:noProof/>
            <w:webHidden/>
          </w:rPr>
          <w:fldChar w:fldCharType="end"/>
        </w:r>
      </w:hyperlink>
    </w:p>
    <w:p w:rsidR="00F4544B" w:rsidRDefault="007D325C">
      <w:pPr>
        <w:pStyle w:val="TDC2"/>
        <w:rPr>
          <w:rFonts w:asciiTheme="minorHAnsi" w:eastAsiaTheme="minorEastAsia" w:hAnsiTheme="minorHAnsi" w:cstheme="minorBidi"/>
          <w:noProof/>
          <w:szCs w:val="22"/>
          <w:lang w:val="es-ES" w:eastAsia="es-ES"/>
        </w:rPr>
      </w:pPr>
      <w:hyperlink w:anchor="_Toc81830148" w:history="1">
        <w:r w:rsidR="00F4544B" w:rsidRPr="004242C2">
          <w:rPr>
            <w:rStyle w:val="Hipervnculo"/>
            <w:noProof/>
          </w:rPr>
          <w:t>II.3. Marco jurídico aplicable</w:t>
        </w:r>
        <w:r w:rsidR="00F4544B">
          <w:rPr>
            <w:noProof/>
            <w:webHidden/>
          </w:rPr>
          <w:tab/>
        </w:r>
        <w:r w:rsidR="00F4544B">
          <w:rPr>
            <w:noProof/>
            <w:webHidden/>
          </w:rPr>
          <w:fldChar w:fldCharType="begin"/>
        </w:r>
        <w:r w:rsidR="00F4544B">
          <w:rPr>
            <w:noProof/>
            <w:webHidden/>
          </w:rPr>
          <w:instrText xml:space="preserve"> PAGEREF _Toc81830148 \h </w:instrText>
        </w:r>
        <w:r w:rsidR="00F4544B">
          <w:rPr>
            <w:noProof/>
            <w:webHidden/>
          </w:rPr>
        </w:r>
        <w:r w:rsidR="00F4544B">
          <w:rPr>
            <w:noProof/>
            <w:webHidden/>
          </w:rPr>
          <w:fldChar w:fldCharType="separate"/>
        </w:r>
        <w:r w:rsidR="00652A89">
          <w:rPr>
            <w:noProof/>
            <w:webHidden/>
          </w:rPr>
          <w:t>9</w:t>
        </w:r>
        <w:r w:rsidR="00F4544B">
          <w:rPr>
            <w:noProof/>
            <w:webHidden/>
          </w:rPr>
          <w:fldChar w:fldCharType="end"/>
        </w:r>
      </w:hyperlink>
    </w:p>
    <w:p w:rsidR="00F4544B" w:rsidRDefault="007D325C">
      <w:pPr>
        <w:pStyle w:val="TDC1"/>
        <w:rPr>
          <w:rFonts w:asciiTheme="minorHAnsi" w:eastAsiaTheme="minorEastAsia" w:hAnsiTheme="minorHAnsi" w:cstheme="minorBidi"/>
          <w:smallCaps w:val="0"/>
          <w:noProof/>
          <w:szCs w:val="22"/>
          <w:lang w:val="es-ES" w:eastAsia="es-ES"/>
        </w:rPr>
      </w:pPr>
      <w:hyperlink w:anchor="_Toc81830149" w:history="1">
        <w:r w:rsidR="00F4544B" w:rsidRPr="004242C2">
          <w:rPr>
            <w:rStyle w:val="Hipervnculo"/>
            <w:noProof/>
          </w:rPr>
          <w:t>III. Objetivos y alcance</w:t>
        </w:r>
        <w:r w:rsidR="00F4544B">
          <w:rPr>
            <w:noProof/>
            <w:webHidden/>
          </w:rPr>
          <w:tab/>
        </w:r>
        <w:r w:rsidR="00F4544B">
          <w:rPr>
            <w:noProof/>
            <w:webHidden/>
          </w:rPr>
          <w:fldChar w:fldCharType="begin"/>
        </w:r>
        <w:r w:rsidR="00F4544B">
          <w:rPr>
            <w:noProof/>
            <w:webHidden/>
          </w:rPr>
          <w:instrText xml:space="preserve"> PAGEREF _Toc81830149 \h </w:instrText>
        </w:r>
        <w:r w:rsidR="00F4544B">
          <w:rPr>
            <w:noProof/>
            <w:webHidden/>
          </w:rPr>
        </w:r>
        <w:r w:rsidR="00F4544B">
          <w:rPr>
            <w:noProof/>
            <w:webHidden/>
          </w:rPr>
          <w:fldChar w:fldCharType="separate"/>
        </w:r>
        <w:r w:rsidR="00652A89">
          <w:rPr>
            <w:noProof/>
            <w:webHidden/>
          </w:rPr>
          <w:t>11</w:t>
        </w:r>
        <w:r w:rsidR="00F4544B">
          <w:rPr>
            <w:noProof/>
            <w:webHidden/>
          </w:rPr>
          <w:fldChar w:fldCharType="end"/>
        </w:r>
      </w:hyperlink>
    </w:p>
    <w:p w:rsidR="00F4544B" w:rsidRDefault="007D325C">
      <w:pPr>
        <w:pStyle w:val="TDC1"/>
        <w:rPr>
          <w:rFonts w:asciiTheme="minorHAnsi" w:eastAsiaTheme="minorEastAsia" w:hAnsiTheme="minorHAnsi" w:cstheme="minorBidi"/>
          <w:smallCaps w:val="0"/>
          <w:noProof/>
          <w:szCs w:val="22"/>
          <w:lang w:val="es-ES" w:eastAsia="es-ES"/>
        </w:rPr>
      </w:pPr>
      <w:hyperlink w:anchor="_Toc81830150" w:history="1">
        <w:r w:rsidR="00F4544B" w:rsidRPr="004242C2">
          <w:rPr>
            <w:rStyle w:val="Hipervnculo"/>
            <w:noProof/>
          </w:rPr>
          <w:t>IV. Conclusiones y recomendaciones</w:t>
        </w:r>
        <w:r w:rsidR="00F4544B">
          <w:rPr>
            <w:noProof/>
            <w:webHidden/>
          </w:rPr>
          <w:tab/>
        </w:r>
        <w:r w:rsidR="00F4544B">
          <w:rPr>
            <w:noProof/>
            <w:webHidden/>
          </w:rPr>
          <w:fldChar w:fldCharType="begin"/>
        </w:r>
        <w:r w:rsidR="00F4544B">
          <w:rPr>
            <w:noProof/>
            <w:webHidden/>
          </w:rPr>
          <w:instrText xml:space="preserve"> PAGEREF _Toc81830150 \h </w:instrText>
        </w:r>
        <w:r w:rsidR="00F4544B">
          <w:rPr>
            <w:noProof/>
            <w:webHidden/>
          </w:rPr>
        </w:r>
        <w:r w:rsidR="00F4544B">
          <w:rPr>
            <w:noProof/>
            <w:webHidden/>
          </w:rPr>
          <w:fldChar w:fldCharType="separate"/>
        </w:r>
        <w:r w:rsidR="00652A89">
          <w:rPr>
            <w:noProof/>
            <w:webHidden/>
          </w:rPr>
          <w:t>13</w:t>
        </w:r>
        <w:r w:rsidR="00F4544B">
          <w:rPr>
            <w:noProof/>
            <w:webHidden/>
          </w:rPr>
          <w:fldChar w:fldCharType="end"/>
        </w:r>
      </w:hyperlink>
    </w:p>
    <w:p w:rsidR="00F4544B" w:rsidRDefault="007D325C">
      <w:pPr>
        <w:pStyle w:val="TDC2"/>
        <w:rPr>
          <w:rFonts w:asciiTheme="minorHAnsi" w:eastAsiaTheme="minorEastAsia" w:hAnsiTheme="minorHAnsi" w:cstheme="minorBidi"/>
          <w:noProof/>
          <w:szCs w:val="22"/>
          <w:lang w:val="es-ES" w:eastAsia="es-ES"/>
        </w:rPr>
      </w:pPr>
      <w:hyperlink w:anchor="_Toc81830151" w:history="1">
        <w:r w:rsidR="00F4544B" w:rsidRPr="004242C2">
          <w:rPr>
            <w:rStyle w:val="Hipervnculo"/>
            <w:noProof/>
          </w:rPr>
          <w:t>IV.1. Opinión de fiscalización sobre cumplimiento de legalidad</w:t>
        </w:r>
        <w:r w:rsidR="00F4544B">
          <w:rPr>
            <w:noProof/>
            <w:webHidden/>
          </w:rPr>
          <w:tab/>
        </w:r>
        <w:r w:rsidR="00F4544B">
          <w:rPr>
            <w:noProof/>
            <w:webHidden/>
          </w:rPr>
          <w:fldChar w:fldCharType="begin"/>
        </w:r>
        <w:r w:rsidR="00F4544B">
          <w:rPr>
            <w:noProof/>
            <w:webHidden/>
          </w:rPr>
          <w:instrText xml:space="preserve"> PAGEREF _Toc81830151 \h </w:instrText>
        </w:r>
        <w:r w:rsidR="00F4544B">
          <w:rPr>
            <w:noProof/>
            <w:webHidden/>
          </w:rPr>
        </w:r>
        <w:r w:rsidR="00F4544B">
          <w:rPr>
            <w:noProof/>
            <w:webHidden/>
          </w:rPr>
          <w:fldChar w:fldCharType="separate"/>
        </w:r>
        <w:r w:rsidR="00652A89">
          <w:rPr>
            <w:noProof/>
            <w:webHidden/>
          </w:rPr>
          <w:t>14</w:t>
        </w:r>
        <w:r w:rsidR="00F4544B">
          <w:rPr>
            <w:noProof/>
            <w:webHidden/>
          </w:rPr>
          <w:fldChar w:fldCharType="end"/>
        </w:r>
      </w:hyperlink>
    </w:p>
    <w:p w:rsidR="00F4544B" w:rsidRDefault="007D325C">
      <w:pPr>
        <w:pStyle w:val="TDC2"/>
        <w:rPr>
          <w:rFonts w:asciiTheme="minorHAnsi" w:eastAsiaTheme="minorEastAsia" w:hAnsiTheme="minorHAnsi" w:cstheme="minorBidi"/>
          <w:noProof/>
          <w:szCs w:val="22"/>
          <w:lang w:val="es-ES" w:eastAsia="es-ES"/>
        </w:rPr>
      </w:pPr>
      <w:hyperlink w:anchor="_Toc81830152" w:history="1">
        <w:r w:rsidR="00F4544B" w:rsidRPr="004242C2">
          <w:rPr>
            <w:rStyle w:val="Hipervnculo"/>
            <w:noProof/>
          </w:rPr>
          <w:t>IV.2. Opinión de fiscalización financiera</w:t>
        </w:r>
        <w:r w:rsidR="00F4544B">
          <w:rPr>
            <w:noProof/>
            <w:webHidden/>
          </w:rPr>
          <w:tab/>
        </w:r>
        <w:r w:rsidR="00F4544B">
          <w:rPr>
            <w:noProof/>
            <w:webHidden/>
          </w:rPr>
          <w:fldChar w:fldCharType="begin"/>
        </w:r>
        <w:r w:rsidR="00F4544B">
          <w:rPr>
            <w:noProof/>
            <w:webHidden/>
          </w:rPr>
          <w:instrText xml:space="preserve"> PAGEREF _Toc81830152 \h </w:instrText>
        </w:r>
        <w:r w:rsidR="00F4544B">
          <w:rPr>
            <w:noProof/>
            <w:webHidden/>
          </w:rPr>
        </w:r>
        <w:r w:rsidR="00F4544B">
          <w:rPr>
            <w:noProof/>
            <w:webHidden/>
          </w:rPr>
          <w:fldChar w:fldCharType="separate"/>
        </w:r>
        <w:r w:rsidR="00652A89">
          <w:rPr>
            <w:noProof/>
            <w:webHidden/>
          </w:rPr>
          <w:t>17</w:t>
        </w:r>
        <w:r w:rsidR="00F4544B">
          <w:rPr>
            <w:noProof/>
            <w:webHidden/>
          </w:rPr>
          <w:fldChar w:fldCharType="end"/>
        </w:r>
      </w:hyperlink>
    </w:p>
    <w:p w:rsidR="00F4544B" w:rsidRDefault="007D325C">
      <w:pPr>
        <w:pStyle w:val="TDC2"/>
        <w:rPr>
          <w:rFonts w:asciiTheme="minorHAnsi" w:eastAsiaTheme="minorEastAsia" w:hAnsiTheme="minorHAnsi" w:cstheme="minorBidi"/>
          <w:noProof/>
          <w:szCs w:val="22"/>
          <w:lang w:val="es-ES" w:eastAsia="es-ES"/>
        </w:rPr>
      </w:pPr>
      <w:hyperlink w:anchor="_Toc81830153" w:history="1">
        <w:r w:rsidR="00F4544B" w:rsidRPr="004242C2">
          <w:rPr>
            <w:rStyle w:val="Hipervnculo"/>
            <w:noProof/>
          </w:rPr>
          <w:t>IV.3. Análisis Plan Estratégico de Subvenciones</w:t>
        </w:r>
        <w:r w:rsidR="00F4544B">
          <w:rPr>
            <w:noProof/>
            <w:webHidden/>
          </w:rPr>
          <w:tab/>
        </w:r>
        <w:r w:rsidR="00F4544B">
          <w:rPr>
            <w:noProof/>
            <w:webHidden/>
          </w:rPr>
          <w:fldChar w:fldCharType="begin"/>
        </w:r>
        <w:r w:rsidR="00F4544B">
          <w:rPr>
            <w:noProof/>
            <w:webHidden/>
          </w:rPr>
          <w:instrText xml:space="preserve"> PAGEREF _Toc81830153 \h </w:instrText>
        </w:r>
        <w:r w:rsidR="00F4544B">
          <w:rPr>
            <w:noProof/>
            <w:webHidden/>
          </w:rPr>
        </w:r>
        <w:r w:rsidR="00F4544B">
          <w:rPr>
            <w:noProof/>
            <w:webHidden/>
          </w:rPr>
          <w:fldChar w:fldCharType="separate"/>
        </w:r>
        <w:r w:rsidR="00652A89">
          <w:rPr>
            <w:noProof/>
            <w:webHidden/>
          </w:rPr>
          <w:t>17</w:t>
        </w:r>
        <w:r w:rsidR="00F4544B">
          <w:rPr>
            <w:noProof/>
            <w:webHidden/>
          </w:rPr>
          <w:fldChar w:fldCharType="end"/>
        </w:r>
      </w:hyperlink>
    </w:p>
    <w:p w:rsidR="00F4544B" w:rsidRDefault="007D325C">
      <w:pPr>
        <w:pStyle w:val="TDC2"/>
        <w:rPr>
          <w:noProof/>
        </w:rPr>
      </w:pPr>
      <w:hyperlink w:anchor="_Toc81830154" w:history="1">
        <w:r w:rsidR="00F4544B" w:rsidRPr="004242C2">
          <w:rPr>
            <w:rStyle w:val="Hipervnculo"/>
            <w:noProof/>
          </w:rPr>
          <w:t>IV.4. Conclusión final y recomendaciones</w:t>
        </w:r>
        <w:r w:rsidR="00F4544B">
          <w:rPr>
            <w:noProof/>
            <w:webHidden/>
          </w:rPr>
          <w:tab/>
        </w:r>
        <w:r w:rsidR="00F4544B">
          <w:rPr>
            <w:noProof/>
            <w:webHidden/>
          </w:rPr>
          <w:fldChar w:fldCharType="begin"/>
        </w:r>
        <w:r w:rsidR="00F4544B">
          <w:rPr>
            <w:noProof/>
            <w:webHidden/>
          </w:rPr>
          <w:instrText xml:space="preserve"> PAGEREF _Toc81830154 \h </w:instrText>
        </w:r>
        <w:r w:rsidR="00F4544B">
          <w:rPr>
            <w:noProof/>
            <w:webHidden/>
          </w:rPr>
        </w:r>
        <w:r w:rsidR="00F4544B">
          <w:rPr>
            <w:noProof/>
            <w:webHidden/>
          </w:rPr>
          <w:fldChar w:fldCharType="separate"/>
        </w:r>
        <w:r w:rsidR="00652A89">
          <w:rPr>
            <w:noProof/>
            <w:webHidden/>
          </w:rPr>
          <w:t>19</w:t>
        </w:r>
        <w:r w:rsidR="00F4544B">
          <w:rPr>
            <w:noProof/>
            <w:webHidden/>
          </w:rPr>
          <w:fldChar w:fldCharType="end"/>
        </w:r>
      </w:hyperlink>
    </w:p>
    <w:p w:rsidR="00987CA2" w:rsidRPr="00987CA2" w:rsidRDefault="00987CA2" w:rsidP="00987CA2">
      <w:pPr>
        <w:rPr>
          <w:rFonts w:eastAsiaTheme="minorEastAsia"/>
          <w:noProof/>
        </w:rPr>
      </w:pPr>
    </w:p>
    <w:p w:rsidR="00F4544B" w:rsidRDefault="007D325C">
      <w:pPr>
        <w:pStyle w:val="TDC1"/>
        <w:rPr>
          <w:rFonts w:asciiTheme="minorHAnsi" w:eastAsiaTheme="minorEastAsia" w:hAnsiTheme="minorHAnsi" w:cstheme="minorBidi"/>
          <w:smallCaps w:val="0"/>
          <w:noProof/>
          <w:szCs w:val="22"/>
          <w:lang w:val="es-ES" w:eastAsia="es-ES"/>
        </w:rPr>
      </w:pPr>
      <w:hyperlink w:anchor="_Toc81830155" w:history="1">
        <w:r w:rsidR="00F4544B" w:rsidRPr="004242C2">
          <w:rPr>
            <w:rStyle w:val="Hipervnculo"/>
            <w:noProof/>
            <w:lang w:val="es-ES"/>
          </w:rPr>
          <w:t>Anexo 1.- Detalle convocatorias revisadas</w:t>
        </w:r>
        <w:r w:rsidR="00F4544B">
          <w:rPr>
            <w:noProof/>
            <w:webHidden/>
          </w:rPr>
          <w:tab/>
        </w:r>
        <w:r w:rsidR="00F4544B">
          <w:rPr>
            <w:noProof/>
            <w:webHidden/>
          </w:rPr>
          <w:fldChar w:fldCharType="begin"/>
        </w:r>
        <w:r w:rsidR="00F4544B">
          <w:rPr>
            <w:noProof/>
            <w:webHidden/>
          </w:rPr>
          <w:instrText xml:space="preserve"> PAGEREF _Toc81830155 \h </w:instrText>
        </w:r>
        <w:r w:rsidR="00F4544B">
          <w:rPr>
            <w:noProof/>
            <w:webHidden/>
          </w:rPr>
        </w:r>
        <w:r w:rsidR="00F4544B">
          <w:rPr>
            <w:noProof/>
            <w:webHidden/>
          </w:rPr>
          <w:fldChar w:fldCharType="separate"/>
        </w:r>
        <w:r w:rsidR="00652A89">
          <w:rPr>
            <w:noProof/>
            <w:webHidden/>
          </w:rPr>
          <w:t>22</w:t>
        </w:r>
        <w:r w:rsidR="00F4544B">
          <w:rPr>
            <w:noProof/>
            <w:webHidden/>
          </w:rPr>
          <w:fldChar w:fldCharType="end"/>
        </w:r>
      </w:hyperlink>
    </w:p>
    <w:p w:rsidR="00891D73" w:rsidRPr="00E703B6" w:rsidRDefault="0014728F" w:rsidP="00C76158">
      <w:pPr>
        <w:pStyle w:val="texto"/>
      </w:pPr>
      <w:r>
        <w:fldChar w:fldCharType="end"/>
      </w:r>
    </w:p>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204F99" w:rsidRPr="00204F99" w:rsidRDefault="00204F99" w:rsidP="00204F99">
      <w:pPr>
        <w:pStyle w:val="atitulo1"/>
      </w:pPr>
      <w:bookmarkStart w:id="1" w:name="_Toc303592528"/>
      <w:bookmarkStart w:id="2" w:name="_Toc309383711"/>
      <w:bookmarkStart w:id="3" w:name="_Toc339016600"/>
      <w:bookmarkStart w:id="4" w:name="_Toc75857465"/>
      <w:bookmarkStart w:id="5" w:name="_Toc81830144"/>
      <w:r w:rsidRPr="00204F99">
        <w:lastRenderedPageBreak/>
        <w:t>I. Introducción</w:t>
      </w:r>
      <w:bookmarkEnd w:id="1"/>
      <w:bookmarkEnd w:id="2"/>
      <w:bookmarkEnd w:id="3"/>
      <w:bookmarkEnd w:id="4"/>
      <w:bookmarkEnd w:id="5"/>
      <w:r w:rsidRPr="00204F99">
        <w:t xml:space="preserve"> </w:t>
      </w:r>
    </w:p>
    <w:p w:rsidR="00204F99" w:rsidRDefault="00CA6580" w:rsidP="00204F99">
      <w:pPr>
        <w:pStyle w:val="texto"/>
        <w:rPr>
          <w:szCs w:val="26"/>
        </w:rPr>
      </w:pPr>
      <w:r>
        <w:rPr>
          <w:szCs w:val="26"/>
        </w:rPr>
        <w:t>La Cámara de Co</w:t>
      </w:r>
      <w:r w:rsidR="00204F99">
        <w:rPr>
          <w:szCs w:val="26"/>
        </w:rPr>
        <w:t>mptos incorporó en el programa anual de fiscalización aprobado para el año 2020 una fiscalización de cumplimiento de legalidad s</w:t>
      </w:r>
      <w:r w:rsidR="00204F99">
        <w:rPr>
          <w:szCs w:val="26"/>
        </w:rPr>
        <w:t>o</w:t>
      </w:r>
      <w:r w:rsidR="00204F99">
        <w:rPr>
          <w:szCs w:val="26"/>
        </w:rPr>
        <w:t>bre</w:t>
      </w:r>
      <w:r w:rsidR="00204F99" w:rsidRPr="00A70767">
        <w:rPr>
          <w:szCs w:val="26"/>
        </w:rPr>
        <w:t xml:space="preserve"> “</w:t>
      </w:r>
      <w:r w:rsidR="00204F99">
        <w:rPr>
          <w:szCs w:val="26"/>
        </w:rPr>
        <w:t>subvenciones corrientes y de capital a empresas privadas</w:t>
      </w:r>
      <w:r w:rsidR="00204F99" w:rsidRPr="00A70767">
        <w:rPr>
          <w:szCs w:val="26"/>
        </w:rPr>
        <w:t>”</w:t>
      </w:r>
      <w:r w:rsidR="00204F99">
        <w:rPr>
          <w:szCs w:val="26"/>
        </w:rPr>
        <w:t>.</w:t>
      </w:r>
    </w:p>
    <w:p w:rsidR="00204F99" w:rsidRPr="008D1EB9" w:rsidRDefault="00204F99" w:rsidP="00204F99">
      <w:pPr>
        <w:pStyle w:val="texto"/>
        <w:tabs>
          <w:tab w:val="clear" w:pos="2835"/>
          <w:tab w:val="clear" w:pos="3969"/>
          <w:tab w:val="clear" w:pos="5103"/>
          <w:tab w:val="clear" w:pos="6237"/>
          <w:tab w:val="clear" w:pos="7371"/>
        </w:tabs>
        <w:rPr>
          <w:szCs w:val="26"/>
        </w:rPr>
      </w:pPr>
      <w:r w:rsidRPr="008D1EB9">
        <w:rPr>
          <w:szCs w:val="26"/>
        </w:rPr>
        <w:t xml:space="preserve">El informe se estructura en </w:t>
      </w:r>
      <w:r>
        <w:rPr>
          <w:szCs w:val="26"/>
        </w:rPr>
        <w:t>cuatro epígrafes incluida</w:t>
      </w:r>
      <w:r w:rsidRPr="008D1EB9">
        <w:rPr>
          <w:szCs w:val="26"/>
        </w:rPr>
        <w:t xml:space="preserve"> esta introducción</w:t>
      </w:r>
      <w:r>
        <w:rPr>
          <w:szCs w:val="26"/>
        </w:rPr>
        <w:t>; en el segundo se describen aspectos generales de las transferencias de la Administr</w:t>
      </w:r>
      <w:r>
        <w:rPr>
          <w:szCs w:val="26"/>
        </w:rPr>
        <w:t>a</w:t>
      </w:r>
      <w:r>
        <w:rPr>
          <w:szCs w:val="26"/>
        </w:rPr>
        <w:t>ción de la Comunidad Foral de Navarra (ACFN en adelante) a empresas priv</w:t>
      </w:r>
      <w:r>
        <w:rPr>
          <w:szCs w:val="26"/>
        </w:rPr>
        <w:t>a</w:t>
      </w:r>
      <w:r>
        <w:rPr>
          <w:szCs w:val="26"/>
        </w:rPr>
        <w:t>das; el tercero describe</w:t>
      </w:r>
      <w:r w:rsidRPr="008D1EB9">
        <w:rPr>
          <w:szCs w:val="26"/>
        </w:rPr>
        <w:t xml:space="preserve"> </w:t>
      </w:r>
      <w:r>
        <w:rPr>
          <w:szCs w:val="26"/>
        </w:rPr>
        <w:t>los objetivos y el alcance del presente informe</w:t>
      </w:r>
      <w:r w:rsidR="005C4C04">
        <w:rPr>
          <w:szCs w:val="26"/>
        </w:rPr>
        <w:t>;</w:t>
      </w:r>
      <w:r>
        <w:rPr>
          <w:szCs w:val="26"/>
        </w:rPr>
        <w:t xml:space="preserve"> y el cuarto y </w:t>
      </w:r>
      <w:r w:rsidRPr="00E57339">
        <w:rPr>
          <w:szCs w:val="26"/>
        </w:rPr>
        <w:t>último contiene las conclusiones y recomendaciones del trabajo real</w:t>
      </w:r>
      <w:r w:rsidRPr="00E57339">
        <w:rPr>
          <w:szCs w:val="26"/>
        </w:rPr>
        <w:t>i</w:t>
      </w:r>
      <w:r w:rsidRPr="00E57339">
        <w:rPr>
          <w:szCs w:val="26"/>
        </w:rPr>
        <w:t>zado.</w:t>
      </w:r>
      <w:r w:rsidR="003B750E" w:rsidRPr="00E57339">
        <w:rPr>
          <w:szCs w:val="26"/>
        </w:rPr>
        <w:t xml:space="preserve"> </w:t>
      </w:r>
      <w:r w:rsidR="00CB2C31" w:rsidRPr="00E57339">
        <w:rPr>
          <w:szCs w:val="26"/>
        </w:rPr>
        <w:t xml:space="preserve">Así </w:t>
      </w:r>
      <w:r w:rsidR="003B750E" w:rsidRPr="00E57339">
        <w:rPr>
          <w:szCs w:val="26"/>
        </w:rPr>
        <w:t>mismo</w:t>
      </w:r>
      <w:r w:rsidR="005C4C04">
        <w:rPr>
          <w:szCs w:val="26"/>
        </w:rPr>
        <w:t>,</w:t>
      </w:r>
      <w:r w:rsidR="003B750E" w:rsidRPr="00E57339">
        <w:rPr>
          <w:szCs w:val="26"/>
        </w:rPr>
        <w:t xml:space="preserve"> incluye un anexo con el detalle de las convocatorias revis</w:t>
      </w:r>
      <w:r w:rsidR="003B750E" w:rsidRPr="00E57339">
        <w:rPr>
          <w:szCs w:val="26"/>
        </w:rPr>
        <w:t>a</w:t>
      </w:r>
      <w:r w:rsidR="003B750E" w:rsidRPr="00E57339">
        <w:rPr>
          <w:szCs w:val="26"/>
        </w:rPr>
        <w:t>das.</w:t>
      </w:r>
    </w:p>
    <w:p w:rsidR="00204F99" w:rsidRDefault="00204F99" w:rsidP="00204F99">
      <w:pPr>
        <w:pStyle w:val="texto"/>
        <w:tabs>
          <w:tab w:val="clear" w:pos="2835"/>
          <w:tab w:val="clear" w:pos="3969"/>
          <w:tab w:val="clear" w:pos="5103"/>
          <w:tab w:val="clear" w:pos="6237"/>
          <w:tab w:val="clear" w:pos="7371"/>
        </w:tabs>
        <w:rPr>
          <w:szCs w:val="26"/>
        </w:rPr>
      </w:pPr>
      <w:r w:rsidRPr="008D1EB9">
        <w:rPr>
          <w:szCs w:val="26"/>
        </w:rPr>
        <w:t xml:space="preserve">El trabajo de campo </w:t>
      </w:r>
      <w:r w:rsidR="005C4C04">
        <w:rPr>
          <w:szCs w:val="26"/>
        </w:rPr>
        <w:t>lo realizó</w:t>
      </w:r>
      <w:r w:rsidRPr="008D1EB9">
        <w:rPr>
          <w:szCs w:val="26"/>
        </w:rPr>
        <w:t xml:space="preserve"> </w:t>
      </w:r>
      <w:r>
        <w:rPr>
          <w:szCs w:val="26"/>
        </w:rPr>
        <w:t>entre abril y junio de 2021</w:t>
      </w:r>
      <w:r w:rsidRPr="008D1EB9">
        <w:rPr>
          <w:szCs w:val="26"/>
        </w:rPr>
        <w:t xml:space="preserve"> un equipo integr</w:t>
      </w:r>
      <w:r w:rsidRPr="008D1EB9">
        <w:rPr>
          <w:szCs w:val="26"/>
        </w:rPr>
        <w:t>a</w:t>
      </w:r>
      <w:r w:rsidRPr="008D1EB9">
        <w:rPr>
          <w:szCs w:val="26"/>
        </w:rPr>
        <w:t>do por una técnica</w:t>
      </w:r>
      <w:r w:rsidR="003B750E" w:rsidRPr="00E57339">
        <w:rPr>
          <w:szCs w:val="26"/>
        </w:rPr>
        <w:t xml:space="preserve"> y</w:t>
      </w:r>
      <w:r w:rsidRPr="00E57339">
        <w:rPr>
          <w:szCs w:val="26"/>
        </w:rPr>
        <w:t xml:space="preserve"> </w:t>
      </w:r>
      <w:r>
        <w:rPr>
          <w:szCs w:val="26"/>
        </w:rPr>
        <w:t xml:space="preserve">un técnico </w:t>
      </w:r>
      <w:r w:rsidRPr="008D1EB9">
        <w:rPr>
          <w:szCs w:val="26"/>
        </w:rPr>
        <w:t>de auditoría</w:t>
      </w:r>
      <w:r>
        <w:rPr>
          <w:szCs w:val="26"/>
        </w:rPr>
        <w:t>, un técnico de grado medio en si</w:t>
      </w:r>
      <w:r>
        <w:rPr>
          <w:szCs w:val="26"/>
        </w:rPr>
        <w:t>s</w:t>
      </w:r>
      <w:r>
        <w:rPr>
          <w:szCs w:val="26"/>
        </w:rPr>
        <w:t>temas informáticos</w:t>
      </w:r>
      <w:r w:rsidRPr="008D1EB9">
        <w:rPr>
          <w:szCs w:val="26"/>
        </w:rPr>
        <w:t xml:space="preserve"> y un</w:t>
      </w:r>
      <w:r>
        <w:rPr>
          <w:szCs w:val="26"/>
        </w:rPr>
        <w:t>a</w:t>
      </w:r>
      <w:r w:rsidRPr="008D1EB9">
        <w:rPr>
          <w:szCs w:val="26"/>
        </w:rPr>
        <w:t xml:space="preserve"> auditor</w:t>
      </w:r>
      <w:r>
        <w:rPr>
          <w:szCs w:val="26"/>
        </w:rPr>
        <w:t>a</w:t>
      </w:r>
      <w:r w:rsidRPr="008D1EB9">
        <w:rPr>
          <w:szCs w:val="26"/>
        </w:rPr>
        <w:t xml:space="preserve">, con la colaboración </w:t>
      </w:r>
      <w:r>
        <w:rPr>
          <w:szCs w:val="26"/>
        </w:rPr>
        <w:t>de los servicios juríd</w:t>
      </w:r>
      <w:r>
        <w:rPr>
          <w:szCs w:val="26"/>
        </w:rPr>
        <w:t>i</w:t>
      </w:r>
      <w:r>
        <w:rPr>
          <w:szCs w:val="26"/>
        </w:rPr>
        <w:t xml:space="preserve">cos </w:t>
      </w:r>
      <w:r w:rsidRPr="008D1EB9">
        <w:rPr>
          <w:szCs w:val="26"/>
        </w:rPr>
        <w:t xml:space="preserve">y administrativos de la Cámara. </w:t>
      </w:r>
    </w:p>
    <w:p w:rsidR="009C039F" w:rsidRDefault="00EA408D" w:rsidP="009C039F">
      <w:pPr>
        <w:pStyle w:val="texto"/>
      </w:pPr>
      <w:r w:rsidRPr="00763618">
        <w:t xml:space="preserve">De conformidad con lo previsto en el artículo 11 de la Ley Foral 19/1984, reguladora de la Cámara de Comptos de Navarra, los resultados de este trabajo se pusieron de manifiesto, con el fin de que </w:t>
      </w:r>
      <w:r>
        <w:t>for</w:t>
      </w:r>
      <w:r w:rsidRPr="00763618">
        <w:t>mulara</w:t>
      </w:r>
      <w:r>
        <w:t>n</w:t>
      </w:r>
      <w:r w:rsidRPr="00763618">
        <w:t xml:space="preserve"> alegaciones</w:t>
      </w:r>
      <w:r>
        <w:t>, a las co</w:t>
      </w:r>
      <w:r>
        <w:t>n</w:t>
      </w:r>
      <w:r>
        <w:t>sejeras de Economía y Hacienda y a la de Derechos Sociales, así como a los consejeros de Cohesión Territorial, al de Universidades, Innovación y Tran</w:t>
      </w:r>
      <w:r>
        <w:t>s</w:t>
      </w:r>
      <w:r>
        <w:t xml:space="preserve">formación Digital y al de Desarrollo Económico y </w:t>
      </w:r>
      <w:r w:rsidRPr="009C039F">
        <w:t>Empresarial. Transcurrido el plazo fijado</w:t>
      </w:r>
      <w:r w:rsidR="009C039F">
        <w:t>, no se han presentado alegaciones.</w:t>
      </w:r>
    </w:p>
    <w:p w:rsidR="00204F99" w:rsidRDefault="00204F99" w:rsidP="009C039F">
      <w:pPr>
        <w:pStyle w:val="texto"/>
        <w:rPr>
          <w:szCs w:val="26"/>
        </w:rPr>
      </w:pPr>
      <w:r w:rsidRPr="00A522C1">
        <w:rPr>
          <w:szCs w:val="26"/>
        </w:rPr>
        <w:t xml:space="preserve">Agradecemos al </w:t>
      </w:r>
      <w:r>
        <w:rPr>
          <w:szCs w:val="26"/>
        </w:rPr>
        <w:t>personal de los distintos departamentos y organismos aut</w:t>
      </w:r>
      <w:r>
        <w:rPr>
          <w:szCs w:val="26"/>
        </w:rPr>
        <w:t>ó</w:t>
      </w:r>
      <w:r>
        <w:rPr>
          <w:szCs w:val="26"/>
        </w:rPr>
        <w:t>nomos de</w:t>
      </w:r>
      <w:r w:rsidR="00644E28">
        <w:rPr>
          <w:szCs w:val="26"/>
        </w:rPr>
        <w:t xml:space="preserve"> </w:t>
      </w:r>
      <w:r>
        <w:rPr>
          <w:szCs w:val="26"/>
        </w:rPr>
        <w:t>l</w:t>
      </w:r>
      <w:r w:rsidR="00644E28">
        <w:rPr>
          <w:szCs w:val="26"/>
        </w:rPr>
        <w:t>a</w:t>
      </w:r>
      <w:r>
        <w:rPr>
          <w:szCs w:val="26"/>
        </w:rPr>
        <w:t xml:space="preserve"> ACFN </w:t>
      </w:r>
      <w:r w:rsidRPr="00A522C1">
        <w:rPr>
          <w:szCs w:val="26"/>
        </w:rPr>
        <w:t>la colaboración prestada en la realización del presente tr</w:t>
      </w:r>
      <w:r w:rsidRPr="00A522C1">
        <w:rPr>
          <w:szCs w:val="26"/>
        </w:rPr>
        <w:t>a</w:t>
      </w:r>
      <w:r w:rsidRPr="00A522C1">
        <w:rPr>
          <w:szCs w:val="26"/>
        </w:rPr>
        <w:t>bajo.</w:t>
      </w:r>
    </w:p>
    <w:p w:rsidR="00204F99" w:rsidRPr="00FE73E6" w:rsidRDefault="00204F99" w:rsidP="00204F99">
      <w:pPr>
        <w:pStyle w:val="atitulo1"/>
        <w:rPr>
          <w:b w:val="0"/>
        </w:rPr>
      </w:pPr>
      <w:r>
        <w:rPr>
          <w:rFonts w:cs="Arial"/>
        </w:rPr>
        <w:br w:type="page"/>
      </w:r>
      <w:bookmarkStart w:id="6" w:name="_Toc188167194"/>
      <w:bookmarkStart w:id="7" w:name="_Toc303592531"/>
      <w:bookmarkStart w:id="8" w:name="_Toc309383714"/>
      <w:bookmarkStart w:id="9" w:name="_Toc339016603"/>
    </w:p>
    <w:p w:rsidR="00204F99" w:rsidRDefault="00204F99" w:rsidP="00204F99">
      <w:pPr>
        <w:pStyle w:val="atitulo1"/>
      </w:pPr>
      <w:bookmarkStart w:id="10" w:name="_Toc75857466"/>
      <w:bookmarkStart w:id="11" w:name="_Toc81830145"/>
      <w:r w:rsidRPr="00204F99">
        <w:lastRenderedPageBreak/>
        <w:t>II.</w:t>
      </w:r>
      <w:r w:rsidR="00125787">
        <w:t xml:space="preserve"> Subvenciones</w:t>
      </w:r>
      <w:r w:rsidRPr="00204F99">
        <w:t xml:space="preserve"> de la Administración de la Comunidad Foral de Navarra a empresas privadas</w:t>
      </w:r>
      <w:bookmarkEnd w:id="10"/>
      <w:bookmarkEnd w:id="11"/>
      <w:r w:rsidRPr="00204F99">
        <w:t xml:space="preserve"> </w:t>
      </w:r>
    </w:p>
    <w:p w:rsidR="00B84A46" w:rsidRPr="00204F99" w:rsidRDefault="00125787" w:rsidP="00125787">
      <w:pPr>
        <w:pStyle w:val="texto"/>
        <w:spacing w:after="360"/>
      </w:pPr>
      <w:r>
        <w:t>El</w:t>
      </w:r>
      <w:r w:rsidR="00B84A46">
        <w:t xml:space="preserve"> término de transferencia hace referencia a toda disposición de fondos p</w:t>
      </w:r>
      <w:r w:rsidR="00B84A46">
        <w:t>ú</w:t>
      </w:r>
      <w:r w:rsidR="00B84A46">
        <w:t>blicos sin contraprestación, reúna o no las notas propias de la subvención.</w:t>
      </w:r>
      <w:r>
        <w:t xml:space="preserve"> Por otro lado, l</w:t>
      </w:r>
      <w:r w:rsidR="00B84A46">
        <w:t xml:space="preserve">a Ley Foral 11/2005, de 9 de noviembre, de Subvenciones </w:t>
      </w:r>
      <w:r w:rsidR="00B84A46" w:rsidRPr="00B622B6">
        <w:t xml:space="preserve">(LFS en adelante), </w:t>
      </w:r>
      <w:r w:rsidR="00B84A46">
        <w:t>define subvención como toda disposición dineraria realizada a favor de personas públicas o privadas, sin contraprestación directa</w:t>
      </w:r>
      <w:r w:rsidR="00115B48">
        <w:t xml:space="preserve"> de los benefici</w:t>
      </w:r>
      <w:r w:rsidR="00115B48">
        <w:t>a</w:t>
      </w:r>
      <w:r w:rsidR="00115B48">
        <w:t>rios</w:t>
      </w:r>
      <w:r w:rsidR="00B84A46">
        <w:t>, sujeta al cumplimiento de un determinado objetivo, ejecución de un pr</w:t>
      </w:r>
      <w:r w:rsidR="00B84A46">
        <w:t>o</w:t>
      </w:r>
      <w:r w:rsidR="00B84A46">
        <w:t>yecto o realización de una actividad</w:t>
      </w:r>
      <w:r w:rsidR="00B622B6">
        <w:t>;</w:t>
      </w:r>
      <w:r w:rsidR="00B84A46">
        <w:t xml:space="preserve"> que tenga por objeto el fomento de una actividad pública o interés social</w:t>
      </w:r>
      <w:r w:rsidR="00115B48">
        <w:t xml:space="preserve"> o de promoción de una finalidad pública</w:t>
      </w:r>
      <w:r w:rsidR="00B84A46">
        <w:t xml:space="preserve">. </w:t>
      </w:r>
    </w:p>
    <w:p w:rsidR="00204F99" w:rsidRPr="00204F99" w:rsidRDefault="00204F99" w:rsidP="00204F99">
      <w:pPr>
        <w:pStyle w:val="atitulo2"/>
      </w:pPr>
      <w:bookmarkStart w:id="12" w:name="_Toc75857467"/>
      <w:bookmarkStart w:id="13" w:name="_Toc81830146"/>
      <w:r w:rsidRPr="00204F99">
        <w:t>II.1. Gasto por</w:t>
      </w:r>
      <w:r w:rsidR="003020CB">
        <w:t xml:space="preserve"> transferencias</w:t>
      </w:r>
      <w:r w:rsidRPr="00204F99">
        <w:t xml:space="preserve"> a empresas privadas</w:t>
      </w:r>
      <w:bookmarkEnd w:id="12"/>
      <w:bookmarkEnd w:id="13"/>
    </w:p>
    <w:p w:rsidR="00204F99" w:rsidRDefault="00204F99" w:rsidP="00204F99">
      <w:pPr>
        <w:pStyle w:val="texto"/>
      </w:pPr>
      <w:r>
        <w:t>En 2020 el gasto correspondiente a transferencias corrientes y de capital r</w:t>
      </w:r>
      <w:r>
        <w:t>e</w:t>
      </w:r>
      <w:r>
        <w:t xml:space="preserve">presenta el 40 por ciento </w:t>
      </w:r>
      <w:r w:rsidR="00DE18C0" w:rsidRPr="00A85EC1">
        <w:t xml:space="preserve">del gasto </w:t>
      </w:r>
      <w:r>
        <w:t>de la ACFN.</w:t>
      </w:r>
    </w:p>
    <w:p w:rsidR="00204F99" w:rsidRDefault="005B3C7C" w:rsidP="00204F99">
      <w:pPr>
        <w:pStyle w:val="texto"/>
      </w:pPr>
      <w:r>
        <w:t>Estos gastos</w:t>
      </w:r>
      <w:r w:rsidR="00204F99" w:rsidRPr="00A55718">
        <w:t xml:space="preserve"> </w:t>
      </w:r>
      <w:r w:rsidR="00A55718">
        <w:t>incluyen</w:t>
      </w:r>
      <w:r w:rsidR="00204F99">
        <w:t xml:space="preserve"> las transferencias corrientes y de capital concedidas a empresas privadas, cuya ejecución presupuestaria figura en el cuadro siguiente: </w:t>
      </w:r>
    </w:p>
    <w:p w:rsidR="00204F99" w:rsidRPr="00482FDF" w:rsidRDefault="00204F99" w:rsidP="00204F99">
      <w:pPr>
        <w:spacing w:after="0"/>
        <w:ind w:firstLine="0"/>
        <w:rPr>
          <w:sz w:val="26"/>
          <w:szCs w:val="26"/>
        </w:rPr>
      </w:pPr>
    </w:p>
    <w:tbl>
      <w:tblPr>
        <w:tblW w:w="8836" w:type="dxa"/>
        <w:jc w:val="center"/>
        <w:tblCellMar>
          <w:left w:w="70" w:type="dxa"/>
          <w:right w:w="70" w:type="dxa"/>
        </w:tblCellMar>
        <w:tblLook w:val="04A0" w:firstRow="1" w:lastRow="0" w:firstColumn="1" w:lastColumn="0" w:noHBand="0" w:noVBand="1"/>
      </w:tblPr>
      <w:tblGrid>
        <w:gridCol w:w="2977"/>
        <w:gridCol w:w="1559"/>
        <w:gridCol w:w="2552"/>
        <w:gridCol w:w="1748"/>
      </w:tblGrid>
      <w:tr w:rsidR="008E3610" w:rsidRPr="009A7648" w:rsidTr="008867A2">
        <w:trPr>
          <w:trHeight w:val="255"/>
          <w:jc w:val="center"/>
        </w:trPr>
        <w:tc>
          <w:tcPr>
            <w:tcW w:w="2977" w:type="dxa"/>
            <w:tcBorders>
              <w:top w:val="single" w:sz="4" w:space="0" w:color="auto"/>
              <w:bottom w:val="single" w:sz="2" w:space="0" w:color="auto"/>
            </w:tcBorders>
            <w:shd w:val="clear" w:color="auto" w:fill="B8CCE4" w:themeFill="accent1" w:themeFillTint="66"/>
            <w:vAlign w:val="center"/>
            <w:hideMark/>
          </w:tcPr>
          <w:p w:rsidR="008E3610" w:rsidRPr="009A7648" w:rsidRDefault="008E3610" w:rsidP="00CB0BE8">
            <w:pPr>
              <w:pStyle w:val="cuadroCabe"/>
              <w:spacing w:line="240" w:lineRule="auto"/>
              <w:rPr>
                <w:lang w:val="es-ES" w:eastAsia="es-ES"/>
              </w:rPr>
            </w:pPr>
            <w:r w:rsidRPr="009A7648">
              <w:rPr>
                <w:lang w:val="es-ES" w:eastAsia="es-ES"/>
              </w:rPr>
              <w:t xml:space="preserve">Artículos </w:t>
            </w:r>
          </w:p>
        </w:tc>
        <w:tc>
          <w:tcPr>
            <w:tcW w:w="1559" w:type="dxa"/>
            <w:tcBorders>
              <w:top w:val="single" w:sz="4" w:space="0" w:color="auto"/>
              <w:bottom w:val="single" w:sz="2" w:space="0" w:color="auto"/>
            </w:tcBorders>
            <w:shd w:val="clear" w:color="auto" w:fill="B8CCE4" w:themeFill="accent1" w:themeFillTint="66"/>
            <w:vAlign w:val="center"/>
            <w:hideMark/>
          </w:tcPr>
          <w:p w:rsidR="008E3610" w:rsidRPr="009A7648" w:rsidRDefault="008E3610" w:rsidP="008867A2">
            <w:pPr>
              <w:pStyle w:val="cuadroCabe"/>
              <w:spacing w:line="240" w:lineRule="auto"/>
              <w:jc w:val="right"/>
              <w:rPr>
                <w:lang w:val="es-ES" w:eastAsia="es-ES"/>
              </w:rPr>
            </w:pPr>
            <w:r w:rsidRPr="009A7648">
              <w:rPr>
                <w:lang w:val="es-ES" w:eastAsia="es-ES"/>
              </w:rPr>
              <w:t>Créditos finales</w:t>
            </w:r>
          </w:p>
        </w:tc>
        <w:tc>
          <w:tcPr>
            <w:tcW w:w="2552" w:type="dxa"/>
            <w:tcBorders>
              <w:top w:val="single" w:sz="4" w:space="0" w:color="auto"/>
              <w:bottom w:val="single" w:sz="2" w:space="0" w:color="auto"/>
            </w:tcBorders>
            <w:shd w:val="clear" w:color="auto" w:fill="B8CCE4" w:themeFill="accent1" w:themeFillTint="66"/>
            <w:vAlign w:val="center"/>
            <w:hideMark/>
          </w:tcPr>
          <w:p w:rsidR="008E3610" w:rsidRPr="009A7648" w:rsidRDefault="008E3610" w:rsidP="008867A2">
            <w:pPr>
              <w:pStyle w:val="cuadroCabe"/>
              <w:spacing w:line="240" w:lineRule="auto"/>
              <w:jc w:val="right"/>
              <w:rPr>
                <w:lang w:val="es-ES" w:eastAsia="es-ES"/>
              </w:rPr>
            </w:pPr>
            <w:r w:rsidRPr="00A55718">
              <w:rPr>
                <w:lang w:val="es-ES" w:eastAsia="es-ES"/>
              </w:rPr>
              <w:t>O</w:t>
            </w:r>
            <w:r w:rsidR="0015429B" w:rsidRPr="00A55718">
              <w:rPr>
                <w:lang w:val="es-ES" w:eastAsia="es-ES"/>
              </w:rPr>
              <w:t xml:space="preserve">bligaciones </w:t>
            </w:r>
            <w:r w:rsidRPr="00A55718">
              <w:rPr>
                <w:lang w:val="es-ES" w:eastAsia="es-ES"/>
              </w:rPr>
              <w:t>R</w:t>
            </w:r>
            <w:r w:rsidR="0015429B" w:rsidRPr="00A55718">
              <w:rPr>
                <w:lang w:val="es-ES" w:eastAsia="es-ES"/>
              </w:rPr>
              <w:t>econocidas</w:t>
            </w:r>
            <w:r w:rsidRPr="00A55718">
              <w:rPr>
                <w:lang w:val="es-ES" w:eastAsia="es-ES"/>
              </w:rPr>
              <w:t xml:space="preserve"> Netas</w:t>
            </w:r>
          </w:p>
        </w:tc>
        <w:tc>
          <w:tcPr>
            <w:tcW w:w="1748" w:type="dxa"/>
            <w:tcBorders>
              <w:top w:val="single" w:sz="4" w:space="0" w:color="auto"/>
              <w:bottom w:val="single" w:sz="2" w:space="0" w:color="auto"/>
            </w:tcBorders>
            <w:shd w:val="clear" w:color="auto" w:fill="B8CCE4" w:themeFill="accent1" w:themeFillTint="66"/>
            <w:vAlign w:val="center"/>
            <w:hideMark/>
          </w:tcPr>
          <w:p w:rsidR="008E3610" w:rsidRPr="009A7648" w:rsidRDefault="008E3610" w:rsidP="008867A2">
            <w:pPr>
              <w:pStyle w:val="cuadroCabe"/>
              <w:spacing w:line="240" w:lineRule="auto"/>
              <w:jc w:val="right"/>
              <w:rPr>
                <w:lang w:val="es-ES" w:eastAsia="es-ES"/>
              </w:rPr>
            </w:pPr>
            <w:r w:rsidRPr="009A7648">
              <w:rPr>
                <w:lang w:val="es-ES" w:eastAsia="es-ES"/>
              </w:rPr>
              <w:t>Pagos realizados</w:t>
            </w:r>
          </w:p>
        </w:tc>
      </w:tr>
      <w:tr w:rsidR="008E3610" w:rsidRPr="009A7648" w:rsidTr="008867A2">
        <w:trPr>
          <w:trHeight w:val="255"/>
          <w:jc w:val="center"/>
        </w:trPr>
        <w:tc>
          <w:tcPr>
            <w:tcW w:w="2977" w:type="dxa"/>
            <w:tcBorders>
              <w:top w:val="single" w:sz="2" w:space="0" w:color="auto"/>
              <w:bottom w:val="single" w:sz="2" w:space="0" w:color="auto"/>
            </w:tcBorders>
            <w:shd w:val="clear" w:color="auto" w:fill="auto"/>
            <w:noWrap/>
            <w:vAlign w:val="center"/>
            <w:hideMark/>
          </w:tcPr>
          <w:p w:rsidR="008E3610" w:rsidRPr="009A7648" w:rsidRDefault="008E3610" w:rsidP="00CB0BE8">
            <w:pPr>
              <w:pStyle w:val="cuatexto"/>
              <w:spacing w:line="240" w:lineRule="auto"/>
              <w:rPr>
                <w:lang w:val="es-ES" w:eastAsia="es-ES"/>
              </w:rPr>
            </w:pPr>
            <w:proofErr w:type="spellStart"/>
            <w:r w:rsidRPr="009A7648">
              <w:rPr>
                <w:lang w:val="es-ES" w:eastAsia="es-ES"/>
              </w:rPr>
              <w:t>Transf</w:t>
            </w:r>
            <w:proofErr w:type="spellEnd"/>
            <w:r w:rsidRPr="009A7648">
              <w:rPr>
                <w:lang w:val="es-ES" w:eastAsia="es-ES"/>
              </w:rPr>
              <w:t xml:space="preserve"> corrientes a </w:t>
            </w:r>
            <w:proofErr w:type="spellStart"/>
            <w:r w:rsidRPr="009A7648">
              <w:rPr>
                <w:lang w:val="es-ES" w:eastAsia="es-ES"/>
              </w:rPr>
              <w:t>empr</w:t>
            </w:r>
            <w:proofErr w:type="spellEnd"/>
            <w:r w:rsidR="005008EB">
              <w:rPr>
                <w:lang w:val="es-ES" w:eastAsia="es-ES"/>
              </w:rPr>
              <w:t>.</w:t>
            </w:r>
            <w:r w:rsidRPr="009A7648">
              <w:rPr>
                <w:lang w:val="es-ES" w:eastAsia="es-ES"/>
              </w:rPr>
              <w:t xml:space="preserve"> privadas</w:t>
            </w:r>
          </w:p>
        </w:tc>
        <w:tc>
          <w:tcPr>
            <w:tcW w:w="1559" w:type="dxa"/>
            <w:tcBorders>
              <w:top w:val="single" w:sz="2" w:space="0" w:color="auto"/>
              <w:bottom w:val="single" w:sz="2" w:space="0" w:color="auto"/>
            </w:tcBorders>
            <w:shd w:val="clear" w:color="auto" w:fill="auto"/>
            <w:noWrap/>
            <w:vAlign w:val="center"/>
            <w:hideMark/>
          </w:tcPr>
          <w:p w:rsidR="008E3610" w:rsidRPr="009A7648" w:rsidRDefault="008E3610" w:rsidP="008867A2">
            <w:pPr>
              <w:pStyle w:val="cuatexto"/>
              <w:spacing w:line="240" w:lineRule="auto"/>
              <w:jc w:val="right"/>
              <w:rPr>
                <w:lang w:val="es-ES" w:eastAsia="es-ES"/>
              </w:rPr>
            </w:pPr>
            <w:r>
              <w:rPr>
                <w:lang w:val="es-ES" w:eastAsia="es-ES"/>
              </w:rPr>
              <w:t>145.450.387</w:t>
            </w:r>
          </w:p>
        </w:tc>
        <w:tc>
          <w:tcPr>
            <w:tcW w:w="2552" w:type="dxa"/>
            <w:tcBorders>
              <w:top w:val="single" w:sz="2" w:space="0" w:color="auto"/>
              <w:bottom w:val="single" w:sz="2" w:space="0" w:color="auto"/>
            </w:tcBorders>
            <w:shd w:val="clear" w:color="auto" w:fill="auto"/>
            <w:noWrap/>
            <w:vAlign w:val="center"/>
            <w:hideMark/>
          </w:tcPr>
          <w:p w:rsidR="008E3610" w:rsidRPr="009A7648" w:rsidRDefault="008E3610" w:rsidP="008867A2">
            <w:pPr>
              <w:pStyle w:val="cuatexto"/>
              <w:spacing w:line="240" w:lineRule="auto"/>
              <w:jc w:val="right"/>
              <w:rPr>
                <w:lang w:val="es-ES" w:eastAsia="es-ES"/>
              </w:rPr>
            </w:pPr>
            <w:r>
              <w:rPr>
                <w:lang w:val="es-ES" w:eastAsia="es-ES"/>
              </w:rPr>
              <w:t>119.864.446</w:t>
            </w:r>
          </w:p>
        </w:tc>
        <w:tc>
          <w:tcPr>
            <w:tcW w:w="1748" w:type="dxa"/>
            <w:tcBorders>
              <w:top w:val="single" w:sz="2" w:space="0" w:color="auto"/>
              <w:bottom w:val="single" w:sz="2" w:space="0" w:color="auto"/>
            </w:tcBorders>
            <w:shd w:val="clear" w:color="auto" w:fill="auto"/>
            <w:noWrap/>
            <w:vAlign w:val="center"/>
            <w:hideMark/>
          </w:tcPr>
          <w:p w:rsidR="008E3610" w:rsidRPr="009A7648" w:rsidRDefault="008E3610" w:rsidP="008867A2">
            <w:pPr>
              <w:pStyle w:val="cuatexto"/>
              <w:spacing w:line="240" w:lineRule="auto"/>
              <w:jc w:val="right"/>
              <w:rPr>
                <w:lang w:val="es-ES" w:eastAsia="es-ES"/>
              </w:rPr>
            </w:pPr>
            <w:r>
              <w:rPr>
                <w:lang w:val="es-ES" w:eastAsia="es-ES"/>
              </w:rPr>
              <w:t>116.748.699</w:t>
            </w:r>
          </w:p>
        </w:tc>
      </w:tr>
      <w:tr w:rsidR="008E3610" w:rsidRPr="009A7648" w:rsidTr="008867A2">
        <w:trPr>
          <w:trHeight w:val="255"/>
          <w:jc w:val="center"/>
        </w:trPr>
        <w:tc>
          <w:tcPr>
            <w:tcW w:w="2977" w:type="dxa"/>
            <w:tcBorders>
              <w:top w:val="single" w:sz="2" w:space="0" w:color="auto"/>
              <w:bottom w:val="single" w:sz="2" w:space="0" w:color="auto"/>
            </w:tcBorders>
            <w:shd w:val="clear" w:color="auto" w:fill="auto"/>
            <w:noWrap/>
            <w:vAlign w:val="center"/>
            <w:hideMark/>
          </w:tcPr>
          <w:p w:rsidR="008E3610" w:rsidRPr="009A7648" w:rsidRDefault="008E3610" w:rsidP="00CB0BE8">
            <w:pPr>
              <w:pStyle w:val="cuatexto"/>
              <w:spacing w:line="240" w:lineRule="auto"/>
              <w:rPr>
                <w:lang w:val="es-ES" w:eastAsia="es-ES"/>
              </w:rPr>
            </w:pPr>
            <w:proofErr w:type="spellStart"/>
            <w:r w:rsidRPr="009A7648">
              <w:rPr>
                <w:lang w:val="es-ES" w:eastAsia="es-ES"/>
              </w:rPr>
              <w:t>Tran</w:t>
            </w:r>
            <w:r>
              <w:rPr>
                <w:lang w:val="es-ES" w:eastAsia="es-ES"/>
              </w:rPr>
              <w:t>s</w:t>
            </w:r>
            <w:r w:rsidRPr="009A7648">
              <w:rPr>
                <w:lang w:val="es-ES" w:eastAsia="es-ES"/>
              </w:rPr>
              <w:t>f</w:t>
            </w:r>
            <w:proofErr w:type="spellEnd"/>
            <w:r w:rsidRPr="009A7648">
              <w:rPr>
                <w:lang w:val="es-ES" w:eastAsia="es-ES"/>
              </w:rPr>
              <w:t xml:space="preserve"> de capital a </w:t>
            </w:r>
            <w:proofErr w:type="spellStart"/>
            <w:r w:rsidRPr="009A7648">
              <w:rPr>
                <w:lang w:val="es-ES" w:eastAsia="es-ES"/>
              </w:rPr>
              <w:t>empr</w:t>
            </w:r>
            <w:proofErr w:type="spellEnd"/>
            <w:r w:rsidR="005008EB">
              <w:rPr>
                <w:lang w:val="es-ES" w:eastAsia="es-ES"/>
              </w:rPr>
              <w:t>.</w:t>
            </w:r>
            <w:r w:rsidRPr="009A7648">
              <w:rPr>
                <w:lang w:val="es-ES" w:eastAsia="es-ES"/>
              </w:rPr>
              <w:t xml:space="preserve"> privadas</w:t>
            </w:r>
          </w:p>
        </w:tc>
        <w:tc>
          <w:tcPr>
            <w:tcW w:w="1559" w:type="dxa"/>
            <w:tcBorders>
              <w:top w:val="single" w:sz="2" w:space="0" w:color="auto"/>
              <w:bottom w:val="single" w:sz="2" w:space="0" w:color="auto"/>
            </w:tcBorders>
            <w:shd w:val="clear" w:color="auto" w:fill="auto"/>
            <w:noWrap/>
            <w:vAlign w:val="center"/>
            <w:hideMark/>
          </w:tcPr>
          <w:p w:rsidR="008E3610" w:rsidRPr="009A7648" w:rsidRDefault="008E3610" w:rsidP="008867A2">
            <w:pPr>
              <w:pStyle w:val="cuatexto"/>
              <w:spacing w:line="240" w:lineRule="auto"/>
              <w:jc w:val="right"/>
              <w:rPr>
                <w:lang w:val="es-ES" w:eastAsia="es-ES"/>
              </w:rPr>
            </w:pPr>
            <w:r>
              <w:rPr>
                <w:lang w:val="es-ES" w:eastAsia="es-ES"/>
              </w:rPr>
              <w:t>91.073.215</w:t>
            </w:r>
          </w:p>
        </w:tc>
        <w:tc>
          <w:tcPr>
            <w:tcW w:w="2552" w:type="dxa"/>
            <w:tcBorders>
              <w:top w:val="single" w:sz="2" w:space="0" w:color="auto"/>
              <w:bottom w:val="single" w:sz="2" w:space="0" w:color="auto"/>
            </w:tcBorders>
            <w:shd w:val="clear" w:color="auto" w:fill="auto"/>
            <w:noWrap/>
            <w:vAlign w:val="center"/>
            <w:hideMark/>
          </w:tcPr>
          <w:p w:rsidR="008E3610" w:rsidRPr="009A7648" w:rsidRDefault="008E3610" w:rsidP="008867A2">
            <w:pPr>
              <w:pStyle w:val="cuatexto"/>
              <w:spacing w:line="240" w:lineRule="auto"/>
              <w:jc w:val="right"/>
              <w:rPr>
                <w:lang w:val="es-ES" w:eastAsia="es-ES"/>
              </w:rPr>
            </w:pPr>
            <w:r>
              <w:rPr>
                <w:lang w:val="es-ES" w:eastAsia="es-ES"/>
              </w:rPr>
              <w:t>60.267.455</w:t>
            </w:r>
          </w:p>
        </w:tc>
        <w:tc>
          <w:tcPr>
            <w:tcW w:w="1748" w:type="dxa"/>
            <w:tcBorders>
              <w:top w:val="single" w:sz="2" w:space="0" w:color="auto"/>
              <w:bottom w:val="single" w:sz="2" w:space="0" w:color="auto"/>
            </w:tcBorders>
            <w:shd w:val="clear" w:color="auto" w:fill="auto"/>
            <w:noWrap/>
            <w:vAlign w:val="center"/>
            <w:hideMark/>
          </w:tcPr>
          <w:p w:rsidR="008E3610" w:rsidRPr="009A7648" w:rsidRDefault="008E3610" w:rsidP="008867A2">
            <w:pPr>
              <w:pStyle w:val="cuatexto"/>
              <w:spacing w:line="240" w:lineRule="auto"/>
              <w:jc w:val="right"/>
              <w:rPr>
                <w:lang w:val="es-ES" w:eastAsia="es-ES"/>
              </w:rPr>
            </w:pPr>
            <w:r>
              <w:rPr>
                <w:lang w:val="es-ES" w:eastAsia="es-ES"/>
              </w:rPr>
              <w:t>41.838.688</w:t>
            </w:r>
          </w:p>
        </w:tc>
      </w:tr>
      <w:tr w:rsidR="008E3610" w:rsidRPr="009A7648" w:rsidTr="008867A2">
        <w:trPr>
          <w:trHeight w:val="255"/>
          <w:jc w:val="center"/>
        </w:trPr>
        <w:tc>
          <w:tcPr>
            <w:tcW w:w="2977" w:type="dxa"/>
            <w:tcBorders>
              <w:top w:val="single" w:sz="2" w:space="0" w:color="auto"/>
              <w:bottom w:val="single" w:sz="2" w:space="0" w:color="auto"/>
            </w:tcBorders>
            <w:shd w:val="clear" w:color="auto" w:fill="auto"/>
            <w:noWrap/>
            <w:vAlign w:val="center"/>
            <w:hideMark/>
          </w:tcPr>
          <w:p w:rsidR="008E3610" w:rsidRPr="00A55718" w:rsidRDefault="008E3610" w:rsidP="00CB0BE8">
            <w:pPr>
              <w:pStyle w:val="cuatexto"/>
              <w:spacing w:line="240" w:lineRule="auto"/>
              <w:rPr>
                <w:b/>
                <w:bCs/>
                <w:lang w:val="es-ES" w:eastAsia="es-ES"/>
              </w:rPr>
            </w:pPr>
            <w:r w:rsidRPr="00A55718">
              <w:rPr>
                <w:b/>
                <w:bCs/>
                <w:lang w:val="es-ES" w:eastAsia="es-ES"/>
              </w:rPr>
              <w:t xml:space="preserve"> Total </w:t>
            </w:r>
            <w:proofErr w:type="spellStart"/>
            <w:r w:rsidRPr="00A55718">
              <w:rPr>
                <w:b/>
                <w:bCs/>
                <w:lang w:val="es-ES" w:eastAsia="es-ES"/>
              </w:rPr>
              <w:t>transf</w:t>
            </w:r>
            <w:proofErr w:type="spellEnd"/>
            <w:r w:rsidRPr="00A55718">
              <w:rPr>
                <w:b/>
                <w:bCs/>
                <w:lang w:val="es-ES" w:eastAsia="es-ES"/>
              </w:rPr>
              <w:t xml:space="preserve">. </w:t>
            </w:r>
            <w:proofErr w:type="gramStart"/>
            <w:r w:rsidRPr="00A55718">
              <w:rPr>
                <w:b/>
                <w:bCs/>
                <w:lang w:val="es-ES" w:eastAsia="es-ES"/>
              </w:rPr>
              <w:t>a</w:t>
            </w:r>
            <w:proofErr w:type="gramEnd"/>
            <w:r w:rsidRPr="00A55718">
              <w:rPr>
                <w:b/>
                <w:bCs/>
                <w:lang w:val="es-ES" w:eastAsia="es-ES"/>
              </w:rPr>
              <w:t xml:space="preserve"> </w:t>
            </w:r>
            <w:proofErr w:type="spellStart"/>
            <w:r w:rsidRPr="00A55718">
              <w:rPr>
                <w:b/>
                <w:bCs/>
                <w:lang w:val="es-ES" w:eastAsia="es-ES"/>
              </w:rPr>
              <w:t>empr</w:t>
            </w:r>
            <w:proofErr w:type="spellEnd"/>
            <w:r w:rsidR="005008EB">
              <w:rPr>
                <w:b/>
                <w:bCs/>
                <w:lang w:val="es-ES" w:eastAsia="es-ES"/>
              </w:rPr>
              <w:t>.</w:t>
            </w:r>
            <w:r w:rsidRPr="00A55718">
              <w:rPr>
                <w:b/>
                <w:bCs/>
                <w:lang w:val="es-ES" w:eastAsia="es-ES"/>
              </w:rPr>
              <w:t xml:space="preserve"> privadas</w:t>
            </w:r>
          </w:p>
        </w:tc>
        <w:tc>
          <w:tcPr>
            <w:tcW w:w="1559" w:type="dxa"/>
            <w:tcBorders>
              <w:top w:val="single" w:sz="2" w:space="0" w:color="auto"/>
              <w:bottom w:val="single" w:sz="2" w:space="0" w:color="auto"/>
            </w:tcBorders>
            <w:shd w:val="clear" w:color="auto" w:fill="auto"/>
            <w:noWrap/>
            <w:vAlign w:val="center"/>
            <w:hideMark/>
          </w:tcPr>
          <w:p w:rsidR="008E3610" w:rsidRPr="00A55718" w:rsidRDefault="008E3610" w:rsidP="008867A2">
            <w:pPr>
              <w:pStyle w:val="cuatexto"/>
              <w:spacing w:line="240" w:lineRule="auto"/>
              <w:jc w:val="right"/>
              <w:rPr>
                <w:b/>
                <w:lang w:val="es-ES" w:eastAsia="es-ES"/>
              </w:rPr>
            </w:pPr>
            <w:r w:rsidRPr="00A55718">
              <w:rPr>
                <w:b/>
                <w:lang w:val="es-ES" w:eastAsia="es-ES"/>
              </w:rPr>
              <w:t>236.523.602</w:t>
            </w:r>
          </w:p>
        </w:tc>
        <w:tc>
          <w:tcPr>
            <w:tcW w:w="2552" w:type="dxa"/>
            <w:tcBorders>
              <w:top w:val="single" w:sz="2" w:space="0" w:color="auto"/>
              <w:bottom w:val="single" w:sz="2" w:space="0" w:color="auto"/>
            </w:tcBorders>
            <w:shd w:val="clear" w:color="auto" w:fill="auto"/>
            <w:noWrap/>
            <w:vAlign w:val="center"/>
            <w:hideMark/>
          </w:tcPr>
          <w:p w:rsidR="008E3610" w:rsidRPr="00A55718" w:rsidRDefault="008E3610" w:rsidP="008867A2">
            <w:pPr>
              <w:pStyle w:val="cuatexto"/>
              <w:spacing w:line="240" w:lineRule="auto"/>
              <w:jc w:val="right"/>
              <w:rPr>
                <w:b/>
                <w:lang w:val="es-ES" w:eastAsia="es-ES"/>
              </w:rPr>
            </w:pPr>
            <w:r w:rsidRPr="00A55718">
              <w:rPr>
                <w:b/>
                <w:lang w:val="es-ES" w:eastAsia="es-ES"/>
              </w:rPr>
              <w:t>180.131.902</w:t>
            </w:r>
          </w:p>
        </w:tc>
        <w:tc>
          <w:tcPr>
            <w:tcW w:w="1748" w:type="dxa"/>
            <w:tcBorders>
              <w:top w:val="single" w:sz="2" w:space="0" w:color="auto"/>
              <w:bottom w:val="single" w:sz="2" w:space="0" w:color="auto"/>
            </w:tcBorders>
            <w:shd w:val="clear" w:color="auto" w:fill="auto"/>
            <w:noWrap/>
            <w:vAlign w:val="center"/>
            <w:hideMark/>
          </w:tcPr>
          <w:p w:rsidR="008E3610" w:rsidRPr="00A55718" w:rsidRDefault="008E3610" w:rsidP="008867A2">
            <w:pPr>
              <w:pStyle w:val="cuatexto"/>
              <w:spacing w:line="240" w:lineRule="auto"/>
              <w:jc w:val="right"/>
              <w:rPr>
                <w:b/>
                <w:lang w:val="es-ES" w:eastAsia="es-ES"/>
              </w:rPr>
            </w:pPr>
            <w:r w:rsidRPr="00A55718">
              <w:rPr>
                <w:b/>
                <w:lang w:val="es-ES" w:eastAsia="es-ES"/>
              </w:rPr>
              <w:t>158.587.386</w:t>
            </w:r>
          </w:p>
        </w:tc>
      </w:tr>
      <w:tr w:rsidR="008E3610" w:rsidRPr="009A7648" w:rsidTr="008867A2">
        <w:trPr>
          <w:trHeight w:val="255"/>
          <w:jc w:val="center"/>
        </w:trPr>
        <w:tc>
          <w:tcPr>
            <w:tcW w:w="2977" w:type="dxa"/>
            <w:tcBorders>
              <w:top w:val="single" w:sz="2" w:space="0" w:color="auto"/>
              <w:bottom w:val="single" w:sz="4" w:space="0" w:color="auto"/>
            </w:tcBorders>
            <w:shd w:val="clear" w:color="auto" w:fill="B8CCE4" w:themeFill="accent1" w:themeFillTint="66"/>
            <w:noWrap/>
            <w:vAlign w:val="center"/>
            <w:hideMark/>
          </w:tcPr>
          <w:p w:rsidR="008E3610" w:rsidRPr="009A7648" w:rsidRDefault="008E3610" w:rsidP="00CB0BE8">
            <w:pPr>
              <w:pStyle w:val="cuadroCabe"/>
              <w:spacing w:line="240" w:lineRule="auto"/>
              <w:rPr>
                <w:lang w:val="es-ES" w:eastAsia="es-ES"/>
              </w:rPr>
            </w:pPr>
            <w:r w:rsidRPr="009A7648">
              <w:rPr>
                <w:lang w:val="es-ES" w:eastAsia="es-ES"/>
              </w:rPr>
              <w:t xml:space="preserve">Total capítulos 4 Y 7 </w:t>
            </w:r>
          </w:p>
        </w:tc>
        <w:tc>
          <w:tcPr>
            <w:tcW w:w="1559" w:type="dxa"/>
            <w:tcBorders>
              <w:top w:val="single" w:sz="2" w:space="0" w:color="auto"/>
              <w:bottom w:val="single" w:sz="4" w:space="0" w:color="auto"/>
            </w:tcBorders>
            <w:shd w:val="clear" w:color="auto" w:fill="B8CCE4" w:themeFill="accent1" w:themeFillTint="66"/>
            <w:noWrap/>
            <w:vAlign w:val="center"/>
            <w:hideMark/>
          </w:tcPr>
          <w:p w:rsidR="008E3610" w:rsidRPr="009A7648" w:rsidRDefault="008E3610" w:rsidP="008867A2">
            <w:pPr>
              <w:pStyle w:val="cuadroCabe"/>
              <w:spacing w:line="240" w:lineRule="auto"/>
              <w:jc w:val="right"/>
              <w:rPr>
                <w:lang w:val="es-ES" w:eastAsia="es-ES"/>
              </w:rPr>
            </w:pPr>
            <w:r>
              <w:rPr>
                <w:lang w:val="es-ES" w:eastAsia="es-ES"/>
              </w:rPr>
              <w:t>1.953.665.265</w:t>
            </w:r>
          </w:p>
        </w:tc>
        <w:tc>
          <w:tcPr>
            <w:tcW w:w="2552" w:type="dxa"/>
            <w:tcBorders>
              <w:top w:val="single" w:sz="2" w:space="0" w:color="auto"/>
              <w:bottom w:val="single" w:sz="4" w:space="0" w:color="auto"/>
            </w:tcBorders>
            <w:shd w:val="clear" w:color="auto" w:fill="B8CCE4" w:themeFill="accent1" w:themeFillTint="66"/>
            <w:noWrap/>
            <w:vAlign w:val="center"/>
            <w:hideMark/>
          </w:tcPr>
          <w:p w:rsidR="008E3610" w:rsidRPr="009A7648" w:rsidRDefault="008E3610" w:rsidP="008867A2">
            <w:pPr>
              <w:pStyle w:val="cuadroCabe"/>
              <w:spacing w:line="240" w:lineRule="auto"/>
              <w:jc w:val="right"/>
              <w:rPr>
                <w:lang w:val="es-ES" w:eastAsia="es-ES"/>
              </w:rPr>
            </w:pPr>
            <w:r>
              <w:rPr>
                <w:lang w:val="es-ES" w:eastAsia="es-ES"/>
              </w:rPr>
              <w:t>1.848.740.675</w:t>
            </w:r>
          </w:p>
        </w:tc>
        <w:tc>
          <w:tcPr>
            <w:tcW w:w="1748" w:type="dxa"/>
            <w:tcBorders>
              <w:top w:val="single" w:sz="2" w:space="0" w:color="auto"/>
              <w:bottom w:val="single" w:sz="4" w:space="0" w:color="auto"/>
            </w:tcBorders>
            <w:shd w:val="clear" w:color="auto" w:fill="B8CCE4" w:themeFill="accent1" w:themeFillTint="66"/>
            <w:noWrap/>
            <w:vAlign w:val="center"/>
            <w:hideMark/>
          </w:tcPr>
          <w:p w:rsidR="008E3610" w:rsidRPr="009A7648" w:rsidRDefault="008E3610" w:rsidP="008867A2">
            <w:pPr>
              <w:pStyle w:val="cuadroCabe"/>
              <w:spacing w:line="240" w:lineRule="auto"/>
              <w:jc w:val="right"/>
              <w:rPr>
                <w:lang w:val="es-ES" w:eastAsia="es-ES"/>
              </w:rPr>
            </w:pPr>
            <w:r>
              <w:rPr>
                <w:lang w:val="es-ES" w:eastAsia="es-ES"/>
              </w:rPr>
              <w:t>1.817.041.642</w:t>
            </w:r>
          </w:p>
        </w:tc>
      </w:tr>
      <w:tr w:rsidR="008E3610" w:rsidRPr="009A7648" w:rsidTr="008867A2">
        <w:trPr>
          <w:trHeight w:val="255"/>
          <w:jc w:val="center"/>
        </w:trPr>
        <w:tc>
          <w:tcPr>
            <w:tcW w:w="2977" w:type="dxa"/>
            <w:tcBorders>
              <w:top w:val="single" w:sz="4" w:space="0" w:color="auto"/>
              <w:bottom w:val="single" w:sz="4" w:space="0" w:color="auto"/>
            </w:tcBorders>
            <w:shd w:val="clear" w:color="auto" w:fill="auto"/>
            <w:noWrap/>
            <w:vAlign w:val="center"/>
            <w:hideMark/>
          </w:tcPr>
          <w:p w:rsidR="008E3610" w:rsidRPr="009A7648" w:rsidRDefault="008E3610" w:rsidP="0087454C">
            <w:pPr>
              <w:spacing w:after="0"/>
              <w:ind w:firstLine="0"/>
              <w:jc w:val="left"/>
              <w:rPr>
                <w:rFonts w:ascii="Arial Narrow" w:hAnsi="Arial Narrow" w:cs="Calibri"/>
                <w:i/>
                <w:iCs/>
                <w:color w:val="000000"/>
                <w:lang w:val="es-ES" w:eastAsia="es-ES"/>
              </w:rPr>
            </w:pPr>
            <w:r w:rsidRPr="009A7648">
              <w:rPr>
                <w:rFonts w:ascii="Arial Narrow" w:hAnsi="Arial Narrow" w:cs="Calibri"/>
                <w:i/>
                <w:iCs/>
                <w:color w:val="000000"/>
                <w:lang w:val="es-ES" w:eastAsia="es-ES"/>
              </w:rPr>
              <w:t xml:space="preserve">% sobre capítulos 4 y 7 </w:t>
            </w:r>
          </w:p>
        </w:tc>
        <w:tc>
          <w:tcPr>
            <w:tcW w:w="1559" w:type="dxa"/>
            <w:tcBorders>
              <w:top w:val="single" w:sz="4" w:space="0" w:color="auto"/>
              <w:bottom w:val="single" w:sz="4" w:space="0" w:color="auto"/>
            </w:tcBorders>
            <w:shd w:val="clear" w:color="auto" w:fill="auto"/>
            <w:noWrap/>
            <w:vAlign w:val="center"/>
            <w:hideMark/>
          </w:tcPr>
          <w:p w:rsidR="008E3610" w:rsidRPr="009A7648" w:rsidRDefault="008E3610" w:rsidP="008867A2">
            <w:pPr>
              <w:spacing w:after="0"/>
              <w:ind w:firstLine="0"/>
              <w:jc w:val="right"/>
              <w:rPr>
                <w:rFonts w:ascii="Arial Narrow" w:hAnsi="Arial Narrow" w:cs="Calibri"/>
                <w:i/>
                <w:iCs/>
                <w:color w:val="000000"/>
                <w:lang w:val="es-ES" w:eastAsia="es-ES"/>
              </w:rPr>
            </w:pPr>
            <w:r w:rsidRPr="009A7648">
              <w:rPr>
                <w:rFonts w:ascii="Arial Narrow" w:hAnsi="Arial Narrow" w:cs="Calibri"/>
                <w:i/>
                <w:iCs/>
                <w:color w:val="000000"/>
                <w:lang w:val="es-ES" w:eastAsia="es-ES"/>
              </w:rPr>
              <w:t>12,11</w:t>
            </w:r>
          </w:p>
        </w:tc>
        <w:tc>
          <w:tcPr>
            <w:tcW w:w="2552" w:type="dxa"/>
            <w:tcBorders>
              <w:top w:val="single" w:sz="4" w:space="0" w:color="auto"/>
              <w:bottom w:val="single" w:sz="4" w:space="0" w:color="auto"/>
            </w:tcBorders>
            <w:shd w:val="clear" w:color="auto" w:fill="auto"/>
            <w:noWrap/>
            <w:vAlign w:val="center"/>
            <w:hideMark/>
          </w:tcPr>
          <w:p w:rsidR="008E3610" w:rsidRPr="009A7648" w:rsidRDefault="008E3610" w:rsidP="008867A2">
            <w:pPr>
              <w:spacing w:after="0"/>
              <w:ind w:firstLine="0"/>
              <w:jc w:val="right"/>
              <w:rPr>
                <w:rFonts w:ascii="Arial Narrow" w:hAnsi="Arial Narrow" w:cs="Calibri"/>
                <w:i/>
                <w:iCs/>
                <w:color w:val="000000"/>
                <w:lang w:val="es-ES" w:eastAsia="es-ES"/>
              </w:rPr>
            </w:pPr>
            <w:r w:rsidRPr="009A7648">
              <w:rPr>
                <w:rFonts w:ascii="Arial Narrow" w:hAnsi="Arial Narrow" w:cs="Calibri"/>
                <w:i/>
                <w:iCs/>
                <w:color w:val="000000"/>
                <w:lang w:val="es-ES" w:eastAsia="es-ES"/>
              </w:rPr>
              <w:t>9,74</w:t>
            </w:r>
          </w:p>
        </w:tc>
        <w:tc>
          <w:tcPr>
            <w:tcW w:w="1748" w:type="dxa"/>
            <w:tcBorders>
              <w:top w:val="single" w:sz="4" w:space="0" w:color="auto"/>
              <w:bottom w:val="single" w:sz="4" w:space="0" w:color="auto"/>
            </w:tcBorders>
            <w:shd w:val="clear" w:color="auto" w:fill="auto"/>
            <w:noWrap/>
            <w:vAlign w:val="center"/>
            <w:hideMark/>
          </w:tcPr>
          <w:p w:rsidR="008E3610" w:rsidRPr="009A7648" w:rsidRDefault="008E3610" w:rsidP="008867A2">
            <w:pPr>
              <w:spacing w:after="0"/>
              <w:ind w:firstLine="0"/>
              <w:jc w:val="right"/>
              <w:rPr>
                <w:rFonts w:ascii="Arial Narrow" w:hAnsi="Arial Narrow" w:cs="Calibri"/>
                <w:i/>
                <w:iCs/>
                <w:color w:val="000000"/>
                <w:lang w:val="es-ES" w:eastAsia="es-ES"/>
              </w:rPr>
            </w:pPr>
            <w:r w:rsidRPr="009A7648">
              <w:rPr>
                <w:rFonts w:ascii="Arial Narrow" w:hAnsi="Arial Narrow" w:cs="Calibri"/>
                <w:i/>
                <w:iCs/>
                <w:color w:val="000000"/>
                <w:lang w:val="es-ES" w:eastAsia="es-ES"/>
              </w:rPr>
              <w:t>8,73</w:t>
            </w:r>
          </w:p>
        </w:tc>
      </w:tr>
    </w:tbl>
    <w:p w:rsidR="00204F99" w:rsidRPr="00482FDF" w:rsidRDefault="00204F99" w:rsidP="00204F99">
      <w:pPr>
        <w:spacing w:after="0"/>
        <w:ind w:firstLine="284"/>
        <w:rPr>
          <w:sz w:val="26"/>
          <w:szCs w:val="26"/>
        </w:rPr>
      </w:pPr>
    </w:p>
    <w:p w:rsidR="00204F99" w:rsidRPr="000D09C9" w:rsidRDefault="00204F99" w:rsidP="0087454C">
      <w:pPr>
        <w:ind w:firstLine="284"/>
        <w:rPr>
          <w:sz w:val="26"/>
          <w:szCs w:val="26"/>
        </w:rPr>
      </w:pPr>
      <w:r>
        <w:rPr>
          <w:sz w:val="26"/>
          <w:szCs w:val="26"/>
        </w:rPr>
        <w:t>Las transferencias a empresas privadas, tanto corrientes como de capital, conc</w:t>
      </w:r>
      <w:r>
        <w:rPr>
          <w:sz w:val="26"/>
          <w:szCs w:val="26"/>
        </w:rPr>
        <w:t>e</w:t>
      </w:r>
      <w:r>
        <w:rPr>
          <w:sz w:val="26"/>
          <w:szCs w:val="26"/>
        </w:rPr>
        <w:t xml:space="preserve">didas en 2020 ascendieron a 180 millones y </w:t>
      </w:r>
      <w:r w:rsidRPr="000D09C9">
        <w:rPr>
          <w:sz w:val="26"/>
          <w:szCs w:val="26"/>
        </w:rPr>
        <w:t xml:space="preserve">supusieron el </w:t>
      </w:r>
      <w:r>
        <w:rPr>
          <w:sz w:val="26"/>
          <w:szCs w:val="26"/>
        </w:rPr>
        <w:t xml:space="preserve">9,7 </w:t>
      </w:r>
      <w:r w:rsidRPr="000D09C9">
        <w:rPr>
          <w:sz w:val="26"/>
          <w:szCs w:val="26"/>
        </w:rPr>
        <w:t>por ciento del to</w:t>
      </w:r>
      <w:r>
        <w:rPr>
          <w:sz w:val="26"/>
          <w:szCs w:val="26"/>
        </w:rPr>
        <w:t>tal de obligaciones reconocidas por transferencias.</w:t>
      </w:r>
    </w:p>
    <w:p w:rsidR="00204F99" w:rsidRDefault="00204F99" w:rsidP="0087454C">
      <w:pPr>
        <w:ind w:firstLine="284"/>
        <w:rPr>
          <w:sz w:val="26"/>
          <w:szCs w:val="26"/>
        </w:rPr>
      </w:pPr>
      <w:r>
        <w:rPr>
          <w:sz w:val="26"/>
          <w:szCs w:val="26"/>
        </w:rPr>
        <w:t xml:space="preserve">La evolución de este gasto en los cinco últimos años es la siguiente: </w:t>
      </w:r>
    </w:p>
    <w:tbl>
      <w:tblPr>
        <w:tblW w:w="9113" w:type="dxa"/>
        <w:tblCellMar>
          <w:left w:w="70" w:type="dxa"/>
          <w:right w:w="70" w:type="dxa"/>
        </w:tblCellMar>
        <w:tblLook w:val="04A0" w:firstRow="1" w:lastRow="0" w:firstColumn="1" w:lastColumn="0" w:noHBand="0" w:noVBand="1"/>
      </w:tblPr>
      <w:tblGrid>
        <w:gridCol w:w="1276"/>
        <w:gridCol w:w="1101"/>
        <w:gridCol w:w="1207"/>
        <w:gridCol w:w="1207"/>
        <w:gridCol w:w="1207"/>
        <w:gridCol w:w="1207"/>
        <w:gridCol w:w="915"/>
        <w:gridCol w:w="993"/>
      </w:tblGrid>
      <w:tr w:rsidR="00204F99" w:rsidRPr="0087454C" w:rsidTr="008867A2">
        <w:trPr>
          <w:trHeight w:val="495"/>
        </w:trPr>
        <w:tc>
          <w:tcPr>
            <w:tcW w:w="1276" w:type="dxa"/>
            <w:tcBorders>
              <w:top w:val="single" w:sz="4" w:space="0" w:color="auto"/>
              <w:left w:val="nil"/>
              <w:bottom w:val="single" w:sz="4" w:space="0" w:color="auto"/>
              <w:right w:val="nil"/>
            </w:tcBorders>
            <w:shd w:val="clear" w:color="auto" w:fill="B8CCE4" w:themeFill="accent1" w:themeFillTint="66"/>
            <w:noWrap/>
            <w:vAlign w:val="center"/>
            <w:hideMark/>
          </w:tcPr>
          <w:p w:rsidR="0087454C" w:rsidRPr="0087454C" w:rsidRDefault="00204F99" w:rsidP="0087454C">
            <w:pPr>
              <w:pStyle w:val="cuadroCabe"/>
              <w:rPr>
                <w:sz w:val="16"/>
                <w:szCs w:val="16"/>
                <w:lang w:val="es-ES" w:eastAsia="es-ES"/>
              </w:rPr>
            </w:pPr>
            <w:r w:rsidRPr="0087454C">
              <w:rPr>
                <w:sz w:val="16"/>
                <w:szCs w:val="16"/>
                <w:lang w:val="es-ES" w:eastAsia="es-ES"/>
              </w:rPr>
              <w:t xml:space="preserve">Tipo de </w:t>
            </w:r>
          </w:p>
          <w:p w:rsidR="00204F99" w:rsidRPr="0087454C" w:rsidRDefault="00204F99" w:rsidP="0087454C">
            <w:pPr>
              <w:pStyle w:val="cuadroCabe"/>
              <w:rPr>
                <w:sz w:val="16"/>
                <w:szCs w:val="16"/>
                <w:lang w:val="es-ES" w:eastAsia="es-ES"/>
              </w:rPr>
            </w:pPr>
            <w:r w:rsidRPr="0087454C">
              <w:rPr>
                <w:sz w:val="16"/>
                <w:szCs w:val="16"/>
                <w:lang w:val="es-ES" w:eastAsia="es-ES"/>
              </w:rPr>
              <w:t>transferencia</w:t>
            </w:r>
          </w:p>
        </w:tc>
        <w:tc>
          <w:tcPr>
            <w:tcW w:w="1101"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87454C" w:rsidRDefault="00204F99" w:rsidP="0087454C">
            <w:pPr>
              <w:pStyle w:val="cuadroCabe"/>
              <w:jc w:val="right"/>
              <w:rPr>
                <w:sz w:val="16"/>
                <w:szCs w:val="16"/>
                <w:lang w:val="es-ES" w:eastAsia="es-ES"/>
              </w:rPr>
            </w:pPr>
            <w:r w:rsidRPr="0087454C">
              <w:rPr>
                <w:sz w:val="16"/>
                <w:szCs w:val="16"/>
                <w:lang w:val="es-ES" w:eastAsia="es-ES"/>
              </w:rPr>
              <w:t>2016</w:t>
            </w:r>
          </w:p>
        </w:tc>
        <w:tc>
          <w:tcPr>
            <w:tcW w:w="1207"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87454C" w:rsidRDefault="00204F99" w:rsidP="0087454C">
            <w:pPr>
              <w:pStyle w:val="cuadroCabe"/>
              <w:jc w:val="right"/>
              <w:rPr>
                <w:sz w:val="16"/>
                <w:szCs w:val="16"/>
                <w:lang w:val="es-ES" w:eastAsia="es-ES"/>
              </w:rPr>
            </w:pPr>
            <w:r w:rsidRPr="0087454C">
              <w:rPr>
                <w:sz w:val="16"/>
                <w:szCs w:val="16"/>
                <w:lang w:val="es-ES" w:eastAsia="es-ES"/>
              </w:rPr>
              <w:t>2017</w:t>
            </w:r>
          </w:p>
        </w:tc>
        <w:tc>
          <w:tcPr>
            <w:tcW w:w="1207"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87454C" w:rsidRDefault="00204F99" w:rsidP="0087454C">
            <w:pPr>
              <w:pStyle w:val="cuadroCabe"/>
              <w:jc w:val="right"/>
              <w:rPr>
                <w:sz w:val="16"/>
                <w:szCs w:val="16"/>
                <w:lang w:val="es-ES" w:eastAsia="es-ES"/>
              </w:rPr>
            </w:pPr>
            <w:r w:rsidRPr="0087454C">
              <w:rPr>
                <w:sz w:val="16"/>
                <w:szCs w:val="16"/>
                <w:lang w:val="es-ES" w:eastAsia="es-ES"/>
              </w:rPr>
              <w:t>2018</w:t>
            </w:r>
          </w:p>
        </w:tc>
        <w:tc>
          <w:tcPr>
            <w:tcW w:w="1207"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87454C" w:rsidRDefault="00204F99" w:rsidP="0087454C">
            <w:pPr>
              <w:pStyle w:val="cuadroCabe"/>
              <w:jc w:val="right"/>
              <w:rPr>
                <w:sz w:val="16"/>
                <w:szCs w:val="16"/>
                <w:lang w:val="es-ES" w:eastAsia="es-ES"/>
              </w:rPr>
            </w:pPr>
            <w:r w:rsidRPr="0087454C">
              <w:rPr>
                <w:sz w:val="16"/>
                <w:szCs w:val="16"/>
                <w:lang w:val="es-ES" w:eastAsia="es-ES"/>
              </w:rPr>
              <w:t>2019</w:t>
            </w:r>
          </w:p>
        </w:tc>
        <w:tc>
          <w:tcPr>
            <w:tcW w:w="1207"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87454C" w:rsidRDefault="00204F99" w:rsidP="0087454C">
            <w:pPr>
              <w:pStyle w:val="cuadroCabe"/>
              <w:jc w:val="right"/>
              <w:rPr>
                <w:sz w:val="16"/>
                <w:szCs w:val="16"/>
                <w:lang w:val="es-ES" w:eastAsia="es-ES"/>
              </w:rPr>
            </w:pPr>
            <w:r w:rsidRPr="0087454C">
              <w:rPr>
                <w:sz w:val="16"/>
                <w:szCs w:val="16"/>
                <w:lang w:val="es-ES" w:eastAsia="es-ES"/>
              </w:rPr>
              <w:t>2020</w:t>
            </w:r>
          </w:p>
        </w:tc>
        <w:tc>
          <w:tcPr>
            <w:tcW w:w="915" w:type="dxa"/>
            <w:tcBorders>
              <w:top w:val="single" w:sz="4" w:space="0" w:color="auto"/>
              <w:left w:val="nil"/>
              <w:bottom w:val="single" w:sz="4" w:space="0" w:color="auto"/>
              <w:right w:val="nil"/>
            </w:tcBorders>
            <w:shd w:val="clear" w:color="auto" w:fill="B8CCE4" w:themeFill="accent1" w:themeFillTint="66"/>
            <w:vAlign w:val="center"/>
            <w:hideMark/>
          </w:tcPr>
          <w:p w:rsidR="00204F99" w:rsidRPr="0087454C" w:rsidRDefault="00204F99" w:rsidP="0087454C">
            <w:pPr>
              <w:pStyle w:val="cuadroCabe"/>
              <w:jc w:val="right"/>
              <w:rPr>
                <w:sz w:val="16"/>
                <w:szCs w:val="16"/>
                <w:lang w:val="es-ES" w:eastAsia="es-ES"/>
              </w:rPr>
            </w:pPr>
            <w:r w:rsidRPr="0087454C">
              <w:rPr>
                <w:sz w:val="16"/>
                <w:szCs w:val="16"/>
                <w:lang w:val="es-ES" w:eastAsia="es-ES"/>
              </w:rPr>
              <w:t>Variación</w:t>
            </w:r>
            <w:r w:rsidR="0015429B">
              <w:rPr>
                <w:sz w:val="16"/>
                <w:szCs w:val="16"/>
                <w:lang w:val="es-ES" w:eastAsia="es-ES"/>
              </w:rPr>
              <w:t xml:space="preserve"> %</w:t>
            </w:r>
            <w:r w:rsidRPr="0087454C">
              <w:rPr>
                <w:sz w:val="16"/>
                <w:szCs w:val="16"/>
                <w:lang w:val="es-ES" w:eastAsia="es-ES"/>
              </w:rPr>
              <w:t xml:space="preserve"> 2020 s/2019</w:t>
            </w:r>
          </w:p>
        </w:tc>
        <w:tc>
          <w:tcPr>
            <w:tcW w:w="993" w:type="dxa"/>
            <w:tcBorders>
              <w:top w:val="single" w:sz="4" w:space="0" w:color="auto"/>
              <w:left w:val="nil"/>
              <w:bottom w:val="single" w:sz="4" w:space="0" w:color="auto"/>
              <w:right w:val="nil"/>
            </w:tcBorders>
            <w:shd w:val="clear" w:color="auto" w:fill="B8CCE4" w:themeFill="accent1" w:themeFillTint="66"/>
            <w:vAlign w:val="center"/>
            <w:hideMark/>
          </w:tcPr>
          <w:p w:rsidR="00204F99" w:rsidRPr="0087454C" w:rsidRDefault="00204F99" w:rsidP="0087454C">
            <w:pPr>
              <w:pStyle w:val="cuadroCabe"/>
              <w:jc w:val="right"/>
              <w:rPr>
                <w:sz w:val="16"/>
                <w:szCs w:val="16"/>
                <w:lang w:val="es-ES" w:eastAsia="es-ES"/>
              </w:rPr>
            </w:pPr>
            <w:r w:rsidRPr="0087454C">
              <w:rPr>
                <w:sz w:val="16"/>
                <w:szCs w:val="16"/>
                <w:lang w:val="es-ES" w:eastAsia="es-ES"/>
              </w:rPr>
              <w:t>Variación 2020 s/2016</w:t>
            </w:r>
          </w:p>
        </w:tc>
      </w:tr>
      <w:tr w:rsidR="00CA6580" w:rsidRPr="00D1342D" w:rsidTr="005008EB">
        <w:trPr>
          <w:trHeight w:val="315"/>
        </w:trPr>
        <w:tc>
          <w:tcPr>
            <w:tcW w:w="1276" w:type="dxa"/>
            <w:tcBorders>
              <w:top w:val="single" w:sz="2" w:space="0" w:color="auto"/>
              <w:left w:val="nil"/>
              <w:bottom w:val="single" w:sz="2" w:space="0" w:color="auto"/>
              <w:right w:val="nil"/>
            </w:tcBorders>
            <w:shd w:val="clear" w:color="auto" w:fill="auto"/>
            <w:vAlign w:val="center"/>
            <w:hideMark/>
          </w:tcPr>
          <w:p w:rsidR="00CA6580" w:rsidRPr="00D1342D" w:rsidRDefault="00CA6580" w:rsidP="00CA6580">
            <w:pPr>
              <w:pStyle w:val="cuatexto"/>
              <w:rPr>
                <w:lang w:val="es-ES" w:eastAsia="es-ES"/>
              </w:rPr>
            </w:pPr>
            <w:r w:rsidRPr="00D1342D">
              <w:rPr>
                <w:lang w:val="es-ES" w:eastAsia="es-ES"/>
              </w:rPr>
              <w:t>Corrientes</w:t>
            </w:r>
          </w:p>
        </w:tc>
        <w:tc>
          <w:tcPr>
            <w:tcW w:w="1101" w:type="dxa"/>
            <w:tcBorders>
              <w:top w:val="single" w:sz="2" w:space="0" w:color="auto"/>
              <w:left w:val="nil"/>
              <w:bottom w:val="single" w:sz="2" w:space="0" w:color="auto"/>
              <w:right w:val="nil"/>
            </w:tcBorders>
            <w:shd w:val="clear" w:color="auto" w:fill="auto"/>
            <w:noWrap/>
            <w:vAlign w:val="center"/>
            <w:hideMark/>
          </w:tcPr>
          <w:p w:rsidR="00CA6580" w:rsidRPr="00D1342D" w:rsidRDefault="00CA6580" w:rsidP="00CA6580">
            <w:pPr>
              <w:pStyle w:val="cuatexto"/>
              <w:jc w:val="right"/>
              <w:rPr>
                <w:lang w:val="es-ES" w:eastAsia="es-ES"/>
              </w:rPr>
            </w:pPr>
            <w:r w:rsidRPr="00D1342D">
              <w:rPr>
                <w:lang w:val="es-ES" w:eastAsia="es-ES"/>
              </w:rPr>
              <w:t>59.418.645</w:t>
            </w:r>
          </w:p>
        </w:tc>
        <w:tc>
          <w:tcPr>
            <w:tcW w:w="1207" w:type="dxa"/>
            <w:tcBorders>
              <w:top w:val="single" w:sz="2" w:space="0" w:color="auto"/>
              <w:left w:val="nil"/>
              <w:bottom w:val="single" w:sz="2" w:space="0" w:color="auto"/>
              <w:right w:val="nil"/>
            </w:tcBorders>
            <w:shd w:val="clear" w:color="auto" w:fill="auto"/>
            <w:noWrap/>
            <w:vAlign w:val="center"/>
            <w:hideMark/>
          </w:tcPr>
          <w:p w:rsidR="00CA6580" w:rsidRPr="00D1342D" w:rsidRDefault="00CA6580" w:rsidP="00CA6580">
            <w:pPr>
              <w:pStyle w:val="cuatexto"/>
              <w:jc w:val="right"/>
              <w:rPr>
                <w:lang w:val="es-ES" w:eastAsia="es-ES"/>
              </w:rPr>
            </w:pPr>
            <w:r w:rsidRPr="00D1342D">
              <w:rPr>
                <w:lang w:val="es-ES" w:eastAsia="es-ES"/>
              </w:rPr>
              <w:t>64.341.492</w:t>
            </w:r>
          </w:p>
        </w:tc>
        <w:tc>
          <w:tcPr>
            <w:tcW w:w="1207" w:type="dxa"/>
            <w:tcBorders>
              <w:top w:val="single" w:sz="2" w:space="0" w:color="auto"/>
              <w:left w:val="nil"/>
              <w:bottom w:val="single" w:sz="2" w:space="0" w:color="auto"/>
              <w:right w:val="nil"/>
            </w:tcBorders>
            <w:shd w:val="clear" w:color="auto" w:fill="auto"/>
            <w:noWrap/>
            <w:vAlign w:val="center"/>
            <w:hideMark/>
          </w:tcPr>
          <w:p w:rsidR="00CA6580" w:rsidRPr="00D1342D" w:rsidRDefault="00CA6580" w:rsidP="00CA6580">
            <w:pPr>
              <w:pStyle w:val="cuatexto"/>
              <w:jc w:val="right"/>
              <w:rPr>
                <w:lang w:val="es-ES" w:eastAsia="es-ES"/>
              </w:rPr>
            </w:pPr>
            <w:r w:rsidRPr="00D1342D">
              <w:rPr>
                <w:lang w:val="es-ES" w:eastAsia="es-ES"/>
              </w:rPr>
              <w:t>77.386.246</w:t>
            </w:r>
          </w:p>
        </w:tc>
        <w:tc>
          <w:tcPr>
            <w:tcW w:w="1207" w:type="dxa"/>
            <w:tcBorders>
              <w:top w:val="single" w:sz="2" w:space="0" w:color="auto"/>
              <w:left w:val="nil"/>
              <w:bottom w:val="single" w:sz="2" w:space="0" w:color="auto"/>
              <w:right w:val="nil"/>
            </w:tcBorders>
            <w:shd w:val="clear" w:color="auto" w:fill="auto"/>
            <w:noWrap/>
            <w:vAlign w:val="center"/>
            <w:hideMark/>
          </w:tcPr>
          <w:p w:rsidR="00CA6580" w:rsidRPr="00D1342D" w:rsidRDefault="00CA6580" w:rsidP="00CA6580">
            <w:pPr>
              <w:pStyle w:val="cuatexto"/>
              <w:jc w:val="right"/>
              <w:rPr>
                <w:lang w:val="es-ES" w:eastAsia="es-ES"/>
              </w:rPr>
            </w:pPr>
            <w:r w:rsidRPr="00D1342D">
              <w:rPr>
                <w:lang w:val="es-ES" w:eastAsia="es-ES"/>
              </w:rPr>
              <w:t>91.319.730</w:t>
            </w:r>
          </w:p>
        </w:tc>
        <w:tc>
          <w:tcPr>
            <w:tcW w:w="1207" w:type="dxa"/>
            <w:tcBorders>
              <w:top w:val="single" w:sz="2" w:space="0" w:color="auto"/>
              <w:left w:val="nil"/>
              <w:bottom w:val="single" w:sz="2" w:space="0" w:color="auto"/>
              <w:right w:val="nil"/>
            </w:tcBorders>
            <w:shd w:val="clear" w:color="auto" w:fill="auto"/>
            <w:noWrap/>
            <w:vAlign w:val="center"/>
            <w:hideMark/>
          </w:tcPr>
          <w:p w:rsidR="00CA6580" w:rsidRPr="00D1342D" w:rsidRDefault="00CA6580" w:rsidP="00CA6580">
            <w:pPr>
              <w:pStyle w:val="cuatexto"/>
              <w:jc w:val="right"/>
              <w:rPr>
                <w:lang w:val="es-ES" w:eastAsia="es-ES"/>
              </w:rPr>
            </w:pPr>
            <w:r w:rsidRPr="00D1342D">
              <w:rPr>
                <w:lang w:val="es-ES" w:eastAsia="es-ES"/>
              </w:rPr>
              <w:t>119.864.446</w:t>
            </w:r>
          </w:p>
        </w:tc>
        <w:tc>
          <w:tcPr>
            <w:tcW w:w="915" w:type="dxa"/>
            <w:tcBorders>
              <w:top w:val="single" w:sz="2" w:space="0" w:color="auto"/>
              <w:left w:val="nil"/>
              <w:bottom w:val="single" w:sz="2" w:space="0" w:color="auto"/>
              <w:right w:val="nil"/>
            </w:tcBorders>
            <w:shd w:val="clear" w:color="auto" w:fill="auto"/>
            <w:vAlign w:val="center"/>
            <w:hideMark/>
          </w:tcPr>
          <w:p w:rsidR="00CA6580" w:rsidRPr="00D1342D" w:rsidRDefault="00CA6580" w:rsidP="00CA6580">
            <w:pPr>
              <w:pStyle w:val="cuatexto"/>
              <w:jc w:val="right"/>
              <w:rPr>
                <w:lang w:val="es-ES" w:eastAsia="es-ES"/>
              </w:rPr>
            </w:pPr>
            <w:r w:rsidRPr="00D1342D">
              <w:rPr>
                <w:lang w:val="es-ES" w:eastAsia="es-ES"/>
              </w:rPr>
              <w:t>31,26</w:t>
            </w:r>
          </w:p>
        </w:tc>
        <w:tc>
          <w:tcPr>
            <w:tcW w:w="993" w:type="dxa"/>
            <w:tcBorders>
              <w:top w:val="single" w:sz="2" w:space="0" w:color="auto"/>
              <w:left w:val="nil"/>
              <w:bottom w:val="single" w:sz="2" w:space="0" w:color="auto"/>
              <w:right w:val="nil"/>
            </w:tcBorders>
            <w:shd w:val="clear" w:color="auto" w:fill="auto"/>
            <w:noWrap/>
            <w:vAlign w:val="center"/>
            <w:hideMark/>
          </w:tcPr>
          <w:p w:rsidR="00CA6580" w:rsidRPr="00D1342D" w:rsidRDefault="00CA6580" w:rsidP="00CA6580">
            <w:pPr>
              <w:pStyle w:val="cuatexto"/>
              <w:jc w:val="right"/>
              <w:rPr>
                <w:lang w:val="es-ES" w:eastAsia="es-ES"/>
              </w:rPr>
            </w:pPr>
            <w:r w:rsidRPr="00D1342D">
              <w:rPr>
                <w:lang w:val="es-ES" w:eastAsia="es-ES"/>
              </w:rPr>
              <w:t>101,73</w:t>
            </w:r>
          </w:p>
        </w:tc>
      </w:tr>
      <w:tr w:rsidR="00204F99" w:rsidRPr="00D1342D" w:rsidTr="005008EB">
        <w:trPr>
          <w:trHeight w:val="315"/>
        </w:trPr>
        <w:tc>
          <w:tcPr>
            <w:tcW w:w="1276" w:type="dxa"/>
            <w:tcBorders>
              <w:top w:val="single" w:sz="2" w:space="0" w:color="auto"/>
              <w:left w:val="nil"/>
              <w:bottom w:val="single" w:sz="2" w:space="0" w:color="auto"/>
              <w:right w:val="nil"/>
            </w:tcBorders>
            <w:shd w:val="clear" w:color="auto" w:fill="auto"/>
            <w:vAlign w:val="center"/>
            <w:hideMark/>
          </w:tcPr>
          <w:p w:rsidR="00204F99" w:rsidRPr="00D1342D" w:rsidRDefault="00204F99" w:rsidP="0087454C">
            <w:pPr>
              <w:pStyle w:val="cuatexto"/>
              <w:rPr>
                <w:lang w:val="es-ES" w:eastAsia="es-ES"/>
              </w:rPr>
            </w:pPr>
            <w:r w:rsidRPr="00D1342D">
              <w:rPr>
                <w:lang w:val="es-ES" w:eastAsia="es-ES"/>
              </w:rPr>
              <w:t>Capital</w:t>
            </w:r>
          </w:p>
        </w:tc>
        <w:tc>
          <w:tcPr>
            <w:tcW w:w="1101" w:type="dxa"/>
            <w:tcBorders>
              <w:top w:val="single" w:sz="2" w:space="0" w:color="auto"/>
              <w:left w:val="nil"/>
              <w:bottom w:val="single" w:sz="2" w:space="0" w:color="auto"/>
              <w:right w:val="nil"/>
            </w:tcBorders>
            <w:shd w:val="clear" w:color="auto" w:fill="auto"/>
            <w:noWrap/>
            <w:vAlign w:val="center"/>
            <w:hideMark/>
          </w:tcPr>
          <w:p w:rsidR="00204F99" w:rsidRPr="00D1342D" w:rsidRDefault="00204F99" w:rsidP="0087454C">
            <w:pPr>
              <w:pStyle w:val="cuatexto"/>
              <w:jc w:val="right"/>
              <w:rPr>
                <w:lang w:val="es-ES" w:eastAsia="es-ES"/>
              </w:rPr>
            </w:pPr>
            <w:r w:rsidRPr="00D1342D">
              <w:rPr>
                <w:lang w:val="es-ES" w:eastAsia="es-ES"/>
              </w:rPr>
              <w:t>38.946.853</w:t>
            </w:r>
          </w:p>
        </w:tc>
        <w:tc>
          <w:tcPr>
            <w:tcW w:w="1207" w:type="dxa"/>
            <w:tcBorders>
              <w:top w:val="single" w:sz="2" w:space="0" w:color="auto"/>
              <w:left w:val="nil"/>
              <w:bottom w:val="single" w:sz="2" w:space="0" w:color="auto"/>
              <w:right w:val="nil"/>
            </w:tcBorders>
            <w:shd w:val="clear" w:color="auto" w:fill="auto"/>
            <w:noWrap/>
            <w:vAlign w:val="center"/>
            <w:hideMark/>
          </w:tcPr>
          <w:p w:rsidR="00204F99" w:rsidRPr="00D1342D" w:rsidRDefault="00204F99" w:rsidP="0087454C">
            <w:pPr>
              <w:pStyle w:val="cuatexto"/>
              <w:jc w:val="right"/>
              <w:rPr>
                <w:lang w:val="es-ES" w:eastAsia="es-ES"/>
              </w:rPr>
            </w:pPr>
            <w:r w:rsidRPr="00D1342D">
              <w:rPr>
                <w:lang w:val="es-ES" w:eastAsia="es-ES"/>
              </w:rPr>
              <w:t>39.421.376</w:t>
            </w:r>
          </w:p>
        </w:tc>
        <w:tc>
          <w:tcPr>
            <w:tcW w:w="1207" w:type="dxa"/>
            <w:tcBorders>
              <w:top w:val="single" w:sz="2" w:space="0" w:color="auto"/>
              <w:left w:val="nil"/>
              <w:bottom w:val="single" w:sz="2" w:space="0" w:color="auto"/>
              <w:right w:val="nil"/>
            </w:tcBorders>
            <w:shd w:val="clear" w:color="auto" w:fill="auto"/>
            <w:noWrap/>
            <w:vAlign w:val="center"/>
            <w:hideMark/>
          </w:tcPr>
          <w:p w:rsidR="00204F99" w:rsidRPr="00D1342D" w:rsidRDefault="00204F99" w:rsidP="0087454C">
            <w:pPr>
              <w:pStyle w:val="cuatexto"/>
              <w:jc w:val="right"/>
              <w:rPr>
                <w:lang w:val="es-ES" w:eastAsia="es-ES"/>
              </w:rPr>
            </w:pPr>
            <w:r w:rsidRPr="00D1342D">
              <w:rPr>
                <w:lang w:val="es-ES" w:eastAsia="es-ES"/>
              </w:rPr>
              <w:t>41.280.301</w:t>
            </w:r>
          </w:p>
        </w:tc>
        <w:tc>
          <w:tcPr>
            <w:tcW w:w="1207" w:type="dxa"/>
            <w:tcBorders>
              <w:top w:val="single" w:sz="2" w:space="0" w:color="auto"/>
              <w:left w:val="nil"/>
              <w:bottom w:val="single" w:sz="2" w:space="0" w:color="auto"/>
              <w:right w:val="nil"/>
            </w:tcBorders>
            <w:shd w:val="clear" w:color="auto" w:fill="auto"/>
            <w:noWrap/>
            <w:vAlign w:val="center"/>
            <w:hideMark/>
          </w:tcPr>
          <w:p w:rsidR="00204F99" w:rsidRPr="00D1342D" w:rsidRDefault="00204F99" w:rsidP="0087454C">
            <w:pPr>
              <w:pStyle w:val="cuatexto"/>
              <w:jc w:val="right"/>
              <w:rPr>
                <w:lang w:val="es-ES" w:eastAsia="es-ES"/>
              </w:rPr>
            </w:pPr>
            <w:r w:rsidRPr="00D1342D">
              <w:rPr>
                <w:lang w:val="es-ES" w:eastAsia="es-ES"/>
              </w:rPr>
              <w:t>36.452.333</w:t>
            </w:r>
          </w:p>
        </w:tc>
        <w:tc>
          <w:tcPr>
            <w:tcW w:w="1207" w:type="dxa"/>
            <w:tcBorders>
              <w:top w:val="single" w:sz="2" w:space="0" w:color="auto"/>
              <w:left w:val="nil"/>
              <w:bottom w:val="single" w:sz="2" w:space="0" w:color="auto"/>
              <w:right w:val="nil"/>
            </w:tcBorders>
            <w:shd w:val="clear" w:color="auto" w:fill="auto"/>
            <w:noWrap/>
            <w:vAlign w:val="center"/>
            <w:hideMark/>
          </w:tcPr>
          <w:p w:rsidR="00204F99" w:rsidRPr="00D1342D" w:rsidRDefault="00204F99" w:rsidP="0087454C">
            <w:pPr>
              <w:pStyle w:val="cuatexto"/>
              <w:jc w:val="right"/>
              <w:rPr>
                <w:lang w:val="es-ES" w:eastAsia="es-ES"/>
              </w:rPr>
            </w:pPr>
            <w:r w:rsidRPr="00D1342D">
              <w:rPr>
                <w:lang w:val="es-ES" w:eastAsia="es-ES"/>
              </w:rPr>
              <w:t>60.267.455</w:t>
            </w:r>
          </w:p>
        </w:tc>
        <w:tc>
          <w:tcPr>
            <w:tcW w:w="915" w:type="dxa"/>
            <w:tcBorders>
              <w:top w:val="single" w:sz="2" w:space="0" w:color="auto"/>
              <w:left w:val="nil"/>
              <w:bottom w:val="single" w:sz="2" w:space="0" w:color="auto"/>
              <w:right w:val="nil"/>
            </w:tcBorders>
            <w:shd w:val="clear" w:color="auto" w:fill="auto"/>
            <w:vAlign w:val="center"/>
            <w:hideMark/>
          </w:tcPr>
          <w:p w:rsidR="00204F99" w:rsidRPr="00D1342D" w:rsidRDefault="00204F99" w:rsidP="0087454C">
            <w:pPr>
              <w:pStyle w:val="cuatexto"/>
              <w:jc w:val="right"/>
              <w:rPr>
                <w:lang w:val="es-ES" w:eastAsia="es-ES"/>
              </w:rPr>
            </w:pPr>
            <w:r w:rsidRPr="00D1342D">
              <w:rPr>
                <w:lang w:val="es-ES" w:eastAsia="es-ES"/>
              </w:rPr>
              <w:t>65,33</w:t>
            </w:r>
          </w:p>
        </w:tc>
        <w:tc>
          <w:tcPr>
            <w:tcW w:w="993" w:type="dxa"/>
            <w:tcBorders>
              <w:top w:val="single" w:sz="2" w:space="0" w:color="auto"/>
              <w:left w:val="nil"/>
              <w:bottom w:val="single" w:sz="2" w:space="0" w:color="auto"/>
              <w:right w:val="nil"/>
            </w:tcBorders>
            <w:shd w:val="clear" w:color="auto" w:fill="auto"/>
            <w:noWrap/>
            <w:vAlign w:val="center"/>
            <w:hideMark/>
          </w:tcPr>
          <w:p w:rsidR="00204F99" w:rsidRPr="00D1342D" w:rsidRDefault="00204F99" w:rsidP="0087454C">
            <w:pPr>
              <w:pStyle w:val="cuatexto"/>
              <w:jc w:val="right"/>
              <w:rPr>
                <w:lang w:val="es-ES" w:eastAsia="es-ES"/>
              </w:rPr>
            </w:pPr>
            <w:r w:rsidRPr="00D1342D">
              <w:rPr>
                <w:lang w:val="es-ES" w:eastAsia="es-ES"/>
              </w:rPr>
              <w:t>54,74</w:t>
            </w:r>
          </w:p>
        </w:tc>
      </w:tr>
      <w:tr w:rsidR="00204F99" w:rsidRPr="00D1342D" w:rsidTr="008867A2">
        <w:trPr>
          <w:trHeight w:val="315"/>
        </w:trPr>
        <w:tc>
          <w:tcPr>
            <w:tcW w:w="1276" w:type="dxa"/>
            <w:tcBorders>
              <w:top w:val="single" w:sz="2" w:space="0" w:color="auto"/>
              <w:left w:val="nil"/>
              <w:bottom w:val="single" w:sz="4" w:space="0" w:color="auto"/>
              <w:right w:val="nil"/>
            </w:tcBorders>
            <w:shd w:val="clear" w:color="auto" w:fill="B8CCE4" w:themeFill="accent1" w:themeFillTint="66"/>
            <w:noWrap/>
            <w:vAlign w:val="center"/>
            <w:hideMark/>
          </w:tcPr>
          <w:p w:rsidR="00204F99" w:rsidRPr="004504A3" w:rsidRDefault="00204F99" w:rsidP="0087454C">
            <w:pPr>
              <w:pStyle w:val="cuatexto"/>
              <w:rPr>
                <w:rFonts w:ascii="Arial" w:hAnsi="Arial" w:cs="Arial"/>
                <w:bCs/>
                <w:sz w:val="18"/>
                <w:szCs w:val="18"/>
                <w:lang w:val="es-ES" w:eastAsia="es-ES"/>
              </w:rPr>
            </w:pPr>
            <w:r w:rsidRPr="004504A3">
              <w:rPr>
                <w:rFonts w:ascii="Arial" w:hAnsi="Arial" w:cs="Arial"/>
                <w:bCs/>
                <w:sz w:val="18"/>
                <w:szCs w:val="18"/>
                <w:lang w:val="es-ES" w:eastAsia="es-ES"/>
              </w:rPr>
              <w:t>Total general</w:t>
            </w:r>
          </w:p>
        </w:tc>
        <w:tc>
          <w:tcPr>
            <w:tcW w:w="1101" w:type="dxa"/>
            <w:tcBorders>
              <w:top w:val="single" w:sz="2" w:space="0" w:color="auto"/>
              <w:left w:val="nil"/>
              <w:bottom w:val="single" w:sz="4" w:space="0" w:color="auto"/>
              <w:right w:val="nil"/>
            </w:tcBorders>
            <w:shd w:val="clear" w:color="auto" w:fill="B8CCE4" w:themeFill="accent1" w:themeFillTint="66"/>
            <w:noWrap/>
            <w:vAlign w:val="center"/>
            <w:hideMark/>
          </w:tcPr>
          <w:p w:rsidR="00204F99" w:rsidRPr="004504A3" w:rsidRDefault="00204F99" w:rsidP="0087454C">
            <w:pPr>
              <w:pStyle w:val="cuatexto"/>
              <w:jc w:val="right"/>
              <w:rPr>
                <w:rFonts w:ascii="Arial" w:hAnsi="Arial" w:cs="Arial"/>
                <w:bCs/>
                <w:sz w:val="18"/>
                <w:szCs w:val="18"/>
                <w:lang w:val="es-ES" w:eastAsia="es-ES"/>
              </w:rPr>
            </w:pPr>
            <w:r w:rsidRPr="004504A3">
              <w:rPr>
                <w:rFonts w:ascii="Arial" w:hAnsi="Arial" w:cs="Arial"/>
                <w:bCs/>
                <w:sz w:val="18"/>
                <w:szCs w:val="18"/>
                <w:lang w:val="es-ES" w:eastAsia="es-ES"/>
              </w:rPr>
              <w:t>98.365.498</w:t>
            </w:r>
          </w:p>
        </w:tc>
        <w:tc>
          <w:tcPr>
            <w:tcW w:w="1207" w:type="dxa"/>
            <w:tcBorders>
              <w:top w:val="single" w:sz="2" w:space="0" w:color="auto"/>
              <w:left w:val="nil"/>
              <w:bottom w:val="single" w:sz="4" w:space="0" w:color="auto"/>
              <w:right w:val="nil"/>
            </w:tcBorders>
            <w:shd w:val="clear" w:color="auto" w:fill="B8CCE4" w:themeFill="accent1" w:themeFillTint="66"/>
            <w:noWrap/>
            <w:vAlign w:val="center"/>
            <w:hideMark/>
          </w:tcPr>
          <w:p w:rsidR="00204F99" w:rsidRPr="004504A3" w:rsidRDefault="00204F99" w:rsidP="0087454C">
            <w:pPr>
              <w:pStyle w:val="cuatexto"/>
              <w:jc w:val="right"/>
              <w:rPr>
                <w:rFonts w:ascii="Arial" w:hAnsi="Arial" w:cs="Arial"/>
                <w:bCs/>
                <w:sz w:val="18"/>
                <w:szCs w:val="18"/>
                <w:lang w:val="es-ES" w:eastAsia="es-ES"/>
              </w:rPr>
            </w:pPr>
            <w:r w:rsidRPr="004504A3">
              <w:rPr>
                <w:rFonts w:ascii="Arial" w:hAnsi="Arial" w:cs="Arial"/>
                <w:bCs/>
                <w:sz w:val="18"/>
                <w:szCs w:val="18"/>
                <w:lang w:val="es-ES" w:eastAsia="es-ES"/>
              </w:rPr>
              <w:t>103.762.868</w:t>
            </w:r>
          </w:p>
        </w:tc>
        <w:tc>
          <w:tcPr>
            <w:tcW w:w="1207" w:type="dxa"/>
            <w:tcBorders>
              <w:top w:val="single" w:sz="2" w:space="0" w:color="auto"/>
              <w:left w:val="nil"/>
              <w:bottom w:val="single" w:sz="4" w:space="0" w:color="auto"/>
              <w:right w:val="nil"/>
            </w:tcBorders>
            <w:shd w:val="clear" w:color="auto" w:fill="B8CCE4" w:themeFill="accent1" w:themeFillTint="66"/>
            <w:noWrap/>
            <w:vAlign w:val="center"/>
            <w:hideMark/>
          </w:tcPr>
          <w:p w:rsidR="00204F99" w:rsidRPr="004504A3" w:rsidRDefault="00204F99" w:rsidP="0087454C">
            <w:pPr>
              <w:pStyle w:val="cuatexto"/>
              <w:jc w:val="right"/>
              <w:rPr>
                <w:rFonts w:ascii="Arial" w:hAnsi="Arial" w:cs="Arial"/>
                <w:bCs/>
                <w:sz w:val="18"/>
                <w:szCs w:val="18"/>
                <w:lang w:val="es-ES" w:eastAsia="es-ES"/>
              </w:rPr>
            </w:pPr>
            <w:r w:rsidRPr="004504A3">
              <w:rPr>
                <w:rFonts w:ascii="Arial" w:hAnsi="Arial" w:cs="Arial"/>
                <w:bCs/>
                <w:sz w:val="18"/>
                <w:szCs w:val="18"/>
                <w:lang w:val="es-ES" w:eastAsia="es-ES"/>
              </w:rPr>
              <w:t>118.666.547</w:t>
            </w:r>
          </w:p>
        </w:tc>
        <w:tc>
          <w:tcPr>
            <w:tcW w:w="1207" w:type="dxa"/>
            <w:tcBorders>
              <w:top w:val="single" w:sz="2" w:space="0" w:color="auto"/>
              <w:left w:val="nil"/>
              <w:bottom w:val="single" w:sz="4" w:space="0" w:color="auto"/>
              <w:right w:val="nil"/>
            </w:tcBorders>
            <w:shd w:val="clear" w:color="auto" w:fill="B8CCE4" w:themeFill="accent1" w:themeFillTint="66"/>
            <w:noWrap/>
            <w:vAlign w:val="center"/>
            <w:hideMark/>
          </w:tcPr>
          <w:p w:rsidR="00204F99" w:rsidRPr="004504A3" w:rsidRDefault="00204F99" w:rsidP="0087454C">
            <w:pPr>
              <w:pStyle w:val="cuatexto"/>
              <w:jc w:val="right"/>
              <w:rPr>
                <w:rFonts w:ascii="Arial" w:hAnsi="Arial" w:cs="Arial"/>
                <w:bCs/>
                <w:sz w:val="18"/>
                <w:szCs w:val="18"/>
                <w:lang w:val="es-ES" w:eastAsia="es-ES"/>
              </w:rPr>
            </w:pPr>
            <w:r w:rsidRPr="004504A3">
              <w:rPr>
                <w:rFonts w:ascii="Arial" w:hAnsi="Arial" w:cs="Arial"/>
                <w:bCs/>
                <w:sz w:val="18"/>
                <w:szCs w:val="18"/>
                <w:lang w:val="es-ES" w:eastAsia="es-ES"/>
              </w:rPr>
              <w:t>127.772.064</w:t>
            </w:r>
          </w:p>
        </w:tc>
        <w:tc>
          <w:tcPr>
            <w:tcW w:w="1207" w:type="dxa"/>
            <w:tcBorders>
              <w:top w:val="single" w:sz="2" w:space="0" w:color="auto"/>
              <w:left w:val="nil"/>
              <w:bottom w:val="single" w:sz="4" w:space="0" w:color="auto"/>
              <w:right w:val="nil"/>
            </w:tcBorders>
            <w:shd w:val="clear" w:color="auto" w:fill="B8CCE4" w:themeFill="accent1" w:themeFillTint="66"/>
            <w:noWrap/>
            <w:vAlign w:val="center"/>
            <w:hideMark/>
          </w:tcPr>
          <w:p w:rsidR="00204F99" w:rsidRPr="004504A3" w:rsidRDefault="00204F99" w:rsidP="0087454C">
            <w:pPr>
              <w:pStyle w:val="cuatexto"/>
              <w:jc w:val="right"/>
              <w:rPr>
                <w:rFonts w:ascii="Arial" w:hAnsi="Arial" w:cs="Arial"/>
                <w:bCs/>
                <w:sz w:val="18"/>
                <w:szCs w:val="18"/>
                <w:lang w:val="es-ES" w:eastAsia="es-ES"/>
              </w:rPr>
            </w:pPr>
            <w:r w:rsidRPr="004504A3">
              <w:rPr>
                <w:rFonts w:ascii="Arial" w:hAnsi="Arial" w:cs="Arial"/>
                <w:bCs/>
                <w:sz w:val="18"/>
                <w:szCs w:val="18"/>
                <w:lang w:val="es-ES" w:eastAsia="es-ES"/>
              </w:rPr>
              <w:t>180.131.902</w:t>
            </w:r>
          </w:p>
        </w:tc>
        <w:tc>
          <w:tcPr>
            <w:tcW w:w="915" w:type="dxa"/>
            <w:tcBorders>
              <w:top w:val="single" w:sz="2" w:space="0" w:color="auto"/>
              <w:left w:val="nil"/>
              <w:bottom w:val="single" w:sz="4" w:space="0" w:color="auto"/>
              <w:right w:val="nil"/>
            </w:tcBorders>
            <w:shd w:val="clear" w:color="auto" w:fill="B8CCE4" w:themeFill="accent1" w:themeFillTint="66"/>
            <w:noWrap/>
            <w:vAlign w:val="center"/>
            <w:hideMark/>
          </w:tcPr>
          <w:p w:rsidR="00204F99" w:rsidRPr="004504A3" w:rsidRDefault="00204F99" w:rsidP="0087454C">
            <w:pPr>
              <w:pStyle w:val="cuatexto"/>
              <w:jc w:val="right"/>
              <w:rPr>
                <w:rFonts w:ascii="Arial" w:hAnsi="Arial" w:cs="Arial"/>
                <w:bCs/>
                <w:sz w:val="18"/>
                <w:szCs w:val="18"/>
                <w:lang w:val="es-ES" w:eastAsia="es-ES"/>
              </w:rPr>
            </w:pPr>
            <w:r w:rsidRPr="004504A3">
              <w:rPr>
                <w:rFonts w:ascii="Arial" w:hAnsi="Arial" w:cs="Arial"/>
                <w:bCs/>
                <w:sz w:val="18"/>
                <w:szCs w:val="18"/>
                <w:lang w:val="es-ES" w:eastAsia="es-ES"/>
              </w:rPr>
              <w:t>40,98</w:t>
            </w:r>
          </w:p>
        </w:tc>
        <w:tc>
          <w:tcPr>
            <w:tcW w:w="993" w:type="dxa"/>
            <w:tcBorders>
              <w:top w:val="single" w:sz="2" w:space="0" w:color="auto"/>
              <w:left w:val="nil"/>
              <w:bottom w:val="single" w:sz="4" w:space="0" w:color="auto"/>
              <w:right w:val="nil"/>
            </w:tcBorders>
            <w:shd w:val="clear" w:color="auto" w:fill="B8CCE4" w:themeFill="accent1" w:themeFillTint="66"/>
            <w:noWrap/>
            <w:vAlign w:val="center"/>
            <w:hideMark/>
          </w:tcPr>
          <w:p w:rsidR="00204F99" w:rsidRPr="004504A3" w:rsidRDefault="00204F99" w:rsidP="0087454C">
            <w:pPr>
              <w:pStyle w:val="cuatexto"/>
              <w:jc w:val="right"/>
              <w:rPr>
                <w:rFonts w:ascii="Arial" w:hAnsi="Arial" w:cs="Arial"/>
                <w:bCs/>
                <w:sz w:val="18"/>
                <w:szCs w:val="18"/>
                <w:lang w:val="es-ES" w:eastAsia="es-ES"/>
              </w:rPr>
            </w:pPr>
            <w:r w:rsidRPr="004504A3">
              <w:rPr>
                <w:rFonts w:ascii="Arial" w:hAnsi="Arial" w:cs="Arial"/>
                <w:bCs/>
                <w:sz w:val="18"/>
                <w:szCs w:val="18"/>
                <w:lang w:val="es-ES" w:eastAsia="es-ES"/>
              </w:rPr>
              <w:t>83,13</w:t>
            </w:r>
          </w:p>
        </w:tc>
      </w:tr>
    </w:tbl>
    <w:p w:rsidR="00204F99" w:rsidRDefault="00204F99" w:rsidP="0087454C">
      <w:pPr>
        <w:spacing w:after="0"/>
        <w:ind w:firstLine="0"/>
        <w:rPr>
          <w:sz w:val="26"/>
          <w:szCs w:val="26"/>
        </w:rPr>
      </w:pPr>
    </w:p>
    <w:p w:rsidR="00204F99" w:rsidRDefault="00204F99" w:rsidP="0087454C">
      <w:pPr>
        <w:ind w:firstLine="284"/>
        <w:rPr>
          <w:sz w:val="26"/>
          <w:szCs w:val="26"/>
        </w:rPr>
      </w:pPr>
      <w:r>
        <w:rPr>
          <w:sz w:val="26"/>
          <w:szCs w:val="26"/>
        </w:rPr>
        <w:t xml:space="preserve">Estos gastos </w:t>
      </w:r>
      <w:r w:rsidR="008F15B9">
        <w:rPr>
          <w:sz w:val="26"/>
          <w:szCs w:val="26"/>
        </w:rPr>
        <w:t xml:space="preserve">por transferencias </w:t>
      </w:r>
      <w:r w:rsidR="00CA6580" w:rsidRPr="00A55718">
        <w:rPr>
          <w:sz w:val="26"/>
          <w:szCs w:val="26"/>
        </w:rPr>
        <w:t xml:space="preserve">a empresas privadas en 2020 </w:t>
      </w:r>
      <w:r>
        <w:rPr>
          <w:sz w:val="26"/>
          <w:szCs w:val="26"/>
        </w:rPr>
        <w:t>aumentaron un 41 por ciento respecto a</w:t>
      </w:r>
      <w:r w:rsidR="0015429B">
        <w:rPr>
          <w:sz w:val="26"/>
          <w:szCs w:val="26"/>
        </w:rPr>
        <w:t xml:space="preserve"> los de 2019</w:t>
      </w:r>
      <w:r>
        <w:rPr>
          <w:sz w:val="26"/>
          <w:szCs w:val="26"/>
        </w:rPr>
        <w:t xml:space="preserve">. </w:t>
      </w:r>
      <w:r w:rsidRPr="008E3610">
        <w:rPr>
          <w:sz w:val="26"/>
          <w:szCs w:val="26"/>
        </w:rPr>
        <w:t>Este</w:t>
      </w:r>
      <w:r w:rsidR="005C4C04">
        <w:rPr>
          <w:sz w:val="26"/>
          <w:szCs w:val="26"/>
        </w:rPr>
        <w:t xml:space="preserve"> significativo</w:t>
      </w:r>
      <w:r w:rsidRPr="008E3610">
        <w:rPr>
          <w:sz w:val="26"/>
          <w:szCs w:val="26"/>
        </w:rPr>
        <w:t xml:space="preserve"> incremento se explica fund</w:t>
      </w:r>
      <w:r w:rsidRPr="008E3610">
        <w:rPr>
          <w:sz w:val="26"/>
          <w:szCs w:val="26"/>
        </w:rPr>
        <w:t>a</w:t>
      </w:r>
      <w:r w:rsidRPr="008E3610">
        <w:rPr>
          <w:sz w:val="26"/>
          <w:szCs w:val="26"/>
        </w:rPr>
        <w:t>mentalmente por las ayudas de carácter extraordinario y urgente para hacer frente a la crisis sanitaria ocasionada por la COVID-19</w:t>
      </w:r>
      <w:r w:rsidR="00D4698D">
        <w:rPr>
          <w:sz w:val="26"/>
          <w:szCs w:val="26"/>
        </w:rPr>
        <w:t>.</w:t>
      </w:r>
    </w:p>
    <w:p w:rsidR="00B6012E" w:rsidRDefault="000D53D1" w:rsidP="008867A2">
      <w:pPr>
        <w:spacing w:after="240"/>
        <w:ind w:firstLine="284"/>
        <w:rPr>
          <w:sz w:val="26"/>
          <w:szCs w:val="26"/>
        </w:rPr>
      </w:pPr>
      <w:r w:rsidRPr="008E3610">
        <w:rPr>
          <w:sz w:val="26"/>
          <w:szCs w:val="26"/>
        </w:rPr>
        <w:lastRenderedPageBreak/>
        <w:t>El gasto e</w:t>
      </w:r>
      <w:r w:rsidR="00204F99" w:rsidRPr="008E3610">
        <w:rPr>
          <w:sz w:val="26"/>
          <w:szCs w:val="26"/>
        </w:rPr>
        <w:t xml:space="preserve">n </w:t>
      </w:r>
      <w:r w:rsidRPr="008E3610">
        <w:rPr>
          <w:sz w:val="26"/>
          <w:szCs w:val="26"/>
        </w:rPr>
        <w:t xml:space="preserve">transferencias corrientes y de capital en </w:t>
      </w:r>
      <w:r w:rsidR="00204F99" w:rsidRPr="008E3610">
        <w:rPr>
          <w:sz w:val="26"/>
          <w:szCs w:val="26"/>
        </w:rPr>
        <w:t xml:space="preserve">2020 </w:t>
      </w:r>
      <w:r w:rsidR="00CA6580" w:rsidRPr="00A55718">
        <w:rPr>
          <w:sz w:val="26"/>
          <w:szCs w:val="26"/>
        </w:rPr>
        <w:t xml:space="preserve">realizado con la </w:t>
      </w:r>
      <w:r w:rsidR="00204F99" w:rsidRPr="008E3610">
        <w:rPr>
          <w:sz w:val="26"/>
          <w:szCs w:val="26"/>
        </w:rPr>
        <w:t>C</w:t>
      </w:r>
      <w:r w:rsidR="00204F99" w:rsidRPr="008E3610">
        <w:rPr>
          <w:sz w:val="26"/>
          <w:szCs w:val="26"/>
        </w:rPr>
        <w:t>O</w:t>
      </w:r>
      <w:r w:rsidR="00204F99" w:rsidRPr="008E3610">
        <w:rPr>
          <w:sz w:val="26"/>
          <w:szCs w:val="26"/>
        </w:rPr>
        <w:t>VID-19</w:t>
      </w:r>
      <w:r w:rsidR="008E3610" w:rsidRPr="008E3610">
        <w:rPr>
          <w:sz w:val="26"/>
          <w:szCs w:val="26"/>
        </w:rPr>
        <w:t xml:space="preserve"> </w:t>
      </w:r>
      <w:r w:rsidR="00A7759F" w:rsidRPr="00A55718">
        <w:rPr>
          <w:sz w:val="26"/>
          <w:szCs w:val="26"/>
        </w:rPr>
        <w:t>fue</w:t>
      </w:r>
      <w:r w:rsidR="008E3610">
        <w:rPr>
          <w:sz w:val="26"/>
          <w:szCs w:val="26"/>
        </w:rPr>
        <w:t xml:space="preserve"> de </w:t>
      </w:r>
      <w:r w:rsidR="00204F99">
        <w:rPr>
          <w:sz w:val="26"/>
          <w:szCs w:val="26"/>
        </w:rPr>
        <w:t>42,8 millones</w:t>
      </w:r>
      <w:r w:rsidR="008E3610">
        <w:rPr>
          <w:sz w:val="26"/>
          <w:szCs w:val="26"/>
        </w:rPr>
        <w:t>, según el siguiente desglose:</w:t>
      </w:r>
    </w:p>
    <w:tbl>
      <w:tblPr>
        <w:tblW w:w="8789" w:type="dxa"/>
        <w:tblCellMar>
          <w:left w:w="70" w:type="dxa"/>
          <w:right w:w="70" w:type="dxa"/>
        </w:tblCellMar>
        <w:tblLook w:val="04A0" w:firstRow="1" w:lastRow="0" w:firstColumn="1" w:lastColumn="0" w:noHBand="0" w:noVBand="1"/>
      </w:tblPr>
      <w:tblGrid>
        <w:gridCol w:w="6946"/>
        <w:gridCol w:w="1843"/>
      </w:tblGrid>
      <w:tr w:rsidR="00204F99" w:rsidRPr="00881BE0" w:rsidTr="00A66583">
        <w:trPr>
          <w:trHeight w:val="284"/>
        </w:trPr>
        <w:tc>
          <w:tcPr>
            <w:tcW w:w="6946"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5C45DA" w:rsidRDefault="00204F99" w:rsidP="0087454C">
            <w:pPr>
              <w:pStyle w:val="cuadroCabe"/>
              <w:rPr>
                <w:lang w:val="es-ES" w:eastAsia="es-ES"/>
              </w:rPr>
            </w:pPr>
            <w:r w:rsidRPr="005C45DA">
              <w:rPr>
                <w:lang w:val="es-ES" w:eastAsia="es-ES"/>
              </w:rPr>
              <w:t>Denominación</w:t>
            </w:r>
          </w:p>
        </w:tc>
        <w:tc>
          <w:tcPr>
            <w:tcW w:w="1843"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5C45DA" w:rsidRDefault="00204F99" w:rsidP="0087454C">
            <w:pPr>
              <w:pStyle w:val="cuadroCabe"/>
              <w:jc w:val="right"/>
              <w:rPr>
                <w:lang w:val="es-ES" w:eastAsia="es-ES"/>
              </w:rPr>
            </w:pPr>
            <w:r w:rsidRPr="005C45DA">
              <w:rPr>
                <w:lang w:val="es-ES" w:eastAsia="es-ES"/>
              </w:rPr>
              <w:t>2020</w:t>
            </w:r>
          </w:p>
        </w:tc>
      </w:tr>
      <w:tr w:rsidR="00204F99" w:rsidRPr="00881BE0" w:rsidTr="008867A2">
        <w:trPr>
          <w:trHeight w:val="284"/>
        </w:trPr>
        <w:tc>
          <w:tcPr>
            <w:tcW w:w="6946" w:type="dxa"/>
            <w:tcBorders>
              <w:top w:val="single" w:sz="4" w:space="0" w:color="auto"/>
              <w:left w:val="nil"/>
              <w:bottom w:val="single" w:sz="2" w:space="0" w:color="auto"/>
              <w:right w:val="nil"/>
            </w:tcBorders>
            <w:shd w:val="clear" w:color="auto" w:fill="auto"/>
            <w:noWrap/>
            <w:vAlign w:val="center"/>
            <w:hideMark/>
          </w:tcPr>
          <w:p w:rsidR="00204F99" w:rsidRPr="005C45DA" w:rsidRDefault="00204F99" w:rsidP="0087454C">
            <w:pPr>
              <w:pStyle w:val="cuatexto"/>
              <w:rPr>
                <w:lang w:val="es-ES" w:eastAsia="es-ES"/>
              </w:rPr>
            </w:pPr>
            <w:r w:rsidRPr="005C45DA">
              <w:rPr>
                <w:lang w:val="es-ES" w:eastAsia="es-ES"/>
              </w:rPr>
              <w:t>Ayudas trabajadoras y trabajadores autónomos. Decreto-ley Foral 3/2020</w:t>
            </w:r>
          </w:p>
        </w:tc>
        <w:tc>
          <w:tcPr>
            <w:tcW w:w="1843" w:type="dxa"/>
            <w:tcBorders>
              <w:top w:val="single" w:sz="4" w:space="0" w:color="auto"/>
              <w:left w:val="nil"/>
              <w:bottom w:val="single" w:sz="2" w:space="0" w:color="auto"/>
              <w:right w:val="nil"/>
            </w:tcBorders>
            <w:shd w:val="clear" w:color="auto" w:fill="auto"/>
            <w:noWrap/>
            <w:vAlign w:val="center"/>
            <w:hideMark/>
          </w:tcPr>
          <w:p w:rsidR="00204F99" w:rsidRPr="005C45DA" w:rsidRDefault="00204F99" w:rsidP="0087454C">
            <w:pPr>
              <w:pStyle w:val="cuatexto"/>
              <w:jc w:val="right"/>
              <w:rPr>
                <w:lang w:val="es-ES" w:eastAsia="es-ES"/>
              </w:rPr>
            </w:pPr>
            <w:r w:rsidRPr="005C45DA">
              <w:rPr>
                <w:lang w:val="es-ES" w:eastAsia="es-ES"/>
              </w:rPr>
              <w:t>24.029.700</w:t>
            </w:r>
          </w:p>
        </w:tc>
      </w:tr>
      <w:tr w:rsidR="00204F99" w:rsidRPr="00881BE0" w:rsidTr="008867A2">
        <w:trPr>
          <w:trHeight w:val="284"/>
        </w:trPr>
        <w:tc>
          <w:tcPr>
            <w:tcW w:w="6946" w:type="dxa"/>
            <w:tcBorders>
              <w:top w:val="single" w:sz="2" w:space="0" w:color="auto"/>
              <w:left w:val="nil"/>
              <w:bottom w:val="single" w:sz="2" w:space="0" w:color="auto"/>
              <w:right w:val="nil"/>
            </w:tcBorders>
            <w:shd w:val="clear" w:color="auto" w:fill="auto"/>
            <w:noWrap/>
            <w:vAlign w:val="center"/>
            <w:hideMark/>
          </w:tcPr>
          <w:p w:rsidR="00204F99" w:rsidRPr="005C45DA" w:rsidRDefault="00F03664" w:rsidP="00F03664">
            <w:pPr>
              <w:pStyle w:val="cuatexto"/>
              <w:rPr>
                <w:lang w:val="es-ES" w:eastAsia="es-ES"/>
              </w:rPr>
            </w:pPr>
            <w:r>
              <w:rPr>
                <w:lang w:val="es-ES" w:eastAsia="es-ES"/>
              </w:rPr>
              <w:t>Subvenciones para Pymes</w:t>
            </w:r>
            <w:r w:rsidR="00204F99" w:rsidRPr="005C45DA">
              <w:rPr>
                <w:lang w:val="es-ES" w:eastAsia="es-ES"/>
              </w:rPr>
              <w:t xml:space="preserve"> </w:t>
            </w:r>
            <w:r>
              <w:rPr>
                <w:lang w:val="es-ES" w:eastAsia="es-ES"/>
              </w:rPr>
              <w:t>Turismo-Hostelería</w:t>
            </w:r>
          </w:p>
        </w:tc>
        <w:tc>
          <w:tcPr>
            <w:tcW w:w="1843" w:type="dxa"/>
            <w:tcBorders>
              <w:top w:val="single" w:sz="2" w:space="0" w:color="auto"/>
              <w:left w:val="nil"/>
              <w:bottom w:val="single" w:sz="2" w:space="0" w:color="auto"/>
              <w:right w:val="nil"/>
            </w:tcBorders>
            <w:shd w:val="clear" w:color="auto" w:fill="auto"/>
            <w:noWrap/>
            <w:vAlign w:val="center"/>
            <w:hideMark/>
          </w:tcPr>
          <w:p w:rsidR="00204F99" w:rsidRPr="005C45DA" w:rsidRDefault="00204F99" w:rsidP="0087454C">
            <w:pPr>
              <w:pStyle w:val="cuatexto"/>
              <w:jc w:val="right"/>
              <w:rPr>
                <w:lang w:val="es-ES" w:eastAsia="es-ES"/>
              </w:rPr>
            </w:pPr>
            <w:r w:rsidRPr="005C45DA">
              <w:rPr>
                <w:lang w:val="es-ES" w:eastAsia="es-ES"/>
              </w:rPr>
              <w:t>13.541.412</w:t>
            </w:r>
          </w:p>
        </w:tc>
      </w:tr>
      <w:tr w:rsidR="00204F99" w:rsidRPr="00881BE0" w:rsidTr="008867A2">
        <w:trPr>
          <w:trHeight w:val="284"/>
        </w:trPr>
        <w:tc>
          <w:tcPr>
            <w:tcW w:w="6946" w:type="dxa"/>
            <w:tcBorders>
              <w:top w:val="single" w:sz="2" w:space="0" w:color="auto"/>
              <w:left w:val="nil"/>
              <w:bottom w:val="single" w:sz="2" w:space="0" w:color="auto"/>
              <w:right w:val="nil"/>
            </w:tcBorders>
            <w:shd w:val="clear" w:color="000000" w:fill="FFFFFF"/>
            <w:noWrap/>
            <w:vAlign w:val="center"/>
            <w:hideMark/>
          </w:tcPr>
          <w:p w:rsidR="00204F99" w:rsidRPr="005C45DA" w:rsidRDefault="00204F99" w:rsidP="0087454C">
            <w:pPr>
              <w:pStyle w:val="cuatexto"/>
              <w:rPr>
                <w:rFonts w:cs="Arial"/>
                <w:lang w:val="es-ES" w:eastAsia="es-ES"/>
              </w:rPr>
            </w:pPr>
            <w:r w:rsidRPr="005C45DA">
              <w:rPr>
                <w:rFonts w:cs="Arial"/>
                <w:lang w:val="es-ES" w:eastAsia="es-ES"/>
              </w:rPr>
              <w:t>Ayudas al sector agrario</w:t>
            </w:r>
          </w:p>
        </w:tc>
        <w:tc>
          <w:tcPr>
            <w:tcW w:w="1843" w:type="dxa"/>
            <w:tcBorders>
              <w:top w:val="single" w:sz="2" w:space="0" w:color="auto"/>
              <w:left w:val="nil"/>
              <w:bottom w:val="single" w:sz="2" w:space="0" w:color="auto"/>
              <w:right w:val="nil"/>
            </w:tcBorders>
            <w:shd w:val="clear" w:color="auto" w:fill="auto"/>
            <w:noWrap/>
            <w:vAlign w:val="center"/>
            <w:hideMark/>
          </w:tcPr>
          <w:p w:rsidR="00204F99" w:rsidRPr="005C45DA" w:rsidRDefault="00204F99" w:rsidP="0087454C">
            <w:pPr>
              <w:pStyle w:val="cuatexto"/>
              <w:jc w:val="right"/>
              <w:rPr>
                <w:lang w:val="es-ES" w:eastAsia="es-ES"/>
              </w:rPr>
            </w:pPr>
            <w:r w:rsidRPr="005C45DA">
              <w:rPr>
                <w:lang w:val="es-ES" w:eastAsia="es-ES"/>
              </w:rPr>
              <w:t>2.935.943</w:t>
            </w:r>
          </w:p>
        </w:tc>
      </w:tr>
      <w:tr w:rsidR="00204F99" w:rsidRPr="00881BE0" w:rsidTr="008867A2">
        <w:trPr>
          <w:trHeight w:val="284"/>
        </w:trPr>
        <w:tc>
          <w:tcPr>
            <w:tcW w:w="6946" w:type="dxa"/>
            <w:tcBorders>
              <w:top w:val="single" w:sz="2" w:space="0" w:color="auto"/>
              <w:left w:val="nil"/>
              <w:bottom w:val="single" w:sz="2" w:space="0" w:color="auto"/>
              <w:right w:val="nil"/>
            </w:tcBorders>
            <w:shd w:val="clear" w:color="000000" w:fill="FFFFFF"/>
            <w:noWrap/>
            <w:vAlign w:val="center"/>
            <w:hideMark/>
          </w:tcPr>
          <w:p w:rsidR="00204F99" w:rsidRPr="005C45DA" w:rsidRDefault="00204F99" w:rsidP="0087454C">
            <w:pPr>
              <w:pStyle w:val="cuatexto"/>
              <w:rPr>
                <w:rFonts w:cs="Arial"/>
                <w:lang w:val="es-ES" w:eastAsia="es-ES"/>
              </w:rPr>
            </w:pPr>
            <w:r w:rsidRPr="005C45DA">
              <w:rPr>
                <w:rFonts w:cs="Arial"/>
                <w:lang w:val="es-ES" w:eastAsia="es-ES"/>
              </w:rPr>
              <w:t>Ayuda al mantenimiento de servicios de transporte de viajeros</w:t>
            </w:r>
          </w:p>
        </w:tc>
        <w:tc>
          <w:tcPr>
            <w:tcW w:w="1843" w:type="dxa"/>
            <w:tcBorders>
              <w:top w:val="single" w:sz="2" w:space="0" w:color="auto"/>
              <w:left w:val="nil"/>
              <w:bottom w:val="single" w:sz="2" w:space="0" w:color="auto"/>
              <w:right w:val="nil"/>
            </w:tcBorders>
            <w:shd w:val="clear" w:color="auto" w:fill="auto"/>
            <w:noWrap/>
            <w:vAlign w:val="center"/>
            <w:hideMark/>
          </w:tcPr>
          <w:p w:rsidR="00204F99" w:rsidRPr="005C45DA" w:rsidRDefault="00204F99" w:rsidP="0087454C">
            <w:pPr>
              <w:pStyle w:val="cuatexto"/>
              <w:jc w:val="right"/>
              <w:rPr>
                <w:lang w:val="es-ES" w:eastAsia="es-ES"/>
              </w:rPr>
            </w:pPr>
            <w:r w:rsidRPr="005C45DA">
              <w:rPr>
                <w:lang w:val="es-ES" w:eastAsia="es-ES"/>
              </w:rPr>
              <w:t>1.363.969</w:t>
            </w:r>
          </w:p>
        </w:tc>
      </w:tr>
      <w:tr w:rsidR="00204F99" w:rsidRPr="00881BE0" w:rsidTr="008867A2">
        <w:trPr>
          <w:trHeight w:val="284"/>
        </w:trPr>
        <w:tc>
          <w:tcPr>
            <w:tcW w:w="6946" w:type="dxa"/>
            <w:tcBorders>
              <w:top w:val="single" w:sz="2" w:space="0" w:color="auto"/>
              <w:left w:val="nil"/>
              <w:bottom w:val="single" w:sz="2" w:space="0" w:color="auto"/>
              <w:right w:val="nil"/>
            </w:tcBorders>
            <w:shd w:val="clear" w:color="auto" w:fill="auto"/>
            <w:noWrap/>
            <w:vAlign w:val="center"/>
            <w:hideMark/>
          </w:tcPr>
          <w:p w:rsidR="00204F99" w:rsidRPr="005C45DA" w:rsidRDefault="00204F99" w:rsidP="0087454C">
            <w:pPr>
              <w:pStyle w:val="cuatexto"/>
              <w:rPr>
                <w:lang w:val="es-ES" w:eastAsia="es-ES"/>
              </w:rPr>
            </w:pPr>
            <w:r w:rsidRPr="005C45DA">
              <w:rPr>
                <w:lang w:val="es-ES" w:eastAsia="es-ES"/>
              </w:rPr>
              <w:t>Indemnizaciones por daños y perjuicios</w:t>
            </w:r>
          </w:p>
        </w:tc>
        <w:tc>
          <w:tcPr>
            <w:tcW w:w="1843" w:type="dxa"/>
            <w:tcBorders>
              <w:top w:val="single" w:sz="2" w:space="0" w:color="auto"/>
              <w:left w:val="nil"/>
              <w:bottom w:val="single" w:sz="2" w:space="0" w:color="auto"/>
              <w:right w:val="nil"/>
            </w:tcBorders>
            <w:shd w:val="clear" w:color="auto" w:fill="auto"/>
            <w:noWrap/>
            <w:vAlign w:val="center"/>
            <w:hideMark/>
          </w:tcPr>
          <w:p w:rsidR="00204F99" w:rsidRPr="005C45DA" w:rsidRDefault="00130C43" w:rsidP="0087454C">
            <w:pPr>
              <w:pStyle w:val="cuatexto"/>
              <w:jc w:val="right"/>
              <w:rPr>
                <w:lang w:val="es-ES" w:eastAsia="es-ES"/>
              </w:rPr>
            </w:pPr>
            <w:r>
              <w:rPr>
                <w:lang w:val="es-ES" w:eastAsia="es-ES"/>
              </w:rPr>
              <w:t>955.418</w:t>
            </w:r>
          </w:p>
        </w:tc>
      </w:tr>
      <w:tr w:rsidR="00204F99" w:rsidRPr="00881BE0" w:rsidTr="008867A2">
        <w:trPr>
          <w:trHeight w:val="284"/>
        </w:trPr>
        <w:tc>
          <w:tcPr>
            <w:tcW w:w="6946" w:type="dxa"/>
            <w:tcBorders>
              <w:top w:val="single" w:sz="2" w:space="0" w:color="auto"/>
              <w:left w:val="nil"/>
              <w:bottom w:val="single" w:sz="2" w:space="0" w:color="auto"/>
              <w:right w:val="nil"/>
            </w:tcBorders>
            <w:shd w:val="clear" w:color="000000" w:fill="FFFFFF"/>
            <w:noWrap/>
            <w:vAlign w:val="center"/>
            <w:hideMark/>
          </w:tcPr>
          <w:p w:rsidR="00204F99" w:rsidRPr="005C45DA" w:rsidRDefault="00204F99" w:rsidP="0087454C">
            <w:pPr>
              <w:pStyle w:val="cuatexto"/>
              <w:rPr>
                <w:rFonts w:cs="Arial"/>
                <w:lang w:val="es-ES" w:eastAsia="es-ES"/>
              </w:rPr>
            </w:pPr>
            <w:r w:rsidRPr="005C45DA">
              <w:rPr>
                <w:rFonts w:cs="Arial"/>
                <w:lang w:val="es-ES" w:eastAsia="es-ES"/>
              </w:rPr>
              <w:t>Indemnización por suspensión contratos de limpieza</w:t>
            </w:r>
          </w:p>
        </w:tc>
        <w:tc>
          <w:tcPr>
            <w:tcW w:w="1843" w:type="dxa"/>
            <w:tcBorders>
              <w:top w:val="single" w:sz="2" w:space="0" w:color="auto"/>
              <w:left w:val="nil"/>
              <w:bottom w:val="single" w:sz="2" w:space="0" w:color="auto"/>
              <w:right w:val="nil"/>
            </w:tcBorders>
            <w:shd w:val="clear" w:color="auto" w:fill="auto"/>
            <w:noWrap/>
            <w:vAlign w:val="center"/>
            <w:hideMark/>
          </w:tcPr>
          <w:p w:rsidR="00204F99" w:rsidRPr="005C45DA" w:rsidRDefault="00204F99" w:rsidP="0087454C">
            <w:pPr>
              <w:pStyle w:val="cuatexto"/>
              <w:jc w:val="right"/>
              <w:rPr>
                <w:lang w:val="es-ES" w:eastAsia="es-ES"/>
              </w:rPr>
            </w:pPr>
            <w:r w:rsidRPr="005C45DA">
              <w:rPr>
                <w:lang w:val="es-ES" w:eastAsia="es-ES"/>
              </w:rPr>
              <w:t>25.352</w:t>
            </w:r>
          </w:p>
        </w:tc>
      </w:tr>
      <w:tr w:rsidR="00204F99" w:rsidRPr="00881BE0" w:rsidTr="008867A2">
        <w:trPr>
          <w:trHeight w:val="284"/>
        </w:trPr>
        <w:tc>
          <w:tcPr>
            <w:tcW w:w="6946" w:type="dxa"/>
            <w:tcBorders>
              <w:top w:val="single" w:sz="2" w:space="0" w:color="auto"/>
              <w:left w:val="nil"/>
              <w:bottom w:val="single" w:sz="4" w:space="0" w:color="auto"/>
              <w:right w:val="nil"/>
            </w:tcBorders>
            <w:shd w:val="clear" w:color="000000" w:fill="FFFFFF"/>
            <w:noWrap/>
            <w:vAlign w:val="center"/>
            <w:hideMark/>
          </w:tcPr>
          <w:p w:rsidR="00204F99" w:rsidRPr="005C45DA" w:rsidRDefault="00204F99" w:rsidP="0087454C">
            <w:pPr>
              <w:pStyle w:val="cuatexto"/>
              <w:rPr>
                <w:rFonts w:cs="Arial"/>
                <w:lang w:val="es-ES" w:eastAsia="es-ES"/>
              </w:rPr>
            </w:pPr>
            <w:r w:rsidRPr="005C45DA">
              <w:rPr>
                <w:rFonts w:cs="Arial"/>
                <w:lang w:val="es-ES" w:eastAsia="es-ES"/>
              </w:rPr>
              <w:t>Indemnizaciones por suspensión de contratos</w:t>
            </w:r>
          </w:p>
        </w:tc>
        <w:tc>
          <w:tcPr>
            <w:tcW w:w="1843" w:type="dxa"/>
            <w:tcBorders>
              <w:top w:val="single" w:sz="2" w:space="0" w:color="auto"/>
              <w:left w:val="nil"/>
              <w:bottom w:val="single" w:sz="4" w:space="0" w:color="auto"/>
              <w:right w:val="nil"/>
            </w:tcBorders>
            <w:shd w:val="clear" w:color="auto" w:fill="auto"/>
            <w:noWrap/>
            <w:vAlign w:val="center"/>
            <w:hideMark/>
          </w:tcPr>
          <w:p w:rsidR="00204F99" w:rsidRPr="005C45DA" w:rsidRDefault="00204F99" w:rsidP="0087454C">
            <w:pPr>
              <w:pStyle w:val="cuatexto"/>
              <w:jc w:val="right"/>
              <w:rPr>
                <w:lang w:val="es-ES" w:eastAsia="es-ES"/>
              </w:rPr>
            </w:pPr>
            <w:r w:rsidRPr="005C45DA">
              <w:rPr>
                <w:lang w:val="es-ES" w:eastAsia="es-ES"/>
              </w:rPr>
              <w:t>3.275</w:t>
            </w:r>
          </w:p>
        </w:tc>
      </w:tr>
      <w:tr w:rsidR="00204F99" w:rsidRPr="00881BE0" w:rsidTr="00A66583">
        <w:trPr>
          <w:trHeight w:val="284"/>
        </w:trPr>
        <w:tc>
          <w:tcPr>
            <w:tcW w:w="6946"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5C45DA" w:rsidRDefault="00AA0951" w:rsidP="0087454C">
            <w:pPr>
              <w:pStyle w:val="cuadroCabe"/>
              <w:rPr>
                <w:lang w:val="es-ES" w:eastAsia="es-ES"/>
              </w:rPr>
            </w:pPr>
            <w:r>
              <w:rPr>
                <w:lang w:val="es-ES" w:eastAsia="es-ES"/>
              </w:rPr>
              <w:t>Total</w:t>
            </w:r>
          </w:p>
        </w:tc>
        <w:tc>
          <w:tcPr>
            <w:tcW w:w="1843"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5C45DA" w:rsidRDefault="00204F99" w:rsidP="0087454C">
            <w:pPr>
              <w:pStyle w:val="cuadroCabe"/>
              <w:jc w:val="right"/>
              <w:rPr>
                <w:rFonts w:cs="Calibri"/>
                <w:lang w:val="es-ES" w:eastAsia="es-ES"/>
              </w:rPr>
            </w:pPr>
            <w:r w:rsidRPr="005C45DA">
              <w:rPr>
                <w:rFonts w:cs="Calibri"/>
                <w:lang w:val="es-ES" w:eastAsia="es-ES"/>
              </w:rPr>
              <w:t>42.855.068</w:t>
            </w:r>
          </w:p>
        </w:tc>
      </w:tr>
    </w:tbl>
    <w:p w:rsidR="00204F99" w:rsidRDefault="00204F99" w:rsidP="00204F99">
      <w:pPr>
        <w:spacing w:after="0"/>
        <w:ind w:firstLine="0"/>
        <w:jc w:val="left"/>
        <w:rPr>
          <w:sz w:val="26"/>
          <w:szCs w:val="26"/>
        </w:rPr>
      </w:pPr>
    </w:p>
    <w:p w:rsidR="00496B22" w:rsidRPr="00496B22" w:rsidRDefault="00496B22" w:rsidP="00306812">
      <w:pPr>
        <w:pStyle w:val="atitulo3"/>
        <w:spacing w:before="120"/>
      </w:pPr>
      <w:r w:rsidRPr="00496B22">
        <w:t>Ejecución por grupo de per</w:t>
      </w:r>
      <w:r w:rsidR="00987CA2">
        <w:t>c</w:t>
      </w:r>
      <w:r w:rsidRPr="00496B22">
        <w:t>e</w:t>
      </w:r>
      <w:r w:rsidR="00987CA2">
        <w:t>p</w:t>
      </w:r>
      <w:r w:rsidRPr="00496B22">
        <w:t>tores</w:t>
      </w:r>
    </w:p>
    <w:p w:rsidR="00204F99" w:rsidRDefault="00204F99" w:rsidP="00204F99">
      <w:pPr>
        <w:spacing w:after="0"/>
        <w:ind w:firstLine="284"/>
        <w:jc w:val="left"/>
        <w:rPr>
          <w:sz w:val="26"/>
          <w:szCs w:val="26"/>
        </w:rPr>
      </w:pPr>
      <w:r>
        <w:rPr>
          <w:sz w:val="26"/>
          <w:szCs w:val="26"/>
        </w:rPr>
        <w:t xml:space="preserve">La ejecución presupuestaria </w:t>
      </w:r>
      <w:r w:rsidR="00CA6580" w:rsidRPr="00A55718">
        <w:rPr>
          <w:sz w:val="26"/>
          <w:szCs w:val="26"/>
        </w:rPr>
        <w:t xml:space="preserve">del total de transferencias a empresas privadas en 2020 </w:t>
      </w:r>
      <w:r>
        <w:rPr>
          <w:sz w:val="26"/>
          <w:szCs w:val="26"/>
        </w:rPr>
        <w:t xml:space="preserve">por grupo de perceptores en 2020 figura en el cuadro siguiente: </w:t>
      </w:r>
    </w:p>
    <w:p w:rsidR="00204F99" w:rsidRDefault="00204F99" w:rsidP="00204F99">
      <w:pPr>
        <w:spacing w:after="0"/>
        <w:ind w:firstLine="0"/>
        <w:jc w:val="left"/>
        <w:rPr>
          <w:sz w:val="26"/>
          <w:szCs w:val="26"/>
        </w:rPr>
      </w:pPr>
    </w:p>
    <w:tbl>
      <w:tblPr>
        <w:tblW w:w="8789" w:type="dxa"/>
        <w:tblCellMar>
          <w:left w:w="70" w:type="dxa"/>
          <w:right w:w="70" w:type="dxa"/>
        </w:tblCellMar>
        <w:tblLook w:val="04A0" w:firstRow="1" w:lastRow="0" w:firstColumn="1" w:lastColumn="0" w:noHBand="0" w:noVBand="1"/>
      </w:tblPr>
      <w:tblGrid>
        <w:gridCol w:w="3118"/>
        <w:gridCol w:w="1560"/>
        <w:gridCol w:w="1418"/>
        <w:gridCol w:w="1559"/>
        <w:gridCol w:w="1134"/>
      </w:tblGrid>
      <w:tr w:rsidR="00204F99" w:rsidRPr="00916911" w:rsidTr="00A66583">
        <w:trPr>
          <w:trHeight w:val="284"/>
        </w:trPr>
        <w:tc>
          <w:tcPr>
            <w:tcW w:w="3118"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5C45DA" w:rsidRDefault="00204F99" w:rsidP="00204F99">
            <w:pPr>
              <w:spacing w:after="0"/>
              <w:ind w:firstLine="0"/>
              <w:jc w:val="left"/>
              <w:rPr>
                <w:rFonts w:ascii="Arial Narrow" w:hAnsi="Arial Narrow" w:cs="Arial"/>
                <w:color w:val="000000"/>
                <w:lang w:val="es-ES" w:eastAsia="es-ES"/>
              </w:rPr>
            </w:pPr>
            <w:r w:rsidRPr="005C45DA">
              <w:rPr>
                <w:rFonts w:ascii="Arial Narrow" w:hAnsi="Arial Narrow" w:cs="Arial"/>
                <w:color w:val="000000"/>
                <w:lang w:val="es-ES" w:eastAsia="es-ES"/>
              </w:rPr>
              <w:t>Económico</w:t>
            </w:r>
          </w:p>
        </w:tc>
        <w:tc>
          <w:tcPr>
            <w:tcW w:w="1560"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5C45DA" w:rsidRDefault="00204F99" w:rsidP="005008EB">
            <w:pPr>
              <w:spacing w:after="0"/>
              <w:ind w:firstLine="0"/>
              <w:jc w:val="right"/>
              <w:rPr>
                <w:rFonts w:ascii="Arial Narrow" w:hAnsi="Arial Narrow" w:cs="Arial"/>
                <w:color w:val="000000"/>
                <w:lang w:val="es-ES" w:eastAsia="es-ES"/>
              </w:rPr>
            </w:pPr>
            <w:r w:rsidRPr="005C45DA">
              <w:rPr>
                <w:rFonts w:ascii="Arial Narrow" w:hAnsi="Arial Narrow" w:cs="Arial"/>
                <w:color w:val="000000"/>
                <w:lang w:val="es-ES" w:eastAsia="es-ES"/>
              </w:rPr>
              <w:t>Corrientes</w:t>
            </w:r>
          </w:p>
        </w:tc>
        <w:tc>
          <w:tcPr>
            <w:tcW w:w="1418"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5C45DA" w:rsidRDefault="00204F99" w:rsidP="005008EB">
            <w:pPr>
              <w:spacing w:after="0"/>
              <w:ind w:firstLine="0"/>
              <w:jc w:val="right"/>
              <w:rPr>
                <w:rFonts w:ascii="Arial Narrow" w:hAnsi="Arial Narrow" w:cs="Arial"/>
                <w:color w:val="000000"/>
                <w:lang w:val="es-ES" w:eastAsia="es-ES"/>
              </w:rPr>
            </w:pPr>
            <w:r w:rsidRPr="005C45DA">
              <w:rPr>
                <w:rFonts w:ascii="Arial Narrow" w:hAnsi="Arial Narrow" w:cs="Arial"/>
                <w:color w:val="000000"/>
                <w:lang w:val="es-ES" w:eastAsia="es-ES"/>
              </w:rPr>
              <w:t>Capital</w:t>
            </w:r>
          </w:p>
        </w:tc>
        <w:tc>
          <w:tcPr>
            <w:tcW w:w="1559"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5C45DA" w:rsidRDefault="00204F99" w:rsidP="005008EB">
            <w:pPr>
              <w:spacing w:after="0"/>
              <w:ind w:firstLine="0"/>
              <w:jc w:val="right"/>
              <w:rPr>
                <w:rFonts w:ascii="Arial Narrow" w:hAnsi="Arial Narrow" w:cs="Arial"/>
                <w:color w:val="000000"/>
                <w:lang w:val="es-ES" w:eastAsia="es-ES"/>
              </w:rPr>
            </w:pPr>
            <w:r w:rsidRPr="005C45DA">
              <w:rPr>
                <w:rFonts w:ascii="Arial Narrow" w:hAnsi="Arial Narrow" w:cs="Arial"/>
                <w:color w:val="000000"/>
                <w:lang w:val="es-ES" w:eastAsia="es-ES"/>
              </w:rPr>
              <w:t>Total</w:t>
            </w:r>
          </w:p>
        </w:tc>
        <w:tc>
          <w:tcPr>
            <w:tcW w:w="1134"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5C45DA" w:rsidRDefault="00204F99" w:rsidP="005008EB">
            <w:pPr>
              <w:spacing w:after="0"/>
              <w:ind w:firstLine="0"/>
              <w:jc w:val="right"/>
              <w:rPr>
                <w:rFonts w:ascii="Arial Narrow" w:hAnsi="Arial Narrow" w:cs="Arial"/>
                <w:color w:val="000000"/>
                <w:lang w:val="es-ES" w:eastAsia="es-ES"/>
              </w:rPr>
            </w:pPr>
            <w:r w:rsidRPr="005C45DA">
              <w:rPr>
                <w:rFonts w:ascii="Arial Narrow" w:hAnsi="Arial Narrow" w:cs="Arial"/>
                <w:color w:val="000000"/>
                <w:lang w:val="es-ES" w:eastAsia="es-ES"/>
              </w:rPr>
              <w:t>% s/total</w:t>
            </w:r>
          </w:p>
        </w:tc>
      </w:tr>
      <w:tr w:rsidR="00204F99" w:rsidRPr="00916911" w:rsidTr="008867A2">
        <w:trPr>
          <w:trHeight w:val="284"/>
        </w:trPr>
        <w:tc>
          <w:tcPr>
            <w:tcW w:w="3118" w:type="dxa"/>
            <w:tcBorders>
              <w:top w:val="single" w:sz="4" w:space="0" w:color="auto"/>
              <w:left w:val="nil"/>
              <w:bottom w:val="single" w:sz="2" w:space="0" w:color="auto"/>
              <w:right w:val="nil"/>
            </w:tcBorders>
            <w:shd w:val="clear" w:color="auto" w:fill="auto"/>
            <w:vAlign w:val="center"/>
            <w:hideMark/>
          </w:tcPr>
          <w:p w:rsidR="00204F99" w:rsidRPr="005C45DA" w:rsidRDefault="00204F99" w:rsidP="00204F99">
            <w:pPr>
              <w:spacing w:after="0"/>
              <w:ind w:firstLine="0"/>
              <w:jc w:val="left"/>
              <w:rPr>
                <w:rFonts w:ascii="Arial Narrow" w:hAnsi="Arial Narrow" w:cs="Calibri"/>
                <w:color w:val="000000"/>
                <w:lang w:val="es-ES" w:eastAsia="es-ES"/>
              </w:rPr>
            </w:pPr>
            <w:r w:rsidRPr="005C45DA">
              <w:rPr>
                <w:rFonts w:ascii="Arial Narrow" w:hAnsi="Arial Narrow" w:cs="Calibri"/>
                <w:color w:val="000000"/>
                <w:lang w:val="es-ES" w:eastAsia="es-ES"/>
              </w:rPr>
              <w:t>A empresas agrícolas y ganaderas</w:t>
            </w:r>
          </w:p>
        </w:tc>
        <w:tc>
          <w:tcPr>
            <w:tcW w:w="1560" w:type="dxa"/>
            <w:tcBorders>
              <w:top w:val="single" w:sz="4" w:space="0" w:color="auto"/>
              <w:left w:val="nil"/>
              <w:bottom w:val="single" w:sz="2" w:space="0" w:color="auto"/>
              <w:right w:val="nil"/>
            </w:tcBorders>
            <w:shd w:val="clear" w:color="auto" w:fill="auto"/>
            <w:noWrap/>
            <w:vAlign w:val="center"/>
            <w:hideMark/>
          </w:tcPr>
          <w:p w:rsidR="00204F99" w:rsidRPr="005C45DA" w:rsidRDefault="00204F99" w:rsidP="005008EB">
            <w:pPr>
              <w:spacing w:after="0"/>
              <w:ind w:firstLine="0"/>
              <w:jc w:val="right"/>
              <w:rPr>
                <w:rFonts w:ascii="Arial Narrow" w:hAnsi="Arial Narrow" w:cs="Calibri"/>
                <w:color w:val="000000"/>
                <w:lang w:val="es-ES" w:eastAsia="es-ES"/>
              </w:rPr>
            </w:pPr>
            <w:r w:rsidRPr="005C45DA">
              <w:rPr>
                <w:rFonts w:ascii="Arial Narrow" w:hAnsi="Arial Narrow" w:cs="Calibri"/>
                <w:color w:val="000000"/>
                <w:lang w:val="es-ES" w:eastAsia="es-ES"/>
              </w:rPr>
              <w:t>39.463.841</w:t>
            </w:r>
          </w:p>
        </w:tc>
        <w:tc>
          <w:tcPr>
            <w:tcW w:w="1418" w:type="dxa"/>
            <w:tcBorders>
              <w:top w:val="single" w:sz="4" w:space="0" w:color="auto"/>
              <w:left w:val="nil"/>
              <w:bottom w:val="single" w:sz="2" w:space="0" w:color="auto"/>
              <w:right w:val="nil"/>
            </w:tcBorders>
            <w:shd w:val="clear" w:color="auto" w:fill="auto"/>
            <w:noWrap/>
            <w:vAlign w:val="center"/>
            <w:hideMark/>
          </w:tcPr>
          <w:p w:rsidR="00204F99" w:rsidRPr="005C45DA" w:rsidRDefault="00204F99" w:rsidP="005008EB">
            <w:pPr>
              <w:spacing w:after="0"/>
              <w:ind w:firstLine="0"/>
              <w:jc w:val="right"/>
              <w:rPr>
                <w:rFonts w:ascii="Arial Narrow" w:hAnsi="Arial Narrow" w:cs="Calibri"/>
                <w:color w:val="000000"/>
                <w:lang w:val="es-ES" w:eastAsia="es-ES"/>
              </w:rPr>
            </w:pPr>
            <w:r w:rsidRPr="005C45DA">
              <w:rPr>
                <w:rFonts w:ascii="Arial Narrow" w:hAnsi="Arial Narrow" w:cs="Calibri"/>
                <w:color w:val="000000"/>
                <w:lang w:val="es-ES" w:eastAsia="es-ES"/>
              </w:rPr>
              <w:t>10.701.492</w:t>
            </w:r>
          </w:p>
        </w:tc>
        <w:tc>
          <w:tcPr>
            <w:tcW w:w="1559" w:type="dxa"/>
            <w:tcBorders>
              <w:top w:val="single" w:sz="4" w:space="0" w:color="auto"/>
              <w:left w:val="nil"/>
              <w:bottom w:val="single" w:sz="2" w:space="0" w:color="auto"/>
              <w:right w:val="nil"/>
            </w:tcBorders>
            <w:shd w:val="clear" w:color="auto" w:fill="auto"/>
            <w:noWrap/>
            <w:vAlign w:val="center"/>
            <w:hideMark/>
          </w:tcPr>
          <w:p w:rsidR="00204F99" w:rsidRPr="005C45DA" w:rsidRDefault="00204F99" w:rsidP="005008EB">
            <w:pPr>
              <w:spacing w:after="0"/>
              <w:ind w:firstLine="0"/>
              <w:jc w:val="right"/>
              <w:rPr>
                <w:rFonts w:ascii="Arial Narrow" w:hAnsi="Arial Narrow" w:cs="Calibri"/>
                <w:color w:val="000000"/>
                <w:lang w:val="es-ES" w:eastAsia="es-ES"/>
              </w:rPr>
            </w:pPr>
            <w:r w:rsidRPr="005C45DA">
              <w:rPr>
                <w:rFonts w:ascii="Arial Narrow" w:hAnsi="Arial Narrow" w:cs="Calibri"/>
                <w:color w:val="000000"/>
                <w:lang w:val="es-ES" w:eastAsia="es-ES"/>
              </w:rPr>
              <w:t>50.165.333</w:t>
            </w:r>
          </w:p>
        </w:tc>
        <w:tc>
          <w:tcPr>
            <w:tcW w:w="1134" w:type="dxa"/>
            <w:tcBorders>
              <w:top w:val="single" w:sz="4" w:space="0" w:color="auto"/>
              <w:left w:val="nil"/>
              <w:bottom w:val="single" w:sz="2" w:space="0" w:color="auto"/>
              <w:right w:val="nil"/>
            </w:tcBorders>
            <w:shd w:val="clear" w:color="auto" w:fill="auto"/>
            <w:noWrap/>
            <w:vAlign w:val="center"/>
            <w:hideMark/>
          </w:tcPr>
          <w:p w:rsidR="00204F99" w:rsidRPr="005C45DA" w:rsidRDefault="00204F99" w:rsidP="005008EB">
            <w:pPr>
              <w:spacing w:after="0"/>
              <w:ind w:firstLine="0"/>
              <w:jc w:val="right"/>
              <w:rPr>
                <w:rFonts w:ascii="Arial Narrow" w:hAnsi="Arial Narrow" w:cs="Calibri"/>
                <w:color w:val="000000"/>
                <w:lang w:val="es-ES" w:eastAsia="es-ES"/>
              </w:rPr>
            </w:pPr>
            <w:r w:rsidRPr="005C45DA">
              <w:rPr>
                <w:rFonts w:ascii="Arial Narrow" w:hAnsi="Arial Narrow" w:cs="Calibri"/>
                <w:color w:val="000000"/>
                <w:lang w:val="es-ES" w:eastAsia="es-ES"/>
              </w:rPr>
              <w:t>27,85</w:t>
            </w:r>
          </w:p>
        </w:tc>
      </w:tr>
      <w:tr w:rsidR="00204F99" w:rsidRPr="00916911" w:rsidTr="008867A2">
        <w:trPr>
          <w:trHeight w:val="284"/>
        </w:trPr>
        <w:tc>
          <w:tcPr>
            <w:tcW w:w="3118" w:type="dxa"/>
            <w:tcBorders>
              <w:top w:val="single" w:sz="2" w:space="0" w:color="auto"/>
              <w:left w:val="nil"/>
              <w:bottom w:val="single" w:sz="2" w:space="0" w:color="auto"/>
              <w:right w:val="nil"/>
            </w:tcBorders>
            <w:shd w:val="clear" w:color="auto" w:fill="auto"/>
            <w:vAlign w:val="center"/>
            <w:hideMark/>
          </w:tcPr>
          <w:p w:rsidR="00204F99" w:rsidRPr="005C45DA" w:rsidRDefault="00204F99" w:rsidP="00204F99">
            <w:pPr>
              <w:spacing w:after="0"/>
              <w:ind w:firstLine="0"/>
              <w:jc w:val="left"/>
              <w:rPr>
                <w:rFonts w:ascii="Arial Narrow" w:hAnsi="Arial Narrow" w:cs="Calibri"/>
                <w:color w:val="000000"/>
                <w:lang w:val="es-ES" w:eastAsia="es-ES"/>
              </w:rPr>
            </w:pPr>
            <w:r w:rsidRPr="005C45DA">
              <w:rPr>
                <w:rFonts w:ascii="Arial Narrow" w:hAnsi="Arial Narrow" w:cs="Calibri"/>
                <w:color w:val="000000"/>
                <w:lang w:val="es-ES" w:eastAsia="es-ES"/>
              </w:rPr>
              <w:t>A empresas comerciales e industriales</w:t>
            </w:r>
          </w:p>
        </w:tc>
        <w:tc>
          <w:tcPr>
            <w:tcW w:w="1560" w:type="dxa"/>
            <w:tcBorders>
              <w:top w:val="single" w:sz="2" w:space="0" w:color="auto"/>
              <w:left w:val="nil"/>
              <w:bottom w:val="single" w:sz="2" w:space="0" w:color="auto"/>
              <w:right w:val="nil"/>
            </w:tcBorders>
            <w:shd w:val="clear" w:color="auto" w:fill="auto"/>
            <w:noWrap/>
            <w:vAlign w:val="center"/>
            <w:hideMark/>
          </w:tcPr>
          <w:p w:rsidR="00204F99" w:rsidRPr="005C45DA" w:rsidRDefault="00204F99" w:rsidP="005008EB">
            <w:pPr>
              <w:spacing w:after="0"/>
              <w:ind w:firstLine="0"/>
              <w:jc w:val="right"/>
              <w:rPr>
                <w:rFonts w:ascii="Arial Narrow" w:hAnsi="Arial Narrow" w:cs="Calibri"/>
                <w:color w:val="000000"/>
                <w:lang w:val="es-ES" w:eastAsia="es-ES"/>
              </w:rPr>
            </w:pPr>
            <w:r w:rsidRPr="005C45DA">
              <w:rPr>
                <w:rFonts w:ascii="Arial Narrow" w:hAnsi="Arial Narrow" w:cs="Calibri"/>
                <w:color w:val="000000"/>
                <w:lang w:val="es-ES" w:eastAsia="es-ES"/>
              </w:rPr>
              <w:t>1.690.589</w:t>
            </w:r>
          </w:p>
        </w:tc>
        <w:tc>
          <w:tcPr>
            <w:tcW w:w="1418" w:type="dxa"/>
            <w:tcBorders>
              <w:top w:val="single" w:sz="2" w:space="0" w:color="auto"/>
              <w:left w:val="nil"/>
              <w:bottom w:val="single" w:sz="2" w:space="0" w:color="auto"/>
              <w:right w:val="nil"/>
            </w:tcBorders>
            <w:shd w:val="clear" w:color="auto" w:fill="auto"/>
            <w:noWrap/>
            <w:vAlign w:val="center"/>
            <w:hideMark/>
          </w:tcPr>
          <w:p w:rsidR="00204F99" w:rsidRPr="005C45DA" w:rsidRDefault="00204F99" w:rsidP="005008EB">
            <w:pPr>
              <w:spacing w:after="0"/>
              <w:ind w:firstLine="0"/>
              <w:jc w:val="right"/>
              <w:rPr>
                <w:rFonts w:ascii="Arial Narrow" w:hAnsi="Arial Narrow" w:cs="Calibri"/>
                <w:color w:val="000000"/>
                <w:lang w:val="es-ES" w:eastAsia="es-ES"/>
              </w:rPr>
            </w:pPr>
            <w:r w:rsidRPr="005C45DA">
              <w:rPr>
                <w:rFonts w:ascii="Arial Narrow" w:hAnsi="Arial Narrow" w:cs="Calibri"/>
                <w:color w:val="000000"/>
                <w:lang w:val="es-ES" w:eastAsia="es-ES"/>
              </w:rPr>
              <w:t>45.956.571</w:t>
            </w:r>
          </w:p>
        </w:tc>
        <w:tc>
          <w:tcPr>
            <w:tcW w:w="1559" w:type="dxa"/>
            <w:tcBorders>
              <w:top w:val="single" w:sz="2" w:space="0" w:color="auto"/>
              <w:left w:val="nil"/>
              <w:bottom w:val="single" w:sz="2" w:space="0" w:color="auto"/>
              <w:right w:val="nil"/>
            </w:tcBorders>
            <w:shd w:val="clear" w:color="auto" w:fill="auto"/>
            <w:noWrap/>
            <w:vAlign w:val="center"/>
            <w:hideMark/>
          </w:tcPr>
          <w:p w:rsidR="00204F99" w:rsidRPr="005C45DA" w:rsidRDefault="00204F99" w:rsidP="005008EB">
            <w:pPr>
              <w:spacing w:after="0"/>
              <w:ind w:firstLine="0"/>
              <w:jc w:val="right"/>
              <w:rPr>
                <w:rFonts w:ascii="Arial Narrow" w:hAnsi="Arial Narrow" w:cs="Calibri"/>
                <w:color w:val="000000"/>
                <w:lang w:val="es-ES" w:eastAsia="es-ES"/>
              </w:rPr>
            </w:pPr>
            <w:r w:rsidRPr="005C45DA">
              <w:rPr>
                <w:rFonts w:ascii="Arial Narrow" w:hAnsi="Arial Narrow" w:cs="Calibri"/>
                <w:color w:val="000000"/>
                <w:lang w:val="es-ES" w:eastAsia="es-ES"/>
              </w:rPr>
              <w:t>47.647.160</w:t>
            </w:r>
          </w:p>
        </w:tc>
        <w:tc>
          <w:tcPr>
            <w:tcW w:w="1134" w:type="dxa"/>
            <w:tcBorders>
              <w:top w:val="single" w:sz="2" w:space="0" w:color="auto"/>
              <w:left w:val="nil"/>
              <w:bottom w:val="single" w:sz="2" w:space="0" w:color="auto"/>
              <w:right w:val="nil"/>
            </w:tcBorders>
            <w:shd w:val="clear" w:color="auto" w:fill="auto"/>
            <w:noWrap/>
            <w:vAlign w:val="center"/>
            <w:hideMark/>
          </w:tcPr>
          <w:p w:rsidR="00204F99" w:rsidRPr="005C45DA" w:rsidRDefault="00204F99" w:rsidP="005008EB">
            <w:pPr>
              <w:spacing w:after="0"/>
              <w:ind w:firstLine="0"/>
              <w:jc w:val="right"/>
              <w:rPr>
                <w:rFonts w:ascii="Arial Narrow" w:hAnsi="Arial Narrow" w:cs="Calibri"/>
                <w:color w:val="000000"/>
                <w:lang w:val="es-ES" w:eastAsia="es-ES"/>
              </w:rPr>
            </w:pPr>
            <w:r w:rsidRPr="005C45DA">
              <w:rPr>
                <w:rFonts w:ascii="Arial Narrow" w:hAnsi="Arial Narrow" w:cs="Calibri"/>
                <w:color w:val="000000"/>
                <w:lang w:val="es-ES" w:eastAsia="es-ES"/>
              </w:rPr>
              <w:t>26,45</w:t>
            </w:r>
          </w:p>
        </w:tc>
      </w:tr>
      <w:tr w:rsidR="00204F99" w:rsidRPr="00916911" w:rsidTr="00A66583">
        <w:trPr>
          <w:trHeight w:val="284"/>
        </w:trPr>
        <w:tc>
          <w:tcPr>
            <w:tcW w:w="3118" w:type="dxa"/>
            <w:tcBorders>
              <w:top w:val="single" w:sz="2" w:space="0" w:color="auto"/>
              <w:left w:val="nil"/>
              <w:bottom w:val="single" w:sz="2" w:space="0" w:color="auto"/>
              <w:right w:val="nil"/>
            </w:tcBorders>
            <w:shd w:val="clear" w:color="auto" w:fill="auto"/>
            <w:vAlign w:val="center"/>
            <w:hideMark/>
          </w:tcPr>
          <w:p w:rsidR="00204F99" w:rsidRPr="005C45DA" w:rsidRDefault="00204F99" w:rsidP="00204F99">
            <w:pPr>
              <w:spacing w:after="0"/>
              <w:ind w:firstLine="0"/>
              <w:jc w:val="left"/>
              <w:rPr>
                <w:rFonts w:ascii="Arial Narrow" w:hAnsi="Arial Narrow" w:cs="Calibri"/>
                <w:color w:val="000000"/>
                <w:lang w:val="es-ES" w:eastAsia="es-ES"/>
              </w:rPr>
            </w:pPr>
            <w:r w:rsidRPr="005C45DA">
              <w:rPr>
                <w:rFonts w:ascii="Arial Narrow" w:hAnsi="Arial Narrow" w:cs="Calibri"/>
                <w:color w:val="000000"/>
                <w:lang w:val="es-ES" w:eastAsia="es-ES"/>
              </w:rPr>
              <w:t>A otras empresas privadas</w:t>
            </w:r>
          </w:p>
        </w:tc>
        <w:tc>
          <w:tcPr>
            <w:tcW w:w="1560" w:type="dxa"/>
            <w:tcBorders>
              <w:top w:val="single" w:sz="2" w:space="0" w:color="auto"/>
              <w:left w:val="nil"/>
              <w:bottom w:val="single" w:sz="2" w:space="0" w:color="auto"/>
              <w:right w:val="nil"/>
            </w:tcBorders>
            <w:shd w:val="clear" w:color="auto" w:fill="auto"/>
            <w:noWrap/>
            <w:vAlign w:val="center"/>
            <w:hideMark/>
          </w:tcPr>
          <w:p w:rsidR="00204F99" w:rsidRPr="005C45DA" w:rsidRDefault="00204F99" w:rsidP="005008EB">
            <w:pPr>
              <w:spacing w:after="0"/>
              <w:ind w:firstLine="0"/>
              <w:jc w:val="right"/>
              <w:rPr>
                <w:rFonts w:ascii="Arial Narrow" w:hAnsi="Arial Narrow" w:cs="Calibri"/>
                <w:color w:val="000000"/>
                <w:lang w:val="es-ES" w:eastAsia="es-ES"/>
              </w:rPr>
            </w:pPr>
            <w:r w:rsidRPr="005C45DA">
              <w:rPr>
                <w:rFonts w:ascii="Arial Narrow" w:hAnsi="Arial Narrow" w:cs="Calibri"/>
                <w:color w:val="000000"/>
                <w:lang w:val="es-ES" w:eastAsia="es-ES"/>
              </w:rPr>
              <w:t>78.710.016</w:t>
            </w:r>
          </w:p>
        </w:tc>
        <w:tc>
          <w:tcPr>
            <w:tcW w:w="1418" w:type="dxa"/>
            <w:tcBorders>
              <w:top w:val="single" w:sz="2" w:space="0" w:color="auto"/>
              <w:left w:val="nil"/>
              <w:bottom w:val="single" w:sz="2" w:space="0" w:color="auto"/>
              <w:right w:val="nil"/>
            </w:tcBorders>
            <w:shd w:val="clear" w:color="auto" w:fill="auto"/>
            <w:noWrap/>
            <w:vAlign w:val="center"/>
            <w:hideMark/>
          </w:tcPr>
          <w:p w:rsidR="00204F99" w:rsidRPr="005C45DA" w:rsidRDefault="00204F99" w:rsidP="005008EB">
            <w:pPr>
              <w:spacing w:after="0"/>
              <w:ind w:firstLine="0"/>
              <w:jc w:val="right"/>
              <w:rPr>
                <w:rFonts w:ascii="Arial Narrow" w:hAnsi="Arial Narrow" w:cs="Calibri"/>
                <w:color w:val="000000"/>
                <w:lang w:val="es-ES" w:eastAsia="es-ES"/>
              </w:rPr>
            </w:pPr>
            <w:r w:rsidRPr="005C45DA">
              <w:rPr>
                <w:rFonts w:ascii="Arial Narrow" w:hAnsi="Arial Narrow" w:cs="Calibri"/>
                <w:color w:val="000000"/>
                <w:lang w:val="es-ES" w:eastAsia="es-ES"/>
              </w:rPr>
              <w:t>3.609.393</w:t>
            </w:r>
          </w:p>
        </w:tc>
        <w:tc>
          <w:tcPr>
            <w:tcW w:w="1559" w:type="dxa"/>
            <w:tcBorders>
              <w:top w:val="single" w:sz="2" w:space="0" w:color="auto"/>
              <w:left w:val="nil"/>
              <w:bottom w:val="single" w:sz="2" w:space="0" w:color="auto"/>
              <w:right w:val="nil"/>
            </w:tcBorders>
            <w:shd w:val="clear" w:color="auto" w:fill="auto"/>
            <w:noWrap/>
            <w:vAlign w:val="center"/>
            <w:hideMark/>
          </w:tcPr>
          <w:p w:rsidR="00204F99" w:rsidRPr="005C45DA" w:rsidRDefault="00204F99" w:rsidP="005008EB">
            <w:pPr>
              <w:spacing w:after="0"/>
              <w:ind w:firstLine="0"/>
              <w:jc w:val="right"/>
              <w:rPr>
                <w:rFonts w:ascii="Arial Narrow" w:hAnsi="Arial Narrow" w:cs="Calibri"/>
                <w:color w:val="000000"/>
                <w:lang w:val="es-ES" w:eastAsia="es-ES"/>
              </w:rPr>
            </w:pPr>
            <w:r w:rsidRPr="005C45DA">
              <w:rPr>
                <w:rFonts w:ascii="Arial Narrow" w:hAnsi="Arial Narrow" w:cs="Calibri"/>
                <w:color w:val="000000"/>
                <w:lang w:val="es-ES" w:eastAsia="es-ES"/>
              </w:rPr>
              <w:t>82.319.408</w:t>
            </w:r>
          </w:p>
        </w:tc>
        <w:tc>
          <w:tcPr>
            <w:tcW w:w="1134" w:type="dxa"/>
            <w:tcBorders>
              <w:top w:val="single" w:sz="2" w:space="0" w:color="auto"/>
              <w:left w:val="nil"/>
              <w:bottom w:val="single" w:sz="2" w:space="0" w:color="auto"/>
              <w:right w:val="nil"/>
            </w:tcBorders>
            <w:shd w:val="clear" w:color="auto" w:fill="auto"/>
            <w:noWrap/>
            <w:vAlign w:val="center"/>
            <w:hideMark/>
          </w:tcPr>
          <w:p w:rsidR="00204F99" w:rsidRPr="005C45DA" w:rsidRDefault="00204F99" w:rsidP="005008EB">
            <w:pPr>
              <w:spacing w:after="0"/>
              <w:ind w:firstLine="0"/>
              <w:jc w:val="right"/>
              <w:rPr>
                <w:rFonts w:ascii="Arial Narrow" w:hAnsi="Arial Narrow" w:cs="Calibri"/>
                <w:color w:val="000000"/>
                <w:lang w:val="es-ES" w:eastAsia="es-ES"/>
              </w:rPr>
            </w:pPr>
            <w:r w:rsidRPr="005C45DA">
              <w:rPr>
                <w:rFonts w:ascii="Arial Narrow" w:hAnsi="Arial Narrow" w:cs="Calibri"/>
                <w:color w:val="000000"/>
                <w:lang w:val="es-ES" w:eastAsia="es-ES"/>
              </w:rPr>
              <w:t>45,70</w:t>
            </w:r>
          </w:p>
        </w:tc>
      </w:tr>
      <w:tr w:rsidR="00204F99" w:rsidRPr="0087454C" w:rsidTr="00A66583">
        <w:trPr>
          <w:trHeight w:val="284"/>
        </w:trPr>
        <w:tc>
          <w:tcPr>
            <w:tcW w:w="3118" w:type="dxa"/>
            <w:tcBorders>
              <w:top w:val="single" w:sz="2" w:space="0" w:color="auto"/>
              <w:left w:val="nil"/>
              <w:bottom w:val="single" w:sz="4" w:space="0" w:color="auto"/>
              <w:right w:val="nil"/>
            </w:tcBorders>
            <w:shd w:val="clear" w:color="auto" w:fill="B8CCE4" w:themeFill="accent1" w:themeFillTint="66"/>
            <w:noWrap/>
            <w:vAlign w:val="center"/>
            <w:hideMark/>
          </w:tcPr>
          <w:p w:rsidR="00204F99" w:rsidRPr="0087454C" w:rsidRDefault="00204F99" w:rsidP="0087454C">
            <w:pPr>
              <w:pStyle w:val="cuadroCabe"/>
              <w:rPr>
                <w:lang w:val="es-ES" w:eastAsia="es-ES"/>
              </w:rPr>
            </w:pPr>
            <w:r w:rsidRPr="0087454C">
              <w:rPr>
                <w:lang w:val="es-ES" w:eastAsia="es-ES"/>
              </w:rPr>
              <w:t>Total general</w:t>
            </w:r>
          </w:p>
        </w:tc>
        <w:tc>
          <w:tcPr>
            <w:tcW w:w="1560" w:type="dxa"/>
            <w:tcBorders>
              <w:top w:val="single" w:sz="2" w:space="0" w:color="auto"/>
              <w:left w:val="nil"/>
              <w:bottom w:val="single" w:sz="4" w:space="0" w:color="auto"/>
              <w:right w:val="nil"/>
            </w:tcBorders>
            <w:shd w:val="clear" w:color="auto" w:fill="B8CCE4" w:themeFill="accent1" w:themeFillTint="66"/>
            <w:noWrap/>
            <w:vAlign w:val="center"/>
            <w:hideMark/>
          </w:tcPr>
          <w:p w:rsidR="00204F99" w:rsidRPr="0087454C" w:rsidRDefault="00583E0E" w:rsidP="005008EB">
            <w:pPr>
              <w:pStyle w:val="cuadroCabe"/>
              <w:jc w:val="right"/>
              <w:rPr>
                <w:lang w:val="es-ES" w:eastAsia="es-ES"/>
              </w:rPr>
            </w:pPr>
            <w:r>
              <w:rPr>
                <w:lang w:val="es-ES" w:eastAsia="es-ES"/>
              </w:rPr>
              <w:t>119.864.446</w:t>
            </w:r>
          </w:p>
        </w:tc>
        <w:tc>
          <w:tcPr>
            <w:tcW w:w="1418" w:type="dxa"/>
            <w:tcBorders>
              <w:top w:val="single" w:sz="2" w:space="0" w:color="auto"/>
              <w:left w:val="nil"/>
              <w:bottom w:val="single" w:sz="4" w:space="0" w:color="auto"/>
              <w:right w:val="nil"/>
            </w:tcBorders>
            <w:shd w:val="clear" w:color="auto" w:fill="B8CCE4" w:themeFill="accent1" w:themeFillTint="66"/>
            <w:noWrap/>
            <w:vAlign w:val="center"/>
            <w:hideMark/>
          </w:tcPr>
          <w:p w:rsidR="00204F99" w:rsidRPr="0087454C" w:rsidRDefault="00204F99" w:rsidP="005008EB">
            <w:pPr>
              <w:pStyle w:val="cuadroCabe"/>
              <w:jc w:val="right"/>
              <w:rPr>
                <w:lang w:val="es-ES" w:eastAsia="es-ES"/>
              </w:rPr>
            </w:pPr>
            <w:r w:rsidRPr="0087454C">
              <w:rPr>
                <w:lang w:val="es-ES" w:eastAsia="es-ES"/>
              </w:rPr>
              <w:t>60.267.455</w:t>
            </w:r>
          </w:p>
        </w:tc>
        <w:tc>
          <w:tcPr>
            <w:tcW w:w="1559" w:type="dxa"/>
            <w:tcBorders>
              <w:top w:val="single" w:sz="2" w:space="0" w:color="auto"/>
              <w:left w:val="nil"/>
              <w:bottom w:val="single" w:sz="4" w:space="0" w:color="auto"/>
              <w:right w:val="nil"/>
            </w:tcBorders>
            <w:shd w:val="clear" w:color="auto" w:fill="B8CCE4" w:themeFill="accent1" w:themeFillTint="66"/>
            <w:noWrap/>
            <w:vAlign w:val="center"/>
            <w:hideMark/>
          </w:tcPr>
          <w:p w:rsidR="00204F99" w:rsidRPr="0087454C" w:rsidRDefault="00204F99" w:rsidP="005008EB">
            <w:pPr>
              <w:pStyle w:val="cuadroCabe"/>
              <w:jc w:val="right"/>
              <w:rPr>
                <w:lang w:val="es-ES" w:eastAsia="es-ES"/>
              </w:rPr>
            </w:pPr>
            <w:r w:rsidRPr="0087454C">
              <w:rPr>
                <w:lang w:val="es-ES" w:eastAsia="es-ES"/>
              </w:rPr>
              <w:t>180.131.902</w:t>
            </w:r>
          </w:p>
        </w:tc>
        <w:tc>
          <w:tcPr>
            <w:tcW w:w="1134" w:type="dxa"/>
            <w:tcBorders>
              <w:top w:val="single" w:sz="2" w:space="0" w:color="auto"/>
              <w:left w:val="nil"/>
              <w:bottom w:val="single" w:sz="4" w:space="0" w:color="auto"/>
              <w:right w:val="nil"/>
            </w:tcBorders>
            <w:shd w:val="clear" w:color="auto" w:fill="B8CCE4" w:themeFill="accent1" w:themeFillTint="66"/>
            <w:noWrap/>
            <w:vAlign w:val="center"/>
            <w:hideMark/>
          </w:tcPr>
          <w:p w:rsidR="00204F99" w:rsidRPr="0087454C" w:rsidRDefault="00204F99" w:rsidP="005008EB">
            <w:pPr>
              <w:pStyle w:val="cuadroCabe"/>
              <w:jc w:val="right"/>
              <w:rPr>
                <w:rFonts w:cs="Calibri"/>
                <w:lang w:val="es-ES" w:eastAsia="es-ES"/>
              </w:rPr>
            </w:pPr>
            <w:r w:rsidRPr="0087454C">
              <w:rPr>
                <w:rFonts w:cs="Calibri"/>
                <w:lang w:val="es-ES" w:eastAsia="es-ES"/>
              </w:rPr>
              <w:t>100,00</w:t>
            </w:r>
          </w:p>
        </w:tc>
      </w:tr>
    </w:tbl>
    <w:p w:rsidR="00204F99" w:rsidRDefault="00204F99" w:rsidP="00204F99">
      <w:pPr>
        <w:spacing w:after="0"/>
        <w:ind w:firstLine="0"/>
        <w:jc w:val="left"/>
        <w:rPr>
          <w:sz w:val="26"/>
          <w:szCs w:val="26"/>
        </w:rPr>
      </w:pPr>
    </w:p>
    <w:p w:rsidR="001E3807" w:rsidRPr="0011440E" w:rsidRDefault="00204F99" w:rsidP="0087454C">
      <w:pPr>
        <w:pStyle w:val="texto"/>
      </w:pPr>
      <w:r w:rsidRPr="0011440E">
        <w:t xml:space="preserve">Las empresas agrícolas y ganaderas </w:t>
      </w:r>
      <w:r w:rsidR="00456DC1" w:rsidRPr="0011440E">
        <w:t>recibieron</w:t>
      </w:r>
      <w:r w:rsidRPr="0011440E">
        <w:t xml:space="preserve"> 50 millones. </w:t>
      </w:r>
      <w:r w:rsidR="00CC538E" w:rsidRPr="0011440E">
        <w:t>De este importe</w:t>
      </w:r>
      <w:r w:rsidR="00FB31D8">
        <w:t>,</w:t>
      </w:r>
      <w:r w:rsidR="00CC538E" w:rsidRPr="0011440E">
        <w:t xml:space="preserve"> el</w:t>
      </w:r>
      <w:r w:rsidRPr="0011440E">
        <w:t xml:space="preserve"> </w:t>
      </w:r>
      <w:r w:rsidR="00665D76" w:rsidRPr="0011440E">
        <w:t>78 por ciento corresponde</w:t>
      </w:r>
      <w:r w:rsidRPr="0011440E">
        <w:t xml:space="preserve"> a transferencias corrientes, concedidas </w:t>
      </w:r>
      <w:r w:rsidR="001E3807" w:rsidRPr="0011440E">
        <w:t>principa</w:t>
      </w:r>
      <w:r w:rsidR="001E3807" w:rsidRPr="0011440E">
        <w:t>l</w:t>
      </w:r>
      <w:r w:rsidR="001E3807" w:rsidRPr="0011440E">
        <w:t xml:space="preserve">mente </w:t>
      </w:r>
      <w:r w:rsidRPr="0011440E">
        <w:t>por el De</w:t>
      </w:r>
      <w:r w:rsidR="001E3807" w:rsidRPr="0011440E">
        <w:t>partamento de Desarrollo Rural.</w:t>
      </w:r>
      <w:r w:rsidR="006763A1" w:rsidRPr="006763A1">
        <w:t xml:space="preserve"> </w:t>
      </w:r>
      <w:r w:rsidR="006763A1">
        <w:t>Las ayudas COVID a empr</w:t>
      </w:r>
      <w:r w:rsidR="006763A1">
        <w:t>e</w:t>
      </w:r>
      <w:r w:rsidR="006763A1">
        <w:t xml:space="preserve">sas agrícolas y ganaderas ascienden a </w:t>
      </w:r>
      <w:r w:rsidR="006763A1" w:rsidRPr="008B6875">
        <w:t>2,9 millones</w:t>
      </w:r>
      <w:r w:rsidR="006763A1">
        <w:t>.</w:t>
      </w:r>
    </w:p>
    <w:p w:rsidR="001E3807" w:rsidRDefault="001E3807" w:rsidP="008867A2">
      <w:pPr>
        <w:pStyle w:val="texto"/>
        <w:spacing w:after="240"/>
      </w:pPr>
      <w:r>
        <w:t>Los principales conceptos que integran estos gastos son</w:t>
      </w:r>
      <w:r w:rsidR="00AE1C4B">
        <w:t xml:space="preserve"> los siguientes</w:t>
      </w:r>
      <w:r>
        <w:t>:</w:t>
      </w:r>
    </w:p>
    <w:tbl>
      <w:tblPr>
        <w:tblW w:w="8788" w:type="dxa"/>
        <w:tblCellMar>
          <w:left w:w="70" w:type="dxa"/>
          <w:right w:w="70" w:type="dxa"/>
        </w:tblCellMar>
        <w:tblLook w:val="04A0" w:firstRow="1" w:lastRow="0" w:firstColumn="1" w:lastColumn="0" w:noHBand="0" w:noVBand="1"/>
      </w:tblPr>
      <w:tblGrid>
        <w:gridCol w:w="4819"/>
        <w:gridCol w:w="2977"/>
        <w:gridCol w:w="992"/>
      </w:tblGrid>
      <w:tr w:rsidR="001E3807" w:rsidRPr="001E3807" w:rsidTr="00A66583">
        <w:trPr>
          <w:trHeight w:val="284"/>
        </w:trPr>
        <w:tc>
          <w:tcPr>
            <w:tcW w:w="4819" w:type="dxa"/>
            <w:tcBorders>
              <w:top w:val="single" w:sz="4" w:space="0" w:color="auto"/>
              <w:left w:val="nil"/>
              <w:bottom w:val="single" w:sz="4" w:space="0" w:color="auto"/>
              <w:right w:val="nil"/>
            </w:tcBorders>
            <w:shd w:val="clear" w:color="auto" w:fill="B8CCE4" w:themeFill="accent1" w:themeFillTint="66"/>
            <w:vAlign w:val="center"/>
            <w:hideMark/>
          </w:tcPr>
          <w:p w:rsidR="001E3807" w:rsidRPr="001E3807" w:rsidRDefault="001E3807" w:rsidP="001E3807">
            <w:pPr>
              <w:spacing w:after="0"/>
              <w:ind w:firstLine="0"/>
              <w:jc w:val="left"/>
              <w:rPr>
                <w:rFonts w:ascii="Arial Narrow" w:hAnsi="Arial Narrow" w:cs="Calibri"/>
                <w:lang w:val="es-ES" w:eastAsia="es-ES"/>
              </w:rPr>
            </w:pPr>
            <w:r w:rsidRPr="001E3807">
              <w:rPr>
                <w:rFonts w:ascii="Arial Narrow" w:hAnsi="Arial Narrow" w:cs="Calibri"/>
                <w:lang w:val="es-ES" w:eastAsia="es-ES"/>
              </w:rPr>
              <w:t>Descripción</w:t>
            </w:r>
          </w:p>
        </w:tc>
        <w:tc>
          <w:tcPr>
            <w:tcW w:w="2977" w:type="dxa"/>
            <w:tcBorders>
              <w:top w:val="single" w:sz="4" w:space="0" w:color="auto"/>
              <w:left w:val="nil"/>
              <w:bottom w:val="single" w:sz="4" w:space="0" w:color="auto"/>
              <w:right w:val="nil"/>
            </w:tcBorders>
            <w:shd w:val="clear" w:color="auto" w:fill="B8CCE4" w:themeFill="accent1" w:themeFillTint="66"/>
            <w:vAlign w:val="center"/>
            <w:hideMark/>
          </w:tcPr>
          <w:p w:rsidR="001E3807" w:rsidRPr="001E3807" w:rsidRDefault="001E3807" w:rsidP="005008EB">
            <w:pPr>
              <w:spacing w:after="0"/>
              <w:ind w:firstLine="0"/>
              <w:jc w:val="right"/>
              <w:rPr>
                <w:rFonts w:ascii="Arial Narrow" w:hAnsi="Arial Narrow" w:cs="Calibri"/>
                <w:color w:val="000000"/>
                <w:lang w:val="es-ES" w:eastAsia="es-ES"/>
              </w:rPr>
            </w:pPr>
            <w:r w:rsidRPr="001E3807">
              <w:rPr>
                <w:rFonts w:ascii="Arial Narrow" w:hAnsi="Arial Narrow" w:cs="Calibri"/>
                <w:color w:val="000000"/>
                <w:lang w:val="es-ES" w:eastAsia="es-ES"/>
              </w:rPr>
              <w:t>Obligaciones Reconocidas 2020</w:t>
            </w:r>
          </w:p>
        </w:tc>
        <w:tc>
          <w:tcPr>
            <w:tcW w:w="992" w:type="dxa"/>
            <w:tcBorders>
              <w:top w:val="single" w:sz="4" w:space="0" w:color="auto"/>
              <w:left w:val="nil"/>
              <w:bottom w:val="single" w:sz="4" w:space="0" w:color="auto"/>
              <w:right w:val="nil"/>
            </w:tcBorders>
            <w:shd w:val="clear" w:color="auto" w:fill="B8CCE4" w:themeFill="accent1" w:themeFillTint="66"/>
            <w:vAlign w:val="center"/>
            <w:hideMark/>
          </w:tcPr>
          <w:p w:rsidR="001E3807" w:rsidRPr="001E3807" w:rsidRDefault="001E3807" w:rsidP="001E3807">
            <w:pPr>
              <w:spacing w:after="0"/>
              <w:ind w:firstLine="0"/>
              <w:jc w:val="center"/>
              <w:rPr>
                <w:rFonts w:ascii="Arial Narrow" w:hAnsi="Arial Narrow" w:cs="Calibri"/>
                <w:color w:val="000000"/>
                <w:lang w:val="es-ES" w:eastAsia="es-ES"/>
              </w:rPr>
            </w:pPr>
            <w:r w:rsidRPr="001E3807">
              <w:rPr>
                <w:rFonts w:ascii="Arial Narrow" w:hAnsi="Arial Narrow" w:cs="Calibri"/>
                <w:color w:val="000000"/>
                <w:lang w:val="es-ES" w:eastAsia="es-ES"/>
              </w:rPr>
              <w:t>% s/total</w:t>
            </w:r>
          </w:p>
        </w:tc>
      </w:tr>
      <w:tr w:rsidR="001E3807" w:rsidRPr="001E3807" w:rsidTr="005008EB">
        <w:trPr>
          <w:trHeight w:val="284"/>
        </w:trPr>
        <w:tc>
          <w:tcPr>
            <w:tcW w:w="4819" w:type="dxa"/>
            <w:tcBorders>
              <w:top w:val="single" w:sz="4" w:space="0" w:color="auto"/>
              <w:left w:val="nil"/>
              <w:bottom w:val="single" w:sz="2" w:space="0" w:color="auto"/>
              <w:right w:val="nil"/>
            </w:tcBorders>
            <w:shd w:val="clear" w:color="000000" w:fill="FFFFFF"/>
            <w:noWrap/>
            <w:vAlign w:val="center"/>
            <w:hideMark/>
          </w:tcPr>
          <w:p w:rsidR="001E3807" w:rsidRPr="001E3807" w:rsidRDefault="001E3807" w:rsidP="001E3807">
            <w:pPr>
              <w:spacing w:after="0"/>
              <w:ind w:firstLine="0"/>
              <w:jc w:val="left"/>
              <w:rPr>
                <w:rFonts w:ascii="Arial Narrow" w:hAnsi="Arial Narrow" w:cs="Calibri"/>
                <w:color w:val="000000"/>
                <w:lang w:val="es-ES" w:eastAsia="es-ES"/>
              </w:rPr>
            </w:pPr>
            <w:r w:rsidRPr="001E3807">
              <w:rPr>
                <w:rFonts w:ascii="Arial Narrow" w:hAnsi="Arial Narrow" w:cs="Calibri"/>
                <w:color w:val="000000"/>
                <w:lang w:val="es-ES" w:eastAsia="es-ES"/>
              </w:rPr>
              <w:t>Canon de los riegos del Canal de Navarra</w:t>
            </w:r>
          </w:p>
        </w:tc>
        <w:tc>
          <w:tcPr>
            <w:tcW w:w="2977" w:type="dxa"/>
            <w:tcBorders>
              <w:top w:val="single" w:sz="4" w:space="0" w:color="auto"/>
              <w:left w:val="nil"/>
              <w:bottom w:val="single" w:sz="2" w:space="0" w:color="auto"/>
              <w:right w:val="nil"/>
            </w:tcBorders>
            <w:shd w:val="clear" w:color="000000" w:fill="FFFFFF"/>
            <w:noWrap/>
            <w:vAlign w:val="center"/>
            <w:hideMark/>
          </w:tcPr>
          <w:p w:rsidR="001E3807" w:rsidRPr="001E3807" w:rsidRDefault="001E3807" w:rsidP="001E3807">
            <w:pPr>
              <w:spacing w:after="0"/>
              <w:ind w:firstLine="0"/>
              <w:jc w:val="right"/>
              <w:rPr>
                <w:rFonts w:ascii="Arial Narrow" w:hAnsi="Arial Narrow" w:cs="Calibri"/>
                <w:color w:val="000000"/>
                <w:lang w:val="es-ES" w:eastAsia="es-ES"/>
              </w:rPr>
            </w:pPr>
            <w:r w:rsidRPr="001E3807">
              <w:rPr>
                <w:rFonts w:ascii="Arial Narrow" w:hAnsi="Arial Narrow" w:cs="Calibri"/>
                <w:color w:val="000000"/>
                <w:lang w:val="es-ES" w:eastAsia="es-ES"/>
              </w:rPr>
              <w:t xml:space="preserve">21.988.562 </w:t>
            </w:r>
          </w:p>
        </w:tc>
        <w:tc>
          <w:tcPr>
            <w:tcW w:w="992" w:type="dxa"/>
            <w:tcBorders>
              <w:top w:val="single" w:sz="4" w:space="0" w:color="auto"/>
              <w:left w:val="nil"/>
              <w:bottom w:val="single" w:sz="2" w:space="0" w:color="auto"/>
              <w:right w:val="nil"/>
            </w:tcBorders>
            <w:shd w:val="clear" w:color="auto" w:fill="auto"/>
            <w:noWrap/>
            <w:vAlign w:val="center"/>
            <w:hideMark/>
          </w:tcPr>
          <w:p w:rsidR="001E3807" w:rsidRPr="001E3807" w:rsidRDefault="001E3807" w:rsidP="001E3807">
            <w:pPr>
              <w:spacing w:after="0"/>
              <w:ind w:firstLine="0"/>
              <w:jc w:val="right"/>
              <w:rPr>
                <w:rFonts w:ascii="Arial Narrow" w:hAnsi="Arial Narrow" w:cs="Calibri"/>
                <w:color w:val="000000"/>
                <w:lang w:val="es-ES" w:eastAsia="es-ES"/>
              </w:rPr>
            </w:pPr>
            <w:r w:rsidRPr="001E3807">
              <w:rPr>
                <w:rFonts w:ascii="Arial Narrow" w:hAnsi="Arial Narrow" w:cs="Calibri"/>
                <w:color w:val="000000"/>
                <w:lang w:val="es-ES" w:eastAsia="es-ES"/>
              </w:rPr>
              <w:t>44</w:t>
            </w:r>
          </w:p>
        </w:tc>
      </w:tr>
      <w:tr w:rsidR="001E3807" w:rsidRPr="001E3807" w:rsidTr="005008EB">
        <w:trPr>
          <w:trHeight w:val="284"/>
        </w:trPr>
        <w:tc>
          <w:tcPr>
            <w:tcW w:w="4819" w:type="dxa"/>
            <w:tcBorders>
              <w:top w:val="single" w:sz="2" w:space="0" w:color="auto"/>
              <w:left w:val="nil"/>
              <w:bottom w:val="single" w:sz="2" w:space="0" w:color="auto"/>
              <w:right w:val="nil"/>
            </w:tcBorders>
            <w:shd w:val="clear" w:color="000000" w:fill="FFFFFF"/>
            <w:noWrap/>
            <w:vAlign w:val="center"/>
            <w:hideMark/>
          </w:tcPr>
          <w:p w:rsidR="001E3807" w:rsidRPr="001E3807" w:rsidRDefault="001E3807" w:rsidP="001E3807">
            <w:pPr>
              <w:spacing w:after="0"/>
              <w:ind w:firstLine="0"/>
              <w:jc w:val="left"/>
              <w:rPr>
                <w:rFonts w:ascii="Arial Narrow" w:hAnsi="Arial Narrow" w:cs="Calibri"/>
                <w:color w:val="000000"/>
                <w:lang w:val="es-ES" w:eastAsia="es-ES"/>
              </w:rPr>
            </w:pPr>
            <w:r w:rsidRPr="001E3807">
              <w:rPr>
                <w:rFonts w:ascii="Arial Narrow" w:hAnsi="Arial Narrow" w:cs="Calibri"/>
                <w:color w:val="000000"/>
                <w:lang w:val="es-ES" w:eastAsia="es-ES"/>
              </w:rPr>
              <w:t>Medidas agroambientales e indemnización compensatoria m</w:t>
            </w:r>
            <w:r w:rsidRPr="001E3807">
              <w:rPr>
                <w:rFonts w:ascii="Arial Narrow" w:hAnsi="Arial Narrow" w:cs="Calibri"/>
                <w:color w:val="000000"/>
                <w:lang w:val="es-ES" w:eastAsia="es-ES"/>
              </w:rPr>
              <w:t>e</w:t>
            </w:r>
            <w:r w:rsidRPr="001E3807">
              <w:rPr>
                <w:rFonts w:ascii="Arial Narrow" w:hAnsi="Arial Narrow" w:cs="Calibri"/>
                <w:color w:val="000000"/>
                <w:lang w:val="es-ES" w:eastAsia="es-ES"/>
              </w:rPr>
              <w:t>dioambiental. Fondos FEADER</w:t>
            </w:r>
          </w:p>
        </w:tc>
        <w:tc>
          <w:tcPr>
            <w:tcW w:w="2977" w:type="dxa"/>
            <w:tcBorders>
              <w:top w:val="single" w:sz="2" w:space="0" w:color="auto"/>
              <w:left w:val="nil"/>
              <w:bottom w:val="single" w:sz="2" w:space="0" w:color="auto"/>
              <w:right w:val="nil"/>
            </w:tcBorders>
            <w:shd w:val="clear" w:color="000000" w:fill="FFFFFF"/>
            <w:noWrap/>
            <w:vAlign w:val="center"/>
            <w:hideMark/>
          </w:tcPr>
          <w:p w:rsidR="001E3807" w:rsidRPr="001E3807" w:rsidRDefault="001E3807" w:rsidP="001E3807">
            <w:pPr>
              <w:spacing w:after="0"/>
              <w:ind w:firstLine="0"/>
              <w:jc w:val="right"/>
              <w:rPr>
                <w:rFonts w:ascii="Arial Narrow" w:hAnsi="Arial Narrow" w:cs="Calibri"/>
                <w:color w:val="000000"/>
                <w:lang w:val="es-ES" w:eastAsia="es-ES"/>
              </w:rPr>
            </w:pPr>
            <w:r w:rsidRPr="001E3807">
              <w:rPr>
                <w:rFonts w:ascii="Arial Narrow" w:hAnsi="Arial Narrow" w:cs="Calibri"/>
                <w:color w:val="000000"/>
                <w:lang w:val="es-ES" w:eastAsia="es-ES"/>
              </w:rPr>
              <w:t xml:space="preserve">12.691.587 </w:t>
            </w:r>
          </w:p>
        </w:tc>
        <w:tc>
          <w:tcPr>
            <w:tcW w:w="992" w:type="dxa"/>
            <w:tcBorders>
              <w:top w:val="single" w:sz="2" w:space="0" w:color="auto"/>
              <w:left w:val="nil"/>
              <w:bottom w:val="single" w:sz="2" w:space="0" w:color="auto"/>
              <w:right w:val="nil"/>
            </w:tcBorders>
            <w:shd w:val="clear" w:color="auto" w:fill="auto"/>
            <w:noWrap/>
            <w:vAlign w:val="center"/>
            <w:hideMark/>
          </w:tcPr>
          <w:p w:rsidR="001E3807" w:rsidRPr="001E3807" w:rsidRDefault="001E3807" w:rsidP="001E3807">
            <w:pPr>
              <w:spacing w:after="0"/>
              <w:ind w:firstLine="0"/>
              <w:jc w:val="right"/>
              <w:rPr>
                <w:rFonts w:ascii="Arial Narrow" w:hAnsi="Arial Narrow" w:cs="Calibri"/>
                <w:color w:val="000000"/>
                <w:lang w:val="es-ES" w:eastAsia="es-ES"/>
              </w:rPr>
            </w:pPr>
            <w:r w:rsidRPr="001E3807">
              <w:rPr>
                <w:rFonts w:ascii="Arial Narrow" w:hAnsi="Arial Narrow" w:cs="Calibri"/>
                <w:color w:val="000000"/>
                <w:lang w:val="es-ES" w:eastAsia="es-ES"/>
              </w:rPr>
              <w:t>25</w:t>
            </w:r>
          </w:p>
        </w:tc>
      </w:tr>
      <w:tr w:rsidR="001E3807" w:rsidRPr="001E3807" w:rsidTr="005008EB">
        <w:trPr>
          <w:trHeight w:val="284"/>
        </w:trPr>
        <w:tc>
          <w:tcPr>
            <w:tcW w:w="4819" w:type="dxa"/>
            <w:tcBorders>
              <w:top w:val="single" w:sz="2" w:space="0" w:color="auto"/>
              <w:left w:val="nil"/>
              <w:bottom w:val="single" w:sz="2" w:space="0" w:color="auto"/>
              <w:right w:val="nil"/>
            </w:tcBorders>
            <w:shd w:val="clear" w:color="000000" w:fill="FFFFFF"/>
            <w:noWrap/>
            <w:vAlign w:val="center"/>
            <w:hideMark/>
          </w:tcPr>
          <w:p w:rsidR="001E3807" w:rsidRPr="001E3807" w:rsidRDefault="001E3807" w:rsidP="001E3807">
            <w:pPr>
              <w:spacing w:after="0"/>
              <w:ind w:firstLine="0"/>
              <w:jc w:val="left"/>
              <w:rPr>
                <w:rFonts w:ascii="Arial Narrow" w:hAnsi="Arial Narrow" w:cs="Calibri"/>
                <w:color w:val="000000"/>
                <w:lang w:val="es-ES" w:eastAsia="es-ES"/>
              </w:rPr>
            </w:pPr>
            <w:r w:rsidRPr="001E3807">
              <w:rPr>
                <w:rFonts w:ascii="Arial Narrow" w:hAnsi="Arial Narrow" w:cs="Calibri"/>
                <w:color w:val="000000"/>
                <w:lang w:val="es-ES" w:eastAsia="es-ES"/>
              </w:rPr>
              <w:t xml:space="preserve">Compensación por primas de seguro a través de </w:t>
            </w:r>
            <w:proofErr w:type="spellStart"/>
            <w:r w:rsidRPr="001E3807">
              <w:rPr>
                <w:rFonts w:ascii="Arial Narrow" w:hAnsi="Arial Narrow" w:cs="Calibri"/>
                <w:color w:val="000000"/>
                <w:lang w:val="es-ES" w:eastAsia="es-ES"/>
              </w:rPr>
              <w:t>Agroseguro</w:t>
            </w:r>
            <w:proofErr w:type="spellEnd"/>
          </w:p>
        </w:tc>
        <w:tc>
          <w:tcPr>
            <w:tcW w:w="2977" w:type="dxa"/>
            <w:tcBorders>
              <w:top w:val="single" w:sz="2" w:space="0" w:color="auto"/>
              <w:left w:val="nil"/>
              <w:bottom w:val="single" w:sz="2" w:space="0" w:color="auto"/>
              <w:right w:val="nil"/>
            </w:tcBorders>
            <w:shd w:val="clear" w:color="000000" w:fill="FFFFFF"/>
            <w:noWrap/>
            <w:vAlign w:val="center"/>
            <w:hideMark/>
          </w:tcPr>
          <w:p w:rsidR="001E3807" w:rsidRPr="001E3807" w:rsidRDefault="001E3807" w:rsidP="001E3807">
            <w:pPr>
              <w:spacing w:after="0"/>
              <w:ind w:firstLine="0"/>
              <w:jc w:val="right"/>
              <w:rPr>
                <w:rFonts w:ascii="Arial Narrow" w:hAnsi="Arial Narrow" w:cs="Calibri"/>
                <w:color w:val="000000"/>
                <w:lang w:val="es-ES" w:eastAsia="es-ES"/>
              </w:rPr>
            </w:pPr>
            <w:r w:rsidRPr="001E3807">
              <w:rPr>
                <w:rFonts w:ascii="Arial Narrow" w:hAnsi="Arial Narrow" w:cs="Calibri"/>
                <w:color w:val="000000"/>
                <w:lang w:val="es-ES" w:eastAsia="es-ES"/>
              </w:rPr>
              <w:t xml:space="preserve">3.330.842 </w:t>
            </w:r>
          </w:p>
        </w:tc>
        <w:tc>
          <w:tcPr>
            <w:tcW w:w="992" w:type="dxa"/>
            <w:tcBorders>
              <w:top w:val="single" w:sz="2" w:space="0" w:color="auto"/>
              <w:left w:val="nil"/>
              <w:bottom w:val="single" w:sz="2" w:space="0" w:color="auto"/>
              <w:right w:val="nil"/>
            </w:tcBorders>
            <w:shd w:val="clear" w:color="auto" w:fill="auto"/>
            <w:noWrap/>
            <w:vAlign w:val="center"/>
            <w:hideMark/>
          </w:tcPr>
          <w:p w:rsidR="001E3807" w:rsidRPr="001E3807" w:rsidRDefault="001E3807" w:rsidP="001E3807">
            <w:pPr>
              <w:spacing w:after="0"/>
              <w:ind w:firstLine="0"/>
              <w:jc w:val="right"/>
              <w:rPr>
                <w:rFonts w:ascii="Arial Narrow" w:hAnsi="Arial Narrow" w:cs="Calibri"/>
                <w:color w:val="000000"/>
                <w:lang w:val="es-ES" w:eastAsia="es-ES"/>
              </w:rPr>
            </w:pPr>
            <w:r w:rsidRPr="001E3807">
              <w:rPr>
                <w:rFonts w:ascii="Arial Narrow" w:hAnsi="Arial Narrow" w:cs="Calibri"/>
                <w:color w:val="000000"/>
                <w:lang w:val="es-ES" w:eastAsia="es-ES"/>
              </w:rPr>
              <w:t>7</w:t>
            </w:r>
          </w:p>
        </w:tc>
      </w:tr>
      <w:tr w:rsidR="001E3807" w:rsidRPr="001E3807" w:rsidTr="005008EB">
        <w:trPr>
          <w:trHeight w:val="284"/>
        </w:trPr>
        <w:tc>
          <w:tcPr>
            <w:tcW w:w="4819" w:type="dxa"/>
            <w:tcBorders>
              <w:top w:val="single" w:sz="2" w:space="0" w:color="auto"/>
              <w:left w:val="nil"/>
              <w:bottom w:val="single" w:sz="4" w:space="0" w:color="auto"/>
              <w:right w:val="nil"/>
            </w:tcBorders>
            <w:shd w:val="clear" w:color="000000" w:fill="FFFFFF"/>
            <w:noWrap/>
            <w:vAlign w:val="center"/>
            <w:hideMark/>
          </w:tcPr>
          <w:p w:rsidR="001E3807" w:rsidRPr="001E3807" w:rsidRDefault="001E3807" w:rsidP="001E3807">
            <w:pPr>
              <w:spacing w:after="0"/>
              <w:ind w:firstLine="0"/>
              <w:jc w:val="left"/>
              <w:rPr>
                <w:rFonts w:ascii="Arial Narrow" w:hAnsi="Arial Narrow" w:cs="Calibri"/>
                <w:color w:val="000000"/>
                <w:lang w:val="es-ES" w:eastAsia="es-ES"/>
              </w:rPr>
            </w:pPr>
            <w:r w:rsidRPr="001E3807">
              <w:rPr>
                <w:rFonts w:ascii="Arial Narrow" w:hAnsi="Arial Narrow" w:cs="Calibri"/>
                <w:color w:val="000000"/>
                <w:lang w:val="es-ES" w:eastAsia="es-ES"/>
              </w:rPr>
              <w:t>Ayudas al sector agrario por la crisis  COVID-19</w:t>
            </w:r>
          </w:p>
        </w:tc>
        <w:tc>
          <w:tcPr>
            <w:tcW w:w="2977" w:type="dxa"/>
            <w:tcBorders>
              <w:top w:val="single" w:sz="2" w:space="0" w:color="auto"/>
              <w:left w:val="nil"/>
              <w:bottom w:val="single" w:sz="4" w:space="0" w:color="auto"/>
              <w:right w:val="nil"/>
            </w:tcBorders>
            <w:shd w:val="clear" w:color="000000" w:fill="FFFFFF"/>
            <w:noWrap/>
            <w:vAlign w:val="center"/>
            <w:hideMark/>
          </w:tcPr>
          <w:p w:rsidR="001E3807" w:rsidRPr="001E3807" w:rsidRDefault="001E3807" w:rsidP="001E3807">
            <w:pPr>
              <w:spacing w:after="0"/>
              <w:ind w:firstLine="0"/>
              <w:jc w:val="right"/>
              <w:rPr>
                <w:rFonts w:ascii="Arial Narrow" w:hAnsi="Arial Narrow" w:cs="Calibri"/>
                <w:color w:val="000000"/>
                <w:lang w:val="es-ES" w:eastAsia="es-ES"/>
              </w:rPr>
            </w:pPr>
            <w:r w:rsidRPr="001E3807">
              <w:rPr>
                <w:rFonts w:ascii="Arial Narrow" w:hAnsi="Arial Narrow" w:cs="Calibri"/>
                <w:color w:val="000000"/>
                <w:lang w:val="es-ES" w:eastAsia="es-ES"/>
              </w:rPr>
              <w:t xml:space="preserve">2.935.943 </w:t>
            </w:r>
          </w:p>
        </w:tc>
        <w:tc>
          <w:tcPr>
            <w:tcW w:w="992" w:type="dxa"/>
            <w:tcBorders>
              <w:top w:val="single" w:sz="2" w:space="0" w:color="auto"/>
              <w:left w:val="nil"/>
              <w:bottom w:val="single" w:sz="4" w:space="0" w:color="auto"/>
              <w:right w:val="nil"/>
            </w:tcBorders>
            <w:shd w:val="clear" w:color="auto" w:fill="auto"/>
            <w:noWrap/>
            <w:vAlign w:val="center"/>
            <w:hideMark/>
          </w:tcPr>
          <w:p w:rsidR="001E3807" w:rsidRPr="001E3807" w:rsidRDefault="001E3807" w:rsidP="001E3807">
            <w:pPr>
              <w:spacing w:after="0"/>
              <w:ind w:firstLine="0"/>
              <w:jc w:val="right"/>
              <w:rPr>
                <w:rFonts w:ascii="Arial Narrow" w:hAnsi="Arial Narrow" w:cs="Calibri"/>
                <w:color w:val="000000"/>
                <w:lang w:val="es-ES" w:eastAsia="es-ES"/>
              </w:rPr>
            </w:pPr>
            <w:r w:rsidRPr="001E3807">
              <w:rPr>
                <w:rFonts w:ascii="Arial Narrow" w:hAnsi="Arial Narrow" w:cs="Calibri"/>
                <w:color w:val="000000"/>
                <w:lang w:val="es-ES" w:eastAsia="es-ES"/>
              </w:rPr>
              <w:t>6</w:t>
            </w:r>
          </w:p>
        </w:tc>
      </w:tr>
    </w:tbl>
    <w:p w:rsidR="001E3807" w:rsidRDefault="001E3807" w:rsidP="001E3807">
      <w:pPr>
        <w:pStyle w:val="texto"/>
        <w:ind w:firstLine="0"/>
      </w:pPr>
    </w:p>
    <w:p w:rsidR="001E3807" w:rsidRDefault="00204F99" w:rsidP="00FB31D8">
      <w:pPr>
        <w:pStyle w:val="texto"/>
      </w:pPr>
      <w:r w:rsidRPr="0011440E">
        <w:t>Las empresas comerciales e industriales suponen un 26 por ciento del gasto</w:t>
      </w:r>
      <w:r w:rsidR="005C4C04">
        <w:t>,</w:t>
      </w:r>
      <w:r w:rsidRPr="0011440E">
        <w:t xml:space="preserve"> con 4</w:t>
      </w:r>
      <w:r w:rsidR="00650747">
        <w:t>8</w:t>
      </w:r>
      <w:r w:rsidRPr="0011440E">
        <w:t xml:space="preserve"> millones. </w:t>
      </w:r>
      <w:r w:rsidR="004D2789" w:rsidRPr="0011440E">
        <w:t>De este importe</w:t>
      </w:r>
      <w:r w:rsidR="00FB31D8">
        <w:t>,</w:t>
      </w:r>
      <w:r w:rsidR="004D2789" w:rsidRPr="0011440E">
        <w:t xml:space="preserve"> el </w:t>
      </w:r>
      <w:r w:rsidRPr="0011440E">
        <w:t>96 por ciento corresponde a transferencias de capital</w:t>
      </w:r>
      <w:r w:rsidR="00CA6580" w:rsidRPr="0011440E">
        <w:t xml:space="preserve"> a empresas privadas</w:t>
      </w:r>
      <w:r w:rsidRPr="0011440E">
        <w:t xml:space="preserve">, que </w:t>
      </w:r>
      <w:r w:rsidR="005C4C04">
        <w:t>las</w:t>
      </w:r>
      <w:r w:rsidRPr="0011440E">
        <w:t xml:space="preserve"> concede prácticamente en su totalidad el Departamento de Desarrollo Económico. </w:t>
      </w:r>
    </w:p>
    <w:p w:rsidR="008867A2" w:rsidRDefault="008867A2" w:rsidP="00FB31D8">
      <w:pPr>
        <w:pStyle w:val="texto"/>
      </w:pPr>
    </w:p>
    <w:p w:rsidR="001E3807" w:rsidRDefault="00AE1C4B" w:rsidP="008867A2">
      <w:pPr>
        <w:pStyle w:val="texto"/>
        <w:spacing w:after="240"/>
      </w:pPr>
      <w:r>
        <w:lastRenderedPageBreak/>
        <w:t>El desglose de los principales conceptos del gasto es el siguiente</w:t>
      </w:r>
      <w:r w:rsidR="00FB31D8">
        <w:t>:</w:t>
      </w:r>
    </w:p>
    <w:tbl>
      <w:tblPr>
        <w:tblW w:w="8648" w:type="dxa"/>
        <w:tblCellMar>
          <w:left w:w="70" w:type="dxa"/>
          <w:right w:w="70" w:type="dxa"/>
        </w:tblCellMar>
        <w:tblLook w:val="04A0" w:firstRow="1" w:lastRow="0" w:firstColumn="1" w:lastColumn="0" w:noHBand="0" w:noVBand="1"/>
      </w:tblPr>
      <w:tblGrid>
        <w:gridCol w:w="5812"/>
        <w:gridCol w:w="1843"/>
        <w:gridCol w:w="993"/>
      </w:tblGrid>
      <w:tr w:rsidR="0011440E" w:rsidRPr="00F75A43" w:rsidTr="00F75A43">
        <w:trPr>
          <w:trHeight w:val="284"/>
        </w:trPr>
        <w:tc>
          <w:tcPr>
            <w:tcW w:w="5812" w:type="dxa"/>
            <w:tcBorders>
              <w:top w:val="single" w:sz="4" w:space="0" w:color="auto"/>
              <w:left w:val="nil"/>
              <w:bottom w:val="single" w:sz="4" w:space="0" w:color="auto"/>
              <w:right w:val="nil"/>
            </w:tcBorders>
            <w:shd w:val="clear" w:color="auto" w:fill="B8CCE4" w:themeFill="accent1" w:themeFillTint="66"/>
            <w:vAlign w:val="center"/>
            <w:hideMark/>
          </w:tcPr>
          <w:p w:rsidR="0011440E" w:rsidRPr="00F75A43" w:rsidRDefault="0011440E" w:rsidP="00F75A43">
            <w:pPr>
              <w:pStyle w:val="cuadroCabe"/>
              <w:rPr>
                <w:sz w:val="17"/>
                <w:szCs w:val="17"/>
                <w:lang w:val="es-ES" w:eastAsia="es-ES"/>
              </w:rPr>
            </w:pPr>
            <w:r w:rsidRPr="00F75A43">
              <w:rPr>
                <w:sz w:val="17"/>
                <w:szCs w:val="17"/>
                <w:lang w:val="es-ES" w:eastAsia="es-ES"/>
              </w:rPr>
              <w:t>Descripción</w:t>
            </w:r>
          </w:p>
        </w:tc>
        <w:tc>
          <w:tcPr>
            <w:tcW w:w="1843" w:type="dxa"/>
            <w:tcBorders>
              <w:top w:val="single" w:sz="4" w:space="0" w:color="auto"/>
              <w:left w:val="nil"/>
              <w:bottom w:val="single" w:sz="4" w:space="0" w:color="auto"/>
              <w:right w:val="nil"/>
            </w:tcBorders>
            <w:shd w:val="clear" w:color="auto" w:fill="B8CCE4" w:themeFill="accent1" w:themeFillTint="66"/>
            <w:vAlign w:val="center"/>
            <w:hideMark/>
          </w:tcPr>
          <w:p w:rsidR="00F75A43" w:rsidRDefault="0011440E" w:rsidP="00F75A43">
            <w:pPr>
              <w:pStyle w:val="cuadroCabe"/>
              <w:jc w:val="right"/>
              <w:rPr>
                <w:color w:val="000000"/>
                <w:sz w:val="17"/>
                <w:szCs w:val="17"/>
                <w:lang w:val="es-ES" w:eastAsia="es-ES"/>
              </w:rPr>
            </w:pPr>
            <w:r w:rsidRPr="00F75A43">
              <w:rPr>
                <w:color w:val="000000"/>
                <w:sz w:val="17"/>
                <w:szCs w:val="17"/>
                <w:lang w:val="es-ES" w:eastAsia="es-ES"/>
              </w:rPr>
              <w:t xml:space="preserve">Obligaciones </w:t>
            </w:r>
          </w:p>
          <w:p w:rsidR="0011440E" w:rsidRPr="00F75A43" w:rsidRDefault="0011440E" w:rsidP="00F75A43">
            <w:pPr>
              <w:pStyle w:val="cuadroCabe"/>
              <w:jc w:val="right"/>
              <w:rPr>
                <w:color w:val="000000"/>
                <w:sz w:val="17"/>
                <w:szCs w:val="17"/>
                <w:lang w:val="es-ES" w:eastAsia="es-ES"/>
              </w:rPr>
            </w:pPr>
            <w:r w:rsidRPr="00F75A43">
              <w:rPr>
                <w:color w:val="000000"/>
                <w:sz w:val="17"/>
                <w:szCs w:val="17"/>
                <w:lang w:val="es-ES" w:eastAsia="es-ES"/>
              </w:rPr>
              <w:t>Reconocidas 2020</w:t>
            </w:r>
          </w:p>
        </w:tc>
        <w:tc>
          <w:tcPr>
            <w:tcW w:w="993" w:type="dxa"/>
            <w:tcBorders>
              <w:top w:val="single" w:sz="4" w:space="0" w:color="auto"/>
              <w:left w:val="nil"/>
              <w:bottom w:val="single" w:sz="4" w:space="0" w:color="auto"/>
              <w:right w:val="nil"/>
            </w:tcBorders>
            <w:shd w:val="clear" w:color="auto" w:fill="B8CCE4" w:themeFill="accent1" w:themeFillTint="66"/>
            <w:vAlign w:val="center"/>
            <w:hideMark/>
          </w:tcPr>
          <w:p w:rsidR="0011440E" w:rsidRPr="00F75A43" w:rsidRDefault="0011440E" w:rsidP="00F75A43">
            <w:pPr>
              <w:pStyle w:val="cuadroCabe"/>
              <w:jc w:val="right"/>
              <w:rPr>
                <w:color w:val="000000"/>
                <w:sz w:val="17"/>
                <w:szCs w:val="17"/>
                <w:lang w:val="es-ES" w:eastAsia="es-ES"/>
              </w:rPr>
            </w:pPr>
            <w:r w:rsidRPr="00F75A43">
              <w:rPr>
                <w:color w:val="000000"/>
                <w:sz w:val="17"/>
                <w:szCs w:val="17"/>
                <w:lang w:val="es-ES" w:eastAsia="es-ES"/>
              </w:rPr>
              <w:t>% s/total</w:t>
            </w:r>
          </w:p>
        </w:tc>
      </w:tr>
      <w:tr w:rsidR="0011440E" w:rsidRPr="0011440E" w:rsidTr="00F75A43">
        <w:trPr>
          <w:trHeight w:val="284"/>
        </w:trPr>
        <w:tc>
          <w:tcPr>
            <w:tcW w:w="5812" w:type="dxa"/>
            <w:tcBorders>
              <w:top w:val="single" w:sz="4" w:space="0" w:color="auto"/>
              <w:left w:val="nil"/>
              <w:bottom w:val="single" w:sz="2" w:space="0" w:color="auto"/>
              <w:right w:val="nil"/>
            </w:tcBorders>
            <w:shd w:val="clear" w:color="000000" w:fill="FFFFFF"/>
            <w:noWrap/>
            <w:vAlign w:val="center"/>
            <w:hideMark/>
          </w:tcPr>
          <w:p w:rsidR="0011440E" w:rsidRPr="0011440E" w:rsidRDefault="0011440E" w:rsidP="00F75A43">
            <w:pPr>
              <w:pStyle w:val="cuatexto"/>
              <w:rPr>
                <w:lang w:val="es-ES" w:eastAsia="es-ES"/>
              </w:rPr>
            </w:pPr>
            <w:r w:rsidRPr="0011440E">
              <w:rPr>
                <w:lang w:val="es-ES" w:eastAsia="es-ES"/>
              </w:rPr>
              <w:t>Subvenciones a proyectos de I+D e inversiones financiadas por fondos FEDER y FEADER</w:t>
            </w:r>
          </w:p>
        </w:tc>
        <w:tc>
          <w:tcPr>
            <w:tcW w:w="1843" w:type="dxa"/>
            <w:tcBorders>
              <w:top w:val="single" w:sz="4" w:space="0" w:color="auto"/>
              <w:left w:val="nil"/>
              <w:bottom w:val="single" w:sz="2" w:space="0" w:color="auto"/>
              <w:right w:val="nil"/>
            </w:tcBorders>
            <w:shd w:val="clear" w:color="000000" w:fill="FFFFFF"/>
            <w:noWrap/>
            <w:vAlign w:val="center"/>
            <w:hideMark/>
          </w:tcPr>
          <w:p w:rsidR="0011440E" w:rsidRPr="0011440E" w:rsidRDefault="0011440E" w:rsidP="00F75A43">
            <w:pPr>
              <w:pStyle w:val="cuatexto"/>
              <w:jc w:val="right"/>
              <w:rPr>
                <w:lang w:val="es-ES" w:eastAsia="es-ES"/>
              </w:rPr>
            </w:pPr>
            <w:r w:rsidRPr="0011440E">
              <w:rPr>
                <w:lang w:val="es-ES" w:eastAsia="es-ES"/>
              </w:rPr>
              <w:t xml:space="preserve">28.670.495 </w:t>
            </w:r>
          </w:p>
        </w:tc>
        <w:tc>
          <w:tcPr>
            <w:tcW w:w="993" w:type="dxa"/>
            <w:tcBorders>
              <w:top w:val="single" w:sz="4" w:space="0" w:color="auto"/>
              <w:left w:val="nil"/>
              <w:bottom w:val="single" w:sz="2" w:space="0" w:color="auto"/>
              <w:right w:val="nil"/>
            </w:tcBorders>
            <w:shd w:val="clear" w:color="auto" w:fill="auto"/>
            <w:noWrap/>
            <w:vAlign w:val="center"/>
            <w:hideMark/>
          </w:tcPr>
          <w:p w:rsidR="0011440E" w:rsidRPr="0011440E" w:rsidRDefault="0011440E" w:rsidP="00F75A43">
            <w:pPr>
              <w:pStyle w:val="cuatexto"/>
              <w:jc w:val="right"/>
              <w:rPr>
                <w:lang w:val="es-ES" w:eastAsia="es-ES"/>
              </w:rPr>
            </w:pPr>
            <w:r w:rsidRPr="0011440E">
              <w:rPr>
                <w:lang w:val="es-ES" w:eastAsia="es-ES"/>
              </w:rPr>
              <w:t>60</w:t>
            </w:r>
          </w:p>
        </w:tc>
      </w:tr>
      <w:tr w:rsidR="0011440E" w:rsidRPr="0011440E" w:rsidTr="00F75A43">
        <w:trPr>
          <w:trHeight w:val="284"/>
        </w:trPr>
        <w:tc>
          <w:tcPr>
            <w:tcW w:w="5812" w:type="dxa"/>
            <w:tcBorders>
              <w:top w:val="single" w:sz="2" w:space="0" w:color="auto"/>
              <w:left w:val="nil"/>
              <w:bottom w:val="single" w:sz="2" w:space="0" w:color="auto"/>
              <w:right w:val="nil"/>
            </w:tcBorders>
            <w:shd w:val="clear" w:color="000000" w:fill="FFFFFF"/>
            <w:noWrap/>
            <w:vAlign w:val="center"/>
            <w:hideMark/>
          </w:tcPr>
          <w:p w:rsidR="0011440E" w:rsidRPr="0011440E" w:rsidRDefault="0011440E" w:rsidP="00F75A43">
            <w:pPr>
              <w:pStyle w:val="cuatexto"/>
              <w:rPr>
                <w:lang w:val="es-ES" w:eastAsia="es-ES"/>
              </w:rPr>
            </w:pPr>
            <w:r w:rsidRPr="0011440E">
              <w:rPr>
                <w:lang w:val="es-ES" w:eastAsia="es-ES"/>
              </w:rPr>
              <w:t>Subvenciones de capital a proyectos de I+D estratégicos. RIS3 Navarra</w:t>
            </w:r>
          </w:p>
        </w:tc>
        <w:tc>
          <w:tcPr>
            <w:tcW w:w="1843" w:type="dxa"/>
            <w:tcBorders>
              <w:top w:val="single" w:sz="2" w:space="0" w:color="auto"/>
              <w:left w:val="nil"/>
              <w:bottom w:val="single" w:sz="2" w:space="0" w:color="auto"/>
              <w:right w:val="nil"/>
            </w:tcBorders>
            <w:shd w:val="clear" w:color="000000" w:fill="FFFFFF"/>
            <w:noWrap/>
            <w:vAlign w:val="center"/>
            <w:hideMark/>
          </w:tcPr>
          <w:p w:rsidR="0011440E" w:rsidRPr="0011440E" w:rsidRDefault="0011440E" w:rsidP="00F75A43">
            <w:pPr>
              <w:pStyle w:val="cuatexto"/>
              <w:jc w:val="right"/>
              <w:rPr>
                <w:lang w:val="es-ES" w:eastAsia="es-ES"/>
              </w:rPr>
            </w:pPr>
            <w:r w:rsidRPr="0011440E">
              <w:rPr>
                <w:lang w:val="es-ES" w:eastAsia="es-ES"/>
              </w:rPr>
              <w:t xml:space="preserve">13.898.042 </w:t>
            </w:r>
          </w:p>
        </w:tc>
        <w:tc>
          <w:tcPr>
            <w:tcW w:w="993" w:type="dxa"/>
            <w:tcBorders>
              <w:top w:val="single" w:sz="2" w:space="0" w:color="auto"/>
              <w:left w:val="nil"/>
              <w:bottom w:val="single" w:sz="2" w:space="0" w:color="auto"/>
              <w:right w:val="nil"/>
            </w:tcBorders>
            <w:shd w:val="clear" w:color="auto" w:fill="auto"/>
            <w:noWrap/>
            <w:vAlign w:val="center"/>
            <w:hideMark/>
          </w:tcPr>
          <w:p w:rsidR="0011440E" w:rsidRPr="0011440E" w:rsidRDefault="0011440E" w:rsidP="00F75A43">
            <w:pPr>
              <w:pStyle w:val="cuatexto"/>
              <w:jc w:val="right"/>
              <w:rPr>
                <w:lang w:val="es-ES" w:eastAsia="es-ES"/>
              </w:rPr>
            </w:pPr>
            <w:r w:rsidRPr="0011440E">
              <w:rPr>
                <w:lang w:val="es-ES" w:eastAsia="es-ES"/>
              </w:rPr>
              <w:t>29</w:t>
            </w:r>
          </w:p>
        </w:tc>
      </w:tr>
      <w:tr w:rsidR="0011440E" w:rsidRPr="0011440E" w:rsidTr="00F75A43">
        <w:trPr>
          <w:trHeight w:val="284"/>
        </w:trPr>
        <w:tc>
          <w:tcPr>
            <w:tcW w:w="5812" w:type="dxa"/>
            <w:tcBorders>
              <w:top w:val="single" w:sz="2" w:space="0" w:color="auto"/>
              <w:left w:val="nil"/>
              <w:bottom w:val="single" w:sz="2" w:space="0" w:color="auto"/>
              <w:right w:val="nil"/>
            </w:tcBorders>
            <w:shd w:val="clear" w:color="000000" w:fill="FFFFFF"/>
            <w:noWrap/>
            <w:vAlign w:val="center"/>
            <w:hideMark/>
          </w:tcPr>
          <w:p w:rsidR="0011440E" w:rsidRPr="0011440E" w:rsidRDefault="0011440E" w:rsidP="00F75A43">
            <w:pPr>
              <w:pStyle w:val="cuatexto"/>
              <w:rPr>
                <w:lang w:val="es-ES" w:eastAsia="es-ES"/>
              </w:rPr>
            </w:pPr>
            <w:r w:rsidRPr="0011440E">
              <w:rPr>
                <w:lang w:val="es-ES" w:eastAsia="es-ES"/>
              </w:rPr>
              <w:t>Subvención por inversión en grandes empresas</w:t>
            </w:r>
          </w:p>
        </w:tc>
        <w:tc>
          <w:tcPr>
            <w:tcW w:w="1843" w:type="dxa"/>
            <w:tcBorders>
              <w:top w:val="single" w:sz="2" w:space="0" w:color="auto"/>
              <w:left w:val="nil"/>
              <w:bottom w:val="single" w:sz="2" w:space="0" w:color="auto"/>
              <w:right w:val="nil"/>
            </w:tcBorders>
            <w:shd w:val="clear" w:color="000000" w:fill="FFFFFF"/>
            <w:noWrap/>
            <w:vAlign w:val="center"/>
            <w:hideMark/>
          </w:tcPr>
          <w:p w:rsidR="0011440E" w:rsidRPr="0011440E" w:rsidRDefault="0011440E" w:rsidP="00F75A43">
            <w:pPr>
              <w:pStyle w:val="cuatexto"/>
              <w:jc w:val="right"/>
              <w:rPr>
                <w:lang w:val="es-ES" w:eastAsia="es-ES"/>
              </w:rPr>
            </w:pPr>
            <w:r w:rsidRPr="0011440E">
              <w:rPr>
                <w:lang w:val="es-ES" w:eastAsia="es-ES"/>
              </w:rPr>
              <w:t xml:space="preserve">1.581.959 </w:t>
            </w:r>
          </w:p>
        </w:tc>
        <w:tc>
          <w:tcPr>
            <w:tcW w:w="993" w:type="dxa"/>
            <w:tcBorders>
              <w:top w:val="single" w:sz="2" w:space="0" w:color="auto"/>
              <w:left w:val="nil"/>
              <w:bottom w:val="single" w:sz="2" w:space="0" w:color="auto"/>
              <w:right w:val="nil"/>
            </w:tcBorders>
            <w:shd w:val="clear" w:color="auto" w:fill="auto"/>
            <w:noWrap/>
            <w:vAlign w:val="center"/>
            <w:hideMark/>
          </w:tcPr>
          <w:p w:rsidR="0011440E" w:rsidRPr="0011440E" w:rsidRDefault="0011440E" w:rsidP="00F75A43">
            <w:pPr>
              <w:pStyle w:val="cuatexto"/>
              <w:jc w:val="right"/>
              <w:rPr>
                <w:lang w:val="es-ES" w:eastAsia="es-ES"/>
              </w:rPr>
            </w:pPr>
            <w:r w:rsidRPr="0011440E">
              <w:rPr>
                <w:lang w:val="es-ES" w:eastAsia="es-ES"/>
              </w:rPr>
              <w:t>3</w:t>
            </w:r>
          </w:p>
        </w:tc>
      </w:tr>
      <w:tr w:rsidR="0011440E" w:rsidRPr="0011440E" w:rsidTr="00F75A43">
        <w:trPr>
          <w:trHeight w:val="284"/>
        </w:trPr>
        <w:tc>
          <w:tcPr>
            <w:tcW w:w="5812" w:type="dxa"/>
            <w:tcBorders>
              <w:top w:val="single" w:sz="2" w:space="0" w:color="auto"/>
              <w:left w:val="nil"/>
              <w:bottom w:val="single" w:sz="2" w:space="0" w:color="auto"/>
              <w:right w:val="nil"/>
            </w:tcBorders>
            <w:shd w:val="clear" w:color="000000" w:fill="FFFFFF"/>
            <w:noWrap/>
            <w:vAlign w:val="center"/>
            <w:hideMark/>
          </w:tcPr>
          <w:p w:rsidR="0011440E" w:rsidRPr="0011440E" w:rsidRDefault="0011440E" w:rsidP="00F75A43">
            <w:pPr>
              <w:pStyle w:val="cuatexto"/>
              <w:rPr>
                <w:lang w:val="es-ES" w:eastAsia="es-ES"/>
              </w:rPr>
            </w:pPr>
            <w:r w:rsidRPr="0011440E">
              <w:rPr>
                <w:lang w:val="es-ES" w:eastAsia="es-ES"/>
              </w:rPr>
              <w:t>Ayudas contratación personal investigador</w:t>
            </w:r>
          </w:p>
        </w:tc>
        <w:tc>
          <w:tcPr>
            <w:tcW w:w="1843" w:type="dxa"/>
            <w:tcBorders>
              <w:top w:val="single" w:sz="2" w:space="0" w:color="auto"/>
              <w:left w:val="nil"/>
              <w:bottom w:val="single" w:sz="2" w:space="0" w:color="auto"/>
              <w:right w:val="nil"/>
            </w:tcBorders>
            <w:shd w:val="clear" w:color="000000" w:fill="FFFFFF"/>
            <w:noWrap/>
            <w:vAlign w:val="center"/>
            <w:hideMark/>
          </w:tcPr>
          <w:p w:rsidR="0011440E" w:rsidRPr="0011440E" w:rsidRDefault="0011440E" w:rsidP="00F75A43">
            <w:pPr>
              <w:pStyle w:val="cuatexto"/>
              <w:jc w:val="right"/>
              <w:rPr>
                <w:lang w:val="es-ES" w:eastAsia="es-ES"/>
              </w:rPr>
            </w:pPr>
            <w:r w:rsidRPr="0011440E">
              <w:rPr>
                <w:lang w:val="es-ES" w:eastAsia="es-ES"/>
              </w:rPr>
              <w:t xml:space="preserve">558.400 </w:t>
            </w:r>
          </w:p>
        </w:tc>
        <w:tc>
          <w:tcPr>
            <w:tcW w:w="993" w:type="dxa"/>
            <w:tcBorders>
              <w:top w:val="single" w:sz="2" w:space="0" w:color="auto"/>
              <w:left w:val="nil"/>
              <w:bottom w:val="single" w:sz="2" w:space="0" w:color="auto"/>
              <w:right w:val="nil"/>
            </w:tcBorders>
            <w:shd w:val="clear" w:color="auto" w:fill="auto"/>
            <w:noWrap/>
            <w:vAlign w:val="center"/>
            <w:hideMark/>
          </w:tcPr>
          <w:p w:rsidR="0011440E" w:rsidRPr="0011440E" w:rsidRDefault="0011440E" w:rsidP="00F75A43">
            <w:pPr>
              <w:pStyle w:val="cuatexto"/>
              <w:jc w:val="right"/>
              <w:rPr>
                <w:lang w:val="es-ES" w:eastAsia="es-ES"/>
              </w:rPr>
            </w:pPr>
            <w:r w:rsidRPr="0011440E">
              <w:rPr>
                <w:lang w:val="es-ES" w:eastAsia="es-ES"/>
              </w:rPr>
              <w:t>1</w:t>
            </w:r>
          </w:p>
        </w:tc>
      </w:tr>
      <w:tr w:rsidR="0011440E" w:rsidRPr="0011440E" w:rsidTr="00F75A43">
        <w:trPr>
          <w:trHeight w:val="284"/>
        </w:trPr>
        <w:tc>
          <w:tcPr>
            <w:tcW w:w="5812" w:type="dxa"/>
            <w:tcBorders>
              <w:top w:val="single" w:sz="2" w:space="0" w:color="auto"/>
              <w:left w:val="nil"/>
              <w:bottom w:val="single" w:sz="4" w:space="0" w:color="auto"/>
              <w:right w:val="nil"/>
            </w:tcBorders>
            <w:shd w:val="clear" w:color="000000" w:fill="FFFFFF"/>
            <w:noWrap/>
            <w:vAlign w:val="center"/>
            <w:hideMark/>
          </w:tcPr>
          <w:p w:rsidR="0011440E" w:rsidRPr="0011440E" w:rsidRDefault="0011440E" w:rsidP="00F75A43">
            <w:pPr>
              <w:pStyle w:val="cuatexto"/>
              <w:rPr>
                <w:lang w:val="es-ES" w:eastAsia="es-ES"/>
              </w:rPr>
            </w:pPr>
            <w:r w:rsidRPr="0011440E">
              <w:rPr>
                <w:lang w:val="es-ES" w:eastAsia="es-ES"/>
              </w:rPr>
              <w:t xml:space="preserve">Bonos tecnológicos </w:t>
            </w:r>
          </w:p>
        </w:tc>
        <w:tc>
          <w:tcPr>
            <w:tcW w:w="1843" w:type="dxa"/>
            <w:tcBorders>
              <w:top w:val="single" w:sz="2" w:space="0" w:color="auto"/>
              <w:left w:val="nil"/>
              <w:bottom w:val="single" w:sz="4" w:space="0" w:color="auto"/>
              <w:right w:val="nil"/>
            </w:tcBorders>
            <w:shd w:val="clear" w:color="000000" w:fill="FFFFFF"/>
            <w:noWrap/>
            <w:vAlign w:val="center"/>
            <w:hideMark/>
          </w:tcPr>
          <w:p w:rsidR="0011440E" w:rsidRPr="0011440E" w:rsidRDefault="0011440E" w:rsidP="00F75A43">
            <w:pPr>
              <w:pStyle w:val="cuatexto"/>
              <w:jc w:val="right"/>
              <w:rPr>
                <w:lang w:val="es-ES" w:eastAsia="es-ES"/>
              </w:rPr>
            </w:pPr>
            <w:r w:rsidRPr="0011440E">
              <w:rPr>
                <w:lang w:val="es-ES" w:eastAsia="es-ES"/>
              </w:rPr>
              <w:t xml:space="preserve">345.982 </w:t>
            </w:r>
          </w:p>
        </w:tc>
        <w:tc>
          <w:tcPr>
            <w:tcW w:w="993" w:type="dxa"/>
            <w:tcBorders>
              <w:top w:val="single" w:sz="2" w:space="0" w:color="auto"/>
              <w:left w:val="nil"/>
              <w:bottom w:val="single" w:sz="4" w:space="0" w:color="auto"/>
              <w:right w:val="nil"/>
            </w:tcBorders>
            <w:shd w:val="clear" w:color="auto" w:fill="auto"/>
            <w:noWrap/>
            <w:vAlign w:val="center"/>
            <w:hideMark/>
          </w:tcPr>
          <w:p w:rsidR="0011440E" w:rsidRPr="0011440E" w:rsidRDefault="0011440E" w:rsidP="00F75A43">
            <w:pPr>
              <w:pStyle w:val="cuatexto"/>
              <w:jc w:val="right"/>
              <w:rPr>
                <w:lang w:val="es-ES" w:eastAsia="es-ES"/>
              </w:rPr>
            </w:pPr>
            <w:r w:rsidRPr="0011440E">
              <w:rPr>
                <w:lang w:val="es-ES" w:eastAsia="es-ES"/>
              </w:rPr>
              <w:t>1</w:t>
            </w:r>
          </w:p>
        </w:tc>
      </w:tr>
    </w:tbl>
    <w:p w:rsidR="00204F99" w:rsidRPr="00644E28" w:rsidRDefault="00204F99" w:rsidP="006014C6">
      <w:pPr>
        <w:pStyle w:val="texto"/>
        <w:spacing w:after="0"/>
        <w:ind w:firstLine="0"/>
      </w:pPr>
    </w:p>
    <w:p w:rsidR="0011440E" w:rsidRPr="00176F0F" w:rsidRDefault="00204F99" w:rsidP="00137BC3">
      <w:pPr>
        <w:pStyle w:val="texto"/>
      </w:pPr>
      <w:r w:rsidRPr="00176F0F">
        <w:t>Otras empresas privadas</w:t>
      </w:r>
      <w:r w:rsidR="0042678C" w:rsidRPr="00176F0F">
        <w:t>, tales como centros especiales de empleo, pyme</w:t>
      </w:r>
      <w:r w:rsidR="006763A1" w:rsidRPr="00176F0F">
        <w:t xml:space="preserve">s, empresas de economía social o </w:t>
      </w:r>
      <w:r w:rsidR="0042678C" w:rsidRPr="00176F0F">
        <w:t>empresas y profesionales de producciones esc</w:t>
      </w:r>
      <w:r w:rsidR="0042678C" w:rsidRPr="00176F0F">
        <w:t>é</w:t>
      </w:r>
      <w:r w:rsidR="0042678C" w:rsidRPr="00176F0F">
        <w:t>nicas</w:t>
      </w:r>
      <w:r w:rsidRPr="00176F0F">
        <w:t xml:space="preserve"> han recibido 82 millones. </w:t>
      </w:r>
      <w:r w:rsidR="007B18AB">
        <w:t>E</w:t>
      </w:r>
      <w:r w:rsidR="00665D76" w:rsidRPr="00176F0F">
        <w:t xml:space="preserve">l </w:t>
      </w:r>
      <w:r w:rsidRPr="00176F0F">
        <w:t>95 p</w:t>
      </w:r>
      <w:r w:rsidR="00333202" w:rsidRPr="00176F0F">
        <w:t xml:space="preserve">or ciento </w:t>
      </w:r>
      <w:r w:rsidR="007B18AB">
        <w:t xml:space="preserve">de este importe </w:t>
      </w:r>
      <w:r w:rsidR="00333202" w:rsidRPr="00176F0F">
        <w:t>corresponde</w:t>
      </w:r>
      <w:r w:rsidRPr="00176F0F">
        <w:t xml:space="preserve"> a transferencias corrientes. Los fondos </w:t>
      </w:r>
      <w:proofErr w:type="spellStart"/>
      <w:r w:rsidRPr="00176F0F">
        <w:t>Feder</w:t>
      </w:r>
      <w:proofErr w:type="spellEnd"/>
      <w:r w:rsidRPr="00176F0F">
        <w:t xml:space="preserve"> tan sólo financian 0,4 millones de estas ayudas. </w:t>
      </w:r>
      <w:r w:rsidR="00137BC3" w:rsidRPr="00176F0F">
        <w:t>Las ayudas COVID a otras empresas ascienden a 39,9 millones, entre las que destacan las “subvenciones para Pymes Turismo-Hostelería”</w:t>
      </w:r>
      <w:r w:rsidR="007B18AB">
        <w:t>,</w:t>
      </w:r>
      <w:r w:rsidR="00137BC3" w:rsidRPr="00176F0F">
        <w:t xml:space="preserve"> con un gasto de 13,5 millones</w:t>
      </w:r>
      <w:r w:rsidR="007B18AB">
        <w:t>,</w:t>
      </w:r>
      <w:r w:rsidR="00137BC3" w:rsidRPr="00176F0F">
        <w:t xml:space="preserve"> y las “ayudas a trabajadoras y trabajadores autón</w:t>
      </w:r>
      <w:r w:rsidR="00137BC3" w:rsidRPr="00176F0F">
        <w:t>o</w:t>
      </w:r>
      <w:r w:rsidR="00137BC3" w:rsidRPr="00176F0F">
        <w:t xml:space="preserve">mos” por valor de 24 millones. </w:t>
      </w:r>
    </w:p>
    <w:p w:rsidR="00DE7A57" w:rsidRDefault="00DE7A57" w:rsidP="006014C6">
      <w:pPr>
        <w:pStyle w:val="texto"/>
        <w:spacing w:after="240"/>
      </w:pPr>
      <w:r>
        <w:t>Los principales conceptos que integran estos gastos son:</w:t>
      </w:r>
    </w:p>
    <w:tbl>
      <w:tblPr>
        <w:tblW w:w="8647" w:type="dxa"/>
        <w:tblCellMar>
          <w:left w:w="70" w:type="dxa"/>
          <w:right w:w="70" w:type="dxa"/>
        </w:tblCellMar>
        <w:tblLook w:val="04A0" w:firstRow="1" w:lastRow="0" w:firstColumn="1" w:lastColumn="0" w:noHBand="0" w:noVBand="1"/>
      </w:tblPr>
      <w:tblGrid>
        <w:gridCol w:w="5245"/>
        <w:gridCol w:w="2410"/>
        <w:gridCol w:w="992"/>
      </w:tblGrid>
      <w:tr w:rsidR="00FE0208" w:rsidRPr="00F75A43" w:rsidTr="005008EB">
        <w:trPr>
          <w:trHeight w:val="284"/>
        </w:trPr>
        <w:tc>
          <w:tcPr>
            <w:tcW w:w="5245" w:type="dxa"/>
            <w:tcBorders>
              <w:top w:val="single" w:sz="4" w:space="0" w:color="auto"/>
              <w:left w:val="nil"/>
              <w:bottom w:val="single" w:sz="4" w:space="0" w:color="auto"/>
              <w:right w:val="nil"/>
            </w:tcBorders>
            <w:shd w:val="clear" w:color="auto" w:fill="B8CCE4" w:themeFill="accent1" w:themeFillTint="66"/>
            <w:vAlign w:val="center"/>
            <w:hideMark/>
          </w:tcPr>
          <w:p w:rsidR="00FE0208" w:rsidRPr="00F75A43" w:rsidRDefault="00FE0208" w:rsidP="00F75A43">
            <w:pPr>
              <w:pStyle w:val="cuadroCabe"/>
              <w:rPr>
                <w:lang w:val="es-ES" w:eastAsia="es-ES"/>
              </w:rPr>
            </w:pPr>
            <w:r w:rsidRPr="00F75A43">
              <w:rPr>
                <w:lang w:val="es-ES" w:eastAsia="es-ES"/>
              </w:rPr>
              <w:t>Descripción</w:t>
            </w:r>
          </w:p>
        </w:tc>
        <w:tc>
          <w:tcPr>
            <w:tcW w:w="2410" w:type="dxa"/>
            <w:tcBorders>
              <w:top w:val="single" w:sz="4" w:space="0" w:color="auto"/>
              <w:left w:val="nil"/>
              <w:bottom w:val="single" w:sz="4" w:space="0" w:color="auto"/>
              <w:right w:val="nil"/>
            </w:tcBorders>
            <w:shd w:val="clear" w:color="auto" w:fill="B8CCE4" w:themeFill="accent1" w:themeFillTint="66"/>
            <w:vAlign w:val="center"/>
            <w:hideMark/>
          </w:tcPr>
          <w:p w:rsidR="00F75A43" w:rsidRDefault="00FE0208" w:rsidP="00F75A43">
            <w:pPr>
              <w:pStyle w:val="cuadroCabe"/>
              <w:jc w:val="right"/>
              <w:rPr>
                <w:color w:val="000000"/>
                <w:lang w:val="es-ES" w:eastAsia="es-ES"/>
              </w:rPr>
            </w:pPr>
            <w:r w:rsidRPr="00F75A43">
              <w:rPr>
                <w:color w:val="000000"/>
                <w:lang w:val="es-ES" w:eastAsia="es-ES"/>
              </w:rPr>
              <w:t xml:space="preserve">Obligaciones </w:t>
            </w:r>
          </w:p>
          <w:p w:rsidR="00FE0208" w:rsidRPr="00F75A43" w:rsidRDefault="00FE0208" w:rsidP="00F75A43">
            <w:pPr>
              <w:pStyle w:val="cuadroCabe"/>
              <w:jc w:val="right"/>
              <w:rPr>
                <w:color w:val="000000"/>
                <w:lang w:val="es-ES" w:eastAsia="es-ES"/>
              </w:rPr>
            </w:pPr>
            <w:r w:rsidRPr="00F75A43">
              <w:rPr>
                <w:color w:val="000000"/>
                <w:lang w:val="es-ES" w:eastAsia="es-ES"/>
              </w:rPr>
              <w:t>Reconocidas</w:t>
            </w:r>
            <w:r w:rsidR="005008EB">
              <w:rPr>
                <w:color w:val="000000"/>
                <w:lang w:val="es-ES" w:eastAsia="es-ES"/>
              </w:rPr>
              <w:t xml:space="preserve"> </w:t>
            </w:r>
            <w:r w:rsidRPr="00F75A43">
              <w:rPr>
                <w:color w:val="000000"/>
                <w:lang w:val="es-ES" w:eastAsia="es-ES"/>
              </w:rPr>
              <w:t>2020</w:t>
            </w:r>
          </w:p>
        </w:tc>
        <w:tc>
          <w:tcPr>
            <w:tcW w:w="992" w:type="dxa"/>
            <w:tcBorders>
              <w:top w:val="single" w:sz="4" w:space="0" w:color="auto"/>
              <w:left w:val="nil"/>
              <w:bottom w:val="single" w:sz="4" w:space="0" w:color="auto"/>
              <w:right w:val="nil"/>
            </w:tcBorders>
            <w:shd w:val="clear" w:color="auto" w:fill="B8CCE4" w:themeFill="accent1" w:themeFillTint="66"/>
            <w:vAlign w:val="center"/>
            <w:hideMark/>
          </w:tcPr>
          <w:p w:rsidR="00FE0208" w:rsidRPr="00F75A43" w:rsidRDefault="00FE0208" w:rsidP="00F75A43">
            <w:pPr>
              <w:pStyle w:val="cuadroCabe"/>
              <w:jc w:val="right"/>
              <w:rPr>
                <w:color w:val="000000"/>
                <w:lang w:val="es-ES" w:eastAsia="es-ES"/>
              </w:rPr>
            </w:pPr>
            <w:r w:rsidRPr="00F75A43">
              <w:rPr>
                <w:color w:val="000000"/>
                <w:lang w:val="es-ES" w:eastAsia="es-ES"/>
              </w:rPr>
              <w:t>% s/total</w:t>
            </w:r>
          </w:p>
        </w:tc>
      </w:tr>
      <w:tr w:rsidR="00FE0208" w:rsidRPr="00FE0208" w:rsidTr="005008EB">
        <w:trPr>
          <w:trHeight w:val="284"/>
        </w:trPr>
        <w:tc>
          <w:tcPr>
            <w:tcW w:w="5245" w:type="dxa"/>
            <w:tcBorders>
              <w:top w:val="single" w:sz="4" w:space="0" w:color="auto"/>
              <w:left w:val="nil"/>
              <w:bottom w:val="single" w:sz="2" w:space="0" w:color="auto"/>
              <w:right w:val="nil"/>
            </w:tcBorders>
            <w:shd w:val="clear" w:color="000000" w:fill="FFFFFF"/>
            <w:noWrap/>
            <w:vAlign w:val="center"/>
            <w:hideMark/>
          </w:tcPr>
          <w:p w:rsidR="00FE0208" w:rsidRPr="00FE0208" w:rsidRDefault="00FE0208" w:rsidP="00F75A43">
            <w:pPr>
              <w:pStyle w:val="cuatexto"/>
              <w:rPr>
                <w:lang w:val="es-ES" w:eastAsia="es-ES"/>
              </w:rPr>
            </w:pPr>
            <w:r w:rsidRPr="00FE0208">
              <w:rPr>
                <w:lang w:val="es-ES" w:eastAsia="es-ES"/>
              </w:rPr>
              <w:t xml:space="preserve">Ayudas a autónomo/as y hostelería por la crisis </w:t>
            </w:r>
            <w:proofErr w:type="spellStart"/>
            <w:r w:rsidRPr="00FE0208">
              <w:rPr>
                <w:lang w:val="es-ES" w:eastAsia="es-ES"/>
              </w:rPr>
              <w:t>Covid</w:t>
            </w:r>
            <w:proofErr w:type="spellEnd"/>
            <w:r w:rsidRPr="00FE0208">
              <w:rPr>
                <w:lang w:val="es-ES" w:eastAsia="es-ES"/>
              </w:rPr>
              <w:t>-19</w:t>
            </w:r>
          </w:p>
        </w:tc>
        <w:tc>
          <w:tcPr>
            <w:tcW w:w="2410" w:type="dxa"/>
            <w:tcBorders>
              <w:top w:val="single" w:sz="4" w:space="0" w:color="auto"/>
              <w:left w:val="nil"/>
              <w:bottom w:val="single" w:sz="2" w:space="0" w:color="auto"/>
              <w:right w:val="nil"/>
            </w:tcBorders>
            <w:shd w:val="clear" w:color="000000" w:fill="FFFFFF"/>
            <w:noWrap/>
            <w:vAlign w:val="center"/>
            <w:hideMark/>
          </w:tcPr>
          <w:p w:rsidR="00FE0208" w:rsidRPr="00FE0208" w:rsidRDefault="00FE0208" w:rsidP="00F75A43">
            <w:pPr>
              <w:pStyle w:val="cuatexto"/>
              <w:jc w:val="right"/>
              <w:rPr>
                <w:lang w:val="es-ES" w:eastAsia="es-ES"/>
              </w:rPr>
            </w:pPr>
            <w:r w:rsidRPr="00FE0208">
              <w:rPr>
                <w:lang w:val="es-ES" w:eastAsia="es-ES"/>
              </w:rPr>
              <w:t xml:space="preserve">37.571.112 </w:t>
            </w:r>
          </w:p>
        </w:tc>
        <w:tc>
          <w:tcPr>
            <w:tcW w:w="992" w:type="dxa"/>
            <w:tcBorders>
              <w:top w:val="single" w:sz="4" w:space="0" w:color="auto"/>
              <w:left w:val="nil"/>
              <w:bottom w:val="single" w:sz="2" w:space="0" w:color="auto"/>
              <w:right w:val="nil"/>
            </w:tcBorders>
            <w:shd w:val="clear" w:color="auto" w:fill="auto"/>
            <w:noWrap/>
            <w:vAlign w:val="center"/>
            <w:hideMark/>
          </w:tcPr>
          <w:p w:rsidR="00FE0208" w:rsidRPr="00FE0208" w:rsidRDefault="00FE0208" w:rsidP="00F75A43">
            <w:pPr>
              <w:pStyle w:val="cuatexto"/>
              <w:jc w:val="right"/>
              <w:rPr>
                <w:lang w:val="es-ES" w:eastAsia="es-ES"/>
              </w:rPr>
            </w:pPr>
            <w:r w:rsidRPr="00FE0208">
              <w:rPr>
                <w:lang w:val="es-ES" w:eastAsia="es-ES"/>
              </w:rPr>
              <w:t>46</w:t>
            </w:r>
          </w:p>
        </w:tc>
      </w:tr>
      <w:tr w:rsidR="00FE0208" w:rsidRPr="00FE0208" w:rsidTr="005008EB">
        <w:trPr>
          <w:trHeight w:val="284"/>
        </w:trPr>
        <w:tc>
          <w:tcPr>
            <w:tcW w:w="5245" w:type="dxa"/>
            <w:tcBorders>
              <w:top w:val="single" w:sz="2" w:space="0" w:color="auto"/>
              <w:left w:val="nil"/>
              <w:bottom w:val="single" w:sz="2" w:space="0" w:color="auto"/>
              <w:right w:val="nil"/>
            </w:tcBorders>
            <w:shd w:val="clear" w:color="000000" w:fill="FFFFFF"/>
            <w:noWrap/>
            <w:vAlign w:val="center"/>
            <w:hideMark/>
          </w:tcPr>
          <w:p w:rsidR="00FE0208" w:rsidRPr="00FE0208" w:rsidRDefault="00FE0208" w:rsidP="00F75A43">
            <w:pPr>
              <w:pStyle w:val="cuatexto"/>
              <w:rPr>
                <w:lang w:val="es-ES" w:eastAsia="es-ES"/>
              </w:rPr>
            </w:pPr>
            <w:r w:rsidRPr="00FE0208">
              <w:rPr>
                <w:lang w:val="es-ES" w:eastAsia="es-ES"/>
              </w:rPr>
              <w:t>AUDENASA. Política comercial</w:t>
            </w:r>
          </w:p>
        </w:tc>
        <w:tc>
          <w:tcPr>
            <w:tcW w:w="2410" w:type="dxa"/>
            <w:tcBorders>
              <w:top w:val="single" w:sz="2" w:space="0" w:color="auto"/>
              <w:left w:val="nil"/>
              <w:bottom w:val="single" w:sz="2" w:space="0" w:color="auto"/>
              <w:right w:val="nil"/>
            </w:tcBorders>
            <w:shd w:val="clear" w:color="000000" w:fill="FFFFFF"/>
            <w:noWrap/>
            <w:vAlign w:val="center"/>
            <w:hideMark/>
          </w:tcPr>
          <w:p w:rsidR="00FE0208" w:rsidRPr="00FE0208" w:rsidRDefault="00FE0208" w:rsidP="00F75A43">
            <w:pPr>
              <w:pStyle w:val="cuatexto"/>
              <w:jc w:val="right"/>
              <w:rPr>
                <w:lang w:val="es-ES" w:eastAsia="es-ES"/>
              </w:rPr>
            </w:pPr>
            <w:r w:rsidRPr="00FE0208">
              <w:rPr>
                <w:lang w:val="es-ES" w:eastAsia="es-ES"/>
              </w:rPr>
              <w:t xml:space="preserve">11.555.996 </w:t>
            </w:r>
          </w:p>
        </w:tc>
        <w:tc>
          <w:tcPr>
            <w:tcW w:w="992" w:type="dxa"/>
            <w:tcBorders>
              <w:top w:val="single" w:sz="2" w:space="0" w:color="auto"/>
              <w:left w:val="nil"/>
              <w:bottom w:val="single" w:sz="2" w:space="0" w:color="auto"/>
              <w:right w:val="nil"/>
            </w:tcBorders>
            <w:shd w:val="clear" w:color="auto" w:fill="auto"/>
            <w:noWrap/>
            <w:vAlign w:val="center"/>
            <w:hideMark/>
          </w:tcPr>
          <w:p w:rsidR="00FE0208" w:rsidRPr="00FE0208" w:rsidRDefault="00FE0208" w:rsidP="00F75A43">
            <w:pPr>
              <w:pStyle w:val="cuatexto"/>
              <w:jc w:val="right"/>
              <w:rPr>
                <w:lang w:val="es-ES" w:eastAsia="es-ES"/>
              </w:rPr>
            </w:pPr>
            <w:r w:rsidRPr="00FE0208">
              <w:rPr>
                <w:lang w:val="es-ES" w:eastAsia="es-ES"/>
              </w:rPr>
              <w:t>14</w:t>
            </w:r>
          </w:p>
        </w:tc>
      </w:tr>
      <w:tr w:rsidR="00FE0208" w:rsidRPr="00FE0208" w:rsidTr="005008EB">
        <w:trPr>
          <w:trHeight w:val="284"/>
        </w:trPr>
        <w:tc>
          <w:tcPr>
            <w:tcW w:w="5245" w:type="dxa"/>
            <w:tcBorders>
              <w:top w:val="single" w:sz="2" w:space="0" w:color="auto"/>
              <w:left w:val="nil"/>
              <w:bottom w:val="single" w:sz="2" w:space="0" w:color="auto"/>
              <w:right w:val="nil"/>
            </w:tcBorders>
            <w:shd w:val="clear" w:color="000000" w:fill="FFFFFF"/>
            <w:noWrap/>
            <w:vAlign w:val="center"/>
            <w:hideMark/>
          </w:tcPr>
          <w:p w:rsidR="00FE0208" w:rsidRPr="00FE0208" w:rsidRDefault="00FE0208" w:rsidP="00F75A43">
            <w:pPr>
              <w:pStyle w:val="cuatexto"/>
              <w:rPr>
                <w:lang w:val="es-ES" w:eastAsia="es-ES"/>
              </w:rPr>
            </w:pPr>
            <w:r w:rsidRPr="00FE0208">
              <w:rPr>
                <w:lang w:val="es-ES" w:eastAsia="es-ES"/>
              </w:rPr>
              <w:t>Ayudas a Centros Especiales de Empleo. FSE</w:t>
            </w:r>
          </w:p>
        </w:tc>
        <w:tc>
          <w:tcPr>
            <w:tcW w:w="2410" w:type="dxa"/>
            <w:tcBorders>
              <w:top w:val="single" w:sz="2" w:space="0" w:color="auto"/>
              <w:left w:val="nil"/>
              <w:bottom w:val="single" w:sz="2" w:space="0" w:color="auto"/>
              <w:right w:val="nil"/>
            </w:tcBorders>
            <w:shd w:val="clear" w:color="000000" w:fill="FFFFFF"/>
            <w:noWrap/>
            <w:vAlign w:val="center"/>
            <w:hideMark/>
          </w:tcPr>
          <w:p w:rsidR="00FE0208" w:rsidRPr="00FE0208" w:rsidRDefault="00FE0208" w:rsidP="00F75A43">
            <w:pPr>
              <w:pStyle w:val="cuatexto"/>
              <w:jc w:val="right"/>
              <w:rPr>
                <w:lang w:val="es-ES" w:eastAsia="es-ES"/>
              </w:rPr>
            </w:pPr>
            <w:r w:rsidRPr="00FE0208">
              <w:rPr>
                <w:lang w:val="es-ES" w:eastAsia="es-ES"/>
              </w:rPr>
              <w:t xml:space="preserve">11.461.321 </w:t>
            </w:r>
          </w:p>
        </w:tc>
        <w:tc>
          <w:tcPr>
            <w:tcW w:w="992" w:type="dxa"/>
            <w:tcBorders>
              <w:top w:val="single" w:sz="2" w:space="0" w:color="auto"/>
              <w:left w:val="nil"/>
              <w:bottom w:val="single" w:sz="2" w:space="0" w:color="auto"/>
              <w:right w:val="nil"/>
            </w:tcBorders>
            <w:shd w:val="clear" w:color="auto" w:fill="auto"/>
            <w:noWrap/>
            <w:vAlign w:val="center"/>
            <w:hideMark/>
          </w:tcPr>
          <w:p w:rsidR="00FE0208" w:rsidRPr="00FE0208" w:rsidRDefault="00FE0208" w:rsidP="00F75A43">
            <w:pPr>
              <w:pStyle w:val="cuatexto"/>
              <w:jc w:val="right"/>
              <w:rPr>
                <w:lang w:val="es-ES" w:eastAsia="es-ES"/>
              </w:rPr>
            </w:pPr>
            <w:r w:rsidRPr="00FE0208">
              <w:rPr>
                <w:lang w:val="es-ES" w:eastAsia="es-ES"/>
              </w:rPr>
              <w:t>14</w:t>
            </w:r>
          </w:p>
        </w:tc>
      </w:tr>
      <w:tr w:rsidR="00FE0208" w:rsidRPr="00FE0208" w:rsidTr="005008EB">
        <w:trPr>
          <w:trHeight w:val="284"/>
        </w:trPr>
        <w:tc>
          <w:tcPr>
            <w:tcW w:w="5245" w:type="dxa"/>
            <w:tcBorders>
              <w:top w:val="single" w:sz="2" w:space="0" w:color="auto"/>
              <w:left w:val="nil"/>
              <w:bottom w:val="single" w:sz="2" w:space="0" w:color="auto"/>
              <w:right w:val="nil"/>
            </w:tcBorders>
            <w:shd w:val="clear" w:color="000000" w:fill="FFFFFF"/>
            <w:noWrap/>
            <w:vAlign w:val="center"/>
            <w:hideMark/>
          </w:tcPr>
          <w:p w:rsidR="00FE0208" w:rsidRPr="00FE0208" w:rsidRDefault="00FE0208" w:rsidP="00F75A43">
            <w:pPr>
              <w:pStyle w:val="cuatexto"/>
              <w:rPr>
                <w:lang w:val="es-ES" w:eastAsia="es-ES"/>
              </w:rPr>
            </w:pPr>
            <w:r w:rsidRPr="00FE0208">
              <w:rPr>
                <w:lang w:val="es-ES" w:eastAsia="es-ES"/>
              </w:rPr>
              <w:t xml:space="preserve">Convenio con </w:t>
            </w:r>
            <w:proofErr w:type="spellStart"/>
            <w:r w:rsidRPr="00FE0208">
              <w:rPr>
                <w:lang w:val="es-ES" w:eastAsia="es-ES"/>
              </w:rPr>
              <w:t>Tasubinsa</w:t>
            </w:r>
            <w:proofErr w:type="spellEnd"/>
            <w:r w:rsidRPr="00FE0208">
              <w:rPr>
                <w:lang w:val="es-ES" w:eastAsia="es-ES"/>
              </w:rPr>
              <w:t xml:space="preserve">  para centros ocupacionales para pe</w:t>
            </w:r>
            <w:r w:rsidRPr="00FE0208">
              <w:rPr>
                <w:lang w:val="es-ES" w:eastAsia="es-ES"/>
              </w:rPr>
              <w:t>r</w:t>
            </w:r>
            <w:r w:rsidRPr="00FE0208">
              <w:rPr>
                <w:lang w:val="es-ES" w:eastAsia="es-ES"/>
              </w:rPr>
              <w:t>sonas con discapacidad</w:t>
            </w:r>
          </w:p>
        </w:tc>
        <w:tc>
          <w:tcPr>
            <w:tcW w:w="2410" w:type="dxa"/>
            <w:tcBorders>
              <w:top w:val="single" w:sz="2" w:space="0" w:color="auto"/>
              <w:left w:val="nil"/>
              <w:bottom w:val="single" w:sz="2" w:space="0" w:color="auto"/>
              <w:right w:val="nil"/>
            </w:tcBorders>
            <w:shd w:val="clear" w:color="000000" w:fill="FFFFFF"/>
            <w:noWrap/>
            <w:vAlign w:val="center"/>
            <w:hideMark/>
          </w:tcPr>
          <w:p w:rsidR="00FE0208" w:rsidRPr="00FE0208" w:rsidRDefault="00FE0208" w:rsidP="00F75A43">
            <w:pPr>
              <w:pStyle w:val="cuatexto"/>
              <w:jc w:val="right"/>
              <w:rPr>
                <w:lang w:val="es-ES" w:eastAsia="es-ES"/>
              </w:rPr>
            </w:pPr>
            <w:r w:rsidRPr="00FE0208">
              <w:rPr>
                <w:lang w:val="es-ES" w:eastAsia="es-ES"/>
              </w:rPr>
              <w:t xml:space="preserve">3.430.985 </w:t>
            </w:r>
          </w:p>
        </w:tc>
        <w:tc>
          <w:tcPr>
            <w:tcW w:w="992" w:type="dxa"/>
            <w:tcBorders>
              <w:top w:val="single" w:sz="2" w:space="0" w:color="auto"/>
              <w:left w:val="nil"/>
              <w:bottom w:val="single" w:sz="2" w:space="0" w:color="auto"/>
              <w:right w:val="nil"/>
            </w:tcBorders>
            <w:shd w:val="clear" w:color="auto" w:fill="auto"/>
            <w:noWrap/>
            <w:vAlign w:val="center"/>
            <w:hideMark/>
          </w:tcPr>
          <w:p w:rsidR="00FE0208" w:rsidRPr="00FE0208" w:rsidRDefault="00FE0208" w:rsidP="00F75A43">
            <w:pPr>
              <w:pStyle w:val="cuatexto"/>
              <w:jc w:val="right"/>
              <w:rPr>
                <w:lang w:val="es-ES" w:eastAsia="es-ES"/>
              </w:rPr>
            </w:pPr>
            <w:r w:rsidRPr="00FE0208">
              <w:rPr>
                <w:lang w:val="es-ES" w:eastAsia="es-ES"/>
              </w:rPr>
              <w:t>4</w:t>
            </w:r>
          </w:p>
        </w:tc>
      </w:tr>
      <w:tr w:rsidR="00FE0208" w:rsidRPr="00FE0208" w:rsidTr="005008EB">
        <w:trPr>
          <w:trHeight w:val="284"/>
        </w:trPr>
        <w:tc>
          <w:tcPr>
            <w:tcW w:w="5245" w:type="dxa"/>
            <w:tcBorders>
              <w:top w:val="single" w:sz="2" w:space="0" w:color="auto"/>
              <w:left w:val="nil"/>
              <w:bottom w:val="single" w:sz="2" w:space="0" w:color="auto"/>
              <w:right w:val="nil"/>
            </w:tcBorders>
            <w:shd w:val="clear" w:color="000000" w:fill="FFFFFF"/>
            <w:noWrap/>
            <w:vAlign w:val="center"/>
            <w:hideMark/>
          </w:tcPr>
          <w:p w:rsidR="00FE0208" w:rsidRPr="00FE0208" w:rsidRDefault="00FE0208" w:rsidP="00F75A43">
            <w:pPr>
              <w:pStyle w:val="cuatexto"/>
              <w:rPr>
                <w:lang w:val="es-ES" w:eastAsia="es-ES"/>
              </w:rPr>
            </w:pPr>
            <w:r w:rsidRPr="00FE0208">
              <w:rPr>
                <w:lang w:val="es-ES" w:eastAsia="es-ES"/>
              </w:rPr>
              <w:t>Incentivos a la contratación de jóvenes por empresas</w:t>
            </w:r>
          </w:p>
        </w:tc>
        <w:tc>
          <w:tcPr>
            <w:tcW w:w="2410" w:type="dxa"/>
            <w:tcBorders>
              <w:top w:val="single" w:sz="2" w:space="0" w:color="auto"/>
              <w:left w:val="nil"/>
              <w:bottom w:val="single" w:sz="2" w:space="0" w:color="auto"/>
              <w:right w:val="nil"/>
            </w:tcBorders>
            <w:shd w:val="clear" w:color="000000" w:fill="FFFFFF"/>
            <w:noWrap/>
            <w:vAlign w:val="center"/>
            <w:hideMark/>
          </w:tcPr>
          <w:p w:rsidR="00FE0208" w:rsidRPr="00FE0208" w:rsidRDefault="00FE0208" w:rsidP="00F75A43">
            <w:pPr>
              <w:pStyle w:val="cuatexto"/>
              <w:jc w:val="right"/>
              <w:rPr>
                <w:lang w:val="es-ES" w:eastAsia="es-ES"/>
              </w:rPr>
            </w:pPr>
            <w:r w:rsidRPr="00FE0208">
              <w:rPr>
                <w:lang w:val="es-ES" w:eastAsia="es-ES"/>
              </w:rPr>
              <w:t xml:space="preserve">1.870.770 </w:t>
            </w:r>
          </w:p>
        </w:tc>
        <w:tc>
          <w:tcPr>
            <w:tcW w:w="992" w:type="dxa"/>
            <w:tcBorders>
              <w:top w:val="single" w:sz="2" w:space="0" w:color="auto"/>
              <w:left w:val="nil"/>
              <w:bottom w:val="single" w:sz="2" w:space="0" w:color="auto"/>
              <w:right w:val="nil"/>
            </w:tcBorders>
            <w:shd w:val="clear" w:color="auto" w:fill="auto"/>
            <w:noWrap/>
            <w:vAlign w:val="center"/>
            <w:hideMark/>
          </w:tcPr>
          <w:p w:rsidR="00FE0208" w:rsidRPr="00FE0208" w:rsidRDefault="00FE0208" w:rsidP="00F75A43">
            <w:pPr>
              <w:pStyle w:val="cuatexto"/>
              <w:jc w:val="right"/>
              <w:rPr>
                <w:lang w:val="es-ES" w:eastAsia="es-ES"/>
              </w:rPr>
            </w:pPr>
            <w:r w:rsidRPr="00FE0208">
              <w:rPr>
                <w:lang w:val="es-ES" w:eastAsia="es-ES"/>
              </w:rPr>
              <w:t>2</w:t>
            </w:r>
          </w:p>
        </w:tc>
      </w:tr>
      <w:tr w:rsidR="00FE0208" w:rsidRPr="00FE0208" w:rsidTr="005008EB">
        <w:trPr>
          <w:trHeight w:val="284"/>
        </w:trPr>
        <w:tc>
          <w:tcPr>
            <w:tcW w:w="5245" w:type="dxa"/>
            <w:tcBorders>
              <w:top w:val="single" w:sz="2" w:space="0" w:color="auto"/>
              <w:left w:val="nil"/>
              <w:bottom w:val="single" w:sz="2" w:space="0" w:color="auto"/>
              <w:right w:val="nil"/>
            </w:tcBorders>
            <w:shd w:val="clear" w:color="000000" w:fill="FFFFFF"/>
            <w:noWrap/>
            <w:vAlign w:val="center"/>
            <w:hideMark/>
          </w:tcPr>
          <w:p w:rsidR="00FE0208" w:rsidRPr="00FE0208" w:rsidRDefault="00FE0208" w:rsidP="00F75A43">
            <w:pPr>
              <w:pStyle w:val="cuatexto"/>
              <w:rPr>
                <w:lang w:val="es-ES" w:eastAsia="es-ES"/>
              </w:rPr>
            </w:pPr>
            <w:r w:rsidRPr="00FE0208">
              <w:rPr>
                <w:lang w:val="es-ES" w:eastAsia="es-ES"/>
              </w:rPr>
              <w:t xml:space="preserve">Convenio con </w:t>
            </w:r>
            <w:proofErr w:type="spellStart"/>
            <w:r w:rsidRPr="00FE0208">
              <w:rPr>
                <w:lang w:val="es-ES" w:eastAsia="es-ES"/>
              </w:rPr>
              <w:t>Elkarkide</w:t>
            </w:r>
            <w:proofErr w:type="spellEnd"/>
            <w:r w:rsidRPr="00FE0208">
              <w:rPr>
                <w:lang w:val="es-ES" w:eastAsia="es-ES"/>
              </w:rPr>
              <w:t xml:space="preserve"> para centros ocupacionales para pers</w:t>
            </w:r>
            <w:r w:rsidRPr="00FE0208">
              <w:rPr>
                <w:lang w:val="es-ES" w:eastAsia="es-ES"/>
              </w:rPr>
              <w:t>o</w:t>
            </w:r>
            <w:r w:rsidRPr="00FE0208">
              <w:rPr>
                <w:lang w:val="es-ES" w:eastAsia="es-ES"/>
              </w:rPr>
              <w:t>nas con enfermedad mental</w:t>
            </w:r>
          </w:p>
        </w:tc>
        <w:tc>
          <w:tcPr>
            <w:tcW w:w="2410" w:type="dxa"/>
            <w:tcBorders>
              <w:top w:val="single" w:sz="2" w:space="0" w:color="auto"/>
              <w:left w:val="nil"/>
              <w:bottom w:val="single" w:sz="2" w:space="0" w:color="auto"/>
              <w:right w:val="nil"/>
            </w:tcBorders>
            <w:shd w:val="clear" w:color="000000" w:fill="FFFFFF"/>
            <w:noWrap/>
            <w:vAlign w:val="center"/>
            <w:hideMark/>
          </w:tcPr>
          <w:p w:rsidR="00FE0208" w:rsidRPr="00FE0208" w:rsidRDefault="00FE0208" w:rsidP="00F75A43">
            <w:pPr>
              <w:pStyle w:val="cuatexto"/>
              <w:jc w:val="right"/>
              <w:rPr>
                <w:lang w:val="es-ES" w:eastAsia="es-ES"/>
              </w:rPr>
            </w:pPr>
            <w:r w:rsidRPr="00FE0208">
              <w:rPr>
                <w:lang w:val="es-ES" w:eastAsia="es-ES"/>
              </w:rPr>
              <w:t xml:space="preserve">1.806.200 </w:t>
            </w:r>
          </w:p>
        </w:tc>
        <w:tc>
          <w:tcPr>
            <w:tcW w:w="992" w:type="dxa"/>
            <w:tcBorders>
              <w:top w:val="single" w:sz="2" w:space="0" w:color="auto"/>
              <w:left w:val="nil"/>
              <w:bottom w:val="single" w:sz="2" w:space="0" w:color="auto"/>
              <w:right w:val="nil"/>
            </w:tcBorders>
            <w:shd w:val="clear" w:color="auto" w:fill="auto"/>
            <w:noWrap/>
            <w:vAlign w:val="center"/>
            <w:hideMark/>
          </w:tcPr>
          <w:p w:rsidR="00FE0208" w:rsidRPr="00FE0208" w:rsidRDefault="00FE0208" w:rsidP="00F75A43">
            <w:pPr>
              <w:pStyle w:val="cuatexto"/>
              <w:jc w:val="right"/>
              <w:rPr>
                <w:lang w:val="es-ES" w:eastAsia="es-ES"/>
              </w:rPr>
            </w:pPr>
            <w:r w:rsidRPr="00FE0208">
              <w:rPr>
                <w:lang w:val="es-ES" w:eastAsia="es-ES"/>
              </w:rPr>
              <w:t>2</w:t>
            </w:r>
          </w:p>
        </w:tc>
      </w:tr>
      <w:tr w:rsidR="00FE0208" w:rsidRPr="00FE0208" w:rsidTr="005008EB">
        <w:trPr>
          <w:trHeight w:val="284"/>
        </w:trPr>
        <w:tc>
          <w:tcPr>
            <w:tcW w:w="5245" w:type="dxa"/>
            <w:tcBorders>
              <w:top w:val="single" w:sz="2" w:space="0" w:color="auto"/>
              <w:left w:val="nil"/>
              <w:bottom w:val="single" w:sz="2" w:space="0" w:color="auto"/>
              <w:right w:val="nil"/>
            </w:tcBorders>
            <w:shd w:val="clear" w:color="000000" w:fill="FFFFFF"/>
            <w:noWrap/>
            <w:vAlign w:val="center"/>
            <w:hideMark/>
          </w:tcPr>
          <w:p w:rsidR="00FE0208" w:rsidRPr="00FE0208" w:rsidRDefault="00FE0208" w:rsidP="00F75A43">
            <w:pPr>
              <w:pStyle w:val="cuatexto"/>
              <w:rPr>
                <w:lang w:val="es-ES" w:eastAsia="es-ES"/>
              </w:rPr>
            </w:pPr>
            <w:r w:rsidRPr="00FE0208">
              <w:rPr>
                <w:lang w:val="es-ES" w:eastAsia="es-ES"/>
              </w:rPr>
              <w:t>Ayuda al mantenimiento de servicios de transporte de viajeros</w:t>
            </w:r>
          </w:p>
        </w:tc>
        <w:tc>
          <w:tcPr>
            <w:tcW w:w="2410" w:type="dxa"/>
            <w:tcBorders>
              <w:top w:val="single" w:sz="2" w:space="0" w:color="auto"/>
              <w:left w:val="nil"/>
              <w:bottom w:val="single" w:sz="2" w:space="0" w:color="auto"/>
              <w:right w:val="nil"/>
            </w:tcBorders>
            <w:shd w:val="clear" w:color="000000" w:fill="FFFFFF"/>
            <w:noWrap/>
            <w:vAlign w:val="center"/>
            <w:hideMark/>
          </w:tcPr>
          <w:p w:rsidR="00FE0208" w:rsidRPr="00FE0208" w:rsidRDefault="00FE0208" w:rsidP="00F75A43">
            <w:pPr>
              <w:pStyle w:val="cuatexto"/>
              <w:jc w:val="right"/>
              <w:rPr>
                <w:lang w:val="es-ES" w:eastAsia="es-ES"/>
              </w:rPr>
            </w:pPr>
            <w:r w:rsidRPr="00FE0208">
              <w:rPr>
                <w:lang w:val="es-ES" w:eastAsia="es-ES"/>
              </w:rPr>
              <w:t xml:space="preserve">1.779.842 </w:t>
            </w:r>
          </w:p>
        </w:tc>
        <w:tc>
          <w:tcPr>
            <w:tcW w:w="992" w:type="dxa"/>
            <w:tcBorders>
              <w:top w:val="single" w:sz="2" w:space="0" w:color="auto"/>
              <w:left w:val="nil"/>
              <w:bottom w:val="single" w:sz="2" w:space="0" w:color="auto"/>
              <w:right w:val="nil"/>
            </w:tcBorders>
            <w:shd w:val="clear" w:color="auto" w:fill="auto"/>
            <w:noWrap/>
            <w:vAlign w:val="center"/>
            <w:hideMark/>
          </w:tcPr>
          <w:p w:rsidR="00FE0208" w:rsidRPr="00FE0208" w:rsidRDefault="00FE0208" w:rsidP="00F75A43">
            <w:pPr>
              <w:pStyle w:val="cuatexto"/>
              <w:jc w:val="right"/>
              <w:rPr>
                <w:lang w:val="es-ES" w:eastAsia="es-ES"/>
              </w:rPr>
            </w:pPr>
            <w:r w:rsidRPr="00FE0208">
              <w:rPr>
                <w:lang w:val="es-ES" w:eastAsia="es-ES"/>
              </w:rPr>
              <w:t>2</w:t>
            </w:r>
          </w:p>
        </w:tc>
      </w:tr>
      <w:tr w:rsidR="00FE0208" w:rsidRPr="00FE0208" w:rsidTr="005008EB">
        <w:trPr>
          <w:trHeight w:val="284"/>
        </w:trPr>
        <w:tc>
          <w:tcPr>
            <w:tcW w:w="5245" w:type="dxa"/>
            <w:tcBorders>
              <w:top w:val="single" w:sz="2" w:space="0" w:color="auto"/>
              <w:left w:val="nil"/>
              <w:bottom w:val="single" w:sz="2" w:space="0" w:color="auto"/>
              <w:right w:val="nil"/>
            </w:tcBorders>
            <w:shd w:val="clear" w:color="000000" w:fill="FFFFFF"/>
            <w:noWrap/>
            <w:vAlign w:val="center"/>
            <w:hideMark/>
          </w:tcPr>
          <w:p w:rsidR="00FE0208" w:rsidRPr="00FE0208" w:rsidRDefault="00FE0208" w:rsidP="00F75A43">
            <w:pPr>
              <w:pStyle w:val="cuatexto"/>
              <w:rPr>
                <w:lang w:val="es-ES" w:eastAsia="es-ES"/>
              </w:rPr>
            </w:pPr>
            <w:r w:rsidRPr="00FE0208">
              <w:rPr>
                <w:lang w:val="es-ES" w:eastAsia="es-ES"/>
              </w:rPr>
              <w:t>Ayudas a la formación profesional de desempleados</w:t>
            </w:r>
          </w:p>
        </w:tc>
        <w:tc>
          <w:tcPr>
            <w:tcW w:w="2410" w:type="dxa"/>
            <w:tcBorders>
              <w:top w:val="single" w:sz="2" w:space="0" w:color="auto"/>
              <w:left w:val="nil"/>
              <w:bottom w:val="single" w:sz="2" w:space="0" w:color="auto"/>
              <w:right w:val="nil"/>
            </w:tcBorders>
            <w:shd w:val="clear" w:color="000000" w:fill="FFFFFF"/>
            <w:noWrap/>
            <w:vAlign w:val="center"/>
            <w:hideMark/>
          </w:tcPr>
          <w:p w:rsidR="00FE0208" w:rsidRPr="00FE0208" w:rsidRDefault="00FE0208" w:rsidP="00F75A43">
            <w:pPr>
              <w:pStyle w:val="cuatexto"/>
              <w:jc w:val="right"/>
              <w:rPr>
                <w:lang w:val="es-ES" w:eastAsia="es-ES"/>
              </w:rPr>
            </w:pPr>
            <w:r w:rsidRPr="00FE0208">
              <w:rPr>
                <w:lang w:val="es-ES" w:eastAsia="es-ES"/>
              </w:rPr>
              <w:t xml:space="preserve">1.736.101 </w:t>
            </w:r>
          </w:p>
        </w:tc>
        <w:tc>
          <w:tcPr>
            <w:tcW w:w="992" w:type="dxa"/>
            <w:tcBorders>
              <w:top w:val="single" w:sz="2" w:space="0" w:color="auto"/>
              <w:left w:val="nil"/>
              <w:bottom w:val="single" w:sz="2" w:space="0" w:color="auto"/>
              <w:right w:val="nil"/>
            </w:tcBorders>
            <w:shd w:val="clear" w:color="auto" w:fill="auto"/>
            <w:noWrap/>
            <w:vAlign w:val="center"/>
            <w:hideMark/>
          </w:tcPr>
          <w:p w:rsidR="00FE0208" w:rsidRPr="00FE0208" w:rsidRDefault="00FE0208" w:rsidP="00F75A43">
            <w:pPr>
              <w:pStyle w:val="cuatexto"/>
              <w:jc w:val="right"/>
              <w:rPr>
                <w:lang w:val="es-ES" w:eastAsia="es-ES"/>
              </w:rPr>
            </w:pPr>
            <w:r w:rsidRPr="00FE0208">
              <w:rPr>
                <w:lang w:val="es-ES" w:eastAsia="es-ES"/>
              </w:rPr>
              <w:t>2</w:t>
            </w:r>
          </w:p>
        </w:tc>
      </w:tr>
      <w:tr w:rsidR="00FE0208" w:rsidRPr="00FE0208" w:rsidTr="005008EB">
        <w:trPr>
          <w:trHeight w:val="284"/>
        </w:trPr>
        <w:tc>
          <w:tcPr>
            <w:tcW w:w="5245" w:type="dxa"/>
            <w:tcBorders>
              <w:top w:val="single" w:sz="2" w:space="0" w:color="auto"/>
              <w:left w:val="nil"/>
              <w:bottom w:val="single" w:sz="2" w:space="0" w:color="auto"/>
              <w:right w:val="nil"/>
            </w:tcBorders>
            <w:shd w:val="clear" w:color="000000" w:fill="FFFFFF"/>
            <w:noWrap/>
            <w:vAlign w:val="center"/>
            <w:hideMark/>
          </w:tcPr>
          <w:p w:rsidR="00FE0208" w:rsidRPr="00FE0208" w:rsidRDefault="00FE0208" w:rsidP="00F75A43">
            <w:pPr>
              <w:pStyle w:val="cuatexto"/>
              <w:rPr>
                <w:lang w:val="es-ES" w:eastAsia="es-ES"/>
              </w:rPr>
            </w:pPr>
            <w:r w:rsidRPr="00FE0208">
              <w:rPr>
                <w:lang w:val="es-ES" w:eastAsia="es-ES"/>
              </w:rPr>
              <w:t>Ayuda al mantenimiento de servicios de tra</w:t>
            </w:r>
            <w:r w:rsidR="00AA567B">
              <w:rPr>
                <w:lang w:val="es-ES" w:eastAsia="es-ES"/>
              </w:rPr>
              <w:t>ns</w:t>
            </w:r>
            <w:r w:rsidRPr="00FE0208">
              <w:rPr>
                <w:lang w:val="es-ES" w:eastAsia="es-ES"/>
              </w:rPr>
              <w:t>porte de viajeros por la crisis COVID-19</w:t>
            </w:r>
          </w:p>
        </w:tc>
        <w:tc>
          <w:tcPr>
            <w:tcW w:w="2410" w:type="dxa"/>
            <w:tcBorders>
              <w:top w:val="single" w:sz="2" w:space="0" w:color="auto"/>
              <w:left w:val="nil"/>
              <w:bottom w:val="single" w:sz="2" w:space="0" w:color="auto"/>
              <w:right w:val="nil"/>
            </w:tcBorders>
            <w:shd w:val="clear" w:color="000000" w:fill="FFFFFF"/>
            <w:noWrap/>
            <w:vAlign w:val="center"/>
            <w:hideMark/>
          </w:tcPr>
          <w:p w:rsidR="00FE0208" w:rsidRPr="00FE0208" w:rsidRDefault="00FE0208" w:rsidP="00F75A43">
            <w:pPr>
              <w:pStyle w:val="cuatexto"/>
              <w:jc w:val="right"/>
              <w:rPr>
                <w:lang w:val="es-ES" w:eastAsia="es-ES"/>
              </w:rPr>
            </w:pPr>
            <w:r w:rsidRPr="00FE0208">
              <w:rPr>
                <w:lang w:val="es-ES" w:eastAsia="es-ES"/>
              </w:rPr>
              <w:t xml:space="preserve">1.363.969 </w:t>
            </w:r>
          </w:p>
        </w:tc>
        <w:tc>
          <w:tcPr>
            <w:tcW w:w="992" w:type="dxa"/>
            <w:tcBorders>
              <w:top w:val="single" w:sz="2" w:space="0" w:color="auto"/>
              <w:left w:val="nil"/>
              <w:bottom w:val="single" w:sz="2" w:space="0" w:color="auto"/>
              <w:right w:val="nil"/>
            </w:tcBorders>
            <w:shd w:val="clear" w:color="auto" w:fill="auto"/>
            <w:noWrap/>
            <w:vAlign w:val="center"/>
            <w:hideMark/>
          </w:tcPr>
          <w:p w:rsidR="00FE0208" w:rsidRPr="00FE0208" w:rsidRDefault="00FE0208" w:rsidP="00F75A43">
            <w:pPr>
              <w:pStyle w:val="cuatexto"/>
              <w:jc w:val="right"/>
              <w:rPr>
                <w:lang w:val="es-ES" w:eastAsia="es-ES"/>
              </w:rPr>
            </w:pPr>
            <w:r w:rsidRPr="00FE0208">
              <w:rPr>
                <w:lang w:val="es-ES" w:eastAsia="es-ES"/>
              </w:rPr>
              <w:t>2</w:t>
            </w:r>
          </w:p>
        </w:tc>
      </w:tr>
      <w:tr w:rsidR="00FE0208" w:rsidRPr="00FE0208" w:rsidTr="005008EB">
        <w:trPr>
          <w:trHeight w:val="284"/>
        </w:trPr>
        <w:tc>
          <w:tcPr>
            <w:tcW w:w="5245" w:type="dxa"/>
            <w:tcBorders>
              <w:top w:val="single" w:sz="2" w:space="0" w:color="auto"/>
              <w:left w:val="nil"/>
              <w:bottom w:val="single" w:sz="4" w:space="0" w:color="auto"/>
              <w:right w:val="nil"/>
            </w:tcBorders>
            <w:shd w:val="clear" w:color="000000" w:fill="FFFFFF"/>
            <w:noWrap/>
            <w:vAlign w:val="center"/>
            <w:hideMark/>
          </w:tcPr>
          <w:p w:rsidR="00FE0208" w:rsidRPr="00FE0208" w:rsidRDefault="00FE0208" w:rsidP="00F75A43">
            <w:pPr>
              <w:pStyle w:val="cuatexto"/>
              <w:rPr>
                <w:lang w:val="es-ES" w:eastAsia="es-ES"/>
              </w:rPr>
            </w:pPr>
            <w:r w:rsidRPr="00FE0208">
              <w:rPr>
                <w:lang w:val="es-ES" w:eastAsia="es-ES"/>
              </w:rPr>
              <w:t>Ayudas a la producción audiovisual navarra</w:t>
            </w:r>
          </w:p>
        </w:tc>
        <w:tc>
          <w:tcPr>
            <w:tcW w:w="2410" w:type="dxa"/>
            <w:tcBorders>
              <w:top w:val="single" w:sz="2" w:space="0" w:color="auto"/>
              <w:left w:val="nil"/>
              <w:bottom w:val="single" w:sz="4" w:space="0" w:color="auto"/>
              <w:right w:val="nil"/>
            </w:tcBorders>
            <w:shd w:val="clear" w:color="000000" w:fill="FFFFFF"/>
            <w:noWrap/>
            <w:vAlign w:val="center"/>
            <w:hideMark/>
          </w:tcPr>
          <w:p w:rsidR="00FE0208" w:rsidRPr="00FE0208" w:rsidRDefault="00FE0208" w:rsidP="00F75A43">
            <w:pPr>
              <w:pStyle w:val="cuatexto"/>
              <w:jc w:val="right"/>
              <w:rPr>
                <w:lang w:val="es-ES" w:eastAsia="es-ES"/>
              </w:rPr>
            </w:pPr>
            <w:r w:rsidRPr="00FE0208">
              <w:rPr>
                <w:lang w:val="es-ES" w:eastAsia="es-ES"/>
              </w:rPr>
              <w:t xml:space="preserve">1.081.169 </w:t>
            </w:r>
          </w:p>
        </w:tc>
        <w:tc>
          <w:tcPr>
            <w:tcW w:w="992" w:type="dxa"/>
            <w:tcBorders>
              <w:top w:val="single" w:sz="2" w:space="0" w:color="auto"/>
              <w:left w:val="nil"/>
              <w:bottom w:val="single" w:sz="4" w:space="0" w:color="auto"/>
              <w:right w:val="nil"/>
            </w:tcBorders>
            <w:shd w:val="clear" w:color="auto" w:fill="auto"/>
            <w:noWrap/>
            <w:vAlign w:val="center"/>
            <w:hideMark/>
          </w:tcPr>
          <w:p w:rsidR="00FE0208" w:rsidRPr="00FE0208" w:rsidRDefault="00FE0208" w:rsidP="00F75A43">
            <w:pPr>
              <w:pStyle w:val="cuatexto"/>
              <w:jc w:val="right"/>
              <w:rPr>
                <w:lang w:val="es-ES" w:eastAsia="es-ES"/>
              </w:rPr>
            </w:pPr>
            <w:r w:rsidRPr="00FE0208">
              <w:rPr>
                <w:lang w:val="es-ES" w:eastAsia="es-ES"/>
              </w:rPr>
              <w:t>1</w:t>
            </w:r>
          </w:p>
        </w:tc>
      </w:tr>
    </w:tbl>
    <w:p w:rsidR="00DE7A57" w:rsidRDefault="00DE7A57" w:rsidP="00A5744A">
      <w:pPr>
        <w:pStyle w:val="texto"/>
      </w:pPr>
    </w:p>
    <w:p w:rsidR="00496B22" w:rsidRPr="00496B22" w:rsidRDefault="00496B22" w:rsidP="00496B22">
      <w:pPr>
        <w:pStyle w:val="atitulo3"/>
      </w:pPr>
      <w:r w:rsidRPr="00496B22">
        <w:t>Ejecu</w:t>
      </w:r>
      <w:r>
        <w:t>c</w:t>
      </w:r>
      <w:r w:rsidRPr="00496B22">
        <w:t>ió</w:t>
      </w:r>
      <w:r>
        <w:t>n</w:t>
      </w:r>
      <w:r w:rsidRPr="00496B22">
        <w:t xml:space="preserve"> por departamentos</w:t>
      </w:r>
    </w:p>
    <w:p w:rsidR="00055BC3" w:rsidRDefault="00055BC3" w:rsidP="00A5744A">
      <w:pPr>
        <w:pStyle w:val="texto"/>
      </w:pPr>
      <w:r>
        <w:t>El departamento de Desarrollo Económico y Empresarial</w:t>
      </w:r>
      <w:r w:rsidR="007B18AB">
        <w:t>,</w:t>
      </w:r>
      <w:r>
        <w:t xml:space="preserve"> con 85 millones</w:t>
      </w:r>
      <w:r w:rsidR="007B18AB">
        <w:t>,</w:t>
      </w:r>
      <w:r>
        <w:t xml:space="preserve"> es el que más ha gastado segu</w:t>
      </w:r>
      <w:r w:rsidR="00851FC6">
        <w:t>ido del D</w:t>
      </w:r>
      <w:r>
        <w:t>epartamento d</w:t>
      </w:r>
      <w:r w:rsidR="00851FC6">
        <w:t>e D</w:t>
      </w:r>
      <w:r>
        <w:t>esarr</w:t>
      </w:r>
      <w:r w:rsidR="00851FC6">
        <w:t>ollo R</w:t>
      </w:r>
      <w:r>
        <w:t>ural</w:t>
      </w:r>
      <w:r w:rsidR="00851FC6">
        <w:t xml:space="preserve"> y M</w:t>
      </w:r>
      <w:r w:rsidR="00851FC6">
        <w:t>e</w:t>
      </w:r>
      <w:r w:rsidR="00851FC6">
        <w:t>dio Ambiente</w:t>
      </w:r>
      <w:r w:rsidR="007B18AB">
        <w:t>,</w:t>
      </w:r>
      <w:r>
        <w:t xml:space="preserve"> con 45 millones</w:t>
      </w:r>
      <w:r w:rsidR="007B18AB">
        <w:t>,</w:t>
      </w:r>
      <w:r>
        <w:t xml:space="preserve"> </w:t>
      </w:r>
      <w:r w:rsidR="00851FC6">
        <w:t>y el de D</w:t>
      </w:r>
      <w:r>
        <w:t>erec</w:t>
      </w:r>
      <w:r w:rsidR="00851FC6">
        <w:t>hos S</w:t>
      </w:r>
      <w:r>
        <w:t xml:space="preserve">ociales con 22 millones. </w:t>
      </w:r>
    </w:p>
    <w:p w:rsidR="00F75A43" w:rsidRDefault="00F75A43">
      <w:pPr>
        <w:spacing w:after="0"/>
        <w:ind w:firstLine="0"/>
        <w:jc w:val="left"/>
        <w:rPr>
          <w:spacing w:val="6"/>
          <w:sz w:val="26"/>
          <w:szCs w:val="24"/>
        </w:rPr>
      </w:pPr>
      <w:r>
        <w:br w:type="page"/>
      </w:r>
    </w:p>
    <w:p w:rsidR="00055BC3" w:rsidRDefault="00055BC3" w:rsidP="00A5744A">
      <w:pPr>
        <w:pStyle w:val="texto"/>
      </w:pPr>
      <w:r>
        <w:lastRenderedPageBreak/>
        <w:t>El porcentaje sobre el gasto total de cada departamento se muestra en el s</w:t>
      </w:r>
      <w:r>
        <w:t>i</w:t>
      </w:r>
      <w:r>
        <w:t>guiente gráfico:</w:t>
      </w:r>
    </w:p>
    <w:p w:rsidR="003B7EB1" w:rsidRDefault="003B7EB1" w:rsidP="00A5744A">
      <w:pPr>
        <w:pStyle w:val="texto"/>
      </w:pPr>
    </w:p>
    <w:p w:rsidR="00055BC3" w:rsidRDefault="003B7EB1" w:rsidP="00A5744A">
      <w:pPr>
        <w:pStyle w:val="texto"/>
      </w:pPr>
      <w:r>
        <w:rPr>
          <w:noProof/>
          <w:lang w:val="es-ES" w:eastAsia="es-ES"/>
        </w:rPr>
        <w:drawing>
          <wp:inline distT="0" distB="0" distL="0" distR="0" wp14:anchorId="5E4920FE">
            <wp:extent cx="5022215" cy="2864439"/>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5105" cy="2883198"/>
                    </a:xfrm>
                    <a:prstGeom prst="rect">
                      <a:avLst/>
                    </a:prstGeom>
                    <a:noFill/>
                  </pic:spPr>
                </pic:pic>
              </a:graphicData>
            </a:graphic>
          </wp:inline>
        </w:drawing>
      </w:r>
    </w:p>
    <w:p w:rsidR="00BA4BBF" w:rsidRDefault="00BA4BBF" w:rsidP="00BA4BBF">
      <w:pPr>
        <w:pStyle w:val="texto"/>
        <w:spacing w:after="0"/>
        <w:ind w:left="502" w:firstLine="0"/>
      </w:pPr>
    </w:p>
    <w:p w:rsidR="00AE1C4B" w:rsidRPr="00F4544B" w:rsidRDefault="00AE1C4B" w:rsidP="00F4544B">
      <w:pPr>
        <w:pStyle w:val="texto"/>
        <w:spacing w:after="240"/>
      </w:pPr>
      <w:bookmarkStart w:id="14" w:name="_Toc75857468"/>
      <w:r w:rsidRPr="00F4544B">
        <w:t>El gasto del Departamento de Desarrollo Económico y Empresarial supone el 48 por ciento seguido del de Desarrollo Rural con un 25 por ciento, el de Der</w:t>
      </w:r>
      <w:r w:rsidRPr="00F4544B">
        <w:t>e</w:t>
      </w:r>
      <w:r w:rsidRPr="00F4544B">
        <w:t>chos</w:t>
      </w:r>
      <w:r w:rsidR="00FB31D8" w:rsidRPr="00F4544B">
        <w:t xml:space="preserve"> Sociales con un 12</w:t>
      </w:r>
      <w:r w:rsidR="009F2E9B" w:rsidRPr="00F4544B">
        <w:t xml:space="preserve"> por ciento y el de Economía y Hacienda y Cohesión Territorial con un seis por ciento. El resto de departamentos no supera el tres por ciento sobre el total.</w:t>
      </w:r>
    </w:p>
    <w:p w:rsidR="00204F99" w:rsidRPr="0087454C" w:rsidRDefault="003020CB" w:rsidP="00F75A43">
      <w:pPr>
        <w:pStyle w:val="atitulo2"/>
      </w:pPr>
      <w:bookmarkStart w:id="15" w:name="_Toc81830147"/>
      <w:r>
        <w:t>II.</w:t>
      </w:r>
      <w:r w:rsidR="001767F4">
        <w:t>2</w:t>
      </w:r>
      <w:r w:rsidR="00204F99" w:rsidRPr="0087454C">
        <w:t xml:space="preserve">. Plan </w:t>
      </w:r>
      <w:r w:rsidR="00204F99" w:rsidRPr="00F75A43">
        <w:t>estratégico</w:t>
      </w:r>
      <w:r w:rsidR="00204F99" w:rsidRPr="0087454C">
        <w:t xml:space="preserve"> de subvenciones</w:t>
      </w:r>
      <w:bookmarkEnd w:id="14"/>
      <w:bookmarkEnd w:id="15"/>
    </w:p>
    <w:p w:rsidR="00204F99" w:rsidRDefault="00204F99" w:rsidP="0087454C">
      <w:pPr>
        <w:pStyle w:val="texto"/>
      </w:pPr>
      <w:r w:rsidRPr="00A53C58">
        <w:t>La</w:t>
      </w:r>
      <w:r>
        <w:t xml:space="preserve"> necesidad de una planificación estratégica en el ámbito de las subvenci</w:t>
      </w:r>
      <w:r>
        <w:t>o</w:t>
      </w:r>
      <w:r>
        <w:t xml:space="preserve">nes públicas se incluyó en 2014, con la Ley Foral 5/2014, de 14 de abril, de modificación de la </w:t>
      </w:r>
      <w:r w:rsidR="00B84A46">
        <w:t>LFS</w:t>
      </w:r>
      <w:r w:rsidR="00FC1232">
        <w:t>.</w:t>
      </w:r>
    </w:p>
    <w:p w:rsidR="00204F99" w:rsidRDefault="00204F99" w:rsidP="0087454C">
      <w:pPr>
        <w:pStyle w:val="texto"/>
      </w:pPr>
      <w:r w:rsidRPr="009E636C">
        <w:t>Los planes estratégicos de subvenciones</w:t>
      </w:r>
      <w:r>
        <w:t xml:space="preserve"> (PES en adelante)</w:t>
      </w:r>
      <w:r w:rsidRPr="009E636C">
        <w:t xml:space="preserve"> se configuran como un instrumento de planificación de las políticas públicas </w:t>
      </w:r>
      <w:r w:rsidR="00385045" w:rsidRPr="00E35EE8">
        <w:t xml:space="preserve">para fomentar </w:t>
      </w:r>
      <w:r w:rsidRPr="009E636C">
        <w:t>una actividad de utilidad pública o interés social o promoción de una finalidad pública.</w:t>
      </w:r>
      <w:r>
        <w:t xml:space="preserve"> Estos </w:t>
      </w:r>
      <w:r w:rsidRPr="006C6B29">
        <w:t>deberán incluir previsiones para un período de vigencia de tres años</w:t>
      </w:r>
      <w:r>
        <w:t>.</w:t>
      </w:r>
    </w:p>
    <w:p w:rsidR="00204F99" w:rsidRPr="00A85EC1" w:rsidRDefault="00204F99" w:rsidP="000E6E06">
      <w:pPr>
        <w:pStyle w:val="texto"/>
      </w:pPr>
      <w:r w:rsidRPr="00A85EC1">
        <w:t xml:space="preserve">Los </w:t>
      </w:r>
      <w:r w:rsidR="00D16487" w:rsidRPr="00A85EC1">
        <w:t xml:space="preserve">PES </w:t>
      </w:r>
      <w:r w:rsidRPr="00A85EC1">
        <w:t>se aprueban mediante Orden Foral del Con</w:t>
      </w:r>
      <w:r w:rsidR="00F03664">
        <w:t xml:space="preserve">sejero de Economía y Hacienda. </w:t>
      </w:r>
      <w:r w:rsidR="004308C6" w:rsidRPr="00A85EC1">
        <w:t xml:space="preserve">Se han </w:t>
      </w:r>
      <w:r w:rsidR="000D611B" w:rsidRPr="00A85EC1">
        <w:t xml:space="preserve">aprobado </w:t>
      </w:r>
      <w:r w:rsidR="004308C6" w:rsidRPr="00A85EC1">
        <w:t xml:space="preserve">cuatro y se encuentran publicados en el portal web </w:t>
      </w:r>
      <w:hyperlink r:id="rId15" w:history="1">
        <w:r w:rsidR="00F03664" w:rsidRPr="00F75A43">
          <w:rPr>
            <w:rStyle w:val="Hipervnculo"/>
            <w:color w:val="auto"/>
          </w:rPr>
          <w:t>http://www.navarra.es/home_es/Gobierno+de+Navarra/Presupuesto/Plan+Estrategico+Subvenciones/</w:t>
        </w:r>
      </w:hyperlink>
      <w:r w:rsidR="004308C6" w:rsidRPr="00F75A43">
        <w:t xml:space="preserve">, </w:t>
      </w:r>
      <w:r w:rsidR="004308C6" w:rsidRPr="00A85EC1">
        <w:t>que son</w:t>
      </w:r>
      <w:r w:rsidRPr="00A85EC1">
        <w:t xml:space="preserve">, PES 2018-2020, PES 2019-2021, PES 2020-2022 y el último, en abril de 2021, el PES 2021-2023. Su elaboración se prevé </w:t>
      </w:r>
      <w:r w:rsidRPr="00A85EC1">
        <w:lastRenderedPageBreak/>
        <w:t>dentro de un ciclo continuo que permite evaluar</w:t>
      </w:r>
      <w:r w:rsidR="00D114CB">
        <w:t xml:space="preserve"> y analizar</w:t>
      </w:r>
      <w:r w:rsidRPr="00A85EC1">
        <w:t xml:space="preserve"> las convocatorias del año anterior, añadiendo una nueva anualidad en el horizonte temporal del plan.</w:t>
      </w:r>
    </w:p>
    <w:p w:rsidR="00204F99" w:rsidRDefault="00204F99" w:rsidP="0087454C">
      <w:pPr>
        <w:pStyle w:val="texto"/>
      </w:pPr>
      <w:r w:rsidRPr="008D2B8E">
        <w:t xml:space="preserve">El plan tiene un </w:t>
      </w:r>
      <w:r w:rsidRPr="00D114CB">
        <w:t xml:space="preserve">carácter programático </w:t>
      </w:r>
      <w:r w:rsidRPr="008D2B8E">
        <w:t xml:space="preserve">por lo que su efectividad </w:t>
      </w:r>
      <w:r>
        <w:t xml:space="preserve">se encuentra </w:t>
      </w:r>
      <w:r w:rsidRPr="008D2B8E">
        <w:t>condicionada a la existencia de consignación presupuestaria.</w:t>
      </w:r>
      <w:r>
        <w:t xml:space="preserve"> </w:t>
      </w:r>
    </w:p>
    <w:p w:rsidR="00204F99" w:rsidRDefault="00002C85" w:rsidP="0087454C">
      <w:pPr>
        <w:pStyle w:val="texto"/>
      </w:pPr>
      <w:r w:rsidRPr="00D85E4F">
        <w:t>Actualmente</w:t>
      </w:r>
      <w:r w:rsidR="000D7C7A">
        <w:t>,</w:t>
      </w:r>
      <w:r w:rsidRPr="00D85E4F">
        <w:t xml:space="preserve"> e</w:t>
      </w:r>
      <w:r w:rsidR="00204F99" w:rsidRPr="00D85E4F">
        <w:t xml:space="preserve">l </w:t>
      </w:r>
      <w:r w:rsidR="00204F99">
        <w:t xml:space="preserve">PES 2020-2022 </w:t>
      </w:r>
      <w:r w:rsidR="00D85E4F">
        <w:t>es el que se encuentra en vigor</w:t>
      </w:r>
      <w:r w:rsidR="00204F99">
        <w:t xml:space="preserve">. En este plan, al contrario que en los anteriores, los objetivos estratégicos se vinculan con los programas presupuestarios. La crisis sanitaria </w:t>
      </w:r>
      <w:r w:rsidR="00204F99" w:rsidRPr="00A53C58">
        <w:t>originada por la C</w:t>
      </w:r>
      <w:r w:rsidR="00204F99" w:rsidRPr="00A53C58">
        <w:t>O</w:t>
      </w:r>
      <w:r w:rsidR="00204F99" w:rsidRPr="00A53C58">
        <w:t xml:space="preserve">VID19 ha incidido </w:t>
      </w:r>
      <w:r w:rsidR="00204F99">
        <w:t>tanto en los plazos de tramitación, como en las propias l</w:t>
      </w:r>
      <w:r w:rsidR="00204F99">
        <w:t>í</w:t>
      </w:r>
      <w:r w:rsidR="00204F99">
        <w:t>neas de subvención, que se han tenido que redefinir en muchos casos.</w:t>
      </w:r>
    </w:p>
    <w:p w:rsidR="00204F99" w:rsidRDefault="00204F99" w:rsidP="00CE168E">
      <w:pPr>
        <w:pStyle w:val="texto"/>
      </w:pPr>
      <w:r>
        <w:t xml:space="preserve">El </w:t>
      </w:r>
      <w:r w:rsidR="00A4514C" w:rsidRPr="00115B48">
        <w:t>PES</w:t>
      </w:r>
      <w:r w:rsidR="00A4514C">
        <w:t xml:space="preserve"> </w:t>
      </w:r>
      <w:r>
        <w:t>contiene</w:t>
      </w:r>
      <w:r w:rsidR="00115B48">
        <w:t xml:space="preserve"> las líneas de subvención</w:t>
      </w:r>
      <w:r w:rsidR="00C84C6B" w:rsidRPr="00C84C6B">
        <w:rPr>
          <w:color w:val="FF0000"/>
        </w:rPr>
        <w:t xml:space="preserve"> </w:t>
      </w:r>
      <w:r>
        <w:t xml:space="preserve">incluidas en los </w:t>
      </w:r>
      <w:r w:rsidRPr="000A5004">
        <w:t>Presupuestos G</w:t>
      </w:r>
      <w:r w:rsidRPr="000A5004">
        <w:t>e</w:t>
      </w:r>
      <w:r w:rsidRPr="000A5004">
        <w:t xml:space="preserve">nerales de Navarra </w:t>
      </w:r>
      <w:r>
        <w:t>para 2020, excluidas las siguientes</w:t>
      </w:r>
      <w:r w:rsidR="00115B48">
        <w:t>:</w:t>
      </w:r>
      <w:r>
        <w:t xml:space="preserve"> </w:t>
      </w:r>
    </w:p>
    <w:p w:rsidR="00204F99" w:rsidRPr="00CE168E"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rsidRPr="009B7BCC">
        <w:rPr>
          <w:szCs w:val="26"/>
        </w:rPr>
        <w:t>Las enumerada</w:t>
      </w:r>
      <w:r w:rsidR="00115B48">
        <w:rPr>
          <w:szCs w:val="26"/>
        </w:rPr>
        <w:t xml:space="preserve">s </w:t>
      </w:r>
      <w:r w:rsidR="009B7BCC">
        <w:rPr>
          <w:szCs w:val="26"/>
        </w:rPr>
        <w:t xml:space="preserve">en el artículo </w:t>
      </w:r>
      <w:r w:rsidRPr="00CE168E">
        <w:rPr>
          <w:szCs w:val="26"/>
        </w:rPr>
        <w:t xml:space="preserve">3 de la LFS (aquellas </w:t>
      </w:r>
      <w:r w:rsidR="009B7BCC">
        <w:rPr>
          <w:szCs w:val="26"/>
        </w:rPr>
        <w:t>que teniendo el cará</w:t>
      </w:r>
      <w:r w:rsidR="009B7BCC">
        <w:rPr>
          <w:szCs w:val="26"/>
        </w:rPr>
        <w:t>c</w:t>
      </w:r>
      <w:r w:rsidR="009B7BCC">
        <w:rPr>
          <w:szCs w:val="26"/>
        </w:rPr>
        <w:t>ter de subvención</w:t>
      </w:r>
      <w:r w:rsidR="00607D39">
        <w:rPr>
          <w:szCs w:val="26"/>
        </w:rPr>
        <w:t xml:space="preserve"> no se les aplica la LFS) </w:t>
      </w:r>
    </w:p>
    <w:p w:rsidR="00204F99" w:rsidRPr="00CE168E"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rsidRPr="00CE168E">
        <w:rPr>
          <w:szCs w:val="26"/>
        </w:rPr>
        <w:t>Las prestaciones económicas contenidas en la cartera de salud.</w:t>
      </w:r>
    </w:p>
    <w:p w:rsidR="00204F99" w:rsidRPr="00CE168E"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rsidRPr="00CE168E">
        <w:rPr>
          <w:szCs w:val="26"/>
        </w:rPr>
        <w:t>Las de escasa relevancia ec</w:t>
      </w:r>
      <w:r w:rsidR="000333A2">
        <w:rPr>
          <w:szCs w:val="26"/>
        </w:rPr>
        <w:t>onómica (menor o igual a 50.000 euros</w:t>
      </w:r>
      <w:r w:rsidRPr="00CE168E">
        <w:rPr>
          <w:szCs w:val="26"/>
        </w:rPr>
        <w:t>)</w:t>
      </w:r>
      <w:r w:rsidRPr="00496B22">
        <w:rPr>
          <w:szCs w:val="26"/>
          <w:vertAlign w:val="superscript"/>
        </w:rPr>
        <w:footnoteReference w:id="1"/>
      </w:r>
    </w:p>
    <w:p w:rsidR="00204F99" w:rsidRPr="00CE168E"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rsidRPr="00CE168E">
        <w:rPr>
          <w:szCs w:val="26"/>
        </w:rPr>
        <w:t>Otras a</w:t>
      </w:r>
      <w:r w:rsidR="00F452EE">
        <w:rPr>
          <w:szCs w:val="26"/>
        </w:rPr>
        <w:t xml:space="preserve"> las que no pudiera afectar la </w:t>
      </w:r>
      <w:r w:rsidR="00F452EE" w:rsidRPr="009B7BCC">
        <w:rPr>
          <w:szCs w:val="26"/>
        </w:rPr>
        <w:t>LFS</w:t>
      </w:r>
      <w:r w:rsidRPr="009B7BCC">
        <w:rPr>
          <w:szCs w:val="26"/>
        </w:rPr>
        <w:t>.</w:t>
      </w:r>
    </w:p>
    <w:p w:rsidR="00204F99" w:rsidRPr="00174ECF" w:rsidRDefault="00204F99" w:rsidP="00CE168E">
      <w:pPr>
        <w:pStyle w:val="texto"/>
      </w:pPr>
      <w:r w:rsidRPr="00174ECF">
        <w:t>Desde la apr</w:t>
      </w:r>
      <w:r w:rsidR="00FA2CE6" w:rsidRPr="00174ECF">
        <w:t>obación del primer plan en 2017</w:t>
      </w:r>
      <w:r w:rsidR="00FC1232">
        <w:t>,</w:t>
      </w:r>
      <w:r w:rsidR="00FA2CE6" w:rsidRPr="00174ECF">
        <w:t xml:space="preserve"> </w:t>
      </w:r>
      <w:r w:rsidRPr="00174ECF">
        <w:t xml:space="preserve">se han abordado diferentes cuestiones relacionadas con la convocatoria de subvenciones mediante grupos de trabajo interdepartamentales. Se constituyeron dos </w:t>
      </w:r>
      <w:r w:rsidR="00FA2CE6" w:rsidRPr="00174ECF">
        <w:t xml:space="preserve">relacionados con el </w:t>
      </w:r>
      <w:r w:rsidR="00056A56">
        <w:t xml:space="preserve">grupo </w:t>
      </w:r>
      <w:r w:rsidRPr="00174ECF">
        <w:t xml:space="preserve">de </w:t>
      </w:r>
      <w:r w:rsidR="00731763" w:rsidRPr="00174ECF">
        <w:t xml:space="preserve">mejora de </w:t>
      </w:r>
      <w:r w:rsidRPr="00174ECF">
        <w:t xml:space="preserve">cronogramas y el de </w:t>
      </w:r>
      <w:r w:rsidR="00731763" w:rsidRPr="00174ECF">
        <w:t xml:space="preserve">formulación </w:t>
      </w:r>
      <w:r w:rsidRPr="00174ECF">
        <w:t xml:space="preserve">de </w:t>
      </w:r>
      <w:r w:rsidR="00731763" w:rsidRPr="00174ECF">
        <w:t xml:space="preserve">los </w:t>
      </w:r>
      <w:r w:rsidRPr="00174ECF">
        <w:t>objetivos e indicadores,</w:t>
      </w:r>
      <w:r w:rsidR="00CE168E" w:rsidRPr="00174ECF">
        <w:t xml:space="preserve"> </w:t>
      </w:r>
      <w:r w:rsidRPr="00174ECF">
        <w:t>quedando pendiente la creación de un tercer grupo de trabajo relativo a la h</w:t>
      </w:r>
      <w:r w:rsidRPr="00174ECF">
        <w:t>o</w:t>
      </w:r>
      <w:r w:rsidRPr="00174ECF">
        <w:t>mogeneización de bases de convocatorias y de documentos a justificar.</w:t>
      </w:r>
    </w:p>
    <w:p w:rsidR="00204F99" w:rsidRDefault="00204F99" w:rsidP="00015946">
      <w:pPr>
        <w:pStyle w:val="texto"/>
        <w:spacing w:after="240"/>
      </w:pPr>
      <w:r>
        <w:t>La previsión para el desarrollo del PES durante su período de vigencia (2020-2022) asciende a un total de 968 millones según el cuadro siguiente:</w:t>
      </w:r>
      <w:r w:rsidR="00C84C6B">
        <w:t xml:space="preserve"> </w:t>
      </w:r>
    </w:p>
    <w:tbl>
      <w:tblPr>
        <w:tblStyle w:val="Tablaconcuadrcula"/>
        <w:tblW w:w="8748" w:type="dxa"/>
        <w:tblBorders>
          <w:left w:val="none" w:sz="0" w:space="0" w:color="auto"/>
          <w:right w:val="none" w:sz="0" w:space="0" w:color="auto"/>
          <w:insideV w:val="none" w:sz="0" w:space="0" w:color="auto"/>
        </w:tblBorders>
        <w:tblLook w:val="04A0" w:firstRow="1" w:lastRow="0" w:firstColumn="1" w:lastColumn="0" w:noHBand="0" w:noVBand="1"/>
      </w:tblPr>
      <w:tblGrid>
        <w:gridCol w:w="2268"/>
        <w:gridCol w:w="1706"/>
        <w:gridCol w:w="1511"/>
        <w:gridCol w:w="1749"/>
        <w:gridCol w:w="1514"/>
      </w:tblGrid>
      <w:tr w:rsidR="002D56EA" w:rsidTr="005008EB">
        <w:trPr>
          <w:trHeight w:val="284"/>
        </w:trPr>
        <w:tc>
          <w:tcPr>
            <w:tcW w:w="2268" w:type="dxa"/>
            <w:shd w:val="clear" w:color="auto" w:fill="B8CCE4" w:themeFill="accent1" w:themeFillTint="66"/>
            <w:vAlign w:val="center"/>
          </w:tcPr>
          <w:p w:rsidR="002D56EA" w:rsidRDefault="002D56EA" w:rsidP="00015946">
            <w:pPr>
              <w:pStyle w:val="cuadroCabe"/>
            </w:pPr>
            <w:r>
              <w:t>Tipo de subvención</w:t>
            </w:r>
          </w:p>
        </w:tc>
        <w:tc>
          <w:tcPr>
            <w:tcW w:w="1706" w:type="dxa"/>
            <w:shd w:val="clear" w:color="auto" w:fill="B8CCE4" w:themeFill="accent1" w:themeFillTint="66"/>
            <w:vAlign w:val="center"/>
          </w:tcPr>
          <w:p w:rsidR="002D56EA" w:rsidRDefault="002D56EA" w:rsidP="005008EB">
            <w:pPr>
              <w:pStyle w:val="cuadroCabe"/>
              <w:jc w:val="right"/>
            </w:pPr>
            <w:r>
              <w:t>Presupuesto 2020</w:t>
            </w:r>
          </w:p>
        </w:tc>
        <w:tc>
          <w:tcPr>
            <w:tcW w:w="1511" w:type="dxa"/>
            <w:shd w:val="clear" w:color="auto" w:fill="B8CCE4" w:themeFill="accent1" w:themeFillTint="66"/>
            <w:vAlign w:val="center"/>
          </w:tcPr>
          <w:p w:rsidR="002D56EA" w:rsidRDefault="002D56EA" w:rsidP="005008EB">
            <w:pPr>
              <w:pStyle w:val="cuadroCabe"/>
              <w:jc w:val="right"/>
            </w:pPr>
            <w:r>
              <w:t>Presupuesto 2021</w:t>
            </w:r>
          </w:p>
        </w:tc>
        <w:tc>
          <w:tcPr>
            <w:tcW w:w="1749" w:type="dxa"/>
            <w:shd w:val="clear" w:color="auto" w:fill="B8CCE4" w:themeFill="accent1" w:themeFillTint="66"/>
            <w:vAlign w:val="center"/>
          </w:tcPr>
          <w:p w:rsidR="002D56EA" w:rsidRDefault="002D56EA" w:rsidP="005008EB">
            <w:pPr>
              <w:pStyle w:val="cuadroCabe"/>
              <w:jc w:val="right"/>
            </w:pPr>
            <w:r>
              <w:t>Presupuesto 2022</w:t>
            </w:r>
          </w:p>
        </w:tc>
        <w:tc>
          <w:tcPr>
            <w:tcW w:w="1514" w:type="dxa"/>
            <w:shd w:val="clear" w:color="auto" w:fill="B8CCE4" w:themeFill="accent1" w:themeFillTint="66"/>
            <w:vAlign w:val="center"/>
          </w:tcPr>
          <w:p w:rsidR="002D56EA" w:rsidRDefault="002D56EA" w:rsidP="005008EB">
            <w:pPr>
              <w:pStyle w:val="cuadroCabe"/>
              <w:jc w:val="right"/>
            </w:pPr>
            <w:r>
              <w:t>Total</w:t>
            </w:r>
          </w:p>
        </w:tc>
      </w:tr>
      <w:tr w:rsidR="002D56EA" w:rsidTr="005008EB">
        <w:trPr>
          <w:trHeight w:val="284"/>
        </w:trPr>
        <w:tc>
          <w:tcPr>
            <w:tcW w:w="2268" w:type="dxa"/>
            <w:tcBorders>
              <w:bottom w:val="single" w:sz="2" w:space="0" w:color="auto"/>
            </w:tcBorders>
            <w:vAlign w:val="center"/>
          </w:tcPr>
          <w:p w:rsidR="002D56EA" w:rsidRDefault="002D56EA" w:rsidP="00015946">
            <w:pPr>
              <w:pStyle w:val="cuatexto"/>
            </w:pPr>
            <w:r>
              <w:t>Capital</w:t>
            </w:r>
          </w:p>
        </w:tc>
        <w:tc>
          <w:tcPr>
            <w:tcW w:w="1706" w:type="dxa"/>
            <w:tcBorders>
              <w:bottom w:val="single" w:sz="2" w:space="0" w:color="auto"/>
            </w:tcBorders>
            <w:vAlign w:val="center"/>
          </w:tcPr>
          <w:p w:rsidR="002D56EA" w:rsidRDefault="002D56EA" w:rsidP="005008EB">
            <w:pPr>
              <w:pStyle w:val="cuatexto"/>
              <w:jc w:val="right"/>
            </w:pPr>
            <w:r>
              <w:t>114.458.117</w:t>
            </w:r>
          </w:p>
        </w:tc>
        <w:tc>
          <w:tcPr>
            <w:tcW w:w="1511" w:type="dxa"/>
            <w:tcBorders>
              <w:bottom w:val="single" w:sz="2" w:space="0" w:color="auto"/>
            </w:tcBorders>
            <w:vAlign w:val="center"/>
          </w:tcPr>
          <w:p w:rsidR="002D56EA" w:rsidRDefault="002D56EA" w:rsidP="005008EB">
            <w:pPr>
              <w:pStyle w:val="cuatexto"/>
              <w:jc w:val="right"/>
            </w:pPr>
            <w:r>
              <w:t>121.330.607</w:t>
            </w:r>
          </w:p>
        </w:tc>
        <w:tc>
          <w:tcPr>
            <w:tcW w:w="1749" w:type="dxa"/>
            <w:tcBorders>
              <w:bottom w:val="single" w:sz="2" w:space="0" w:color="auto"/>
            </w:tcBorders>
            <w:vAlign w:val="center"/>
          </w:tcPr>
          <w:p w:rsidR="002D56EA" w:rsidRDefault="002D56EA" w:rsidP="005008EB">
            <w:pPr>
              <w:pStyle w:val="cuatexto"/>
              <w:jc w:val="right"/>
            </w:pPr>
            <w:r>
              <w:t>124.095.243</w:t>
            </w:r>
          </w:p>
        </w:tc>
        <w:tc>
          <w:tcPr>
            <w:tcW w:w="1514" w:type="dxa"/>
            <w:tcBorders>
              <w:bottom w:val="single" w:sz="2" w:space="0" w:color="auto"/>
            </w:tcBorders>
            <w:vAlign w:val="center"/>
          </w:tcPr>
          <w:p w:rsidR="002D56EA" w:rsidRDefault="00FE246B" w:rsidP="005008EB">
            <w:pPr>
              <w:pStyle w:val="cuatexto"/>
              <w:jc w:val="right"/>
            </w:pPr>
            <w:r>
              <w:t>359.883.967</w:t>
            </w:r>
          </w:p>
        </w:tc>
      </w:tr>
      <w:tr w:rsidR="002D56EA" w:rsidTr="005008EB">
        <w:trPr>
          <w:trHeight w:val="284"/>
        </w:trPr>
        <w:tc>
          <w:tcPr>
            <w:tcW w:w="2268" w:type="dxa"/>
            <w:tcBorders>
              <w:top w:val="single" w:sz="2" w:space="0" w:color="auto"/>
            </w:tcBorders>
            <w:vAlign w:val="center"/>
          </w:tcPr>
          <w:p w:rsidR="002D56EA" w:rsidRDefault="002D56EA" w:rsidP="00015946">
            <w:pPr>
              <w:pStyle w:val="cuatexto"/>
            </w:pPr>
            <w:r>
              <w:t>Corriente</w:t>
            </w:r>
          </w:p>
        </w:tc>
        <w:tc>
          <w:tcPr>
            <w:tcW w:w="1706" w:type="dxa"/>
            <w:tcBorders>
              <w:top w:val="single" w:sz="2" w:space="0" w:color="auto"/>
            </w:tcBorders>
            <w:vAlign w:val="center"/>
          </w:tcPr>
          <w:p w:rsidR="002D56EA" w:rsidRDefault="002D56EA" w:rsidP="005008EB">
            <w:pPr>
              <w:pStyle w:val="cuatexto"/>
              <w:jc w:val="right"/>
            </w:pPr>
            <w:r>
              <w:t>217.536.433</w:t>
            </w:r>
          </w:p>
        </w:tc>
        <w:tc>
          <w:tcPr>
            <w:tcW w:w="1511" w:type="dxa"/>
            <w:tcBorders>
              <w:top w:val="single" w:sz="2" w:space="0" w:color="auto"/>
            </w:tcBorders>
            <w:vAlign w:val="center"/>
          </w:tcPr>
          <w:p w:rsidR="002D56EA" w:rsidRDefault="002D56EA" w:rsidP="005008EB">
            <w:pPr>
              <w:pStyle w:val="cuatexto"/>
              <w:jc w:val="right"/>
            </w:pPr>
            <w:r>
              <w:t>195.160.841</w:t>
            </w:r>
          </w:p>
        </w:tc>
        <w:tc>
          <w:tcPr>
            <w:tcW w:w="1749" w:type="dxa"/>
            <w:tcBorders>
              <w:top w:val="single" w:sz="2" w:space="0" w:color="auto"/>
            </w:tcBorders>
            <w:vAlign w:val="center"/>
          </w:tcPr>
          <w:p w:rsidR="002D56EA" w:rsidRDefault="002D56EA" w:rsidP="005008EB">
            <w:pPr>
              <w:pStyle w:val="cuatexto"/>
              <w:jc w:val="right"/>
            </w:pPr>
            <w:r>
              <w:t>196.160.017</w:t>
            </w:r>
          </w:p>
        </w:tc>
        <w:tc>
          <w:tcPr>
            <w:tcW w:w="1514" w:type="dxa"/>
            <w:tcBorders>
              <w:top w:val="single" w:sz="2" w:space="0" w:color="auto"/>
            </w:tcBorders>
            <w:vAlign w:val="center"/>
          </w:tcPr>
          <w:p w:rsidR="002D56EA" w:rsidRDefault="00FE246B" w:rsidP="005008EB">
            <w:pPr>
              <w:pStyle w:val="cuatexto"/>
              <w:jc w:val="right"/>
            </w:pPr>
            <w:r>
              <w:t>608.857.291</w:t>
            </w:r>
          </w:p>
        </w:tc>
      </w:tr>
      <w:tr w:rsidR="002D56EA" w:rsidTr="005008EB">
        <w:trPr>
          <w:trHeight w:val="284"/>
        </w:trPr>
        <w:tc>
          <w:tcPr>
            <w:tcW w:w="2268" w:type="dxa"/>
            <w:shd w:val="clear" w:color="auto" w:fill="B8CCE4" w:themeFill="accent1" w:themeFillTint="66"/>
            <w:vAlign w:val="center"/>
          </w:tcPr>
          <w:p w:rsidR="002D56EA" w:rsidRDefault="002D56EA" w:rsidP="00015946">
            <w:pPr>
              <w:pStyle w:val="cuadroCabe"/>
            </w:pPr>
            <w:r>
              <w:t>Total general</w:t>
            </w:r>
          </w:p>
        </w:tc>
        <w:tc>
          <w:tcPr>
            <w:tcW w:w="1706" w:type="dxa"/>
            <w:shd w:val="clear" w:color="auto" w:fill="B8CCE4" w:themeFill="accent1" w:themeFillTint="66"/>
            <w:vAlign w:val="center"/>
          </w:tcPr>
          <w:p w:rsidR="002D56EA" w:rsidRDefault="002D56EA" w:rsidP="00015946">
            <w:pPr>
              <w:pStyle w:val="cuadroCabe"/>
              <w:jc w:val="right"/>
            </w:pPr>
            <w:r>
              <w:t>331.994.550</w:t>
            </w:r>
          </w:p>
        </w:tc>
        <w:tc>
          <w:tcPr>
            <w:tcW w:w="1511" w:type="dxa"/>
            <w:shd w:val="clear" w:color="auto" w:fill="B8CCE4" w:themeFill="accent1" w:themeFillTint="66"/>
            <w:vAlign w:val="center"/>
          </w:tcPr>
          <w:p w:rsidR="002D56EA" w:rsidRDefault="002D56EA" w:rsidP="00015946">
            <w:pPr>
              <w:pStyle w:val="cuadroCabe"/>
              <w:jc w:val="right"/>
            </w:pPr>
            <w:r>
              <w:t>316.491.448</w:t>
            </w:r>
          </w:p>
        </w:tc>
        <w:tc>
          <w:tcPr>
            <w:tcW w:w="1749" w:type="dxa"/>
            <w:shd w:val="clear" w:color="auto" w:fill="B8CCE4" w:themeFill="accent1" w:themeFillTint="66"/>
            <w:vAlign w:val="center"/>
          </w:tcPr>
          <w:p w:rsidR="002D56EA" w:rsidRDefault="002D56EA" w:rsidP="00015946">
            <w:pPr>
              <w:pStyle w:val="cuadroCabe"/>
              <w:jc w:val="right"/>
            </w:pPr>
            <w:r>
              <w:t>320.255.260</w:t>
            </w:r>
          </w:p>
        </w:tc>
        <w:tc>
          <w:tcPr>
            <w:tcW w:w="1514" w:type="dxa"/>
            <w:shd w:val="clear" w:color="auto" w:fill="B8CCE4" w:themeFill="accent1" w:themeFillTint="66"/>
            <w:vAlign w:val="center"/>
          </w:tcPr>
          <w:p w:rsidR="002D56EA" w:rsidRDefault="00FE246B" w:rsidP="00FE246B">
            <w:pPr>
              <w:pStyle w:val="cuadroCabe"/>
              <w:ind w:hanging="114"/>
              <w:jc w:val="right"/>
            </w:pPr>
            <w:r>
              <w:t>968.741.258</w:t>
            </w:r>
          </w:p>
        </w:tc>
      </w:tr>
    </w:tbl>
    <w:p w:rsidR="00042A38" w:rsidRDefault="00042A38" w:rsidP="00F75A43">
      <w:pPr>
        <w:pStyle w:val="texto"/>
        <w:spacing w:after="0"/>
        <w:ind w:firstLine="0"/>
        <w:rPr>
          <w:strike/>
        </w:rPr>
      </w:pPr>
    </w:p>
    <w:p w:rsidR="00042A38" w:rsidRPr="00042A38" w:rsidRDefault="00042A38" w:rsidP="00042A38">
      <w:pPr>
        <w:pStyle w:val="texto"/>
      </w:pPr>
      <w:r>
        <w:t>Las transferencias corrientes y de capital en el presupuesto de 2020 alcanza</w:t>
      </w:r>
      <w:r w:rsidR="000333A2">
        <w:t>n</w:t>
      </w:r>
      <w:r>
        <w:t xml:space="preserve"> 1.838 millones, lo que representa el 40 por ciento del total presupuestado. De la cifra total, </w:t>
      </w:r>
      <w:r w:rsidRPr="00B65291">
        <w:t xml:space="preserve">las subvenciones </w:t>
      </w:r>
      <w:r w:rsidRPr="00210B5E">
        <w:t>susceptible</w:t>
      </w:r>
      <w:r>
        <w:t>s</w:t>
      </w:r>
      <w:r w:rsidRPr="00210B5E">
        <w:t xml:space="preserve"> de planificación estratégica</w:t>
      </w:r>
      <w:r w:rsidRPr="00EE42B1">
        <w:rPr>
          <w:color w:val="FF0000"/>
        </w:rPr>
        <w:t xml:space="preserve"> </w:t>
      </w:r>
      <w:r w:rsidRPr="00210B5E">
        <w:t>para 2020 asciende</w:t>
      </w:r>
      <w:r w:rsidR="00687EA9">
        <w:t>n</w:t>
      </w:r>
      <w:r w:rsidRPr="00210B5E">
        <w:t xml:space="preserve"> a 337 millones, el 18 por ciento, sobre el total presupuestado como </w:t>
      </w:r>
      <w:r w:rsidRPr="00210B5E">
        <w:lastRenderedPageBreak/>
        <w:t xml:space="preserve">gasto de transferencias. Si excluimos las </w:t>
      </w:r>
      <w:r>
        <w:t>de</w:t>
      </w:r>
      <w:r w:rsidRPr="00210B5E">
        <w:t xml:space="preserve"> escasa relevancia </w:t>
      </w:r>
      <w:r>
        <w:t xml:space="preserve">económica (un total de seis millones), </w:t>
      </w:r>
      <w:r w:rsidRPr="00687EA9">
        <w:t xml:space="preserve">las subvenciones </w:t>
      </w:r>
      <w:r>
        <w:t xml:space="preserve">para 2020 </w:t>
      </w:r>
      <w:r w:rsidRPr="00687EA9">
        <w:t>incluidas en el PES ascie</w:t>
      </w:r>
      <w:r w:rsidRPr="00687EA9">
        <w:t>n</w:t>
      </w:r>
      <w:r w:rsidRPr="00687EA9">
        <w:t xml:space="preserve">den </w:t>
      </w:r>
      <w:r>
        <w:t xml:space="preserve">a 331 millones. </w:t>
      </w:r>
    </w:p>
    <w:p w:rsidR="00204F99" w:rsidRPr="00482FDF" w:rsidRDefault="001B440F" w:rsidP="00015946">
      <w:pPr>
        <w:pStyle w:val="texto"/>
        <w:spacing w:before="240" w:after="240"/>
      </w:pPr>
      <w:r>
        <w:t>L</w:t>
      </w:r>
      <w:r w:rsidR="00D32002">
        <w:t>a planificación e</w:t>
      </w:r>
      <w:r w:rsidR="00204F99" w:rsidRPr="00482FDF">
        <w:t>n lo relativo a subvenciones a empresas privadas</w:t>
      </w:r>
      <w:r w:rsidR="00FC1232">
        <w:t>,</w:t>
      </w:r>
      <w:r w:rsidR="00204F99" w:rsidRPr="00482FDF">
        <w:t xml:space="preserve"> </w:t>
      </w:r>
      <w:r w:rsidR="00204F99">
        <w:t>en el p</w:t>
      </w:r>
      <w:r w:rsidR="00204F99">
        <w:t>e</w:t>
      </w:r>
      <w:r w:rsidR="00204F99">
        <w:t>riodo 2020-2022</w:t>
      </w:r>
      <w:r w:rsidR="00FC1232">
        <w:t>,</w:t>
      </w:r>
      <w:r w:rsidR="00204F99" w:rsidRPr="00482FDF">
        <w:t xml:space="preserve"> para un total de 89 líneas de subvención</w:t>
      </w:r>
      <w:r w:rsidR="00FC1232">
        <w:t>,</w:t>
      </w:r>
      <w:r w:rsidR="00204F99" w:rsidRPr="00482FDF">
        <w:t xml:space="preserve"> </w:t>
      </w:r>
      <w:r w:rsidR="00496B22">
        <w:t>asciende a</w:t>
      </w:r>
      <w:r w:rsidR="00204F99" w:rsidRPr="00482FDF">
        <w:t xml:space="preserve"> 369 m</w:t>
      </w:r>
      <w:r w:rsidR="00204F99" w:rsidRPr="00482FDF">
        <w:t>i</w:t>
      </w:r>
      <w:r w:rsidR="00204F99" w:rsidRPr="00482FDF">
        <w:t>llones (un 38 por ciento del total) con el siguiente desglose:</w:t>
      </w:r>
      <w:r w:rsidR="00C84C6B">
        <w:t xml:space="preserve"> </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73"/>
        <w:gridCol w:w="1873"/>
        <w:gridCol w:w="1873"/>
        <w:gridCol w:w="1873"/>
        <w:gridCol w:w="1497"/>
      </w:tblGrid>
      <w:tr w:rsidR="00FE246B" w:rsidTr="00F75A43">
        <w:trPr>
          <w:trHeight w:val="284"/>
          <w:jc w:val="center"/>
        </w:trPr>
        <w:tc>
          <w:tcPr>
            <w:tcW w:w="1673" w:type="dxa"/>
            <w:shd w:val="clear" w:color="auto" w:fill="B8CCE4" w:themeFill="accent1" w:themeFillTint="66"/>
            <w:vAlign w:val="center"/>
          </w:tcPr>
          <w:p w:rsidR="00FE246B" w:rsidRDefault="00FE246B" w:rsidP="00F75A43">
            <w:pPr>
              <w:pStyle w:val="cuadroCabe"/>
            </w:pPr>
            <w:r>
              <w:t>Tipo subvención</w:t>
            </w:r>
          </w:p>
        </w:tc>
        <w:tc>
          <w:tcPr>
            <w:tcW w:w="1873" w:type="dxa"/>
            <w:shd w:val="clear" w:color="auto" w:fill="B8CCE4" w:themeFill="accent1" w:themeFillTint="66"/>
            <w:vAlign w:val="center"/>
          </w:tcPr>
          <w:p w:rsidR="00FE246B" w:rsidRDefault="00FE246B" w:rsidP="00FE246B">
            <w:pPr>
              <w:pStyle w:val="cuadroCabe"/>
              <w:jc w:val="center"/>
            </w:pPr>
            <w:r>
              <w:t>Presupuesto 2020</w:t>
            </w:r>
          </w:p>
        </w:tc>
        <w:tc>
          <w:tcPr>
            <w:tcW w:w="1873" w:type="dxa"/>
            <w:shd w:val="clear" w:color="auto" w:fill="B8CCE4" w:themeFill="accent1" w:themeFillTint="66"/>
            <w:vAlign w:val="center"/>
          </w:tcPr>
          <w:p w:rsidR="00FE246B" w:rsidRDefault="00FE246B" w:rsidP="00FE246B">
            <w:pPr>
              <w:pStyle w:val="cuadroCabe"/>
              <w:jc w:val="center"/>
            </w:pPr>
            <w:r>
              <w:t>Presupuesto 2021</w:t>
            </w:r>
          </w:p>
        </w:tc>
        <w:tc>
          <w:tcPr>
            <w:tcW w:w="1873" w:type="dxa"/>
            <w:shd w:val="clear" w:color="auto" w:fill="B8CCE4" w:themeFill="accent1" w:themeFillTint="66"/>
            <w:vAlign w:val="center"/>
          </w:tcPr>
          <w:p w:rsidR="00FE246B" w:rsidRDefault="00FE246B" w:rsidP="00FE246B">
            <w:pPr>
              <w:pStyle w:val="cuadroCabe"/>
              <w:jc w:val="center"/>
            </w:pPr>
            <w:r>
              <w:t>Presupuesto 2022</w:t>
            </w:r>
          </w:p>
        </w:tc>
        <w:tc>
          <w:tcPr>
            <w:tcW w:w="1497" w:type="dxa"/>
            <w:shd w:val="clear" w:color="auto" w:fill="B8CCE4" w:themeFill="accent1" w:themeFillTint="66"/>
            <w:vAlign w:val="center"/>
          </w:tcPr>
          <w:p w:rsidR="00FE246B" w:rsidRDefault="00FE246B" w:rsidP="00FE246B">
            <w:pPr>
              <w:pStyle w:val="cuadroCabe"/>
              <w:jc w:val="center"/>
            </w:pPr>
            <w:r>
              <w:t>Total</w:t>
            </w:r>
          </w:p>
        </w:tc>
      </w:tr>
      <w:tr w:rsidR="00FE246B" w:rsidTr="005008EB">
        <w:trPr>
          <w:trHeight w:val="284"/>
          <w:jc w:val="center"/>
        </w:trPr>
        <w:tc>
          <w:tcPr>
            <w:tcW w:w="1673" w:type="dxa"/>
            <w:tcBorders>
              <w:bottom w:val="single" w:sz="2" w:space="0" w:color="auto"/>
            </w:tcBorders>
            <w:vAlign w:val="center"/>
          </w:tcPr>
          <w:p w:rsidR="00FE246B" w:rsidRDefault="00FE246B" w:rsidP="00FE246B">
            <w:pPr>
              <w:pStyle w:val="cuatexto"/>
            </w:pPr>
            <w:r>
              <w:t>Capital</w:t>
            </w:r>
          </w:p>
        </w:tc>
        <w:tc>
          <w:tcPr>
            <w:tcW w:w="1873" w:type="dxa"/>
            <w:tcBorders>
              <w:bottom w:val="single" w:sz="2" w:space="0" w:color="auto"/>
            </w:tcBorders>
            <w:vAlign w:val="center"/>
          </w:tcPr>
          <w:p w:rsidR="00FE246B" w:rsidRDefault="00FE246B" w:rsidP="00FE246B">
            <w:pPr>
              <w:pStyle w:val="cuatexto"/>
              <w:jc w:val="right"/>
            </w:pPr>
            <w:r>
              <w:t>50.382.539</w:t>
            </w:r>
          </w:p>
        </w:tc>
        <w:tc>
          <w:tcPr>
            <w:tcW w:w="1873" w:type="dxa"/>
            <w:tcBorders>
              <w:bottom w:val="single" w:sz="2" w:space="0" w:color="auto"/>
            </w:tcBorders>
            <w:vAlign w:val="center"/>
          </w:tcPr>
          <w:p w:rsidR="00FE246B" w:rsidRDefault="00FE246B" w:rsidP="00FE246B">
            <w:pPr>
              <w:pStyle w:val="cuatexto"/>
              <w:jc w:val="right"/>
            </w:pPr>
            <w:r>
              <w:t>53.734.671</w:t>
            </w:r>
          </w:p>
        </w:tc>
        <w:tc>
          <w:tcPr>
            <w:tcW w:w="1873" w:type="dxa"/>
            <w:tcBorders>
              <w:bottom w:val="single" w:sz="2" w:space="0" w:color="auto"/>
            </w:tcBorders>
            <w:vAlign w:val="center"/>
          </w:tcPr>
          <w:p w:rsidR="00FE246B" w:rsidRDefault="00FE246B" w:rsidP="00FE246B">
            <w:pPr>
              <w:pStyle w:val="cuatexto"/>
              <w:jc w:val="right"/>
            </w:pPr>
            <w:r>
              <w:t>54.989.542</w:t>
            </w:r>
          </w:p>
        </w:tc>
        <w:tc>
          <w:tcPr>
            <w:tcW w:w="1497" w:type="dxa"/>
            <w:tcBorders>
              <w:bottom w:val="single" w:sz="2" w:space="0" w:color="auto"/>
            </w:tcBorders>
            <w:vAlign w:val="center"/>
          </w:tcPr>
          <w:p w:rsidR="00FE246B" w:rsidRDefault="00FE246B" w:rsidP="00FE246B">
            <w:pPr>
              <w:pStyle w:val="cuatexto"/>
              <w:jc w:val="right"/>
            </w:pPr>
            <w:r>
              <w:t>159.106.752</w:t>
            </w:r>
          </w:p>
        </w:tc>
      </w:tr>
      <w:tr w:rsidR="00FE246B" w:rsidTr="000B41AF">
        <w:trPr>
          <w:trHeight w:val="284"/>
          <w:jc w:val="center"/>
        </w:trPr>
        <w:tc>
          <w:tcPr>
            <w:tcW w:w="1673" w:type="dxa"/>
            <w:tcBorders>
              <w:top w:val="single" w:sz="2" w:space="0" w:color="auto"/>
              <w:bottom w:val="single" w:sz="4" w:space="0" w:color="auto"/>
            </w:tcBorders>
            <w:vAlign w:val="center"/>
          </w:tcPr>
          <w:p w:rsidR="00FE246B" w:rsidRDefault="00FE246B" w:rsidP="00FE246B">
            <w:pPr>
              <w:pStyle w:val="cuatexto"/>
            </w:pPr>
            <w:r>
              <w:t>Corriente</w:t>
            </w:r>
          </w:p>
        </w:tc>
        <w:tc>
          <w:tcPr>
            <w:tcW w:w="1873" w:type="dxa"/>
            <w:tcBorders>
              <w:top w:val="single" w:sz="2" w:space="0" w:color="auto"/>
              <w:bottom w:val="single" w:sz="4" w:space="0" w:color="auto"/>
            </w:tcBorders>
            <w:vAlign w:val="center"/>
          </w:tcPr>
          <w:p w:rsidR="00FE246B" w:rsidRDefault="00FE246B" w:rsidP="00FE246B">
            <w:pPr>
              <w:pStyle w:val="cuatexto"/>
              <w:jc w:val="right"/>
            </w:pPr>
            <w:r>
              <w:t>70.818.811</w:t>
            </w:r>
          </w:p>
        </w:tc>
        <w:tc>
          <w:tcPr>
            <w:tcW w:w="1873" w:type="dxa"/>
            <w:tcBorders>
              <w:top w:val="single" w:sz="2" w:space="0" w:color="auto"/>
              <w:bottom w:val="single" w:sz="4" w:space="0" w:color="auto"/>
            </w:tcBorders>
            <w:vAlign w:val="center"/>
          </w:tcPr>
          <w:p w:rsidR="00FE246B" w:rsidRDefault="00FE246B" w:rsidP="00FE246B">
            <w:pPr>
              <w:pStyle w:val="cuatexto"/>
              <w:jc w:val="right"/>
            </w:pPr>
            <w:r>
              <w:t>68.673.600</w:t>
            </w:r>
          </w:p>
        </w:tc>
        <w:tc>
          <w:tcPr>
            <w:tcW w:w="1873" w:type="dxa"/>
            <w:tcBorders>
              <w:top w:val="single" w:sz="2" w:space="0" w:color="auto"/>
              <w:bottom w:val="single" w:sz="4" w:space="0" w:color="auto"/>
            </w:tcBorders>
            <w:vAlign w:val="center"/>
          </w:tcPr>
          <w:p w:rsidR="00FE246B" w:rsidRDefault="00FE246B" w:rsidP="00FE246B">
            <w:pPr>
              <w:pStyle w:val="cuatexto"/>
              <w:jc w:val="right"/>
            </w:pPr>
            <w:r>
              <w:t>70.793.016</w:t>
            </w:r>
          </w:p>
        </w:tc>
        <w:tc>
          <w:tcPr>
            <w:tcW w:w="1497" w:type="dxa"/>
            <w:tcBorders>
              <w:top w:val="single" w:sz="2" w:space="0" w:color="auto"/>
              <w:bottom w:val="single" w:sz="4" w:space="0" w:color="auto"/>
            </w:tcBorders>
            <w:vAlign w:val="center"/>
          </w:tcPr>
          <w:p w:rsidR="00FE246B" w:rsidRDefault="00FE246B" w:rsidP="00FE246B">
            <w:pPr>
              <w:pStyle w:val="cuatexto"/>
              <w:jc w:val="right"/>
            </w:pPr>
            <w:r>
              <w:t>210.285.427</w:t>
            </w:r>
          </w:p>
        </w:tc>
      </w:tr>
      <w:tr w:rsidR="00FE246B" w:rsidTr="00F75A43">
        <w:trPr>
          <w:trHeight w:val="284"/>
          <w:jc w:val="center"/>
        </w:trPr>
        <w:tc>
          <w:tcPr>
            <w:tcW w:w="1673" w:type="dxa"/>
            <w:shd w:val="clear" w:color="auto" w:fill="B8CCE4" w:themeFill="accent1" w:themeFillTint="66"/>
            <w:vAlign w:val="center"/>
          </w:tcPr>
          <w:p w:rsidR="00FE246B" w:rsidRDefault="00FE246B" w:rsidP="00FE246B">
            <w:pPr>
              <w:pStyle w:val="cuadroCabe"/>
            </w:pPr>
            <w:r>
              <w:t>Total general</w:t>
            </w:r>
          </w:p>
        </w:tc>
        <w:tc>
          <w:tcPr>
            <w:tcW w:w="1873" w:type="dxa"/>
            <w:shd w:val="clear" w:color="auto" w:fill="B8CCE4" w:themeFill="accent1" w:themeFillTint="66"/>
            <w:vAlign w:val="center"/>
          </w:tcPr>
          <w:p w:rsidR="00FE246B" w:rsidRDefault="00FE246B" w:rsidP="00FE246B">
            <w:pPr>
              <w:pStyle w:val="cuadroCabe"/>
              <w:jc w:val="right"/>
            </w:pPr>
            <w:r>
              <w:t>121.201.350</w:t>
            </w:r>
          </w:p>
        </w:tc>
        <w:tc>
          <w:tcPr>
            <w:tcW w:w="1873" w:type="dxa"/>
            <w:shd w:val="clear" w:color="auto" w:fill="B8CCE4" w:themeFill="accent1" w:themeFillTint="66"/>
            <w:vAlign w:val="center"/>
          </w:tcPr>
          <w:p w:rsidR="00FE246B" w:rsidRDefault="00FE246B" w:rsidP="00FE246B">
            <w:pPr>
              <w:pStyle w:val="cuadroCabe"/>
              <w:jc w:val="right"/>
            </w:pPr>
            <w:r>
              <w:t>122.408.271</w:t>
            </w:r>
          </w:p>
        </w:tc>
        <w:tc>
          <w:tcPr>
            <w:tcW w:w="1873" w:type="dxa"/>
            <w:shd w:val="clear" w:color="auto" w:fill="B8CCE4" w:themeFill="accent1" w:themeFillTint="66"/>
            <w:vAlign w:val="center"/>
          </w:tcPr>
          <w:p w:rsidR="00FE246B" w:rsidRDefault="00FE246B" w:rsidP="00FE246B">
            <w:pPr>
              <w:pStyle w:val="cuadroCabe"/>
              <w:jc w:val="right"/>
            </w:pPr>
            <w:r>
              <w:t>125.782.558</w:t>
            </w:r>
          </w:p>
        </w:tc>
        <w:tc>
          <w:tcPr>
            <w:tcW w:w="1497" w:type="dxa"/>
            <w:shd w:val="clear" w:color="auto" w:fill="B8CCE4" w:themeFill="accent1" w:themeFillTint="66"/>
            <w:vAlign w:val="center"/>
          </w:tcPr>
          <w:p w:rsidR="00FE246B" w:rsidRDefault="00FE246B" w:rsidP="00FE246B">
            <w:pPr>
              <w:pStyle w:val="cuadroCabe"/>
              <w:jc w:val="right"/>
            </w:pPr>
            <w:r>
              <w:t>369.392.179</w:t>
            </w:r>
          </w:p>
        </w:tc>
      </w:tr>
    </w:tbl>
    <w:p w:rsidR="00204F99" w:rsidRDefault="00204F99" w:rsidP="00204F99">
      <w:pPr>
        <w:spacing w:after="0"/>
        <w:ind w:firstLine="0"/>
        <w:rPr>
          <w:sz w:val="26"/>
          <w:szCs w:val="26"/>
        </w:rPr>
      </w:pPr>
    </w:p>
    <w:p w:rsidR="00204F99" w:rsidRDefault="00204F99" w:rsidP="00015946">
      <w:pPr>
        <w:pStyle w:val="texto"/>
      </w:pPr>
      <w:r w:rsidRPr="00F84BD9">
        <w:t xml:space="preserve">De las 89 líneas </w:t>
      </w:r>
      <w:r>
        <w:t xml:space="preserve">de subvención, </w:t>
      </w:r>
      <w:r w:rsidRPr="00F84BD9">
        <w:t xml:space="preserve">el </w:t>
      </w:r>
      <w:r w:rsidR="000333A2">
        <w:t>65</w:t>
      </w:r>
      <w:r>
        <w:t xml:space="preserve"> por ciento</w:t>
      </w:r>
      <w:r w:rsidR="002F6F43">
        <w:t xml:space="preserve"> se prevé</w:t>
      </w:r>
      <w:r w:rsidRPr="00F84BD9">
        <w:t xml:space="preserve"> que se concedan por proc</w:t>
      </w:r>
      <w:r>
        <w:t xml:space="preserve">edimiento mediante </w:t>
      </w:r>
      <w:r w:rsidRPr="00760A1C">
        <w:t xml:space="preserve">convocatoria, </w:t>
      </w:r>
      <w:r w:rsidRPr="00F84BD9">
        <w:t xml:space="preserve">el </w:t>
      </w:r>
      <w:r>
        <w:t>14 por ciento</w:t>
      </w:r>
      <w:r w:rsidRPr="00F84BD9">
        <w:t xml:space="preserve"> son subvenciones nominativas y </w:t>
      </w:r>
      <w:r>
        <w:t>2</w:t>
      </w:r>
      <w:r w:rsidR="00496B22">
        <w:t>1</w:t>
      </w:r>
      <w:r>
        <w:t xml:space="preserve"> por ciento </w:t>
      </w:r>
      <w:r w:rsidRPr="00F84BD9">
        <w:t>tienen la condi</w:t>
      </w:r>
      <w:r>
        <w:t>ción de subvenciones directas, s</w:t>
      </w:r>
      <w:r>
        <w:t>e</w:t>
      </w:r>
      <w:r>
        <w:t>gún terminología del plan.</w:t>
      </w:r>
    </w:p>
    <w:p w:rsidR="00204F99" w:rsidRPr="00CE10DF" w:rsidRDefault="00204F99" w:rsidP="00015946">
      <w:pPr>
        <w:pStyle w:val="texto"/>
        <w:spacing w:after="360"/>
      </w:pPr>
      <w:r w:rsidRPr="00CE10DF">
        <w:t>La revisión del PES 2020-2022 se aprueba mediante Orden Foral 126/2020 de la Consejera de Economía</w:t>
      </w:r>
      <w:r w:rsidR="00AA0680">
        <w:t xml:space="preserve"> y Hacienda. Cada departamento debe </w:t>
      </w:r>
      <w:r w:rsidRPr="00CE10DF">
        <w:t xml:space="preserve">aprobar mediante orden foral los informes de evaluación de las convocatorias 2020 </w:t>
      </w:r>
      <w:r w:rsidR="00FC1232">
        <w:rPr>
          <w:lang w:val="es-ES"/>
        </w:rPr>
        <w:t>y remitir</w:t>
      </w:r>
      <w:r w:rsidRPr="00CE10DF">
        <w:rPr>
          <w:lang w:val="es-ES"/>
        </w:rPr>
        <w:t xml:space="preserve"> a la Intervención General de la </w:t>
      </w:r>
      <w:r w:rsidR="00FE44A2" w:rsidRPr="00CE10DF">
        <w:rPr>
          <w:lang w:val="es-ES"/>
        </w:rPr>
        <w:t>ACFN</w:t>
      </w:r>
      <w:r w:rsidRPr="00CE10DF">
        <w:rPr>
          <w:lang w:val="es-ES"/>
        </w:rPr>
        <w:t xml:space="preserve"> y a la com</w:t>
      </w:r>
      <w:r w:rsidR="0036185F" w:rsidRPr="00CE10DF">
        <w:rPr>
          <w:lang w:val="es-ES"/>
        </w:rPr>
        <w:t>isión competente en materia de e</w:t>
      </w:r>
      <w:r w:rsidRPr="00CE10DF">
        <w:rPr>
          <w:lang w:val="es-ES"/>
        </w:rPr>
        <w:t xml:space="preserve">conomía del Parlamento de Navarra antes del 30 de abril de 2021. </w:t>
      </w:r>
      <w:r w:rsidRPr="00CE10DF">
        <w:t>Dichos informes analizarán el grado de cumplimiento de los plazos de conc</w:t>
      </w:r>
      <w:r w:rsidRPr="00CE10DF">
        <w:t>e</w:t>
      </w:r>
      <w:r w:rsidRPr="00CE10DF">
        <w:t xml:space="preserve">sión, objetivos planteados, ejecución del importe de la subvención y alcance a personas o entidades beneficiarias. </w:t>
      </w:r>
    </w:p>
    <w:p w:rsidR="00204F99" w:rsidRDefault="003020CB" w:rsidP="00204F99">
      <w:pPr>
        <w:pStyle w:val="atitulo2"/>
        <w:spacing w:before="240"/>
      </w:pPr>
      <w:bookmarkStart w:id="16" w:name="_Toc75857469"/>
      <w:bookmarkStart w:id="17" w:name="_Toc81830148"/>
      <w:r>
        <w:t>II.</w:t>
      </w:r>
      <w:r w:rsidR="00F4544B">
        <w:t>3</w:t>
      </w:r>
      <w:r w:rsidR="00204F99">
        <w:t>. Marco jurídico aplicable</w:t>
      </w:r>
      <w:bookmarkEnd w:id="16"/>
      <w:bookmarkEnd w:id="17"/>
    </w:p>
    <w:p w:rsidR="00204F99" w:rsidRDefault="00204F99" w:rsidP="00015946">
      <w:pPr>
        <w:pStyle w:val="texto"/>
        <w:rPr>
          <w:lang w:eastAsia="es-ES"/>
        </w:rPr>
      </w:pPr>
      <w:r w:rsidRPr="00292A2E">
        <w:rPr>
          <w:lang w:eastAsia="es-ES"/>
        </w:rPr>
        <w:t>El marco normativo básico aplicable</w:t>
      </w:r>
      <w:r>
        <w:rPr>
          <w:lang w:eastAsia="es-ES"/>
        </w:rPr>
        <w:t xml:space="preserve"> a la gestión de subvenciones</w:t>
      </w:r>
      <w:r w:rsidR="002F6F43">
        <w:rPr>
          <w:lang w:eastAsia="es-ES"/>
        </w:rPr>
        <w:t xml:space="preserve"> por la ACFN y sus organismos autónomos en 2020 </w:t>
      </w:r>
      <w:r w:rsidRPr="00292A2E">
        <w:rPr>
          <w:lang w:eastAsia="es-ES"/>
        </w:rPr>
        <w:t xml:space="preserve">es el siguiente: </w:t>
      </w:r>
    </w:p>
    <w:p w:rsidR="00204F99" w:rsidRPr="00015946"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rsidRPr="00015946">
        <w:rPr>
          <w:szCs w:val="26"/>
        </w:rPr>
        <w:t>Ley Foral 11/2005, de 9 de noviembre, de Subvenciones.</w:t>
      </w:r>
    </w:p>
    <w:p w:rsidR="00204F99" w:rsidRPr="00015946"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rsidRPr="00015946">
        <w:rPr>
          <w:szCs w:val="26"/>
        </w:rPr>
        <w:t>Decreto Foral 59/2013, de 11 de septiembre, por el que se regulan las obl</w:t>
      </w:r>
      <w:r w:rsidRPr="00015946">
        <w:rPr>
          <w:szCs w:val="26"/>
        </w:rPr>
        <w:t>i</w:t>
      </w:r>
      <w:r w:rsidRPr="00015946">
        <w:rPr>
          <w:szCs w:val="26"/>
        </w:rPr>
        <w:t>gaciones de transparencia de los beneficiarios de subvenciones con cargo a los presupuestos generales de Navarra.</w:t>
      </w:r>
    </w:p>
    <w:p w:rsidR="00204F99" w:rsidRPr="00015946"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rsidRPr="00015946">
        <w:rPr>
          <w:szCs w:val="26"/>
        </w:rPr>
        <w:t>Ley Foral 5/2018, de 17 de mayo, de transparencia, acceso a la inform</w:t>
      </w:r>
      <w:r w:rsidRPr="00015946">
        <w:rPr>
          <w:szCs w:val="26"/>
        </w:rPr>
        <w:t>a</w:t>
      </w:r>
      <w:r w:rsidRPr="00015946">
        <w:rPr>
          <w:szCs w:val="26"/>
        </w:rPr>
        <w:t>ción pública y buen gobierno.</w:t>
      </w:r>
    </w:p>
    <w:p w:rsidR="00204F99" w:rsidRPr="00015946"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rsidRPr="00015946">
        <w:rPr>
          <w:szCs w:val="26"/>
        </w:rPr>
        <w:t>Ley Foral 5/2020, de 4 de marzo, de Presupuestos Generales de Navarra para el año 2020.</w:t>
      </w:r>
    </w:p>
    <w:p w:rsidR="00204F99" w:rsidRPr="00015946"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lang w:eastAsia="es-ES"/>
        </w:rPr>
      </w:pPr>
      <w:r w:rsidRPr="00015946">
        <w:rPr>
          <w:szCs w:val="26"/>
        </w:rPr>
        <w:t>Ley 39/2015, de 1 de octubre, del Procedimiento Administrativo Común de</w:t>
      </w:r>
      <w:r w:rsidRPr="00015946">
        <w:rPr>
          <w:szCs w:val="26"/>
          <w:lang w:eastAsia="es-ES"/>
        </w:rPr>
        <w:t xml:space="preserve"> las Administraciones Públicas.</w:t>
      </w:r>
    </w:p>
    <w:p w:rsidR="00204F99" w:rsidRPr="00015946"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rsidRPr="00015946">
        <w:rPr>
          <w:szCs w:val="26"/>
        </w:rPr>
        <w:lastRenderedPageBreak/>
        <w:t>Reglamento europeo 651/2014 de la Comisión, de 17 de junio de 2014, por que se declaran determinadas categorías de ayudas compatibles con el mercado interior en aplicación de los artículos 107 y 108 del Tratado.</w:t>
      </w:r>
    </w:p>
    <w:p w:rsidR="00E9196E"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lang w:eastAsia="es-ES"/>
        </w:rPr>
      </w:pPr>
      <w:r w:rsidRPr="00015946">
        <w:rPr>
          <w:szCs w:val="26"/>
        </w:rPr>
        <w:t>Reglamento 1407/2013 de la Comisión, de 18 de diciembre de 2013, rel</w:t>
      </w:r>
      <w:r w:rsidRPr="00015946">
        <w:rPr>
          <w:szCs w:val="26"/>
        </w:rPr>
        <w:t>a</w:t>
      </w:r>
      <w:r w:rsidRPr="00015946">
        <w:rPr>
          <w:szCs w:val="26"/>
        </w:rPr>
        <w:t>tivo</w:t>
      </w:r>
      <w:r w:rsidRPr="006154FB">
        <w:rPr>
          <w:szCs w:val="26"/>
        </w:rPr>
        <w:t xml:space="preserve"> a la aplicación de los artículos 107 y 108 del Tratado de Funcionamiento de la Unión</w:t>
      </w:r>
      <w:r w:rsidRPr="006154FB">
        <w:rPr>
          <w:szCs w:val="26"/>
          <w:lang w:eastAsia="es-ES"/>
        </w:rPr>
        <w:t xml:space="preserve"> Europea a las ayudas a </w:t>
      </w:r>
      <w:proofErr w:type="spellStart"/>
      <w:r w:rsidRPr="006154FB">
        <w:rPr>
          <w:szCs w:val="26"/>
          <w:lang w:eastAsia="es-ES"/>
        </w:rPr>
        <w:t>mínimis</w:t>
      </w:r>
      <w:proofErr w:type="spellEnd"/>
      <w:r>
        <w:rPr>
          <w:szCs w:val="26"/>
          <w:lang w:eastAsia="es-ES"/>
        </w:rPr>
        <w:t>.</w:t>
      </w:r>
    </w:p>
    <w:p w:rsidR="00E9196E" w:rsidRPr="00E9196E" w:rsidRDefault="00E9196E" w:rsidP="00E9196E">
      <w:pPr>
        <w:pStyle w:val="Prrafodelista"/>
        <w:tabs>
          <w:tab w:val="left" w:pos="426"/>
          <w:tab w:val="left" w:pos="567"/>
        </w:tabs>
        <w:ind w:left="284" w:firstLine="0"/>
        <w:contextualSpacing w:val="0"/>
        <w:rPr>
          <w:sz w:val="26"/>
          <w:szCs w:val="26"/>
          <w:lang w:eastAsia="es-ES"/>
        </w:rPr>
      </w:pPr>
    </w:p>
    <w:p w:rsidR="00496B22" w:rsidRDefault="00496B22">
      <w:pPr>
        <w:spacing w:after="0"/>
        <w:ind w:firstLine="0"/>
        <w:jc w:val="left"/>
        <w:rPr>
          <w:rFonts w:ascii="Arial" w:hAnsi="Arial"/>
          <w:b/>
          <w:color w:val="000000"/>
          <w:kern w:val="28"/>
          <w:sz w:val="25"/>
          <w:szCs w:val="26"/>
        </w:rPr>
      </w:pPr>
      <w:bookmarkStart w:id="18" w:name="_Toc75857470"/>
      <w:bookmarkStart w:id="19" w:name="_Toc81830149"/>
      <w:r>
        <w:br w:type="page"/>
      </w:r>
    </w:p>
    <w:p w:rsidR="00204F99" w:rsidRPr="00015946" w:rsidRDefault="00204F99" w:rsidP="00015946">
      <w:pPr>
        <w:pStyle w:val="atitulo1"/>
      </w:pPr>
      <w:r w:rsidRPr="00015946">
        <w:lastRenderedPageBreak/>
        <w:t>III. Objetivos y alcance</w:t>
      </w:r>
      <w:bookmarkEnd w:id="18"/>
      <w:bookmarkEnd w:id="19"/>
      <w:r w:rsidRPr="00015946">
        <w:t xml:space="preserve"> </w:t>
      </w:r>
    </w:p>
    <w:p w:rsidR="00204F99" w:rsidRPr="00306812" w:rsidRDefault="00204F99" w:rsidP="00306812">
      <w:pPr>
        <w:pStyle w:val="texto"/>
        <w:rPr>
          <w:spacing w:val="0"/>
          <w:szCs w:val="26"/>
        </w:rPr>
      </w:pPr>
      <w:r w:rsidRPr="00306812">
        <w:rPr>
          <w:spacing w:val="0"/>
          <w:szCs w:val="26"/>
        </w:rPr>
        <w:t>Los objetivos de este trabajo han sido:</w:t>
      </w:r>
    </w:p>
    <w:p w:rsidR="00204F99" w:rsidRPr="00015946" w:rsidRDefault="00204F99" w:rsidP="00306812">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rsidRPr="00015946">
        <w:rPr>
          <w:szCs w:val="26"/>
        </w:rPr>
        <w:t>Realizar una fiscalización de cumplimiento de legalidad en el ejercicio 2020 con el fin de expresar una opinión acerca de si las subvenciones a empr</w:t>
      </w:r>
      <w:r w:rsidRPr="00015946">
        <w:rPr>
          <w:szCs w:val="26"/>
        </w:rPr>
        <w:t>e</w:t>
      </w:r>
      <w:r w:rsidRPr="00015946">
        <w:rPr>
          <w:szCs w:val="26"/>
        </w:rPr>
        <w:t xml:space="preserve">sas </w:t>
      </w:r>
      <w:r w:rsidR="00E62177">
        <w:rPr>
          <w:szCs w:val="26"/>
        </w:rPr>
        <w:t xml:space="preserve">privadas concedidas </w:t>
      </w:r>
      <w:r w:rsidR="00644E28">
        <w:rPr>
          <w:szCs w:val="26"/>
        </w:rPr>
        <w:t>por</w:t>
      </w:r>
      <w:r w:rsidRPr="00015946">
        <w:rPr>
          <w:szCs w:val="26"/>
        </w:rPr>
        <w:t xml:space="preserve"> la ACFN y sus OOAA resultan conformes, en t</w:t>
      </w:r>
      <w:r w:rsidRPr="00015946">
        <w:rPr>
          <w:szCs w:val="26"/>
        </w:rPr>
        <w:t>o</w:t>
      </w:r>
      <w:r w:rsidRPr="00015946">
        <w:rPr>
          <w:szCs w:val="26"/>
        </w:rPr>
        <w:t xml:space="preserve">dos los aspectos significativos, </w:t>
      </w:r>
      <w:r w:rsidRPr="00AC2C31">
        <w:rPr>
          <w:szCs w:val="26"/>
        </w:rPr>
        <w:t>a</w:t>
      </w:r>
      <w:r w:rsidRPr="00015946">
        <w:rPr>
          <w:szCs w:val="26"/>
        </w:rPr>
        <w:t xml:space="preserve"> la normativa aplicable.</w:t>
      </w:r>
    </w:p>
    <w:p w:rsidR="00204F99" w:rsidRPr="00015946" w:rsidRDefault="00204F99" w:rsidP="00306812">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lang w:eastAsia="es-ES"/>
        </w:rPr>
      </w:pPr>
      <w:r w:rsidRPr="00015946">
        <w:rPr>
          <w:szCs w:val="26"/>
        </w:rPr>
        <w:t>Realizar una fiscalización financiera con el fin de expresar una opinión acerca de si los gastos por subvenciones</w:t>
      </w:r>
      <w:r w:rsidR="00026545">
        <w:rPr>
          <w:szCs w:val="26"/>
        </w:rPr>
        <w:t xml:space="preserve"> </w:t>
      </w:r>
      <w:r w:rsidR="00026545" w:rsidRPr="00AC2C31">
        <w:rPr>
          <w:szCs w:val="26"/>
        </w:rPr>
        <w:t>a empresas privadas</w:t>
      </w:r>
      <w:r w:rsidRPr="00AC2C31">
        <w:rPr>
          <w:szCs w:val="26"/>
        </w:rPr>
        <w:t xml:space="preserve"> </w:t>
      </w:r>
      <w:r w:rsidRPr="00015946">
        <w:rPr>
          <w:szCs w:val="26"/>
        </w:rPr>
        <w:t>se reflejan, en t</w:t>
      </w:r>
      <w:r w:rsidRPr="00015946">
        <w:rPr>
          <w:szCs w:val="26"/>
        </w:rPr>
        <w:t>o</w:t>
      </w:r>
      <w:r w:rsidRPr="00015946">
        <w:rPr>
          <w:szCs w:val="26"/>
        </w:rPr>
        <w:t>dos los aspectos significativos, de conformidad con el marco normativo de i</w:t>
      </w:r>
      <w:r w:rsidRPr="00015946">
        <w:rPr>
          <w:szCs w:val="26"/>
        </w:rPr>
        <w:t>n</w:t>
      </w:r>
      <w:r w:rsidRPr="00015946">
        <w:rPr>
          <w:szCs w:val="26"/>
        </w:rPr>
        <w:t>formación financiera aplicable y, en particular, con los principios y criterios contables</w:t>
      </w:r>
      <w:r w:rsidRPr="00015946">
        <w:rPr>
          <w:szCs w:val="26"/>
          <w:lang w:eastAsia="es-ES"/>
        </w:rPr>
        <w:t xml:space="preserve"> contenidos en el mismo.</w:t>
      </w:r>
    </w:p>
    <w:p w:rsidR="00204F99" w:rsidRPr="00015946" w:rsidRDefault="00204F99" w:rsidP="00306812">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rsidRPr="00015946">
        <w:rPr>
          <w:szCs w:val="26"/>
        </w:rPr>
        <w:t xml:space="preserve">Analizar el contenido del </w:t>
      </w:r>
      <w:r w:rsidR="00026545">
        <w:rPr>
          <w:szCs w:val="26"/>
        </w:rPr>
        <w:t xml:space="preserve">PES </w:t>
      </w:r>
      <w:r w:rsidRPr="00015946">
        <w:rPr>
          <w:szCs w:val="26"/>
        </w:rPr>
        <w:t>y posterior evaluación del mismo para la muestra analizada.</w:t>
      </w:r>
    </w:p>
    <w:p w:rsidR="00204F99" w:rsidRPr="00306812" w:rsidRDefault="00204F99" w:rsidP="00306812">
      <w:pPr>
        <w:pStyle w:val="texto"/>
        <w:rPr>
          <w:spacing w:val="0"/>
          <w:szCs w:val="26"/>
        </w:rPr>
      </w:pPr>
      <w:r w:rsidRPr="00306812">
        <w:rPr>
          <w:spacing w:val="0"/>
          <w:szCs w:val="26"/>
        </w:rPr>
        <w:t>El alcance temporal de nuestro trabajo se ha centrado básicamente en la ejec</w:t>
      </w:r>
      <w:r w:rsidRPr="00306812">
        <w:rPr>
          <w:spacing w:val="0"/>
          <w:szCs w:val="26"/>
        </w:rPr>
        <w:t>u</w:t>
      </w:r>
      <w:r w:rsidRPr="00306812">
        <w:rPr>
          <w:spacing w:val="0"/>
          <w:szCs w:val="26"/>
        </w:rPr>
        <w:t>ción de los presupuestos generales de Navarra del ejercicio 2020 y hemos analizado la siguiente información:</w:t>
      </w:r>
    </w:p>
    <w:p w:rsidR="00204F99" w:rsidRPr="00015946" w:rsidRDefault="00204F99" w:rsidP="00306812">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rsidRPr="00015946">
        <w:rPr>
          <w:szCs w:val="26"/>
        </w:rPr>
        <w:t>Partidas presupuestarias de la ACFN referidas a transferencias corrientes y de capital a empresas privadas del ejercicio 2020</w:t>
      </w:r>
      <w:r w:rsidR="00A71164">
        <w:rPr>
          <w:szCs w:val="26"/>
        </w:rPr>
        <w:t>.</w:t>
      </w:r>
    </w:p>
    <w:p w:rsidR="00204F99" w:rsidRPr="00015946" w:rsidRDefault="00AE44ED" w:rsidP="00306812">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rsidRPr="00AC2C31">
        <w:rPr>
          <w:szCs w:val="26"/>
        </w:rPr>
        <w:t>PES</w:t>
      </w:r>
      <w:r w:rsidR="00204F99" w:rsidRPr="00015946">
        <w:rPr>
          <w:szCs w:val="26"/>
        </w:rPr>
        <w:t xml:space="preserve"> 2020-2022 y las principales conclusiones de los grupos de trabajo i</w:t>
      </w:r>
      <w:r w:rsidR="00204F99" w:rsidRPr="00015946">
        <w:rPr>
          <w:szCs w:val="26"/>
        </w:rPr>
        <w:t>n</w:t>
      </w:r>
      <w:r w:rsidR="00204F99" w:rsidRPr="00015946">
        <w:rPr>
          <w:szCs w:val="26"/>
        </w:rPr>
        <w:t>terdepartamentales creados para</w:t>
      </w:r>
      <w:r w:rsidR="008D650E">
        <w:rPr>
          <w:szCs w:val="26"/>
        </w:rPr>
        <w:t xml:space="preserve"> </w:t>
      </w:r>
      <w:r w:rsidR="008D650E" w:rsidRPr="00AC2C31">
        <w:rPr>
          <w:szCs w:val="26"/>
        </w:rPr>
        <w:t>la formulación de los objetivos e</w:t>
      </w:r>
      <w:r w:rsidR="00204F99" w:rsidRPr="00AC2C31">
        <w:rPr>
          <w:szCs w:val="26"/>
        </w:rPr>
        <w:t xml:space="preserve"> indicadores y </w:t>
      </w:r>
      <w:r w:rsidR="008D650E" w:rsidRPr="00AC2C31">
        <w:rPr>
          <w:szCs w:val="26"/>
        </w:rPr>
        <w:t>mejora</w:t>
      </w:r>
      <w:r w:rsidR="00204F99" w:rsidRPr="00AC2C31">
        <w:rPr>
          <w:szCs w:val="26"/>
        </w:rPr>
        <w:t xml:space="preserve"> </w:t>
      </w:r>
      <w:r w:rsidR="00204F99" w:rsidRPr="00015946">
        <w:rPr>
          <w:szCs w:val="26"/>
        </w:rPr>
        <w:t>de cronogramas.</w:t>
      </w:r>
    </w:p>
    <w:p w:rsidR="00204F99" w:rsidRPr="00015946" w:rsidRDefault="00204F99" w:rsidP="00306812">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rsidRPr="00015946">
        <w:rPr>
          <w:szCs w:val="26"/>
        </w:rPr>
        <w:t>Informe de auditoría financiera sobre el procedimiento previsto para la elaboración, contenido, desarrollo y evaluación de los PES del Servicio de Control Financiero Permanente y Auditoría de septiembre de 2020.</w:t>
      </w:r>
    </w:p>
    <w:p w:rsidR="00204F99" w:rsidRPr="00015946"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rsidRPr="00015946">
        <w:rPr>
          <w:szCs w:val="26"/>
        </w:rPr>
        <w:t xml:space="preserve">Normativa aplicable. </w:t>
      </w:r>
    </w:p>
    <w:p w:rsidR="00204F99" w:rsidRPr="00015946"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rsidRPr="00015946">
        <w:rPr>
          <w:szCs w:val="26"/>
        </w:rPr>
        <w:t xml:space="preserve">Información almacenada en el gestor de expedientes electrónico </w:t>
      </w:r>
      <w:proofErr w:type="spellStart"/>
      <w:r w:rsidRPr="00015946">
        <w:rPr>
          <w:szCs w:val="26"/>
        </w:rPr>
        <w:t>Extr</w:t>
      </w:r>
      <w:proofErr w:type="spellEnd"/>
      <w:r w:rsidRPr="00015946">
        <w:rPr>
          <w:szCs w:val="26"/>
        </w:rPr>
        <w:t>@</w:t>
      </w:r>
      <w:r w:rsidR="006E499E">
        <w:rPr>
          <w:szCs w:val="26"/>
        </w:rPr>
        <w:t xml:space="preserve"> y en su caso, en las aplicaciones informáticas</w:t>
      </w:r>
      <w:r w:rsidR="00F60B25">
        <w:rPr>
          <w:szCs w:val="26"/>
        </w:rPr>
        <w:t xml:space="preserve"> </w:t>
      </w:r>
      <w:r w:rsidR="006E499E">
        <w:rPr>
          <w:szCs w:val="26"/>
        </w:rPr>
        <w:t xml:space="preserve">de gestión de las ayudas. </w:t>
      </w:r>
    </w:p>
    <w:p w:rsidR="00204F99" w:rsidRDefault="00204F99" w:rsidP="00553841">
      <w:pPr>
        <w:pStyle w:val="texto"/>
        <w:spacing w:after="240"/>
      </w:pPr>
      <w:r w:rsidRPr="00056A56">
        <w:t>El gasto objeto de revisión de este trabajo asciende a 70 millones</w:t>
      </w:r>
      <w:r w:rsidR="00042A38" w:rsidRPr="00056A56">
        <w:t>, el 39 por ciento del total de transferencias concedidas a empresas privadas en el ejercicio 2020,</w:t>
      </w:r>
      <w:r w:rsidR="00AE44ED" w:rsidRPr="00056A56">
        <w:t xml:space="preserve"> según el siguiente detalle:</w:t>
      </w:r>
    </w:p>
    <w:tbl>
      <w:tblPr>
        <w:tblW w:w="8885" w:type="dxa"/>
        <w:tblCellMar>
          <w:left w:w="70" w:type="dxa"/>
          <w:right w:w="70" w:type="dxa"/>
        </w:tblCellMar>
        <w:tblLook w:val="04A0" w:firstRow="1" w:lastRow="0" w:firstColumn="1" w:lastColumn="0" w:noHBand="0" w:noVBand="1"/>
      </w:tblPr>
      <w:tblGrid>
        <w:gridCol w:w="1400"/>
        <w:gridCol w:w="1096"/>
        <w:gridCol w:w="1145"/>
        <w:gridCol w:w="1037"/>
        <w:gridCol w:w="1060"/>
        <w:gridCol w:w="1066"/>
        <w:gridCol w:w="1001"/>
        <w:gridCol w:w="1080"/>
      </w:tblGrid>
      <w:tr w:rsidR="00204F99" w:rsidRPr="00F75A43" w:rsidTr="00F75A43">
        <w:trPr>
          <w:trHeight w:val="284"/>
        </w:trPr>
        <w:tc>
          <w:tcPr>
            <w:tcW w:w="1400" w:type="dxa"/>
            <w:tcBorders>
              <w:top w:val="single" w:sz="4" w:space="0" w:color="auto"/>
              <w:left w:val="nil"/>
              <w:bottom w:val="single" w:sz="4" w:space="0" w:color="auto"/>
              <w:right w:val="nil"/>
            </w:tcBorders>
            <w:shd w:val="clear" w:color="auto" w:fill="B8CCE4" w:themeFill="accent1" w:themeFillTint="66"/>
            <w:vAlign w:val="center"/>
            <w:hideMark/>
          </w:tcPr>
          <w:p w:rsidR="00204F99" w:rsidRPr="00F75A43" w:rsidRDefault="00204F99" w:rsidP="00F75A43">
            <w:pPr>
              <w:pStyle w:val="cuadroCabe"/>
              <w:spacing w:line="240" w:lineRule="auto"/>
              <w:rPr>
                <w:sz w:val="16"/>
                <w:szCs w:val="16"/>
              </w:rPr>
            </w:pPr>
            <w:r w:rsidRPr="00F75A43">
              <w:rPr>
                <w:sz w:val="16"/>
                <w:szCs w:val="16"/>
              </w:rPr>
              <w:t>Transferencias a empresas</w:t>
            </w:r>
          </w:p>
        </w:tc>
        <w:tc>
          <w:tcPr>
            <w:tcW w:w="1096"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F75A43" w:rsidRDefault="00204F99" w:rsidP="00F75A43">
            <w:pPr>
              <w:pStyle w:val="cuadroCabe"/>
              <w:spacing w:line="240" w:lineRule="auto"/>
              <w:jc w:val="right"/>
              <w:rPr>
                <w:sz w:val="16"/>
                <w:szCs w:val="16"/>
              </w:rPr>
            </w:pPr>
            <w:r w:rsidRPr="00F75A43">
              <w:rPr>
                <w:sz w:val="16"/>
                <w:szCs w:val="16"/>
              </w:rPr>
              <w:t>2020</w:t>
            </w:r>
          </w:p>
        </w:tc>
        <w:tc>
          <w:tcPr>
            <w:tcW w:w="1145" w:type="dxa"/>
            <w:tcBorders>
              <w:top w:val="single" w:sz="4" w:space="0" w:color="auto"/>
              <w:left w:val="nil"/>
              <w:bottom w:val="single" w:sz="4" w:space="0" w:color="auto"/>
              <w:right w:val="nil"/>
            </w:tcBorders>
            <w:shd w:val="clear" w:color="auto" w:fill="B8CCE4" w:themeFill="accent1" w:themeFillTint="66"/>
            <w:vAlign w:val="center"/>
            <w:hideMark/>
          </w:tcPr>
          <w:p w:rsidR="00204F99" w:rsidRPr="00F75A43" w:rsidRDefault="00204F99" w:rsidP="00F75A43">
            <w:pPr>
              <w:pStyle w:val="cuadroCabe"/>
              <w:spacing w:line="240" w:lineRule="auto"/>
              <w:jc w:val="right"/>
              <w:rPr>
                <w:sz w:val="16"/>
                <w:szCs w:val="16"/>
              </w:rPr>
            </w:pPr>
            <w:proofErr w:type="spellStart"/>
            <w:r w:rsidRPr="00F75A43">
              <w:rPr>
                <w:sz w:val="16"/>
                <w:szCs w:val="16"/>
              </w:rPr>
              <w:t>Gstos</w:t>
            </w:r>
            <w:proofErr w:type="spellEnd"/>
            <w:r w:rsidR="00C76158" w:rsidRPr="00F75A43">
              <w:rPr>
                <w:sz w:val="16"/>
                <w:szCs w:val="16"/>
              </w:rPr>
              <w:t xml:space="preserve"> </w:t>
            </w:r>
            <w:proofErr w:type="spellStart"/>
            <w:r w:rsidRPr="00F75A43">
              <w:rPr>
                <w:sz w:val="16"/>
                <w:szCs w:val="16"/>
              </w:rPr>
              <w:t>Covid</w:t>
            </w:r>
            <w:proofErr w:type="spellEnd"/>
            <w:r w:rsidRPr="00F75A43">
              <w:rPr>
                <w:sz w:val="16"/>
                <w:szCs w:val="16"/>
              </w:rPr>
              <w:t xml:space="preserve"> revisados a)</w:t>
            </w:r>
          </w:p>
        </w:tc>
        <w:tc>
          <w:tcPr>
            <w:tcW w:w="1037" w:type="dxa"/>
            <w:tcBorders>
              <w:top w:val="single" w:sz="4" w:space="0" w:color="auto"/>
              <w:left w:val="nil"/>
              <w:bottom w:val="single" w:sz="4" w:space="0" w:color="auto"/>
              <w:right w:val="nil"/>
            </w:tcBorders>
            <w:shd w:val="clear" w:color="auto" w:fill="B8CCE4" w:themeFill="accent1" w:themeFillTint="66"/>
            <w:noWrap/>
            <w:vAlign w:val="center"/>
            <w:hideMark/>
          </w:tcPr>
          <w:p w:rsidR="00553841" w:rsidRPr="00F75A43" w:rsidRDefault="00204F99" w:rsidP="00F75A43">
            <w:pPr>
              <w:pStyle w:val="cuadroCabe"/>
              <w:spacing w:line="240" w:lineRule="auto"/>
              <w:jc w:val="right"/>
              <w:rPr>
                <w:sz w:val="16"/>
                <w:szCs w:val="16"/>
              </w:rPr>
            </w:pPr>
            <w:r w:rsidRPr="00F75A43">
              <w:rPr>
                <w:sz w:val="16"/>
                <w:szCs w:val="16"/>
              </w:rPr>
              <w:t>FEADER</w:t>
            </w:r>
          </w:p>
          <w:p w:rsidR="00204F99" w:rsidRPr="00F75A43" w:rsidRDefault="00204F99" w:rsidP="00F75A43">
            <w:pPr>
              <w:pStyle w:val="cuadroCabe"/>
              <w:spacing w:line="240" w:lineRule="auto"/>
              <w:jc w:val="right"/>
              <w:rPr>
                <w:sz w:val="16"/>
                <w:szCs w:val="16"/>
              </w:rPr>
            </w:pPr>
            <w:r w:rsidRPr="00F75A43">
              <w:rPr>
                <w:sz w:val="16"/>
                <w:szCs w:val="16"/>
              </w:rPr>
              <w:t xml:space="preserve"> b)</w:t>
            </w:r>
          </w:p>
        </w:tc>
        <w:tc>
          <w:tcPr>
            <w:tcW w:w="1060" w:type="dxa"/>
            <w:tcBorders>
              <w:top w:val="single" w:sz="4" w:space="0" w:color="auto"/>
              <w:left w:val="nil"/>
              <w:bottom w:val="single" w:sz="4" w:space="0" w:color="auto"/>
              <w:right w:val="nil"/>
            </w:tcBorders>
            <w:shd w:val="clear" w:color="auto" w:fill="B8CCE4" w:themeFill="accent1" w:themeFillTint="66"/>
            <w:vAlign w:val="center"/>
            <w:hideMark/>
          </w:tcPr>
          <w:p w:rsidR="00553841" w:rsidRPr="00F75A43" w:rsidRDefault="00204F99" w:rsidP="00F75A43">
            <w:pPr>
              <w:pStyle w:val="cuadroCabe"/>
              <w:spacing w:line="240" w:lineRule="auto"/>
              <w:jc w:val="right"/>
              <w:rPr>
                <w:sz w:val="16"/>
                <w:szCs w:val="16"/>
              </w:rPr>
            </w:pPr>
            <w:r w:rsidRPr="00F75A43">
              <w:rPr>
                <w:sz w:val="16"/>
                <w:szCs w:val="16"/>
              </w:rPr>
              <w:t xml:space="preserve">FEDER </w:t>
            </w:r>
          </w:p>
          <w:p w:rsidR="00204F99" w:rsidRPr="00F75A43" w:rsidRDefault="00204F99" w:rsidP="00F75A43">
            <w:pPr>
              <w:pStyle w:val="cuadroCabe"/>
              <w:spacing w:line="240" w:lineRule="auto"/>
              <w:jc w:val="right"/>
              <w:rPr>
                <w:sz w:val="16"/>
                <w:szCs w:val="16"/>
              </w:rPr>
            </w:pPr>
            <w:r w:rsidRPr="00F75A43">
              <w:rPr>
                <w:sz w:val="16"/>
                <w:szCs w:val="16"/>
              </w:rPr>
              <w:t>c)</w:t>
            </w:r>
          </w:p>
        </w:tc>
        <w:tc>
          <w:tcPr>
            <w:tcW w:w="1066" w:type="dxa"/>
            <w:tcBorders>
              <w:top w:val="single" w:sz="4" w:space="0" w:color="auto"/>
              <w:left w:val="nil"/>
              <w:bottom w:val="single" w:sz="4" w:space="0" w:color="auto"/>
              <w:right w:val="nil"/>
            </w:tcBorders>
            <w:shd w:val="clear" w:color="auto" w:fill="B8CCE4" w:themeFill="accent1" w:themeFillTint="66"/>
            <w:vAlign w:val="center"/>
            <w:hideMark/>
          </w:tcPr>
          <w:p w:rsidR="00204F99" w:rsidRPr="00F75A43" w:rsidRDefault="00204F99" w:rsidP="00F75A43">
            <w:pPr>
              <w:pStyle w:val="cuadroCabe"/>
              <w:spacing w:line="240" w:lineRule="auto"/>
              <w:jc w:val="right"/>
              <w:rPr>
                <w:sz w:val="16"/>
                <w:szCs w:val="16"/>
              </w:rPr>
            </w:pPr>
            <w:r w:rsidRPr="00F75A43">
              <w:rPr>
                <w:sz w:val="16"/>
                <w:szCs w:val="16"/>
              </w:rPr>
              <w:t>Canon C</w:t>
            </w:r>
            <w:r w:rsidRPr="00F75A43">
              <w:rPr>
                <w:sz w:val="16"/>
                <w:szCs w:val="16"/>
              </w:rPr>
              <w:t>a</w:t>
            </w:r>
            <w:r w:rsidRPr="00F75A43">
              <w:rPr>
                <w:sz w:val="16"/>
                <w:szCs w:val="16"/>
              </w:rPr>
              <w:t>nal d)</w:t>
            </w:r>
          </w:p>
        </w:tc>
        <w:tc>
          <w:tcPr>
            <w:tcW w:w="1001" w:type="dxa"/>
            <w:tcBorders>
              <w:top w:val="single" w:sz="4" w:space="0" w:color="auto"/>
              <w:left w:val="nil"/>
              <w:bottom w:val="single" w:sz="4" w:space="0" w:color="auto"/>
              <w:right w:val="nil"/>
            </w:tcBorders>
            <w:shd w:val="clear" w:color="auto" w:fill="B8CCE4" w:themeFill="accent1" w:themeFillTint="66"/>
            <w:vAlign w:val="center"/>
            <w:hideMark/>
          </w:tcPr>
          <w:p w:rsidR="00204F99" w:rsidRPr="00F75A43" w:rsidRDefault="00204F99" w:rsidP="00F75A43">
            <w:pPr>
              <w:pStyle w:val="cuadroCabe"/>
              <w:spacing w:line="240" w:lineRule="auto"/>
              <w:jc w:val="right"/>
              <w:rPr>
                <w:sz w:val="16"/>
                <w:szCs w:val="16"/>
              </w:rPr>
            </w:pPr>
            <w:proofErr w:type="spellStart"/>
            <w:r w:rsidRPr="00F75A43">
              <w:rPr>
                <w:sz w:val="16"/>
                <w:szCs w:val="16"/>
              </w:rPr>
              <w:t>Audenasa</w:t>
            </w:r>
            <w:proofErr w:type="spellEnd"/>
            <w:r w:rsidRPr="00F75A43">
              <w:rPr>
                <w:sz w:val="16"/>
                <w:szCs w:val="16"/>
              </w:rPr>
              <w:t xml:space="preserve"> e)</w:t>
            </w:r>
          </w:p>
        </w:tc>
        <w:tc>
          <w:tcPr>
            <w:tcW w:w="1080" w:type="dxa"/>
            <w:tcBorders>
              <w:top w:val="single" w:sz="4" w:space="0" w:color="auto"/>
              <w:left w:val="nil"/>
              <w:bottom w:val="single" w:sz="4" w:space="0" w:color="auto"/>
              <w:right w:val="nil"/>
            </w:tcBorders>
            <w:shd w:val="clear" w:color="auto" w:fill="B8CCE4" w:themeFill="accent1" w:themeFillTint="66"/>
            <w:vAlign w:val="center"/>
            <w:hideMark/>
          </w:tcPr>
          <w:p w:rsidR="00204F99" w:rsidRPr="00F75A43" w:rsidRDefault="00204F99" w:rsidP="00F75A43">
            <w:pPr>
              <w:pStyle w:val="cuadroCabe"/>
              <w:spacing w:line="240" w:lineRule="auto"/>
              <w:jc w:val="right"/>
              <w:rPr>
                <w:sz w:val="16"/>
                <w:szCs w:val="16"/>
              </w:rPr>
            </w:pPr>
            <w:r w:rsidRPr="00F75A43">
              <w:rPr>
                <w:sz w:val="16"/>
                <w:szCs w:val="16"/>
              </w:rPr>
              <w:t xml:space="preserve">Total 2020 </w:t>
            </w:r>
            <w:r w:rsidR="00FC1232" w:rsidRPr="00F75A43">
              <w:rPr>
                <w:sz w:val="16"/>
                <w:szCs w:val="16"/>
              </w:rPr>
              <w:t>-a-b-c-d-</w:t>
            </w:r>
            <w:r w:rsidRPr="00F75A43">
              <w:rPr>
                <w:sz w:val="16"/>
                <w:szCs w:val="16"/>
              </w:rPr>
              <w:t>e</w:t>
            </w:r>
          </w:p>
        </w:tc>
      </w:tr>
      <w:tr w:rsidR="00204F99" w:rsidRPr="00F75A43" w:rsidTr="00F75A43">
        <w:trPr>
          <w:trHeight w:val="284"/>
        </w:trPr>
        <w:tc>
          <w:tcPr>
            <w:tcW w:w="1400" w:type="dxa"/>
            <w:tcBorders>
              <w:top w:val="single" w:sz="4" w:space="0" w:color="auto"/>
              <w:left w:val="nil"/>
              <w:bottom w:val="single" w:sz="2" w:space="0" w:color="auto"/>
              <w:right w:val="nil"/>
            </w:tcBorders>
            <w:shd w:val="clear" w:color="auto" w:fill="auto"/>
            <w:vAlign w:val="center"/>
            <w:hideMark/>
          </w:tcPr>
          <w:p w:rsidR="00204F99" w:rsidRPr="00F75A43" w:rsidRDefault="00204F99" w:rsidP="00553841">
            <w:pPr>
              <w:pStyle w:val="cuatexto"/>
              <w:rPr>
                <w:sz w:val="18"/>
                <w:szCs w:val="18"/>
                <w:lang w:val="es-ES" w:eastAsia="es-ES"/>
              </w:rPr>
            </w:pPr>
            <w:r w:rsidRPr="00F75A43">
              <w:rPr>
                <w:sz w:val="18"/>
                <w:szCs w:val="18"/>
                <w:lang w:val="es-ES" w:eastAsia="es-ES"/>
              </w:rPr>
              <w:t xml:space="preserve">De Capital </w:t>
            </w:r>
          </w:p>
        </w:tc>
        <w:tc>
          <w:tcPr>
            <w:tcW w:w="1096" w:type="dxa"/>
            <w:tcBorders>
              <w:top w:val="single" w:sz="4" w:space="0" w:color="auto"/>
              <w:left w:val="nil"/>
              <w:bottom w:val="single" w:sz="2" w:space="0" w:color="auto"/>
              <w:right w:val="nil"/>
            </w:tcBorders>
            <w:shd w:val="clear" w:color="auto" w:fill="auto"/>
            <w:noWrap/>
            <w:vAlign w:val="center"/>
            <w:hideMark/>
          </w:tcPr>
          <w:p w:rsidR="00204F99" w:rsidRPr="00F75A43" w:rsidRDefault="00204F99" w:rsidP="00F75A43">
            <w:pPr>
              <w:pStyle w:val="cuatexto"/>
              <w:jc w:val="right"/>
              <w:rPr>
                <w:sz w:val="18"/>
                <w:szCs w:val="18"/>
                <w:lang w:val="es-ES" w:eastAsia="es-ES"/>
              </w:rPr>
            </w:pPr>
            <w:r w:rsidRPr="00F75A43">
              <w:rPr>
                <w:sz w:val="18"/>
                <w:szCs w:val="18"/>
                <w:lang w:val="es-ES" w:eastAsia="es-ES"/>
              </w:rPr>
              <w:t>60.267.455</w:t>
            </w:r>
          </w:p>
        </w:tc>
        <w:tc>
          <w:tcPr>
            <w:tcW w:w="1145" w:type="dxa"/>
            <w:tcBorders>
              <w:top w:val="single" w:sz="4" w:space="0" w:color="auto"/>
              <w:left w:val="nil"/>
              <w:bottom w:val="single" w:sz="2" w:space="0" w:color="auto"/>
              <w:right w:val="nil"/>
            </w:tcBorders>
            <w:shd w:val="clear" w:color="auto" w:fill="auto"/>
            <w:noWrap/>
            <w:vAlign w:val="center"/>
            <w:hideMark/>
          </w:tcPr>
          <w:p w:rsidR="00204F99" w:rsidRPr="00F75A43" w:rsidRDefault="00204F99" w:rsidP="00F75A43">
            <w:pPr>
              <w:pStyle w:val="cuatexto"/>
              <w:jc w:val="right"/>
              <w:rPr>
                <w:sz w:val="18"/>
                <w:szCs w:val="18"/>
                <w:lang w:val="es-ES" w:eastAsia="es-ES"/>
              </w:rPr>
            </w:pPr>
            <w:r w:rsidRPr="00F75A43">
              <w:rPr>
                <w:sz w:val="18"/>
                <w:szCs w:val="18"/>
                <w:lang w:val="es-ES" w:eastAsia="es-ES"/>
              </w:rPr>
              <w:t> </w:t>
            </w:r>
          </w:p>
        </w:tc>
        <w:tc>
          <w:tcPr>
            <w:tcW w:w="1037" w:type="dxa"/>
            <w:tcBorders>
              <w:top w:val="single" w:sz="4" w:space="0" w:color="auto"/>
              <w:left w:val="nil"/>
              <w:bottom w:val="single" w:sz="2" w:space="0" w:color="auto"/>
              <w:right w:val="nil"/>
            </w:tcBorders>
            <w:shd w:val="clear" w:color="auto" w:fill="auto"/>
            <w:noWrap/>
            <w:vAlign w:val="center"/>
            <w:hideMark/>
          </w:tcPr>
          <w:p w:rsidR="00204F99" w:rsidRPr="00F75A43" w:rsidRDefault="00204F99" w:rsidP="00F75A43">
            <w:pPr>
              <w:pStyle w:val="cuatexto"/>
              <w:jc w:val="right"/>
              <w:rPr>
                <w:sz w:val="18"/>
                <w:szCs w:val="18"/>
                <w:lang w:val="es-ES" w:eastAsia="es-ES"/>
              </w:rPr>
            </w:pPr>
            <w:r w:rsidRPr="00F75A43">
              <w:rPr>
                <w:sz w:val="18"/>
                <w:szCs w:val="18"/>
                <w:lang w:val="es-ES" w:eastAsia="es-ES"/>
              </w:rPr>
              <w:t>15.587.189</w:t>
            </w:r>
          </w:p>
        </w:tc>
        <w:tc>
          <w:tcPr>
            <w:tcW w:w="1060" w:type="dxa"/>
            <w:tcBorders>
              <w:top w:val="single" w:sz="4" w:space="0" w:color="auto"/>
              <w:left w:val="nil"/>
              <w:bottom w:val="single" w:sz="2" w:space="0" w:color="auto"/>
              <w:right w:val="nil"/>
            </w:tcBorders>
            <w:shd w:val="clear" w:color="auto" w:fill="auto"/>
            <w:noWrap/>
            <w:vAlign w:val="center"/>
            <w:hideMark/>
          </w:tcPr>
          <w:p w:rsidR="00204F99" w:rsidRPr="00F75A43" w:rsidRDefault="00204F99" w:rsidP="00F75A43">
            <w:pPr>
              <w:pStyle w:val="cuatexto"/>
              <w:jc w:val="right"/>
              <w:rPr>
                <w:sz w:val="18"/>
                <w:szCs w:val="18"/>
                <w:lang w:val="es-ES" w:eastAsia="es-ES"/>
              </w:rPr>
            </w:pPr>
            <w:r w:rsidRPr="00F75A43">
              <w:rPr>
                <w:sz w:val="18"/>
                <w:szCs w:val="18"/>
                <w:lang w:val="es-ES" w:eastAsia="es-ES"/>
              </w:rPr>
              <w:t>24.146.121</w:t>
            </w:r>
          </w:p>
        </w:tc>
        <w:tc>
          <w:tcPr>
            <w:tcW w:w="1066" w:type="dxa"/>
            <w:tcBorders>
              <w:top w:val="single" w:sz="4" w:space="0" w:color="auto"/>
              <w:left w:val="nil"/>
              <w:bottom w:val="single" w:sz="2" w:space="0" w:color="auto"/>
              <w:right w:val="nil"/>
            </w:tcBorders>
            <w:shd w:val="clear" w:color="auto" w:fill="auto"/>
            <w:noWrap/>
            <w:vAlign w:val="center"/>
            <w:hideMark/>
          </w:tcPr>
          <w:p w:rsidR="00204F99" w:rsidRPr="00F75A43" w:rsidRDefault="00204F99" w:rsidP="00F75A43">
            <w:pPr>
              <w:pStyle w:val="cuatexto"/>
              <w:jc w:val="right"/>
              <w:rPr>
                <w:sz w:val="18"/>
                <w:szCs w:val="18"/>
                <w:lang w:val="es-ES" w:eastAsia="es-ES"/>
              </w:rPr>
            </w:pPr>
            <w:r w:rsidRPr="00F75A43">
              <w:rPr>
                <w:sz w:val="18"/>
                <w:szCs w:val="18"/>
                <w:lang w:val="es-ES" w:eastAsia="es-ES"/>
              </w:rPr>
              <w:t> </w:t>
            </w:r>
          </w:p>
        </w:tc>
        <w:tc>
          <w:tcPr>
            <w:tcW w:w="1001" w:type="dxa"/>
            <w:tcBorders>
              <w:top w:val="single" w:sz="4" w:space="0" w:color="auto"/>
              <w:left w:val="nil"/>
              <w:bottom w:val="single" w:sz="2" w:space="0" w:color="auto"/>
              <w:right w:val="nil"/>
            </w:tcBorders>
            <w:shd w:val="clear" w:color="auto" w:fill="auto"/>
            <w:noWrap/>
            <w:vAlign w:val="center"/>
            <w:hideMark/>
          </w:tcPr>
          <w:p w:rsidR="00204F99" w:rsidRPr="00F75A43" w:rsidRDefault="00204F99" w:rsidP="00F75A43">
            <w:pPr>
              <w:pStyle w:val="cuatexto"/>
              <w:jc w:val="right"/>
              <w:rPr>
                <w:sz w:val="18"/>
                <w:szCs w:val="18"/>
                <w:lang w:val="es-ES" w:eastAsia="es-ES"/>
              </w:rPr>
            </w:pPr>
            <w:r w:rsidRPr="00F75A43">
              <w:rPr>
                <w:sz w:val="18"/>
                <w:szCs w:val="18"/>
                <w:lang w:val="es-ES" w:eastAsia="es-ES"/>
              </w:rPr>
              <w:t> </w:t>
            </w:r>
          </w:p>
        </w:tc>
        <w:tc>
          <w:tcPr>
            <w:tcW w:w="1080" w:type="dxa"/>
            <w:tcBorders>
              <w:top w:val="single" w:sz="4" w:space="0" w:color="auto"/>
              <w:left w:val="nil"/>
              <w:bottom w:val="single" w:sz="2" w:space="0" w:color="auto"/>
              <w:right w:val="nil"/>
            </w:tcBorders>
            <w:shd w:val="clear" w:color="auto" w:fill="auto"/>
            <w:noWrap/>
            <w:vAlign w:val="center"/>
            <w:hideMark/>
          </w:tcPr>
          <w:p w:rsidR="00204F99" w:rsidRPr="00F75A43" w:rsidRDefault="00204F99" w:rsidP="00F75A43">
            <w:pPr>
              <w:pStyle w:val="cuatexto"/>
              <w:jc w:val="right"/>
              <w:rPr>
                <w:bCs/>
                <w:sz w:val="18"/>
                <w:szCs w:val="18"/>
                <w:lang w:val="es-ES" w:eastAsia="es-ES"/>
              </w:rPr>
            </w:pPr>
            <w:r w:rsidRPr="00F75A43">
              <w:rPr>
                <w:bCs/>
                <w:sz w:val="18"/>
                <w:szCs w:val="18"/>
                <w:lang w:val="es-ES" w:eastAsia="es-ES"/>
              </w:rPr>
              <w:t>20.534.146</w:t>
            </w:r>
          </w:p>
        </w:tc>
      </w:tr>
      <w:tr w:rsidR="00204F99" w:rsidRPr="00F75A43" w:rsidTr="00F75A43">
        <w:trPr>
          <w:trHeight w:val="284"/>
        </w:trPr>
        <w:tc>
          <w:tcPr>
            <w:tcW w:w="1400" w:type="dxa"/>
            <w:tcBorders>
              <w:top w:val="single" w:sz="2" w:space="0" w:color="auto"/>
              <w:left w:val="nil"/>
              <w:bottom w:val="single" w:sz="4" w:space="0" w:color="auto"/>
              <w:right w:val="nil"/>
            </w:tcBorders>
            <w:shd w:val="clear" w:color="auto" w:fill="auto"/>
            <w:vAlign w:val="center"/>
            <w:hideMark/>
          </w:tcPr>
          <w:p w:rsidR="00204F99" w:rsidRPr="00F75A43" w:rsidRDefault="00204F99" w:rsidP="00553841">
            <w:pPr>
              <w:pStyle w:val="cuatexto"/>
              <w:rPr>
                <w:sz w:val="18"/>
                <w:szCs w:val="18"/>
                <w:lang w:val="es-ES" w:eastAsia="es-ES"/>
              </w:rPr>
            </w:pPr>
            <w:r w:rsidRPr="00F75A43">
              <w:rPr>
                <w:sz w:val="18"/>
                <w:szCs w:val="18"/>
                <w:lang w:val="es-ES" w:eastAsia="es-ES"/>
              </w:rPr>
              <w:t>Corrientes</w:t>
            </w:r>
          </w:p>
        </w:tc>
        <w:tc>
          <w:tcPr>
            <w:tcW w:w="1096" w:type="dxa"/>
            <w:tcBorders>
              <w:top w:val="single" w:sz="2" w:space="0" w:color="auto"/>
              <w:left w:val="nil"/>
              <w:bottom w:val="single" w:sz="4" w:space="0" w:color="auto"/>
              <w:right w:val="nil"/>
            </w:tcBorders>
            <w:shd w:val="clear" w:color="auto" w:fill="auto"/>
            <w:noWrap/>
            <w:vAlign w:val="center"/>
            <w:hideMark/>
          </w:tcPr>
          <w:p w:rsidR="00204F99" w:rsidRPr="00F75A43" w:rsidRDefault="00204F99" w:rsidP="00F75A43">
            <w:pPr>
              <w:pStyle w:val="cuatexto"/>
              <w:jc w:val="right"/>
              <w:rPr>
                <w:sz w:val="18"/>
                <w:szCs w:val="18"/>
                <w:lang w:val="es-ES" w:eastAsia="es-ES"/>
              </w:rPr>
            </w:pPr>
            <w:r w:rsidRPr="00F75A43">
              <w:rPr>
                <w:sz w:val="18"/>
                <w:szCs w:val="18"/>
                <w:lang w:val="es-ES" w:eastAsia="es-ES"/>
              </w:rPr>
              <w:t>119.864.446</w:t>
            </w:r>
          </w:p>
        </w:tc>
        <w:tc>
          <w:tcPr>
            <w:tcW w:w="1145" w:type="dxa"/>
            <w:tcBorders>
              <w:top w:val="single" w:sz="2" w:space="0" w:color="auto"/>
              <w:left w:val="nil"/>
              <w:bottom w:val="single" w:sz="4" w:space="0" w:color="auto"/>
              <w:right w:val="nil"/>
            </w:tcBorders>
            <w:shd w:val="clear" w:color="auto" w:fill="auto"/>
            <w:noWrap/>
            <w:vAlign w:val="center"/>
            <w:hideMark/>
          </w:tcPr>
          <w:p w:rsidR="00204F99" w:rsidRPr="00F75A43" w:rsidRDefault="00204F99" w:rsidP="00F75A43">
            <w:pPr>
              <w:pStyle w:val="cuatexto"/>
              <w:jc w:val="right"/>
              <w:rPr>
                <w:sz w:val="18"/>
                <w:szCs w:val="18"/>
                <w:lang w:val="es-ES" w:eastAsia="es-ES"/>
              </w:rPr>
            </w:pPr>
            <w:r w:rsidRPr="00F75A43">
              <w:rPr>
                <w:sz w:val="18"/>
                <w:szCs w:val="18"/>
                <w:lang w:val="es-ES" w:eastAsia="es-ES"/>
              </w:rPr>
              <w:t>26.377.714</w:t>
            </w:r>
          </w:p>
        </w:tc>
        <w:tc>
          <w:tcPr>
            <w:tcW w:w="1037" w:type="dxa"/>
            <w:tcBorders>
              <w:top w:val="single" w:sz="2" w:space="0" w:color="auto"/>
              <w:left w:val="nil"/>
              <w:bottom w:val="single" w:sz="4" w:space="0" w:color="auto"/>
              <w:right w:val="nil"/>
            </w:tcBorders>
            <w:shd w:val="clear" w:color="auto" w:fill="auto"/>
            <w:noWrap/>
            <w:vAlign w:val="center"/>
            <w:hideMark/>
          </w:tcPr>
          <w:p w:rsidR="00204F99" w:rsidRPr="00F75A43" w:rsidRDefault="00204F99" w:rsidP="00F75A43">
            <w:pPr>
              <w:pStyle w:val="cuatexto"/>
              <w:jc w:val="right"/>
              <w:rPr>
                <w:sz w:val="18"/>
                <w:szCs w:val="18"/>
                <w:lang w:val="es-ES" w:eastAsia="es-ES"/>
              </w:rPr>
            </w:pPr>
            <w:r w:rsidRPr="00F75A43">
              <w:rPr>
                <w:sz w:val="18"/>
                <w:szCs w:val="18"/>
                <w:lang w:val="es-ES" w:eastAsia="es-ES"/>
              </w:rPr>
              <w:t>9.963.361</w:t>
            </w:r>
          </w:p>
        </w:tc>
        <w:tc>
          <w:tcPr>
            <w:tcW w:w="1060" w:type="dxa"/>
            <w:tcBorders>
              <w:top w:val="single" w:sz="2" w:space="0" w:color="auto"/>
              <w:left w:val="nil"/>
              <w:bottom w:val="single" w:sz="4" w:space="0" w:color="auto"/>
              <w:right w:val="nil"/>
            </w:tcBorders>
            <w:shd w:val="clear" w:color="auto" w:fill="auto"/>
            <w:noWrap/>
            <w:vAlign w:val="center"/>
            <w:hideMark/>
          </w:tcPr>
          <w:p w:rsidR="00204F99" w:rsidRPr="00F75A43" w:rsidRDefault="00204F99" w:rsidP="00F75A43">
            <w:pPr>
              <w:pStyle w:val="cuatexto"/>
              <w:jc w:val="right"/>
              <w:rPr>
                <w:sz w:val="18"/>
                <w:szCs w:val="18"/>
                <w:lang w:val="es-ES" w:eastAsia="es-ES"/>
              </w:rPr>
            </w:pPr>
            <w:r w:rsidRPr="00F75A43">
              <w:rPr>
                <w:sz w:val="18"/>
                <w:szCs w:val="18"/>
                <w:lang w:val="es-ES" w:eastAsia="es-ES"/>
              </w:rPr>
              <w:t>408.676</w:t>
            </w:r>
          </w:p>
        </w:tc>
        <w:tc>
          <w:tcPr>
            <w:tcW w:w="1066" w:type="dxa"/>
            <w:tcBorders>
              <w:top w:val="single" w:sz="2" w:space="0" w:color="auto"/>
              <w:left w:val="nil"/>
              <w:bottom w:val="single" w:sz="4" w:space="0" w:color="auto"/>
              <w:right w:val="nil"/>
            </w:tcBorders>
            <w:shd w:val="clear" w:color="auto" w:fill="auto"/>
            <w:noWrap/>
            <w:vAlign w:val="center"/>
            <w:hideMark/>
          </w:tcPr>
          <w:p w:rsidR="00204F99" w:rsidRPr="00F75A43" w:rsidRDefault="00204F99" w:rsidP="00F75A43">
            <w:pPr>
              <w:pStyle w:val="cuatexto"/>
              <w:jc w:val="right"/>
              <w:rPr>
                <w:sz w:val="18"/>
                <w:szCs w:val="18"/>
                <w:lang w:val="es-ES" w:eastAsia="es-ES"/>
              </w:rPr>
            </w:pPr>
            <w:r w:rsidRPr="00F75A43">
              <w:rPr>
                <w:sz w:val="18"/>
                <w:szCs w:val="18"/>
                <w:lang w:val="es-ES" w:eastAsia="es-ES"/>
              </w:rPr>
              <w:t>21.988.562</w:t>
            </w:r>
          </w:p>
        </w:tc>
        <w:tc>
          <w:tcPr>
            <w:tcW w:w="1001" w:type="dxa"/>
            <w:tcBorders>
              <w:top w:val="single" w:sz="2" w:space="0" w:color="auto"/>
              <w:left w:val="nil"/>
              <w:bottom w:val="single" w:sz="4" w:space="0" w:color="auto"/>
              <w:right w:val="nil"/>
            </w:tcBorders>
            <w:shd w:val="clear" w:color="auto" w:fill="auto"/>
            <w:noWrap/>
            <w:vAlign w:val="center"/>
            <w:hideMark/>
          </w:tcPr>
          <w:p w:rsidR="00204F99" w:rsidRPr="00F75A43" w:rsidRDefault="00204F99" w:rsidP="00F75A43">
            <w:pPr>
              <w:pStyle w:val="cuatexto"/>
              <w:jc w:val="right"/>
              <w:rPr>
                <w:sz w:val="18"/>
                <w:szCs w:val="18"/>
                <w:lang w:val="es-ES" w:eastAsia="es-ES"/>
              </w:rPr>
            </w:pPr>
            <w:r w:rsidRPr="00F75A43">
              <w:rPr>
                <w:sz w:val="18"/>
                <w:szCs w:val="18"/>
                <w:lang w:val="es-ES" w:eastAsia="es-ES"/>
              </w:rPr>
              <w:t>11.581.348</w:t>
            </w:r>
          </w:p>
        </w:tc>
        <w:tc>
          <w:tcPr>
            <w:tcW w:w="1080" w:type="dxa"/>
            <w:tcBorders>
              <w:top w:val="single" w:sz="2" w:space="0" w:color="auto"/>
              <w:left w:val="nil"/>
              <w:bottom w:val="single" w:sz="4" w:space="0" w:color="auto"/>
              <w:right w:val="nil"/>
            </w:tcBorders>
            <w:shd w:val="clear" w:color="auto" w:fill="auto"/>
            <w:noWrap/>
            <w:vAlign w:val="center"/>
            <w:hideMark/>
          </w:tcPr>
          <w:p w:rsidR="00204F99" w:rsidRPr="00F75A43" w:rsidRDefault="00204F99" w:rsidP="00F75A43">
            <w:pPr>
              <w:pStyle w:val="cuatexto"/>
              <w:jc w:val="right"/>
              <w:rPr>
                <w:bCs/>
                <w:sz w:val="18"/>
                <w:szCs w:val="18"/>
                <w:lang w:val="es-ES" w:eastAsia="es-ES"/>
              </w:rPr>
            </w:pPr>
            <w:r w:rsidRPr="00F75A43">
              <w:rPr>
                <w:bCs/>
                <w:sz w:val="18"/>
                <w:szCs w:val="18"/>
                <w:lang w:val="es-ES" w:eastAsia="es-ES"/>
              </w:rPr>
              <w:t>49.544.785</w:t>
            </w:r>
          </w:p>
        </w:tc>
      </w:tr>
      <w:tr w:rsidR="00204F99" w:rsidRPr="00F75A43" w:rsidTr="00CE50DD">
        <w:trPr>
          <w:trHeight w:val="284"/>
        </w:trPr>
        <w:tc>
          <w:tcPr>
            <w:tcW w:w="1400"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F75A43" w:rsidRDefault="00204F99" w:rsidP="00F75A43">
            <w:pPr>
              <w:pStyle w:val="cuadroCabe"/>
              <w:rPr>
                <w:sz w:val="16"/>
                <w:szCs w:val="16"/>
                <w:lang w:val="es-ES" w:eastAsia="es-ES"/>
              </w:rPr>
            </w:pPr>
            <w:r w:rsidRPr="00F75A43">
              <w:rPr>
                <w:sz w:val="16"/>
                <w:szCs w:val="16"/>
                <w:lang w:val="es-ES" w:eastAsia="es-ES"/>
              </w:rPr>
              <w:t> </w:t>
            </w:r>
          </w:p>
        </w:tc>
        <w:tc>
          <w:tcPr>
            <w:tcW w:w="1096"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F75A43" w:rsidRDefault="00204F99" w:rsidP="00F75A43">
            <w:pPr>
              <w:pStyle w:val="cuadroCabe"/>
              <w:jc w:val="right"/>
              <w:rPr>
                <w:sz w:val="16"/>
                <w:szCs w:val="16"/>
                <w:lang w:val="es-ES" w:eastAsia="es-ES"/>
              </w:rPr>
            </w:pPr>
            <w:r w:rsidRPr="00F75A43">
              <w:rPr>
                <w:sz w:val="16"/>
                <w:szCs w:val="16"/>
                <w:lang w:val="es-ES" w:eastAsia="es-ES"/>
              </w:rPr>
              <w:t>180.131.902</w:t>
            </w:r>
          </w:p>
        </w:tc>
        <w:tc>
          <w:tcPr>
            <w:tcW w:w="1145"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F75A43" w:rsidRDefault="00204F99" w:rsidP="00F75A43">
            <w:pPr>
              <w:pStyle w:val="cuadroCabe"/>
              <w:jc w:val="right"/>
              <w:rPr>
                <w:sz w:val="16"/>
                <w:szCs w:val="16"/>
                <w:lang w:val="es-ES" w:eastAsia="es-ES"/>
              </w:rPr>
            </w:pPr>
            <w:r w:rsidRPr="00F75A43">
              <w:rPr>
                <w:sz w:val="16"/>
                <w:szCs w:val="16"/>
                <w:lang w:val="es-ES" w:eastAsia="es-ES"/>
              </w:rPr>
              <w:t>26.377.714</w:t>
            </w:r>
          </w:p>
        </w:tc>
        <w:tc>
          <w:tcPr>
            <w:tcW w:w="1037"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F75A43" w:rsidRDefault="00204F99" w:rsidP="00F75A43">
            <w:pPr>
              <w:pStyle w:val="cuadroCabe"/>
              <w:jc w:val="right"/>
              <w:rPr>
                <w:sz w:val="16"/>
                <w:szCs w:val="16"/>
                <w:lang w:val="es-ES" w:eastAsia="es-ES"/>
              </w:rPr>
            </w:pPr>
            <w:r w:rsidRPr="00F75A43">
              <w:rPr>
                <w:sz w:val="16"/>
                <w:szCs w:val="16"/>
                <w:lang w:val="es-ES" w:eastAsia="es-ES"/>
              </w:rPr>
              <w:t>25.550.550</w:t>
            </w:r>
          </w:p>
        </w:tc>
        <w:tc>
          <w:tcPr>
            <w:tcW w:w="1060"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F75A43" w:rsidRDefault="00204F99" w:rsidP="00F75A43">
            <w:pPr>
              <w:pStyle w:val="cuadroCabe"/>
              <w:jc w:val="right"/>
              <w:rPr>
                <w:sz w:val="16"/>
                <w:szCs w:val="16"/>
                <w:lang w:val="es-ES" w:eastAsia="es-ES"/>
              </w:rPr>
            </w:pPr>
            <w:r w:rsidRPr="00F75A43">
              <w:rPr>
                <w:sz w:val="16"/>
                <w:szCs w:val="16"/>
                <w:lang w:val="es-ES" w:eastAsia="es-ES"/>
              </w:rPr>
              <w:t>24.554.798</w:t>
            </w:r>
          </w:p>
        </w:tc>
        <w:tc>
          <w:tcPr>
            <w:tcW w:w="1066"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F75A43" w:rsidRDefault="00204F99" w:rsidP="00F75A43">
            <w:pPr>
              <w:pStyle w:val="cuadroCabe"/>
              <w:jc w:val="right"/>
              <w:rPr>
                <w:sz w:val="16"/>
                <w:szCs w:val="16"/>
                <w:lang w:val="es-ES" w:eastAsia="es-ES"/>
              </w:rPr>
            </w:pPr>
            <w:r w:rsidRPr="00F75A43">
              <w:rPr>
                <w:sz w:val="16"/>
                <w:szCs w:val="16"/>
                <w:lang w:val="es-ES" w:eastAsia="es-ES"/>
              </w:rPr>
              <w:t>21.988.562</w:t>
            </w:r>
          </w:p>
        </w:tc>
        <w:tc>
          <w:tcPr>
            <w:tcW w:w="1001"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F75A43" w:rsidRDefault="00204F99" w:rsidP="00F75A43">
            <w:pPr>
              <w:pStyle w:val="cuadroCabe"/>
              <w:jc w:val="right"/>
              <w:rPr>
                <w:sz w:val="16"/>
                <w:szCs w:val="16"/>
                <w:lang w:val="es-ES" w:eastAsia="es-ES"/>
              </w:rPr>
            </w:pPr>
            <w:r w:rsidRPr="00F75A43">
              <w:rPr>
                <w:sz w:val="16"/>
                <w:szCs w:val="16"/>
                <w:lang w:val="es-ES" w:eastAsia="es-ES"/>
              </w:rPr>
              <w:t>11.555.996</w:t>
            </w:r>
          </w:p>
        </w:tc>
        <w:tc>
          <w:tcPr>
            <w:tcW w:w="1080"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F75A43" w:rsidRDefault="00204F99" w:rsidP="00F75A43">
            <w:pPr>
              <w:pStyle w:val="cuadroCabe"/>
              <w:jc w:val="right"/>
              <w:rPr>
                <w:bCs/>
                <w:sz w:val="16"/>
                <w:szCs w:val="16"/>
                <w:lang w:val="es-ES" w:eastAsia="es-ES"/>
              </w:rPr>
            </w:pPr>
            <w:r w:rsidRPr="00F75A43">
              <w:rPr>
                <w:bCs/>
                <w:sz w:val="16"/>
                <w:szCs w:val="16"/>
                <w:lang w:val="es-ES" w:eastAsia="es-ES"/>
              </w:rPr>
              <w:t>70.078.931</w:t>
            </w:r>
          </w:p>
        </w:tc>
      </w:tr>
    </w:tbl>
    <w:p w:rsidR="00204F99" w:rsidRPr="00001A01" w:rsidRDefault="00204F99" w:rsidP="00553841">
      <w:pPr>
        <w:pStyle w:val="cuadroCabe"/>
      </w:pPr>
    </w:p>
    <w:p w:rsidR="00204F99" w:rsidRPr="00553841" w:rsidRDefault="00204F99" w:rsidP="00553841">
      <w:pPr>
        <w:pStyle w:val="texto"/>
      </w:pPr>
      <w:r w:rsidRPr="008112CF">
        <w:lastRenderedPageBreak/>
        <w:t xml:space="preserve">Del total del gasto ejecutado en 2020 por valor de 180 millones, excluimos </w:t>
      </w:r>
      <w:r>
        <w:t>los gastos asociados a la gestión de</w:t>
      </w:r>
      <w:r w:rsidRPr="000A5987">
        <w:rPr>
          <w:color w:val="FF0000"/>
        </w:rPr>
        <w:t xml:space="preserve"> </w:t>
      </w:r>
      <w:r w:rsidRPr="008B6875">
        <w:t xml:space="preserve">la </w:t>
      </w:r>
      <w:r>
        <w:t>COVID ya revisados</w:t>
      </w:r>
      <w:r w:rsidRPr="00EF0C65">
        <w:t xml:space="preserve"> </w:t>
      </w:r>
      <w:r>
        <w:t>en el infor</w:t>
      </w:r>
      <w:r w:rsidR="00C53585">
        <w:t>me p</w:t>
      </w:r>
      <w:r w:rsidR="00C53585">
        <w:t>u</w:t>
      </w:r>
      <w:r w:rsidR="00C53585">
        <w:t>blicado en abril de 2021</w:t>
      </w:r>
      <w:r w:rsidR="00C53585" w:rsidRPr="009145E1">
        <w:t xml:space="preserve"> por</w:t>
      </w:r>
      <w:r w:rsidRPr="009145E1">
        <w:t xml:space="preserve"> </w:t>
      </w:r>
      <w:r>
        <w:t>la Cámara de Comptos,</w:t>
      </w:r>
      <w:r w:rsidRPr="009609F4">
        <w:t xml:space="preserve"> en el cual se analizaba el gasto por subvenciones realizado en el periodo comprendido entre marzo y d</w:t>
      </w:r>
      <w:r w:rsidRPr="009609F4">
        <w:t>i</w:t>
      </w:r>
      <w:r w:rsidRPr="009609F4">
        <w:t>ciembre de 2020 por importe de 26 millones.</w:t>
      </w:r>
      <w:r>
        <w:t xml:space="preserve"> Así mismo, excluimos la transf</w:t>
      </w:r>
      <w:r>
        <w:t>e</w:t>
      </w:r>
      <w:r>
        <w:t xml:space="preserve">rencia a </w:t>
      </w:r>
      <w:proofErr w:type="spellStart"/>
      <w:r>
        <w:t>A</w:t>
      </w:r>
      <w:r w:rsidR="001443E8">
        <w:t>udenasa</w:t>
      </w:r>
      <w:proofErr w:type="spellEnd"/>
      <w:r>
        <w:t xml:space="preserve"> ya revisada en el informe publicado en junio de 2021 de la Cámara de Comptos sobre “</w:t>
      </w:r>
      <w:r w:rsidRPr="0023216D">
        <w:t xml:space="preserve">Compensación de la ACFN a </w:t>
      </w:r>
      <w:proofErr w:type="spellStart"/>
      <w:r w:rsidRPr="0023216D">
        <w:t>Audenasa</w:t>
      </w:r>
      <w:proofErr w:type="spellEnd"/>
      <w:r w:rsidRPr="0023216D">
        <w:t xml:space="preserve"> por de</w:t>
      </w:r>
      <w:r w:rsidRPr="0023216D">
        <w:t>s</w:t>
      </w:r>
      <w:r w:rsidRPr="0023216D">
        <w:t>cuentos derivados de la política comercial 2020 “con un gasto imputado al pr</w:t>
      </w:r>
      <w:r w:rsidRPr="0023216D">
        <w:t>e</w:t>
      </w:r>
      <w:r w:rsidRPr="0023216D">
        <w:t xml:space="preserve">supuesto de 2020 de 11,5 millones. </w:t>
      </w:r>
    </w:p>
    <w:p w:rsidR="00204F99" w:rsidRPr="00D220BF" w:rsidRDefault="00204F99" w:rsidP="00553841">
      <w:pPr>
        <w:pStyle w:val="texto"/>
      </w:pPr>
      <w:r>
        <w:t>Tampoco se consideran a los efectos de este informe las a</w:t>
      </w:r>
      <w:r w:rsidRPr="00D220BF">
        <w:t xml:space="preserve">yudas financiadas con fondos europeos, por estar su revisión incluida en el programa anual de la Intervención General del Gobierno de Navarra y </w:t>
      </w:r>
      <w:r>
        <w:t xml:space="preserve">el </w:t>
      </w:r>
      <w:r w:rsidRPr="00D220BF">
        <w:t>Canon de riegos de Canal de Navarra</w:t>
      </w:r>
      <w:r>
        <w:t>, ya revisado anualmente en el informe de cuentas generales de la ACFN.</w:t>
      </w:r>
      <w:r w:rsidRPr="00D220BF">
        <w:t xml:space="preserve"> </w:t>
      </w:r>
    </w:p>
    <w:p w:rsidR="00204F99" w:rsidRDefault="00204F99" w:rsidP="00553841">
      <w:pPr>
        <w:pStyle w:val="texto"/>
        <w:spacing w:after="240"/>
      </w:pPr>
      <w:r>
        <w:t>La muestra revisada corresponde a las partidas presupuestarias siguientes:</w:t>
      </w:r>
    </w:p>
    <w:p w:rsidR="00204F99" w:rsidRDefault="00204F99" w:rsidP="00553841">
      <w:pPr>
        <w:pStyle w:val="atitulo3"/>
      </w:pPr>
      <w:r>
        <w:t>Subvenciones corrientes:</w:t>
      </w:r>
    </w:p>
    <w:tbl>
      <w:tblPr>
        <w:tblW w:w="8789" w:type="dxa"/>
        <w:tblCellMar>
          <w:left w:w="70" w:type="dxa"/>
          <w:right w:w="70" w:type="dxa"/>
        </w:tblCellMar>
        <w:tblLook w:val="04A0" w:firstRow="1" w:lastRow="0" w:firstColumn="1" w:lastColumn="0" w:noHBand="0" w:noVBand="1"/>
      </w:tblPr>
      <w:tblGrid>
        <w:gridCol w:w="3369"/>
        <w:gridCol w:w="4481"/>
        <w:gridCol w:w="939"/>
      </w:tblGrid>
      <w:tr w:rsidR="00204F99" w:rsidRPr="00B05E7A" w:rsidTr="00A66583">
        <w:trPr>
          <w:trHeight w:val="255"/>
        </w:trPr>
        <w:tc>
          <w:tcPr>
            <w:tcW w:w="3402" w:type="dxa"/>
            <w:tcBorders>
              <w:top w:val="single" w:sz="4" w:space="0" w:color="auto"/>
              <w:left w:val="nil"/>
              <w:bottom w:val="single" w:sz="4" w:space="0" w:color="auto"/>
              <w:right w:val="nil"/>
            </w:tcBorders>
            <w:shd w:val="clear" w:color="auto" w:fill="B8CCE4" w:themeFill="accent1" w:themeFillTint="66"/>
            <w:vAlign w:val="center"/>
            <w:hideMark/>
          </w:tcPr>
          <w:p w:rsidR="00204F99" w:rsidRPr="00B05E7A" w:rsidRDefault="00204F99" w:rsidP="00553841">
            <w:pPr>
              <w:pStyle w:val="cuadroCabe"/>
              <w:rPr>
                <w:lang w:val="es-ES" w:eastAsia="es-ES"/>
              </w:rPr>
            </w:pPr>
            <w:r w:rsidRPr="00B05E7A">
              <w:rPr>
                <w:lang w:val="es-ES" w:eastAsia="es-ES"/>
              </w:rPr>
              <w:t>Departamento</w:t>
            </w:r>
          </w:p>
        </w:tc>
        <w:tc>
          <w:tcPr>
            <w:tcW w:w="4536" w:type="dxa"/>
            <w:tcBorders>
              <w:top w:val="single" w:sz="4" w:space="0" w:color="auto"/>
              <w:left w:val="nil"/>
              <w:bottom w:val="single" w:sz="4" w:space="0" w:color="auto"/>
              <w:right w:val="nil"/>
            </w:tcBorders>
            <w:shd w:val="clear" w:color="auto" w:fill="B8CCE4" w:themeFill="accent1" w:themeFillTint="66"/>
            <w:vAlign w:val="center"/>
            <w:hideMark/>
          </w:tcPr>
          <w:p w:rsidR="00204F99" w:rsidRPr="00B05E7A" w:rsidRDefault="00204F99" w:rsidP="00553841">
            <w:pPr>
              <w:pStyle w:val="cuadroCabe"/>
              <w:rPr>
                <w:lang w:val="es-ES" w:eastAsia="es-ES"/>
              </w:rPr>
            </w:pPr>
            <w:r w:rsidRPr="00B05E7A">
              <w:rPr>
                <w:lang w:val="es-ES" w:eastAsia="es-ES"/>
              </w:rPr>
              <w:t>Concepto</w:t>
            </w:r>
          </w:p>
        </w:tc>
        <w:tc>
          <w:tcPr>
            <w:tcW w:w="851" w:type="dxa"/>
            <w:tcBorders>
              <w:top w:val="single" w:sz="4" w:space="0" w:color="auto"/>
              <w:left w:val="nil"/>
              <w:bottom w:val="single" w:sz="4" w:space="0" w:color="auto"/>
              <w:right w:val="nil"/>
            </w:tcBorders>
            <w:shd w:val="clear" w:color="auto" w:fill="B8CCE4" w:themeFill="accent1" w:themeFillTint="66"/>
            <w:vAlign w:val="center"/>
            <w:hideMark/>
          </w:tcPr>
          <w:p w:rsidR="00204F99" w:rsidRPr="00B05E7A" w:rsidRDefault="00204F99" w:rsidP="005008EB">
            <w:pPr>
              <w:pStyle w:val="cuadroCabe"/>
              <w:jc w:val="right"/>
              <w:rPr>
                <w:lang w:val="es-ES" w:eastAsia="es-ES"/>
              </w:rPr>
            </w:pPr>
            <w:r w:rsidRPr="00B05E7A">
              <w:rPr>
                <w:lang w:val="es-ES" w:eastAsia="es-ES"/>
              </w:rPr>
              <w:t>Importe</w:t>
            </w:r>
          </w:p>
        </w:tc>
      </w:tr>
      <w:tr w:rsidR="00204F99" w:rsidRPr="00CE50DD" w:rsidTr="00553841">
        <w:trPr>
          <w:trHeight w:val="255"/>
        </w:trPr>
        <w:tc>
          <w:tcPr>
            <w:tcW w:w="3402" w:type="dxa"/>
            <w:tcBorders>
              <w:top w:val="single" w:sz="4" w:space="0" w:color="auto"/>
              <w:left w:val="nil"/>
              <w:bottom w:val="single" w:sz="2" w:space="0" w:color="auto"/>
              <w:right w:val="nil"/>
            </w:tcBorders>
            <w:shd w:val="clear" w:color="auto" w:fill="auto"/>
            <w:vAlign w:val="center"/>
            <w:hideMark/>
          </w:tcPr>
          <w:p w:rsidR="00204F99" w:rsidRPr="00CE50DD" w:rsidRDefault="00204F99" w:rsidP="00553841">
            <w:pPr>
              <w:pStyle w:val="cuatexto"/>
              <w:rPr>
                <w:sz w:val="18"/>
                <w:szCs w:val="18"/>
                <w:lang w:val="es-ES" w:eastAsia="es-ES"/>
              </w:rPr>
            </w:pPr>
            <w:r w:rsidRPr="00CE50DD">
              <w:rPr>
                <w:sz w:val="18"/>
                <w:szCs w:val="18"/>
                <w:lang w:val="es-ES" w:eastAsia="es-ES"/>
              </w:rPr>
              <w:t>Cohesión Territorial</w:t>
            </w:r>
          </w:p>
        </w:tc>
        <w:tc>
          <w:tcPr>
            <w:tcW w:w="4536" w:type="dxa"/>
            <w:tcBorders>
              <w:top w:val="single" w:sz="4" w:space="0" w:color="auto"/>
              <w:left w:val="nil"/>
              <w:bottom w:val="single" w:sz="2" w:space="0" w:color="auto"/>
              <w:right w:val="nil"/>
            </w:tcBorders>
            <w:shd w:val="clear" w:color="auto" w:fill="auto"/>
            <w:vAlign w:val="center"/>
            <w:hideMark/>
          </w:tcPr>
          <w:p w:rsidR="00204F99" w:rsidRPr="00CE50DD" w:rsidRDefault="00204F99" w:rsidP="00553841">
            <w:pPr>
              <w:pStyle w:val="cuatexto"/>
              <w:rPr>
                <w:sz w:val="18"/>
                <w:szCs w:val="18"/>
                <w:lang w:val="es-ES" w:eastAsia="es-ES"/>
              </w:rPr>
            </w:pPr>
            <w:r w:rsidRPr="00CE50DD">
              <w:rPr>
                <w:sz w:val="18"/>
                <w:szCs w:val="18"/>
                <w:lang w:val="es-ES" w:eastAsia="es-ES"/>
              </w:rPr>
              <w:t>Ayuda mantenimiento servicios transporte de viajeros</w:t>
            </w:r>
          </w:p>
        </w:tc>
        <w:tc>
          <w:tcPr>
            <w:tcW w:w="851" w:type="dxa"/>
            <w:tcBorders>
              <w:top w:val="single" w:sz="4" w:space="0" w:color="auto"/>
              <w:left w:val="nil"/>
              <w:bottom w:val="single" w:sz="2" w:space="0" w:color="auto"/>
              <w:right w:val="nil"/>
            </w:tcBorders>
            <w:shd w:val="clear" w:color="auto" w:fill="auto"/>
            <w:noWrap/>
            <w:vAlign w:val="center"/>
            <w:hideMark/>
          </w:tcPr>
          <w:p w:rsidR="00204F99" w:rsidRPr="00CE50DD" w:rsidRDefault="00204F99" w:rsidP="005008EB">
            <w:pPr>
              <w:pStyle w:val="cuatexto"/>
              <w:jc w:val="right"/>
              <w:rPr>
                <w:sz w:val="18"/>
                <w:szCs w:val="18"/>
                <w:lang w:val="es-ES" w:eastAsia="es-ES"/>
              </w:rPr>
            </w:pPr>
            <w:r w:rsidRPr="00CE50DD">
              <w:rPr>
                <w:sz w:val="18"/>
                <w:szCs w:val="18"/>
                <w:lang w:val="es-ES" w:eastAsia="es-ES"/>
              </w:rPr>
              <w:t>1.779.841</w:t>
            </w:r>
          </w:p>
        </w:tc>
      </w:tr>
      <w:tr w:rsidR="00204F99" w:rsidRPr="00CE50DD" w:rsidTr="00553841">
        <w:trPr>
          <w:trHeight w:val="255"/>
        </w:trPr>
        <w:tc>
          <w:tcPr>
            <w:tcW w:w="3402" w:type="dxa"/>
            <w:tcBorders>
              <w:top w:val="single" w:sz="2" w:space="0" w:color="auto"/>
              <w:left w:val="nil"/>
              <w:bottom w:val="single" w:sz="2" w:space="0" w:color="auto"/>
              <w:right w:val="nil"/>
            </w:tcBorders>
            <w:shd w:val="clear" w:color="auto" w:fill="auto"/>
            <w:vAlign w:val="center"/>
            <w:hideMark/>
          </w:tcPr>
          <w:p w:rsidR="00204F99" w:rsidRPr="00CE50DD" w:rsidRDefault="00204F99" w:rsidP="00553841">
            <w:pPr>
              <w:pStyle w:val="cuatexto"/>
              <w:rPr>
                <w:sz w:val="18"/>
                <w:szCs w:val="18"/>
                <w:lang w:val="es-ES" w:eastAsia="es-ES"/>
              </w:rPr>
            </w:pPr>
            <w:r w:rsidRPr="00CE50DD">
              <w:rPr>
                <w:sz w:val="18"/>
                <w:szCs w:val="18"/>
                <w:lang w:val="es-ES" w:eastAsia="es-ES"/>
              </w:rPr>
              <w:t xml:space="preserve">Universidad, Innovación y </w:t>
            </w:r>
            <w:proofErr w:type="spellStart"/>
            <w:r w:rsidRPr="00CE50DD">
              <w:rPr>
                <w:sz w:val="18"/>
                <w:szCs w:val="18"/>
                <w:lang w:val="es-ES" w:eastAsia="es-ES"/>
              </w:rPr>
              <w:t>Transf</w:t>
            </w:r>
            <w:proofErr w:type="spellEnd"/>
            <w:r w:rsidRPr="00CE50DD">
              <w:rPr>
                <w:sz w:val="18"/>
                <w:szCs w:val="18"/>
                <w:lang w:val="es-ES" w:eastAsia="es-ES"/>
              </w:rPr>
              <w:t>. Digital</w:t>
            </w:r>
          </w:p>
        </w:tc>
        <w:tc>
          <w:tcPr>
            <w:tcW w:w="4536" w:type="dxa"/>
            <w:tcBorders>
              <w:top w:val="single" w:sz="2" w:space="0" w:color="auto"/>
              <w:left w:val="nil"/>
              <w:bottom w:val="single" w:sz="2" w:space="0" w:color="auto"/>
              <w:right w:val="nil"/>
            </w:tcBorders>
            <w:shd w:val="clear" w:color="auto" w:fill="auto"/>
            <w:vAlign w:val="center"/>
            <w:hideMark/>
          </w:tcPr>
          <w:p w:rsidR="00204F99" w:rsidRPr="00CE50DD" w:rsidRDefault="00204F99" w:rsidP="00553841">
            <w:pPr>
              <w:pStyle w:val="cuatexto"/>
              <w:rPr>
                <w:sz w:val="18"/>
                <w:szCs w:val="18"/>
                <w:lang w:val="es-ES" w:eastAsia="es-ES"/>
              </w:rPr>
            </w:pPr>
            <w:r w:rsidRPr="00CE50DD">
              <w:rPr>
                <w:sz w:val="18"/>
                <w:szCs w:val="18"/>
                <w:lang w:val="es-ES" w:eastAsia="es-ES"/>
              </w:rPr>
              <w:t>Ayudas contratación personal investigador y tecnológico, doctorados industriales, movilidad investigadores</w:t>
            </w:r>
          </w:p>
        </w:tc>
        <w:tc>
          <w:tcPr>
            <w:tcW w:w="851" w:type="dxa"/>
            <w:tcBorders>
              <w:top w:val="single" w:sz="2" w:space="0" w:color="auto"/>
              <w:left w:val="nil"/>
              <w:bottom w:val="single" w:sz="2" w:space="0" w:color="auto"/>
              <w:right w:val="nil"/>
            </w:tcBorders>
            <w:shd w:val="clear" w:color="auto" w:fill="auto"/>
            <w:noWrap/>
            <w:vAlign w:val="center"/>
            <w:hideMark/>
          </w:tcPr>
          <w:p w:rsidR="00204F99" w:rsidRPr="00CE50DD" w:rsidRDefault="00204F99" w:rsidP="005008EB">
            <w:pPr>
              <w:pStyle w:val="cuatexto"/>
              <w:jc w:val="right"/>
              <w:rPr>
                <w:sz w:val="18"/>
                <w:szCs w:val="18"/>
                <w:lang w:val="es-ES" w:eastAsia="es-ES"/>
              </w:rPr>
            </w:pPr>
            <w:r w:rsidRPr="00CE50DD">
              <w:rPr>
                <w:sz w:val="18"/>
                <w:szCs w:val="18"/>
                <w:lang w:val="es-ES" w:eastAsia="es-ES"/>
              </w:rPr>
              <w:t>558.399</w:t>
            </w:r>
          </w:p>
        </w:tc>
      </w:tr>
      <w:tr w:rsidR="00204F99" w:rsidRPr="00CE50DD" w:rsidTr="00553841">
        <w:trPr>
          <w:trHeight w:val="255"/>
        </w:trPr>
        <w:tc>
          <w:tcPr>
            <w:tcW w:w="3402" w:type="dxa"/>
            <w:tcBorders>
              <w:top w:val="single" w:sz="2" w:space="0" w:color="auto"/>
              <w:left w:val="nil"/>
              <w:bottom w:val="single" w:sz="2" w:space="0" w:color="auto"/>
              <w:right w:val="nil"/>
            </w:tcBorders>
            <w:shd w:val="clear" w:color="auto" w:fill="auto"/>
            <w:vAlign w:val="center"/>
            <w:hideMark/>
          </w:tcPr>
          <w:p w:rsidR="00204F99" w:rsidRPr="00CE50DD" w:rsidRDefault="00204F99" w:rsidP="00553841">
            <w:pPr>
              <w:pStyle w:val="cuatexto"/>
              <w:rPr>
                <w:sz w:val="18"/>
                <w:szCs w:val="18"/>
                <w:lang w:val="es-ES" w:eastAsia="es-ES"/>
              </w:rPr>
            </w:pPr>
            <w:r w:rsidRPr="00CE50DD">
              <w:rPr>
                <w:sz w:val="18"/>
                <w:szCs w:val="18"/>
                <w:lang w:val="es-ES" w:eastAsia="es-ES"/>
              </w:rPr>
              <w:t>Derechos Sociales ( SNE)</w:t>
            </w:r>
          </w:p>
        </w:tc>
        <w:tc>
          <w:tcPr>
            <w:tcW w:w="4536" w:type="dxa"/>
            <w:tcBorders>
              <w:top w:val="single" w:sz="2" w:space="0" w:color="auto"/>
              <w:left w:val="nil"/>
              <w:bottom w:val="single" w:sz="2" w:space="0" w:color="auto"/>
              <w:right w:val="nil"/>
            </w:tcBorders>
            <w:shd w:val="clear" w:color="auto" w:fill="auto"/>
            <w:vAlign w:val="center"/>
            <w:hideMark/>
          </w:tcPr>
          <w:p w:rsidR="00204F99" w:rsidRPr="00CE50DD" w:rsidRDefault="00204F99" w:rsidP="00553841">
            <w:pPr>
              <w:pStyle w:val="cuatexto"/>
              <w:rPr>
                <w:sz w:val="18"/>
                <w:szCs w:val="18"/>
                <w:lang w:val="es-ES" w:eastAsia="es-ES"/>
              </w:rPr>
            </w:pPr>
            <w:r w:rsidRPr="00CE50DD">
              <w:rPr>
                <w:sz w:val="18"/>
                <w:szCs w:val="18"/>
                <w:lang w:val="es-ES" w:eastAsia="es-ES"/>
              </w:rPr>
              <w:t>Incentivos a la contratación de jóvenes por empresas</w:t>
            </w:r>
          </w:p>
        </w:tc>
        <w:tc>
          <w:tcPr>
            <w:tcW w:w="851" w:type="dxa"/>
            <w:tcBorders>
              <w:top w:val="single" w:sz="2" w:space="0" w:color="auto"/>
              <w:left w:val="nil"/>
              <w:bottom w:val="single" w:sz="2" w:space="0" w:color="auto"/>
              <w:right w:val="nil"/>
            </w:tcBorders>
            <w:shd w:val="clear" w:color="auto" w:fill="auto"/>
            <w:noWrap/>
            <w:vAlign w:val="center"/>
            <w:hideMark/>
          </w:tcPr>
          <w:p w:rsidR="00204F99" w:rsidRPr="00CE50DD" w:rsidRDefault="00204F99" w:rsidP="005008EB">
            <w:pPr>
              <w:pStyle w:val="cuatexto"/>
              <w:jc w:val="right"/>
              <w:rPr>
                <w:sz w:val="18"/>
                <w:szCs w:val="18"/>
                <w:lang w:val="es-ES" w:eastAsia="es-ES"/>
              </w:rPr>
            </w:pPr>
            <w:r w:rsidRPr="00CE50DD">
              <w:rPr>
                <w:sz w:val="18"/>
                <w:szCs w:val="18"/>
                <w:lang w:val="es-ES" w:eastAsia="es-ES"/>
              </w:rPr>
              <w:t>1.870.769</w:t>
            </w:r>
          </w:p>
        </w:tc>
      </w:tr>
      <w:tr w:rsidR="00204F99" w:rsidRPr="00CE50DD" w:rsidTr="00553841">
        <w:trPr>
          <w:trHeight w:val="255"/>
        </w:trPr>
        <w:tc>
          <w:tcPr>
            <w:tcW w:w="3402" w:type="dxa"/>
            <w:tcBorders>
              <w:top w:val="single" w:sz="2" w:space="0" w:color="auto"/>
              <w:left w:val="nil"/>
              <w:bottom w:val="single" w:sz="2" w:space="0" w:color="auto"/>
              <w:right w:val="nil"/>
            </w:tcBorders>
            <w:shd w:val="clear" w:color="auto" w:fill="auto"/>
            <w:vAlign w:val="center"/>
            <w:hideMark/>
          </w:tcPr>
          <w:p w:rsidR="00204F99" w:rsidRPr="00CE50DD" w:rsidRDefault="00204F99" w:rsidP="00553841">
            <w:pPr>
              <w:pStyle w:val="cuatexto"/>
              <w:rPr>
                <w:sz w:val="18"/>
                <w:szCs w:val="18"/>
                <w:lang w:val="es-ES" w:eastAsia="es-ES"/>
              </w:rPr>
            </w:pPr>
            <w:r w:rsidRPr="00CE50DD">
              <w:rPr>
                <w:sz w:val="18"/>
                <w:szCs w:val="18"/>
                <w:lang w:val="es-ES" w:eastAsia="es-ES"/>
              </w:rPr>
              <w:t>Desarrollo Económico y Empresarial</w:t>
            </w:r>
          </w:p>
        </w:tc>
        <w:tc>
          <w:tcPr>
            <w:tcW w:w="4536" w:type="dxa"/>
            <w:tcBorders>
              <w:top w:val="single" w:sz="2" w:space="0" w:color="auto"/>
              <w:left w:val="nil"/>
              <w:bottom w:val="single" w:sz="2" w:space="0" w:color="auto"/>
              <w:right w:val="nil"/>
            </w:tcBorders>
            <w:shd w:val="clear" w:color="auto" w:fill="auto"/>
            <w:vAlign w:val="center"/>
            <w:hideMark/>
          </w:tcPr>
          <w:p w:rsidR="00204F99" w:rsidRPr="00CE50DD" w:rsidRDefault="00204F99" w:rsidP="00553841">
            <w:pPr>
              <w:pStyle w:val="cuatexto"/>
              <w:rPr>
                <w:sz w:val="18"/>
                <w:szCs w:val="18"/>
                <w:lang w:val="es-ES" w:eastAsia="es-ES"/>
              </w:rPr>
            </w:pPr>
            <w:r w:rsidRPr="00CE50DD">
              <w:rPr>
                <w:sz w:val="18"/>
                <w:szCs w:val="18"/>
                <w:lang w:val="es-ES" w:eastAsia="es-ES"/>
              </w:rPr>
              <w:t xml:space="preserve">Subvención de apoyo a la creación de empresas </w:t>
            </w:r>
          </w:p>
        </w:tc>
        <w:tc>
          <w:tcPr>
            <w:tcW w:w="851" w:type="dxa"/>
            <w:tcBorders>
              <w:top w:val="single" w:sz="2" w:space="0" w:color="auto"/>
              <w:left w:val="nil"/>
              <w:bottom w:val="single" w:sz="2" w:space="0" w:color="auto"/>
              <w:right w:val="nil"/>
            </w:tcBorders>
            <w:shd w:val="clear" w:color="auto" w:fill="auto"/>
            <w:noWrap/>
            <w:vAlign w:val="center"/>
            <w:hideMark/>
          </w:tcPr>
          <w:p w:rsidR="00204F99" w:rsidRPr="00CE50DD" w:rsidRDefault="00204F99" w:rsidP="005008EB">
            <w:pPr>
              <w:pStyle w:val="cuatexto"/>
              <w:jc w:val="right"/>
              <w:rPr>
                <w:sz w:val="18"/>
                <w:szCs w:val="18"/>
                <w:lang w:val="es-ES" w:eastAsia="es-ES"/>
              </w:rPr>
            </w:pPr>
            <w:r w:rsidRPr="00CE50DD">
              <w:rPr>
                <w:sz w:val="18"/>
                <w:szCs w:val="18"/>
                <w:lang w:val="es-ES" w:eastAsia="es-ES"/>
              </w:rPr>
              <w:t>185.569</w:t>
            </w:r>
          </w:p>
        </w:tc>
      </w:tr>
      <w:tr w:rsidR="00204F99" w:rsidRPr="00CE50DD" w:rsidTr="00553841">
        <w:trPr>
          <w:trHeight w:val="255"/>
        </w:trPr>
        <w:tc>
          <w:tcPr>
            <w:tcW w:w="3402" w:type="dxa"/>
            <w:tcBorders>
              <w:top w:val="single" w:sz="2" w:space="0" w:color="auto"/>
              <w:left w:val="nil"/>
              <w:bottom w:val="single" w:sz="4" w:space="0" w:color="auto"/>
              <w:right w:val="nil"/>
            </w:tcBorders>
            <w:shd w:val="clear" w:color="auto" w:fill="auto"/>
            <w:vAlign w:val="center"/>
            <w:hideMark/>
          </w:tcPr>
          <w:p w:rsidR="00204F99" w:rsidRPr="00CE50DD" w:rsidRDefault="00204F99" w:rsidP="00553841">
            <w:pPr>
              <w:pStyle w:val="cuatexto"/>
              <w:rPr>
                <w:sz w:val="18"/>
                <w:szCs w:val="18"/>
                <w:lang w:val="es-ES" w:eastAsia="es-ES"/>
              </w:rPr>
            </w:pPr>
            <w:r w:rsidRPr="00CE50DD">
              <w:rPr>
                <w:sz w:val="18"/>
                <w:szCs w:val="18"/>
                <w:lang w:val="es-ES" w:eastAsia="es-ES"/>
              </w:rPr>
              <w:t>Desarrollo Económico y Empresarial</w:t>
            </w:r>
          </w:p>
        </w:tc>
        <w:tc>
          <w:tcPr>
            <w:tcW w:w="4536" w:type="dxa"/>
            <w:tcBorders>
              <w:top w:val="single" w:sz="2" w:space="0" w:color="auto"/>
              <w:left w:val="nil"/>
              <w:bottom w:val="single" w:sz="4" w:space="0" w:color="auto"/>
              <w:right w:val="nil"/>
            </w:tcBorders>
            <w:shd w:val="clear" w:color="auto" w:fill="auto"/>
            <w:vAlign w:val="center"/>
            <w:hideMark/>
          </w:tcPr>
          <w:p w:rsidR="00204F99" w:rsidRPr="00CE50DD" w:rsidRDefault="00553841" w:rsidP="00553841">
            <w:pPr>
              <w:pStyle w:val="cuatexto"/>
              <w:rPr>
                <w:sz w:val="18"/>
                <w:szCs w:val="18"/>
                <w:lang w:val="es-ES" w:eastAsia="es-ES"/>
              </w:rPr>
            </w:pPr>
            <w:r w:rsidRPr="00CE50DD">
              <w:rPr>
                <w:sz w:val="18"/>
                <w:szCs w:val="18"/>
                <w:lang w:val="es-ES" w:eastAsia="es-ES"/>
              </w:rPr>
              <w:t xml:space="preserve">COVID-19 </w:t>
            </w:r>
            <w:proofErr w:type="spellStart"/>
            <w:r w:rsidRPr="00CE50DD">
              <w:rPr>
                <w:sz w:val="18"/>
                <w:szCs w:val="18"/>
                <w:lang w:val="es-ES" w:eastAsia="es-ES"/>
              </w:rPr>
              <w:t>subvenc</w:t>
            </w:r>
            <w:proofErr w:type="spellEnd"/>
            <w:r w:rsidRPr="00CE50DD">
              <w:rPr>
                <w:sz w:val="18"/>
                <w:szCs w:val="18"/>
                <w:lang w:val="es-ES" w:eastAsia="es-ES"/>
              </w:rPr>
              <w:t>.</w:t>
            </w:r>
            <w:r w:rsidR="00204F99" w:rsidRPr="00CE50DD">
              <w:rPr>
                <w:sz w:val="18"/>
                <w:szCs w:val="18"/>
                <w:lang w:val="es-ES" w:eastAsia="es-ES"/>
              </w:rPr>
              <w:t xml:space="preserve"> para pymes turismo-</w:t>
            </w:r>
            <w:proofErr w:type="spellStart"/>
            <w:r w:rsidR="00204F99" w:rsidRPr="00CE50DD">
              <w:rPr>
                <w:sz w:val="18"/>
                <w:szCs w:val="18"/>
                <w:lang w:val="es-ES" w:eastAsia="es-ES"/>
              </w:rPr>
              <w:t>hosteleria</w:t>
            </w:r>
            <w:proofErr w:type="spellEnd"/>
          </w:p>
        </w:tc>
        <w:tc>
          <w:tcPr>
            <w:tcW w:w="851" w:type="dxa"/>
            <w:tcBorders>
              <w:top w:val="single" w:sz="2" w:space="0" w:color="auto"/>
              <w:left w:val="nil"/>
              <w:bottom w:val="single" w:sz="4" w:space="0" w:color="auto"/>
              <w:right w:val="nil"/>
            </w:tcBorders>
            <w:shd w:val="clear" w:color="auto" w:fill="auto"/>
            <w:noWrap/>
            <w:vAlign w:val="center"/>
            <w:hideMark/>
          </w:tcPr>
          <w:p w:rsidR="00204F99" w:rsidRPr="00CE50DD" w:rsidRDefault="00204F99" w:rsidP="005008EB">
            <w:pPr>
              <w:pStyle w:val="cuatexto"/>
              <w:jc w:val="right"/>
              <w:rPr>
                <w:sz w:val="18"/>
                <w:szCs w:val="18"/>
                <w:lang w:val="es-ES" w:eastAsia="es-ES"/>
              </w:rPr>
            </w:pPr>
            <w:r w:rsidRPr="00CE50DD">
              <w:rPr>
                <w:sz w:val="18"/>
                <w:szCs w:val="18"/>
                <w:lang w:val="es-ES" w:eastAsia="es-ES"/>
              </w:rPr>
              <w:t>13.541.412</w:t>
            </w:r>
          </w:p>
        </w:tc>
      </w:tr>
    </w:tbl>
    <w:p w:rsidR="00204F99" w:rsidRPr="00553841" w:rsidRDefault="00204F99" w:rsidP="00553841">
      <w:pPr>
        <w:pStyle w:val="texto"/>
        <w:spacing w:before="240" w:after="240"/>
      </w:pPr>
      <w:r w:rsidRPr="00553841">
        <w:t>Estas cinco partidas alcanzan el 36 por ciento del total de subvenciones c</w:t>
      </w:r>
      <w:r w:rsidRPr="00553841">
        <w:t>o</w:t>
      </w:r>
      <w:r w:rsidRPr="00553841">
        <w:t>rrientes que forman parte del alcance de este informe.</w:t>
      </w:r>
    </w:p>
    <w:p w:rsidR="00204F99" w:rsidRDefault="00204F99" w:rsidP="00553841">
      <w:pPr>
        <w:pStyle w:val="atitulo3"/>
      </w:pPr>
      <w:r>
        <w:t>Subvenciones de capital:</w:t>
      </w:r>
    </w:p>
    <w:tbl>
      <w:tblPr>
        <w:tblW w:w="8789" w:type="dxa"/>
        <w:tblCellMar>
          <w:left w:w="70" w:type="dxa"/>
          <w:right w:w="70" w:type="dxa"/>
        </w:tblCellMar>
        <w:tblLook w:val="04A0" w:firstRow="1" w:lastRow="0" w:firstColumn="1" w:lastColumn="0" w:noHBand="0" w:noVBand="1"/>
      </w:tblPr>
      <w:tblGrid>
        <w:gridCol w:w="3686"/>
        <w:gridCol w:w="3966"/>
        <w:gridCol w:w="1137"/>
      </w:tblGrid>
      <w:tr w:rsidR="00204F99" w:rsidRPr="00553841" w:rsidTr="00A66583">
        <w:trPr>
          <w:trHeight w:val="255"/>
        </w:trPr>
        <w:tc>
          <w:tcPr>
            <w:tcW w:w="3686"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AB4C1D" w:rsidRDefault="00204F99" w:rsidP="005008EB">
            <w:pPr>
              <w:pStyle w:val="cuadroCabe"/>
              <w:spacing w:line="240" w:lineRule="auto"/>
              <w:rPr>
                <w:lang w:val="es-ES" w:eastAsia="es-ES"/>
              </w:rPr>
            </w:pPr>
            <w:r w:rsidRPr="00AB4C1D">
              <w:rPr>
                <w:lang w:val="es-ES" w:eastAsia="es-ES"/>
              </w:rPr>
              <w:t>Departamento</w:t>
            </w:r>
          </w:p>
        </w:tc>
        <w:tc>
          <w:tcPr>
            <w:tcW w:w="3966" w:type="dxa"/>
            <w:tcBorders>
              <w:top w:val="single" w:sz="4" w:space="0" w:color="auto"/>
              <w:left w:val="nil"/>
              <w:bottom w:val="single" w:sz="4" w:space="0" w:color="auto"/>
              <w:right w:val="nil"/>
            </w:tcBorders>
            <w:shd w:val="clear" w:color="auto" w:fill="B8CCE4" w:themeFill="accent1" w:themeFillTint="66"/>
            <w:noWrap/>
            <w:vAlign w:val="center"/>
            <w:hideMark/>
          </w:tcPr>
          <w:p w:rsidR="00204F99" w:rsidRPr="00AB4C1D" w:rsidRDefault="00204F99" w:rsidP="005008EB">
            <w:pPr>
              <w:pStyle w:val="cuadroCabe"/>
              <w:spacing w:line="240" w:lineRule="auto"/>
              <w:rPr>
                <w:lang w:val="es-ES" w:eastAsia="es-ES"/>
              </w:rPr>
            </w:pPr>
            <w:r w:rsidRPr="00AB4C1D">
              <w:rPr>
                <w:lang w:val="es-ES" w:eastAsia="es-ES"/>
              </w:rPr>
              <w:t>Concepto</w:t>
            </w:r>
          </w:p>
        </w:tc>
        <w:tc>
          <w:tcPr>
            <w:tcW w:w="1137" w:type="dxa"/>
            <w:tcBorders>
              <w:top w:val="single" w:sz="4" w:space="0" w:color="auto"/>
              <w:left w:val="nil"/>
              <w:bottom w:val="single" w:sz="4" w:space="0" w:color="auto"/>
              <w:right w:val="nil"/>
            </w:tcBorders>
            <w:shd w:val="clear" w:color="auto" w:fill="B8CCE4" w:themeFill="accent1" w:themeFillTint="66"/>
            <w:vAlign w:val="center"/>
            <w:hideMark/>
          </w:tcPr>
          <w:p w:rsidR="00204F99" w:rsidRPr="00AB4C1D" w:rsidRDefault="00204F99" w:rsidP="005008EB">
            <w:pPr>
              <w:pStyle w:val="cuadroCabe"/>
              <w:spacing w:line="240" w:lineRule="auto"/>
              <w:jc w:val="right"/>
              <w:rPr>
                <w:lang w:val="es-ES" w:eastAsia="es-ES"/>
              </w:rPr>
            </w:pPr>
            <w:r w:rsidRPr="00AB4C1D">
              <w:rPr>
                <w:lang w:val="es-ES" w:eastAsia="es-ES"/>
              </w:rPr>
              <w:t>Importe</w:t>
            </w:r>
          </w:p>
        </w:tc>
      </w:tr>
      <w:tr w:rsidR="00204F99" w:rsidRPr="00AB4C1D" w:rsidTr="00553841">
        <w:trPr>
          <w:trHeight w:val="255"/>
        </w:trPr>
        <w:tc>
          <w:tcPr>
            <w:tcW w:w="3686" w:type="dxa"/>
            <w:tcBorders>
              <w:top w:val="single" w:sz="4" w:space="0" w:color="auto"/>
              <w:left w:val="nil"/>
              <w:bottom w:val="single" w:sz="2" w:space="0" w:color="auto"/>
              <w:right w:val="nil"/>
            </w:tcBorders>
            <w:shd w:val="clear" w:color="auto" w:fill="auto"/>
            <w:vAlign w:val="center"/>
            <w:hideMark/>
          </w:tcPr>
          <w:p w:rsidR="00204F99" w:rsidRPr="00AB4C1D" w:rsidRDefault="00204F99" w:rsidP="005008EB">
            <w:pPr>
              <w:pStyle w:val="cuatexto"/>
              <w:spacing w:line="240" w:lineRule="auto"/>
              <w:rPr>
                <w:lang w:val="es-ES" w:eastAsia="es-ES"/>
              </w:rPr>
            </w:pPr>
            <w:r w:rsidRPr="00AB4C1D">
              <w:rPr>
                <w:lang w:val="es-ES" w:eastAsia="es-ES"/>
              </w:rPr>
              <w:t>Desarrollo Económico y Empresarial</w:t>
            </w:r>
          </w:p>
        </w:tc>
        <w:tc>
          <w:tcPr>
            <w:tcW w:w="3966" w:type="dxa"/>
            <w:tcBorders>
              <w:top w:val="single" w:sz="4" w:space="0" w:color="auto"/>
              <w:left w:val="nil"/>
              <w:bottom w:val="single" w:sz="2" w:space="0" w:color="auto"/>
              <w:right w:val="nil"/>
            </w:tcBorders>
            <w:shd w:val="clear" w:color="auto" w:fill="auto"/>
            <w:vAlign w:val="center"/>
            <w:hideMark/>
          </w:tcPr>
          <w:p w:rsidR="00204F99" w:rsidRPr="00AB4C1D" w:rsidRDefault="00204F99" w:rsidP="005008EB">
            <w:pPr>
              <w:pStyle w:val="cuatexto"/>
              <w:spacing w:line="240" w:lineRule="auto"/>
              <w:rPr>
                <w:lang w:val="es-ES" w:eastAsia="es-ES"/>
              </w:rPr>
            </w:pPr>
            <w:r w:rsidRPr="00AB4C1D">
              <w:rPr>
                <w:lang w:val="es-ES" w:eastAsia="es-ES"/>
              </w:rPr>
              <w:t>Subvención por inversión grandes empresas</w:t>
            </w:r>
          </w:p>
        </w:tc>
        <w:tc>
          <w:tcPr>
            <w:tcW w:w="1137" w:type="dxa"/>
            <w:tcBorders>
              <w:top w:val="single" w:sz="4" w:space="0" w:color="auto"/>
              <w:left w:val="nil"/>
              <w:bottom w:val="single" w:sz="2" w:space="0" w:color="auto"/>
              <w:right w:val="nil"/>
            </w:tcBorders>
            <w:shd w:val="clear" w:color="auto" w:fill="auto"/>
            <w:noWrap/>
            <w:vAlign w:val="center"/>
            <w:hideMark/>
          </w:tcPr>
          <w:p w:rsidR="00204F99" w:rsidRPr="00AB4C1D" w:rsidRDefault="00204F99" w:rsidP="005008EB">
            <w:pPr>
              <w:pStyle w:val="cuatexto"/>
              <w:spacing w:line="240" w:lineRule="auto"/>
              <w:jc w:val="right"/>
              <w:rPr>
                <w:lang w:val="es-ES" w:eastAsia="es-ES"/>
              </w:rPr>
            </w:pPr>
            <w:r w:rsidRPr="00AB4C1D">
              <w:rPr>
                <w:lang w:val="es-ES" w:eastAsia="es-ES"/>
              </w:rPr>
              <w:t>1.581.959</w:t>
            </w:r>
          </w:p>
        </w:tc>
      </w:tr>
      <w:tr w:rsidR="00204F99" w:rsidRPr="00AB4C1D" w:rsidTr="00553841">
        <w:trPr>
          <w:trHeight w:val="255"/>
        </w:trPr>
        <w:tc>
          <w:tcPr>
            <w:tcW w:w="3686" w:type="dxa"/>
            <w:tcBorders>
              <w:top w:val="single" w:sz="2" w:space="0" w:color="auto"/>
              <w:left w:val="nil"/>
              <w:bottom w:val="single" w:sz="4" w:space="0" w:color="auto"/>
              <w:right w:val="nil"/>
            </w:tcBorders>
            <w:shd w:val="clear" w:color="auto" w:fill="auto"/>
            <w:vAlign w:val="center"/>
            <w:hideMark/>
          </w:tcPr>
          <w:p w:rsidR="00204F99" w:rsidRPr="00AB4C1D" w:rsidRDefault="00204F99" w:rsidP="005008EB">
            <w:pPr>
              <w:pStyle w:val="cuatexto"/>
              <w:spacing w:line="240" w:lineRule="auto"/>
              <w:rPr>
                <w:lang w:val="es-ES" w:eastAsia="es-ES"/>
              </w:rPr>
            </w:pPr>
            <w:r w:rsidRPr="00AB4C1D">
              <w:rPr>
                <w:lang w:val="es-ES" w:eastAsia="es-ES"/>
              </w:rPr>
              <w:t>Desarrollo Económico y Empresarial</w:t>
            </w:r>
          </w:p>
        </w:tc>
        <w:tc>
          <w:tcPr>
            <w:tcW w:w="3966" w:type="dxa"/>
            <w:tcBorders>
              <w:top w:val="single" w:sz="2" w:space="0" w:color="auto"/>
              <w:left w:val="nil"/>
              <w:bottom w:val="single" w:sz="4" w:space="0" w:color="auto"/>
              <w:right w:val="nil"/>
            </w:tcBorders>
            <w:shd w:val="clear" w:color="auto" w:fill="auto"/>
            <w:vAlign w:val="center"/>
            <w:hideMark/>
          </w:tcPr>
          <w:p w:rsidR="00204F99" w:rsidRPr="00AB4C1D" w:rsidRDefault="00204F99" w:rsidP="005008EB">
            <w:pPr>
              <w:pStyle w:val="cuatexto"/>
              <w:spacing w:line="240" w:lineRule="auto"/>
              <w:rPr>
                <w:lang w:val="es-ES" w:eastAsia="es-ES"/>
              </w:rPr>
            </w:pPr>
            <w:r w:rsidRPr="00AB4C1D">
              <w:rPr>
                <w:lang w:val="es-ES" w:eastAsia="es-ES"/>
              </w:rPr>
              <w:t xml:space="preserve">Subvenciones </w:t>
            </w:r>
            <w:r>
              <w:rPr>
                <w:lang w:val="es-ES" w:eastAsia="es-ES"/>
              </w:rPr>
              <w:t>a proyectos de I+D estratégicos</w:t>
            </w:r>
            <w:r w:rsidRPr="00AB4C1D">
              <w:rPr>
                <w:lang w:val="es-ES" w:eastAsia="es-ES"/>
              </w:rPr>
              <w:t xml:space="preserve">. RIS3 Navarra </w:t>
            </w:r>
          </w:p>
        </w:tc>
        <w:tc>
          <w:tcPr>
            <w:tcW w:w="1137" w:type="dxa"/>
            <w:tcBorders>
              <w:top w:val="single" w:sz="2" w:space="0" w:color="auto"/>
              <w:left w:val="nil"/>
              <w:bottom w:val="single" w:sz="4" w:space="0" w:color="auto"/>
              <w:right w:val="nil"/>
            </w:tcBorders>
            <w:shd w:val="clear" w:color="auto" w:fill="auto"/>
            <w:noWrap/>
            <w:vAlign w:val="center"/>
            <w:hideMark/>
          </w:tcPr>
          <w:p w:rsidR="00204F99" w:rsidRPr="00AB4C1D" w:rsidRDefault="00204F99" w:rsidP="005008EB">
            <w:pPr>
              <w:pStyle w:val="cuatexto"/>
              <w:spacing w:line="240" w:lineRule="auto"/>
              <w:jc w:val="right"/>
              <w:rPr>
                <w:lang w:val="es-ES" w:eastAsia="es-ES"/>
              </w:rPr>
            </w:pPr>
            <w:r w:rsidRPr="00AB4C1D">
              <w:rPr>
                <w:lang w:val="es-ES" w:eastAsia="es-ES"/>
              </w:rPr>
              <w:t>13.873.998</w:t>
            </w:r>
          </w:p>
        </w:tc>
      </w:tr>
    </w:tbl>
    <w:p w:rsidR="00204F99" w:rsidRDefault="00204F99" w:rsidP="00553841">
      <w:pPr>
        <w:pStyle w:val="texto"/>
        <w:spacing w:before="240"/>
      </w:pPr>
      <w:r>
        <w:t>Estas dos partidas alcanzan el 75 por ciento de las subvenciones de capital que forman parte del alcance de este informe.</w:t>
      </w:r>
    </w:p>
    <w:p w:rsidR="00496B22" w:rsidRDefault="00204F99" w:rsidP="00CE50DD">
      <w:pPr>
        <w:pStyle w:val="texto"/>
        <w:spacing w:after="240"/>
      </w:pPr>
      <w:r w:rsidRPr="00D44B1E">
        <w:t>Las convocatorias revisadas son un total de siete, cuyo detalle s</w:t>
      </w:r>
      <w:r w:rsidR="00D44B1E">
        <w:t>e puede co</w:t>
      </w:r>
      <w:r w:rsidR="00D44B1E">
        <w:t>n</w:t>
      </w:r>
      <w:r w:rsidR="00D44B1E">
        <w:t xml:space="preserve">sultar en el anexo 1. Algunas convocatorias, </w:t>
      </w:r>
      <w:r w:rsidRPr="00D44B1E">
        <w:t>aunque provienen de ejercicios a</w:t>
      </w:r>
      <w:r w:rsidRPr="00D44B1E">
        <w:t>n</w:t>
      </w:r>
      <w:r w:rsidRPr="00D44B1E">
        <w:t>teriores, continúan en curso con gasto en 20</w:t>
      </w:r>
      <w:r w:rsidR="00D44B1E">
        <w:t>20</w:t>
      </w:r>
      <w:r w:rsidRPr="00D44B1E">
        <w:t>.</w:t>
      </w:r>
    </w:p>
    <w:p w:rsidR="00496B22" w:rsidRDefault="00496B22">
      <w:pPr>
        <w:spacing w:after="0"/>
        <w:ind w:firstLine="0"/>
        <w:jc w:val="left"/>
        <w:rPr>
          <w:spacing w:val="6"/>
          <w:sz w:val="26"/>
          <w:szCs w:val="24"/>
        </w:rPr>
      </w:pPr>
      <w:r>
        <w:br w:type="page"/>
      </w:r>
    </w:p>
    <w:p w:rsidR="00204F99" w:rsidRPr="00553841" w:rsidRDefault="00204F99" w:rsidP="00553841">
      <w:pPr>
        <w:pStyle w:val="atitulo1"/>
      </w:pPr>
      <w:bookmarkStart w:id="20" w:name="_Toc423419507"/>
      <w:bookmarkStart w:id="21" w:name="_Toc75857471"/>
      <w:bookmarkStart w:id="22" w:name="_Toc81830150"/>
      <w:r w:rsidRPr="00553841">
        <w:lastRenderedPageBreak/>
        <w:t xml:space="preserve">IV. </w:t>
      </w:r>
      <w:bookmarkEnd w:id="20"/>
      <w:r w:rsidRPr="00553841">
        <w:t>Conclusiones y recomendaciones</w:t>
      </w:r>
      <w:bookmarkEnd w:id="21"/>
      <w:bookmarkEnd w:id="22"/>
    </w:p>
    <w:p w:rsidR="00204F99" w:rsidRPr="00667DFF" w:rsidRDefault="00204F99" w:rsidP="00553841">
      <w:pPr>
        <w:pStyle w:val="atitulo3"/>
      </w:pPr>
      <w:r w:rsidRPr="00667DFF">
        <w:t xml:space="preserve">Responsabilidad </w:t>
      </w:r>
      <w:r>
        <w:t>de la Administración de la Comunidad Foral de Navarra</w:t>
      </w:r>
    </w:p>
    <w:p w:rsidR="00204F99" w:rsidRDefault="00204F99" w:rsidP="00553841">
      <w:pPr>
        <w:pStyle w:val="texto"/>
      </w:pPr>
      <w:r>
        <w:t>Los distintos departamentos de la ACFN son responsables de asignar corre</w:t>
      </w:r>
      <w:r>
        <w:t>c</w:t>
      </w:r>
      <w:r>
        <w:t>tamente los gastos a las partidas presupuestarias y de garantizar que todas las subvenciones concedidas resultan conformes con la normativa aplicable.</w:t>
      </w:r>
    </w:p>
    <w:p w:rsidR="00204F99" w:rsidRPr="00667DFF" w:rsidRDefault="00204F99" w:rsidP="00306812">
      <w:pPr>
        <w:pStyle w:val="texto"/>
        <w:spacing w:after="240"/>
      </w:pPr>
      <w:r>
        <w:t>El Departamento de Economía y Hacienda, a través de Intervención General, es el responsable de establecer los sistemas de control interno que considere necesarios para asegurar que los departamentos cumplen con lo establecido en el párrafo anterior.</w:t>
      </w:r>
    </w:p>
    <w:p w:rsidR="00204F99" w:rsidRPr="00667DFF" w:rsidRDefault="00204F99" w:rsidP="00553841">
      <w:pPr>
        <w:pStyle w:val="atitulo3"/>
      </w:pPr>
      <w:r w:rsidRPr="00667DFF">
        <w:t>Responsabilidad de la Cámara de Comptos de Navarra</w:t>
      </w:r>
    </w:p>
    <w:p w:rsidR="00204F99" w:rsidRPr="00225357" w:rsidRDefault="00204F99" w:rsidP="00553841">
      <w:pPr>
        <w:pStyle w:val="texto"/>
      </w:pPr>
      <w:r w:rsidRPr="00225357">
        <w:t xml:space="preserve">Nuestra responsabilidad es expresar una opinión sobre </w:t>
      </w:r>
      <w:r w:rsidR="003B63D1" w:rsidRPr="00225357">
        <w:t>si las actuaciones r</w:t>
      </w:r>
      <w:r w:rsidR="003B63D1" w:rsidRPr="00225357">
        <w:t>e</w:t>
      </w:r>
      <w:r w:rsidR="003B63D1" w:rsidRPr="00225357">
        <w:t xml:space="preserve">lacionadas con las subvenciones </w:t>
      </w:r>
      <w:r w:rsidR="00225357" w:rsidRPr="00225357">
        <w:t>revisadas se ajustan a la legalidad, si</w:t>
      </w:r>
      <w:r w:rsidR="003B63D1" w:rsidRPr="00225357">
        <w:t xml:space="preserve"> </w:t>
      </w:r>
      <w:r w:rsidR="00225357" w:rsidRPr="00225357">
        <w:t>su</w:t>
      </w:r>
      <w:r w:rsidR="003B63D1" w:rsidRPr="00225357">
        <w:t xml:space="preserve"> info</w:t>
      </w:r>
      <w:r w:rsidR="003B63D1" w:rsidRPr="00225357">
        <w:t>r</w:t>
      </w:r>
      <w:r w:rsidR="003B63D1" w:rsidRPr="00225357">
        <w:t>mación financiera es conforme al marco normativo aplicable</w:t>
      </w:r>
      <w:r w:rsidR="00225357" w:rsidRPr="00225357">
        <w:t xml:space="preserve"> y analizar</w:t>
      </w:r>
      <w:r w:rsidR="001E21BE" w:rsidRPr="00225357">
        <w:t xml:space="preserve"> </w:t>
      </w:r>
      <w:r w:rsidR="00225357" w:rsidRPr="00225357">
        <w:t xml:space="preserve">el PES. </w:t>
      </w:r>
    </w:p>
    <w:p w:rsidR="00204F99" w:rsidRPr="00667DFF" w:rsidRDefault="00204F99" w:rsidP="00553841">
      <w:pPr>
        <w:pStyle w:val="texto"/>
        <w:rPr>
          <w:szCs w:val="26"/>
        </w:rPr>
      </w:pPr>
      <w:r w:rsidRPr="00667DFF">
        <w:t xml:space="preserve">Para ello, hemos llevado a cabo la </w:t>
      </w:r>
      <w:r w:rsidR="00C53585" w:rsidRPr="009145E1">
        <w:t>fiscalización</w:t>
      </w:r>
      <w:r w:rsidR="00C53585">
        <w:t xml:space="preserve"> </w:t>
      </w:r>
      <w:r w:rsidRPr="00667DFF">
        <w:t>de conformidad con los pri</w:t>
      </w:r>
      <w:r w:rsidRPr="00667DFF">
        <w:t>n</w:t>
      </w:r>
      <w:r w:rsidRPr="00667DFF">
        <w:t>cipios fundamentales de fiscalización de las Instituciones Públicas de Control Externo, y en concreto, los establecidos en la ISSAI-ES 200 sobre la fiscaliz</w:t>
      </w:r>
      <w:r w:rsidRPr="00667DFF">
        <w:t>a</w:t>
      </w:r>
      <w:r w:rsidRPr="00667DFF">
        <w:t xml:space="preserve">ción financiera y en la ISSAI-ES 400, referida a la fiscalización </w:t>
      </w:r>
      <w:r>
        <w:t>sobre</w:t>
      </w:r>
      <w:r w:rsidRPr="00667DFF">
        <w:t xml:space="preserve"> cumpl</w:t>
      </w:r>
      <w:r w:rsidRPr="00667DFF">
        <w:t>i</w:t>
      </w:r>
      <w:r w:rsidRPr="00667DFF">
        <w:t>miento</w:t>
      </w:r>
      <w:r>
        <w:t xml:space="preserve"> de legalidad</w:t>
      </w:r>
      <w:r w:rsidRPr="00667DFF">
        <w:t>, así como con las guías prácticas de fiscalización de los ó</w:t>
      </w:r>
      <w:r w:rsidRPr="00667DFF">
        <w:t>r</w:t>
      </w:r>
      <w:r w:rsidRPr="00667DFF">
        <w:t xml:space="preserve">ganos de Control Externo. </w:t>
      </w:r>
      <w:r w:rsidRPr="00667DFF">
        <w:rPr>
          <w:szCs w:val="26"/>
        </w:rPr>
        <w:t>Dichos principios exigen que cumplamos los requ</w:t>
      </w:r>
      <w:r w:rsidRPr="00667DFF">
        <w:rPr>
          <w:szCs w:val="26"/>
        </w:rPr>
        <w:t>e</w:t>
      </w:r>
      <w:r w:rsidRPr="00667DFF">
        <w:rPr>
          <w:szCs w:val="26"/>
        </w:rPr>
        <w:t xml:space="preserve">rimientos de ética, así como que planifiquemos y ejecutemos la fiscalización con el fin de obtener una seguridad razonable de que </w:t>
      </w:r>
      <w:r>
        <w:rPr>
          <w:szCs w:val="26"/>
        </w:rPr>
        <w:t xml:space="preserve">las actividades realizadas durante el ejercicio </w:t>
      </w:r>
      <w:r w:rsidRPr="00667DFF">
        <w:rPr>
          <w:szCs w:val="26"/>
        </w:rPr>
        <w:t>y la información reflejadas en los estados financieros resu</w:t>
      </w:r>
      <w:r w:rsidRPr="00667DFF">
        <w:rPr>
          <w:szCs w:val="26"/>
        </w:rPr>
        <w:t>l</w:t>
      </w:r>
      <w:r w:rsidRPr="00667DFF">
        <w:rPr>
          <w:szCs w:val="26"/>
        </w:rPr>
        <w:t>tan, en todos los aspectos significativos, conformes con la normativa vigente.</w:t>
      </w:r>
    </w:p>
    <w:p w:rsidR="00204F99" w:rsidRDefault="00204F99" w:rsidP="00553841">
      <w:pPr>
        <w:pStyle w:val="texto"/>
      </w:pPr>
      <w:r w:rsidRPr="00667DFF">
        <w:rPr>
          <w:szCs w:val="26"/>
        </w:rPr>
        <w:t>Una fiscalización requiere la aplicación de procedimientos para obtener ev</w:t>
      </w:r>
      <w:r w:rsidRPr="00667DFF">
        <w:rPr>
          <w:szCs w:val="26"/>
        </w:rPr>
        <w:t>i</w:t>
      </w:r>
      <w:r w:rsidRPr="00667DFF">
        <w:rPr>
          <w:szCs w:val="26"/>
        </w:rPr>
        <w:t xml:space="preserve">dencia de auditoría sobre los </w:t>
      </w:r>
      <w:r w:rsidRPr="00667DFF">
        <w:t>importes y la información revelada en la</w:t>
      </w:r>
      <w:r>
        <w:t>s</w:t>
      </w:r>
      <w:r w:rsidRPr="00667DFF">
        <w:t xml:space="preserve"> Cuenta</w:t>
      </w:r>
      <w:r>
        <w:t>s</w:t>
      </w:r>
      <w:r w:rsidRPr="00667DFF">
        <w:t xml:space="preserve"> </w:t>
      </w:r>
      <w:r>
        <w:t>Anuales</w:t>
      </w:r>
      <w:r w:rsidRPr="00667DFF">
        <w:t xml:space="preserve"> y sobre la legalidad de las operaciones. Los procedimientos selecci</w:t>
      </w:r>
      <w:r w:rsidRPr="00667DFF">
        <w:t>o</w:t>
      </w:r>
      <w:r w:rsidRPr="00667DFF">
        <w:t>nados dependen del juicio del auditor, incluida la valoración de los riesgos ta</w:t>
      </w:r>
      <w:r w:rsidRPr="00667DFF">
        <w:t>n</w:t>
      </w:r>
      <w:r w:rsidRPr="00667DFF">
        <w:t>to de incorrección material en las cuentas anuales, debida a fraude o error como de incumplimientos significativos de la legalidad. Al efectuar dichas valoraci</w:t>
      </w:r>
      <w:r w:rsidRPr="00667DFF">
        <w:t>o</w:t>
      </w:r>
      <w:r w:rsidRPr="00667DFF">
        <w:t>nes del riesgo, el auditor tiene en cuenta el control interno relevante para la formación por parte de la entidad de las cuentas generales, con el fin de diseñar los procedimientos de auditoría que sean adecuados en función de las circun</w:t>
      </w:r>
      <w:r w:rsidRPr="00667DFF">
        <w:t>s</w:t>
      </w:r>
      <w:r w:rsidRPr="00667DFF">
        <w:t>tancias, y no con la finalidad de expresar una opinión sobre la eficacia del co</w:t>
      </w:r>
      <w:r w:rsidRPr="00667DFF">
        <w:t>n</w:t>
      </w:r>
      <w:r w:rsidRPr="00667DFF">
        <w:t>trol interno de la entidad.</w:t>
      </w:r>
    </w:p>
    <w:p w:rsidR="00204F99" w:rsidRPr="00667DFF" w:rsidRDefault="00204F99" w:rsidP="00553841">
      <w:pPr>
        <w:pStyle w:val="texto"/>
      </w:pPr>
      <w:r w:rsidRPr="00667DFF">
        <w:t>Una auditoría también incluye la evaluación de la adecuación de las políticas contables aplicadas y de la razonabilidad de las estimaciones contables realiz</w:t>
      </w:r>
      <w:r w:rsidRPr="00667DFF">
        <w:t>a</w:t>
      </w:r>
      <w:r w:rsidRPr="00667DFF">
        <w:t xml:space="preserve">das por los responsables, así como la evaluación de la presentación </w:t>
      </w:r>
      <w:r>
        <w:t>de las part</w:t>
      </w:r>
      <w:r>
        <w:t>i</w:t>
      </w:r>
      <w:r>
        <w:t>das presupuestarias analizadas</w:t>
      </w:r>
      <w:r w:rsidRPr="00667DFF">
        <w:t xml:space="preserve"> en su conjunto.</w:t>
      </w:r>
    </w:p>
    <w:p w:rsidR="00204F99" w:rsidRDefault="00204F99" w:rsidP="00CE50DD">
      <w:pPr>
        <w:tabs>
          <w:tab w:val="center" w:pos="2835"/>
          <w:tab w:val="center" w:pos="3969"/>
          <w:tab w:val="center" w:pos="5103"/>
          <w:tab w:val="center" w:pos="6237"/>
          <w:tab w:val="center" w:pos="7371"/>
        </w:tabs>
        <w:spacing w:after="360"/>
        <w:ind w:firstLine="284"/>
        <w:rPr>
          <w:spacing w:val="6"/>
          <w:sz w:val="26"/>
          <w:szCs w:val="24"/>
        </w:rPr>
      </w:pPr>
      <w:r w:rsidRPr="00667DFF">
        <w:rPr>
          <w:spacing w:val="6"/>
          <w:sz w:val="26"/>
          <w:szCs w:val="24"/>
        </w:rPr>
        <w:lastRenderedPageBreak/>
        <w:t>Consideramos que la evidencia de auditoría que hemos obtenido proporciona una base suficiente y adecuada para fundamentar nuestra opinión de fiscaliz</w:t>
      </w:r>
      <w:r w:rsidRPr="00667DFF">
        <w:rPr>
          <w:spacing w:val="6"/>
          <w:sz w:val="26"/>
          <w:szCs w:val="24"/>
        </w:rPr>
        <w:t>a</w:t>
      </w:r>
      <w:r w:rsidRPr="00667DFF">
        <w:rPr>
          <w:spacing w:val="6"/>
          <w:sz w:val="26"/>
          <w:szCs w:val="24"/>
        </w:rPr>
        <w:t>ción financiera y de cumplimiento.</w:t>
      </w:r>
    </w:p>
    <w:p w:rsidR="00204F99" w:rsidRPr="00553841" w:rsidRDefault="00204F99" w:rsidP="00553841">
      <w:pPr>
        <w:pStyle w:val="atitulo2"/>
      </w:pPr>
      <w:bookmarkStart w:id="23" w:name="_Toc75857472"/>
      <w:bookmarkStart w:id="24" w:name="_Toc81830151"/>
      <w:r w:rsidRPr="00553841">
        <w:t>IV.1. Opinión de fiscalización sobre cumplimiento de legalidad</w:t>
      </w:r>
      <w:bookmarkEnd w:id="23"/>
      <w:bookmarkEnd w:id="24"/>
    </w:p>
    <w:p w:rsidR="00204F99" w:rsidRDefault="00204F99" w:rsidP="00553841">
      <w:pPr>
        <w:pStyle w:val="atitulo3"/>
      </w:pPr>
      <w:r w:rsidRPr="00E86C71">
        <w:t>IV.1.</w:t>
      </w:r>
      <w:r>
        <w:t>1.</w:t>
      </w:r>
      <w:r w:rsidR="00CA2985">
        <w:t xml:space="preserve"> </w:t>
      </w:r>
      <w:r>
        <w:t xml:space="preserve">Opinión </w:t>
      </w:r>
      <w:r w:rsidR="00CA2985">
        <w:t>sobre cumplimiento de legalidad</w:t>
      </w:r>
    </w:p>
    <w:p w:rsidR="00204F99" w:rsidRDefault="00204F99" w:rsidP="00204F99">
      <w:pPr>
        <w:pStyle w:val="texto"/>
        <w:spacing w:after="180"/>
        <w:rPr>
          <w:szCs w:val="26"/>
        </w:rPr>
      </w:pPr>
      <w:r w:rsidRPr="00611F45">
        <w:rPr>
          <w:szCs w:val="26"/>
        </w:rPr>
        <w:t xml:space="preserve">En nuestra opinión, </w:t>
      </w:r>
      <w:r>
        <w:rPr>
          <w:szCs w:val="26"/>
        </w:rPr>
        <w:t xml:space="preserve">las subvenciones analizadas concedidas por </w:t>
      </w:r>
      <w:r w:rsidR="00CC6385" w:rsidRPr="009145E1">
        <w:rPr>
          <w:szCs w:val="26"/>
        </w:rPr>
        <w:t>la ACFN</w:t>
      </w:r>
      <w:r w:rsidRPr="009145E1">
        <w:rPr>
          <w:szCs w:val="26"/>
        </w:rPr>
        <w:t xml:space="preserve"> </w:t>
      </w:r>
      <w:r w:rsidR="00496B22">
        <w:rPr>
          <w:szCs w:val="26"/>
        </w:rPr>
        <w:t>a empresas privadas durante</w:t>
      </w:r>
      <w:r>
        <w:rPr>
          <w:szCs w:val="26"/>
        </w:rPr>
        <w:t xml:space="preserve"> 2020 </w:t>
      </w:r>
      <w:r w:rsidRPr="00611F45">
        <w:rPr>
          <w:szCs w:val="26"/>
        </w:rPr>
        <w:t xml:space="preserve">resultan conformes, en todos </w:t>
      </w:r>
      <w:r>
        <w:rPr>
          <w:szCs w:val="26"/>
        </w:rPr>
        <w:t>sus</w:t>
      </w:r>
      <w:r w:rsidRPr="00611F45">
        <w:rPr>
          <w:szCs w:val="26"/>
        </w:rPr>
        <w:t xml:space="preserve"> aspectos si</w:t>
      </w:r>
      <w:r w:rsidRPr="00611F45">
        <w:rPr>
          <w:szCs w:val="26"/>
        </w:rPr>
        <w:t>g</w:t>
      </w:r>
      <w:r w:rsidRPr="00611F45">
        <w:rPr>
          <w:szCs w:val="26"/>
        </w:rPr>
        <w:t>nificativos, con la norm</w:t>
      </w:r>
      <w:r>
        <w:rPr>
          <w:szCs w:val="26"/>
        </w:rPr>
        <w:t>a</w:t>
      </w:r>
      <w:r w:rsidR="00C00FB2">
        <w:rPr>
          <w:szCs w:val="26"/>
        </w:rPr>
        <w:t>tiva aplicable</w:t>
      </w:r>
      <w:r>
        <w:rPr>
          <w:szCs w:val="26"/>
        </w:rPr>
        <w:t>.</w:t>
      </w:r>
    </w:p>
    <w:p w:rsidR="00204F99" w:rsidRDefault="00204F99" w:rsidP="00CA2985">
      <w:pPr>
        <w:pStyle w:val="atitulo3"/>
      </w:pPr>
      <w:r w:rsidRPr="00E86C71">
        <w:t>IV.1.</w:t>
      </w:r>
      <w:r>
        <w:t>2</w:t>
      </w:r>
      <w:r w:rsidR="005008EB">
        <w:t>.</w:t>
      </w:r>
      <w:r>
        <w:t xml:space="preserve"> Otras observaciones que no afectan a la opinión </w:t>
      </w:r>
    </w:p>
    <w:p w:rsidR="00204F99" w:rsidRPr="00E86C71" w:rsidRDefault="00204F99" w:rsidP="00204F99">
      <w:pPr>
        <w:tabs>
          <w:tab w:val="center" w:pos="2835"/>
          <w:tab w:val="center" w:pos="3969"/>
          <w:tab w:val="center" w:pos="5103"/>
          <w:tab w:val="center" w:pos="6237"/>
          <w:tab w:val="center" w:pos="7371"/>
        </w:tabs>
        <w:ind w:firstLine="0"/>
        <w:rPr>
          <w:rFonts w:ascii="Arial" w:hAnsi="Arial"/>
          <w:bCs/>
          <w:i/>
          <w:iCs/>
          <w:color w:val="000000"/>
          <w:spacing w:val="10"/>
          <w:kern w:val="28"/>
          <w:sz w:val="25"/>
          <w:szCs w:val="26"/>
        </w:rPr>
      </w:pPr>
      <w:r w:rsidRPr="00E86C71">
        <w:rPr>
          <w:rFonts w:ascii="Arial" w:hAnsi="Arial"/>
          <w:bCs/>
          <w:i/>
          <w:iCs/>
          <w:color w:val="000000"/>
          <w:spacing w:val="10"/>
          <w:kern w:val="28"/>
          <w:sz w:val="25"/>
          <w:szCs w:val="26"/>
        </w:rPr>
        <w:t xml:space="preserve">Conclusiones generales </w:t>
      </w:r>
    </w:p>
    <w:p w:rsidR="00204F99" w:rsidRPr="00CA2985"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bookmarkStart w:id="25" w:name="_Toc305415950"/>
      <w:bookmarkStart w:id="26" w:name="_Toc305480468"/>
      <w:bookmarkStart w:id="27" w:name="_Toc402180175"/>
      <w:bookmarkStart w:id="28" w:name="_Toc188167196"/>
      <w:bookmarkStart w:id="29" w:name="_Toc303592533"/>
      <w:bookmarkStart w:id="30" w:name="_Toc309383716"/>
      <w:bookmarkStart w:id="31" w:name="_Toc339016605"/>
      <w:r w:rsidRPr="00CA2985">
        <w:rPr>
          <w:szCs w:val="26"/>
        </w:rPr>
        <w:t xml:space="preserve">El principio de simplificación administrativa, recogido en la ley 39/2015, del procedimiento administrativo común de las administraciones públicas, tiene por objeto reducir los procedimientos a las dimensiones óptimas. En algunas de las convocatorias revisadas, </w:t>
      </w:r>
      <w:r w:rsidR="00735A7E" w:rsidRPr="005148BD">
        <w:rPr>
          <w:szCs w:val="26"/>
        </w:rPr>
        <w:t>se ha</w:t>
      </w:r>
      <w:r w:rsidRPr="005148BD">
        <w:rPr>
          <w:szCs w:val="26"/>
        </w:rPr>
        <w:t xml:space="preserve"> </w:t>
      </w:r>
      <w:r w:rsidRPr="00CA2985">
        <w:rPr>
          <w:szCs w:val="26"/>
        </w:rPr>
        <w:t>avanzado en el diseño de los procedimientos mediante el desarrollo de aplicaciones y sistemas de información, por ejemplo, SUMA en el Servicio Navarro de Empleo y GESTAM en</w:t>
      </w:r>
      <w:r w:rsidR="00735A7E">
        <w:rPr>
          <w:szCs w:val="26"/>
        </w:rPr>
        <w:t xml:space="preserve"> el D</w:t>
      </w:r>
      <w:r w:rsidR="00C53585">
        <w:rPr>
          <w:szCs w:val="26"/>
        </w:rPr>
        <w:t>epartamento de Desarrollo E</w:t>
      </w:r>
      <w:r w:rsidRPr="00CA2985">
        <w:rPr>
          <w:szCs w:val="26"/>
        </w:rPr>
        <w:t>conómico, facilitando de esta manera la simplificación y la tran</w:t>
      </w:r>
      <w:r w:rsidRPr="00CA2985">
        <w:rPr>
          <w:szCs w:val="26"/>
        </w:rPr>
        <w:t>s</w:t>
      </w:r>
      <w:r w:rsidRPr="00CA2985">
        <w:rPr>
          <w:szCs w:val="26"/>
        </w:rPr>
        <w:t xml:space="preserve">parencia de los procedimientos.  </w:t>
      </w:r>
    </w:p>
    <w:p w:rsidR="00204F99" w:rsidRPr="00B468EC"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rsidRPr="00B468EC">
        <w:rPr>
          <w:szCs w:val="26"/>
        </w:rPr>
        <w:t>Tal y como indicaba la Cámar</w:t>
      </w:r>
      <w:r w:rsidR="00B85BF7" w:rsidRPr="00B468EC">
        <w:rPr>
          <w:szCs w:val="26"/>
        </w:rPr>
        <w:t>a de Comptos en su informe de “S</w:t>
      </w:r>
      <w:r w:rsidRPr="00B468EC">
        <w:rPr>
          <w:szCs w:val="26"/>
        </w:rPr>
        <w:t>ubvenci</w:t>
      </w:r>
      <w:r w:rsidRPr="00B468EC">
        <w:rPr>
          <w:szCs w:val="26"/>
        </w:rPr>
        <w:t>o</w:t>
      </w:r>
      <w:r w:rsidRPr="00B468EC">
        <w:rPr>
          <w:szCs w:val="26"/>
        </w:rPr>
        <w:t>nes del Gobierno de Navarra a diversas entidades y asociaciones, 2014” publ</w:t>
      </w:r>
      <w:r w:rsidRPr="00B468EC">
        <w:rPr>
          <w:szCs w:val="26"/>
        </w:rPr>
        <w:t>i</w:t>
      </w:r>
      <w:r w:rsidRPr="00B468EC">
        <w:rPr>
          <w:szCs w:val="26"/>
        </w:rPr>
        <w:t xml:space="preserve">cado en septiembre de 2015, y en el informe de </w:t>
      </w:r>
      <w:r w:rsidR="008B750B" w:rsidRPr="00B468EC">
        <w:rPr>
          <w:szCs w:val="26"/>
        </w:rPr>
        <w:t>“C</w:t>
      </w:r>
      <w:r w:rsidRPr="00B468EC">
        <w:rPr>
          <w:szCs w:val="26"/>
        </w:rPr>
        <w:t>uentas generales</w:t>
      </w:r>
      <w:r w:rsidR="00C53585" w:rsidRPr="00B468EC">
        <w:rPr>
          <w:szCs w:val="26"/>
        </w:rPr>
        <w:t xml:space="preserve"> de Navarra</w:t>
      </w:r>
      <w:r w:rsidRPr="00B468EC">
        <w:rPr>
          <w:szCs w:val="26"/>
        </w:rPr>
        <w:t xml:space="preserve"> 2019</w:t>
      </w:r>
      <w:r w:rsidR="008B750B" w:rsidRPr="00B468EC">
        <w:rPr>
          <w:szCs w:val="26"/>
        </w:rPr>
        <w:t>”</w:t>
      </w:r>
      <w:r w:rsidRPr="00B468EC">
        <w:rPr>
          <w:szCs w:val="26"/>
        </w:rPr>
        <w:t xml:space="preserve">, se observa que las bases reguladoras son muy exhaustivas en cuanto a sus requisitos, conllevando numerosos trámites administrativos y requiriendo especial dedicación y tareas </w:t>
      </w:r>
      <w:r w:rsidR="009C68EC" w:rsidRPr="00B468EC">
        <w:rPr>
          <w:szCs w:val="26"/>
        </w:rPr>
        <w:t xml:space="preserve">del </w:t>
      </w:r>
      <w:r w:rsidRPr="00B468EC">
        <w:rPr>
          <w:szCs w:val="26"/>
        </w:rPr>
        <w:t xml:space="preserve">propio órgano concedente </w:t>
      </w:r>
      <w:r w:rsidR="009C68EC" w:rsidRPr="00B468EC">
        <w:rPr>
          <w:szCs w:val="26"/>
        </w:rPr>
        <w:t>y d</w:t>
      </w:r>
      <w:r w:rsidRPr="00B468EC">
        <w:rPr>
          <w:szCs w:val="26"/>
        </w:rPr>
        <w:t>el beneficiario; también se observa cierta exigencia con la implantación de restricciones y lím</w:t>
      </w:r>
      <w:r w:rsidRPr="00B468EC">
        <w:rPr>
          <w:szCs w:val="26"/>
        </w:rPr>
        <w:t>i</w:t>
      </w:r>
      <w:r w:rsidRPr="00B468EC">
        <w:rPr>
          <w:szCs w:val="26"/>
        </w:rPr>
        <w:t xml:space="preserve">tes </w:t>
      </w:r>
      <w:r w:rsidR="00B468EC" w:rsidRPr="00B468EC">
        <w:rPr>
          <w:szCs w:val="26"/>
        </w:rPr>
        <w:t>e</w:t>
      </w:r>
      <w:r w:rsidR="00F71766" w:rsidRPr="00B468EC">
        <w:rPr>
          <w:szCs w:val="26"/>
        </w:rPr>
        <w:t>n la justificación de los diferentes conceptos de gasto.</w:t>
      </w:r>
    </w:p>
    <w:p w:rsidR="00204F99" w:rsidRPr="00CA2985"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rsidRPr="00CA2985">
        <w:rPr>
          <w:szCs w:val="26"/>
        </w:rPr>
        <w:t xml:space="preserve">Las ayudas de escasa cuantía, denominadas ayudas </w:t>
      </w:r>
      <w:proofErr w:type="spellStart"/>
      <w:r w:rsidRPr="00CA2985">
        <w:rPr>
          <w:szCs w:val="26"/>
        </w:rPr>
        <w:t>mínimis</w:t>
      </w:r>
      <w:proofErr w:type="spellEnd"/>
      <w:r w:rsidRPr="00CA2985">
        <w:rPr>
          <w:szCs w:val="26"/>
        </w:rPr>
        <w:t>, reguladas en el Reglamento (UE) 1407/2013, de la Comisión, de 18 de diciembre de 2013, son aquellas ayudas que no exceden de 200.000 euros por empresa por un p</w:t>
      </w:r>
      <w:r w:rsidRPr="00CA2985">
        <w:rPr>
          <w:szCs w:val="26"/>
        </w:rPr>
        <w:t>e</w:t>
      </w:r>
      <w:r w:rsidRPr="00CA2985">
        <w:rPr>
          <w:szCs w:val="26"/>
        </w:rPr>
        <w:t xml:space="preserve">ríodo de tres ejercicios fiscales. Todas las convocatorias hacen constar que las ayudas están sujetas a dicho reglamento de </w:t>
      </w:r>
      <w:proofErr w:type="spellStart"/>
      <w:r w:rsidRPr="00CA2985">
        <w:rPr>
          <w:szCs w:val="26"/>
        </w:rPr>
        <w:t>mínimis</w:t>
      </w:r>
      <w:proofErr w:type="spellEnd"/>
      <w:r w:rsidR="00CC16D1">
        <w:rPr>
          <w:szCs w:val="26"/>
        </w:rPr>
        <w:t xml:space="preserve"> y la exigencia de aportar, </w:t>
      </w:r>
      <w:r w:rsidRPr="00CA2985">
        <w:rPr>
          <w:szCs w:val="26"/>
        </w:rPr>
        <w:t xml:space="preserve">junto con la solicitud de la subvención, la declaración responsable que acredita las ayudas </w:t>
      </w:r>
      <w:proofErr w:type="spellStart"/>
      <w:r w:rsidRPr="00CA2985">
        <w:rPr>
          <w:szCs w:val="26"/>
        </w:rPr>
        <w:t>mínimis</w:t>
      </w:r>
      <w:proofErr w:type="spellEnd"/>
      <w:r w:rsidRPr="00CA2985">
        <w:rPr>
          <w:szCs w:val="26"/>
        </w:rPr>
        <w:t xml:space="preserve"> percibidas en los últimos tres ejercicios.</w:t>
      </w:r>
      <w:r w:rsidR="00F71766">
        <w:rPr>
          <w:szCs w:val="26"/>
        </w:rPr>
        <w:t xml:space="preserve"> No se realiza ni</w:t>
      </w:r>
      <w:r w:rsidR="00F71766">
        <w:rPr>
          <w:szCs w:val="26"/>
        </w:rPr>
        <w:t>n</w:t>
      </w:r>
      <w:r w:rsidR="00F71766">
        <w:rPr>
          <w:szCs w:val="26"/>
        </w:rPr>
        <w:t xml:space="preserve">gún control añadido. </w:t>
      </w:r>
    </w:p>
    <w:p w:rsidR="00204F99" w:rsidRPr="00CA2985"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spacing w:after="360"/>
        <w:ind w:left="0" w:firstLine="289"/>
        <w:rPr>
          <w:szCs w:val="26"/>
          <w:lang w:eastAsia="es-ES"/>
        </w:rPr>
      </w:pPr>
      <w:r w:rsidRPr="00CA2985">
        <w:rPr>
          <w:szCs w:val="26"/>
        </w:rPr>
        <w:t xml:space="preserve">El principio de objetividad, regulado en el artículo 5 de la LFS, obliga a que las convocatorias incluyan los criterios de valoración de las solicitudes y a que su evaluación se efectúe conforme a dichos criterios. Hemos observado que </w:t>
      </w:r>
      <w:r w:rsidRPr="00CA2985">
        <w:rPr>
          <w:szCs w:val="26"/>
        </w:rPr>
        <w:lastRenderedPageBreak/>
        <w:t>los criterios para la valoración de las solicitudes, tanto en las ayudas a doct</w:t>
      </w:r>
      <w:r w:rsidRPr="00CA2985">
        <w:rPr>
          <w:szCs w:val="26"/>
        </w:rPr>
        <w:t>o</w:t>
      </w:r>
      <w:r w:rsidRPr="00CA2985">
        <w:rPr>
          <w:szCs w:val="26"/>
        </w:rPr>
        <w:t>randos como en las ayudas a proyectos estratégicos, no están suficientemente desarro</w:t>
      </w:r>
      <w:r w:rsidRPr="00CA2985">
        <w:rPr>
          <w:szCs w:val="26"/>
          <w:lang w:eastAsia="es-ES"/>
        </w:rPr>
        <w:t>llados en las bases reguladoras, lo que ha dificultado el control sobre la justificación de la valoración</w:t>
      </w:r>
      <w:r w:rsidR="008F15F4">
        <w:rPr>
          <w:szCs w:val="26"/>
          <w:lang w:eastAsia="es-ES"/>
        </w:rPr>
        <w:t xml:space="preserve"> realizada</w:t>
      </w:r>
      <w:r w:rsidRPr="00CA2985">
        <w:rPr>
          <w:szCs w:val="26"/>
          <w:lang w:eastAsia="es-ES"/>
        </w:rPr>
        <w:t>.</w:t>
      </w:r>
      <w:r w:rsidRPr="00034E3A">
        <w:rPr>
          <w:szCs w:val="26"/>
          <w:lang w:eastAsia="es-ES"/>
        </w:rPr>
        <w:t xml:space="preserve"> </w:t>
      </w:r>
    </w:p>
    <w:p w:rsidR="00C91A1D" w:rsidRPr="00E86C71" w:rsidRDefault="00C91A1D" w:rsidP="00C91A1D">
      <w:pPr>
        <w:pStyle w:val="atitulo3"/>
      </w:pPr>
      <w:r>
        <w:t xml:space="preserve">Ayudas a la inversión en grandes empresas industriales </w:t>
      </w:r>
    </w:p>
    <w:p w:rsidR="00204F99" w:rsidRPr="00CA2985" w:rsidRDefault="00204F99" w:rsidP="00CA2985">
      <w:pPr>
        <w:pStyle w:val="texto"/>
        <w:rPr>
          <w:spacing w:val="-2"/>
        </w:rPr>
      </w:pPr>
      <w:r w:rsidRPr="00CA2985">
        <w:tab/>
      </w:r>
      <w:r w:rsidR="001845BE">
        <w:rPr>
          <w:spacing w:val="-2"/>
        </w:rPr>
        <w:t xml:space="preserve">Del total de solicitudes, resultan denegadas 26, de las cuales </w:t>
      </w:r>
      <w:r w:rsidR="001845BE" w:rsidRPr="00501146">
        <w:rPr>
          <w:spacing w:val="-2"/>
        </w:rPr>
        <w:t xml:space="preserve">21 </w:t>
      </w:r>
      <w:r w:rsidR="00C91A1D">
        <w:rPr>
          <w:spacing w:val="-2"/>
        </w:rPr>
        <w:t xml:space="preserve">se excluyen </w:t>
      </w:r>
      <w:r w:rsidR="001845BE" w:rsidRPr="00501146">
        <w:rPr>
          <w:spacing w:val="-2"/>
        </w:rPr>
        <w:t>por falta de presupuesto</w:t>
      </w:r>
      <w:r w:rsidR="001845BE">
        <w:rPr>
          <w:spacing w:val="-2"/>
        </w:rPr>
        <w:t>.</w:t>
      </w:r>
      <w:r w:rsidR="001845BE" w:rsidRPr="00CA2985">
        <w:rPr>
          <w:spacing w:val="-2"/>
        </w:rPr>
        <w:t xml:space="preserve"> </w:t>
      </w:r>
      <w:r w:rsidRPr="00CA2985">
        <w:rPr>
          <w:spacing w:val="-2"/>
        </w:rPr>
        <w:t>La concesión agota el crédito disponible, un total de 2,5 mill</w:t>
      </w:r>
      <w:r w:rsidRPr="00CA2985">
        <w:rPr>
          <w:spacing w:val="-2"/>
        </w:rPr>
        <w:t>o</w:t>
      </w:r>
      <w:r w:rsidRPr="00CA2985">
        <w:rPr>
          <w:spacing w:val="-2"/>
        </w:rPr>
        <w:t>nes, si bien, el órgano concedente fija finalmente el importe de las ayudas y los pagos en 1,5 millones</w:t>
      </w:r>
      <w:r w:rsidR="001845BE">
        <w:rPr>
          <w:spacing w:val="-2"/>
        </w:rPr>
        <w:t xml:space="preserve">. </w:t>
      </w:r>
      <w:r w:rsidR="000B41AF">
        <w:rPr>
          <w:spacing w:val="-2"/>
        </w:rPr>
        <w:t>D</w:t>
      </w:r>
      <w:r w:rsidR="001845BE" w:rsidRPr="001845BE">
        <w:rPr>
          <w:spacing w:val="-2"/>
        </w:rPr>
        <w:t>e las 14 empresas beneficiarias de la concesión</w:t>
      </w:r>
      <w:r w:rsidR="006E499E" w:rsidRPr="001845BE">
        <w:rPr>
          <w:spacing w:val="-2"/>
        </w:rPr>
        <w:t>,</w:t>
      </w:r>
      <w:r w:rsidR="002A7254" w:rsidRPr="001845BE">
        <w:rPr>
          <w:spacing w:val="-2"/>
        </w:rPr>
        <w:t xml:space="preserve"> </w:t>
      </w:r>
      <w:r w:rsidR="007713EF">
        <w:rPr>
          <w:spacing w:val="-2"/>
        </w:rPr>
        <w:t>siete</w:t>
      </w:r>
      <w:r w:rsidRPr="00CA2985">
        <w:rPr>
          <w:spacing w:val="-2"/>
        </w:rPr>
        <w:t xml:space="preserve"> </w:t>
      </w:r>
      <w:r w:rsidR="00501146">
        <w:rPr>
          <w:spacing w:val="-2"/>
        </w:rPr>
        <w:t xml:space="preserve">finalmente </w:t>
      </w:r>
      <w:r w:rsidRPr="00CA2985">
        <w:rPr>
          <w:spacing w:val="-2"/>
        </w:rPr>
        <w:t xml:space="preserve">no </w:t>
      </w:r>
      <w:r w:rsidR="00501146">
        <w:rPr>
          <w:spacing w:val="-2"/>
        </w:rPr>
        <w:t>reciben</w:t>
      </w:r>
      <w:r w:rsidRPr="00CA2985">
        <w:rPr>
          <w:spacing w:val="-2"/>
        </w:rPr>
        <w:t xml:space="preserve"> ninguna ayuda por falta de justificación en plazo por valor de </w:t>
      </w:r>
      <w:r w:rsidRPr="00392046">
        <w:rPr>
          <w:spacing w:val="-2"/>
        </w:rPr>
        <w:t>0,7 millones</w:t>
      </w:r>
      <w:r w:rsidR="00392046">
        <w:rPr>
          <w:spacing w:val="-2"/>
        </w:rPr>
        <w:t xml:space="preserve">. </w:t>
      </w:r>
      <w:r w:rsidR="00392046" w:rsidRPr="001A2756">
        <w:rPr>
          <w:spacing w:val="-2"/>
        </w:rPr>
        <w:t>Si bien</w:t>
      </w:r>
      <w:r w:rsidRPr="001A2756">
        <w:rPr>
          <w:spacing w:val="-2"/>
        </w:rPr>
        <w:t xml:space="preserve"> </w:t>
      </w:r>
      <w:r w:rsidR="001A2756" w:rsidRPr="001A2756">
        <w:rPr>
          <w:spacing w:val="-2"/>
        </w:rPr>
        <w:t>e</w:t>
      </w:r>
      <w:r w:rsidRPr="001A2756">
        <w:rPr>
          <w:spacing w:val="-2"/>
        </w:rPr>
        <w:t>l plazo entre la concesión y la justificación</w:t>
      </w:r>
      <w:r w:rsidR="00392046" w:rsidRPr="001A2756">
        <w:rPr>
          <w:spacing w:val="-2"/>
        </w:rPr>
        <w:t xml:space="preserve"> establecido en las bases era de </w:t>
      </w:r>
      <w:r w:rsidR="003E5A12" w:rsidRPr="001A2756">
        <w:rPr>
          <w:spacing w:val="-2"/>
        </w:rPr>
        <w:t>tres meses</w:t>
      </w:r>
      <w:r w:rsidR="00392046" w:rsidRPr="001A2756">
        <w:rPr>
          <w:spacing w:val="-2"/>
        </w:rPr>
        <w:t>,</w:t>
      </w:r>
      <w:r w:rsidR="003E5A12" w:rsidRPr="001A2756">
        <w:rPr>
          <w:spacing w:val="-2"/>
        </w:rPr>
        <w:t xml:space="preserve"> </w:t>
      </w:r>
      <w:r w:rsidR="00392046" w:rsidRPr="001A2756">
        <w:rPr>
          <w:spacing w:val="-2"/>
        </w:rPr>
        <w:t>se redujo</w:t>
      </w:r>
      <w:r w:rsidRPr="001A2756">
        <w:rPr>
          <w:spacing w:val="-2"/>
        </w:rPr>
        <w:t xml:space="preserve"> a dos </w:t>
      </w:r>
      <w:r w:rsidR="00D56CC9" w:rsidRPr="001A2756">
        <w:rPr>
          <w:spacing w:val="-2"/>
        </w:rPr>
        <w:t xml:space="preserve">meses </w:t>
      </w:r>
      <w:r w:rsidRPr="001A2756">
        <w:rPr>
          <w:spacing w:val="-2"/>
        </w:rPr>
        <w:t>por un retraso en la concesión.</w:t>
      </w:r>
    </w:p>
    <w:p w:rsidR="00204F99" w:rsidRPr="00CA2985" w:rsidRDefault="00204F99" w:rsidP="00CA2985">
      <w:pPr>
        <w:pStyle w:val="texto"/>
      </w:pPr>
      <w:r w:rsidRPr="00CA2985">
        <w:t xml:space="preserve">También se observa retraso desde la finalización del plazo de justificación </w:t>
      </w:r>
      <w:r w:rsidR="00C91A1D" w:rsidRPr="00042CF0">
        <w:t xml:space="preserve">hasta </w:t>
      </w:r>
      <w:r w:rsidRPr="00CA2985">
        <w:t>el abono de la subvenció</w:t>
      </w:r>
      <w:r w:rsidR="00197579">
        <w:t>n, lo que supone un exceso de diez</w:t>
      </w:r>
      <w:r w:rsidRPr="00CA2985">
        <w:t xml:space="preserve"> meses sobre el plazo máximo previsto en las bases, fijado en seis meses.</w:t>
      </w:r>
    </w:p>
    <w:p w:rsidR="00204F99" w:rsidRPr="00CA2985" w:rsidRDefault="00204F99" w:rsidP="00CE50DD">
      <w:pPr>
        <w:pStyle w:val="texto"/>
        <w:spacing w:after="240"/>
      </w:pPr>
      <w:r w:rsidRPr="00CA2985">
        <w:tab/>
        <w:t>La convocatoria se publica en la Base Nacional de Subvenciones del Mini</w:t>
      </w:r>
      <w:r w:rsidRPr="00CA2985">
        <w:t>s</w:t>
      </w:r>
      <w:r w:rsidRPr="00CA2985">
        <w:t>terio de Hacienda y Administraciones Públicas, no así la concesión.</w:t>
      </w:r>
    </w:p>
    <w:p w:rsidR="00204F99" w:rsidRPr="00E86C71" w:rsidRDefault="00204F99" w:rsidP="00CA2985">
      <w:pPr>
        <w:pStyle w:val="atitulo3"/>
      </w:pPr>
      <w:r>
        <w:t>Ayudas al Transporte</w:t>
      </w:r>
    </w:p>
    <w:p w:rsidR="00204F99" w:rsidRPr="00CA2985" w:rsidRDefault="00204F99" w:rsidP="00CA2985">
      <w:pPr>
        <w:pStyle w:val="texto"/>
      </w:pPr>
      <w:r w:rsidRPr="00CA2985">
        <w:t>Las ayudas concedidas por el Departamento de Cohesión Territorial a las empresas concesionari</w:t>
      </w:r>
      <w:r w:rsidR="00D608C9">
        <w:t>as del servicio de transporte pú</w:t>
      </w:r>
      <w:r w:rsidRPr="00CA2985">
        <w:t>blico regular de viajeros, de titularidad de la ACFN, están sometidas a un régimen especial de compens</w:t>
      </w:r>
      <w:r w:rsidRPr="00CA2985">
        <w:t>a</w:t>
      </w:r>
      <w:r w:rsidRPr="00CA2985">
        <w:t>ción económica con el fin de garantizar la viabilidad económica de la conc</w:t>
      </w:r>
      <w:r w:rsidRPr="00CA2985">
        <w:t>e</w:t>
      </w:r>
      <w:r w:rsidRPr="00CA2985">
        <w:t>sió</w:t>
      </w:r>
      <w:r w:rsidR="00D608C9">
        <w:t>n. El gasto en 2020 ascendió</w:t>
      </w:r>
      <w:r w:rsidRPr="00CA2985">
        <w:t xml:space="preserve"> a 1,3 millones. </w:t>
      </w:r>
    </w:p>
    <w:p w:rsidR="00204F99" w:rsidRPr="00CA2985" w:rsidRDefault="00EC3733" w:rsidP="00CA2985">
      <w:pPr>
        <w:pStyle w:val="texto"/>
      </w:pPr>
      <w:r>
        <w:t>E</w:t>
      </w:r>
      <w:r w:rsidR="00204F99" w:rsidRPr="00CA2985">
        <w:t>sta ayuda está integrada en el</w:t>
      </w:r>
      <w:r w:rsidR="0002313D">
        <w:t xml:space="preserve"> PES</w:t>
      </w:r>
      <w:r w:rsidR="00204F99" w:rsidRPr="00CA2985">
        <w:t xml:space="preserve"> “Ayuda a las empresas concesionarias de líneas regulares que tengan déficit de explotación en la prestación del serv</w:t>
      </w:r>
      <w:r w:rsidR="00204F99" w:rsidRPr="00CA2985">
        <w:t>i</w:t>
      </w:r>
      <w:r w:rsidR="00204F99" w:rsidRPr="00CA2985">
        <w:t xml:space="preserve">cio” </w:t>
      </w:r>
    </w:p>
    <w:p w:rsidR="00204F99" w:rsidRPr="00CA2985" w:rsidRDefault="00EC3733" w:rsidP="00CA2985">
      <w:pPr>
        <w:pStyle w:val="texto"/>
      </w:pPr>
      <w:r>
        <w:t>E</w:t>
      </w:r>
      <w:r w:rsidR="003E5A12">
        <w:t>stá regulada en</w:t>
      </w:r>
      <w:r w:rsidR="00204F99" w:rsidRPr="00CA2985">
        <w:t xml:space="preserve"> contratos de concesión, </w:t>
      </w:r>
      <w:r w:rsidR="003E5A12">
        <w:t xml:space="preserve">que fueron </w:t>
      </w:r>
      <w:r w:rsidR="00204F99" w:rsidRPr="00CA2985">
        <w:t>modificados en 2009</w:t>
      </w:r>
      <w:r w:rsidR="001443E8">
        <w:t>,</w:t>
      </w:r>
      <w:r w:rsidR="00204F99" w:rsidRPr="00CA2985">
        <w:t xml:space="preserve"> con el objeto de establecer el régimen </w:t>
      </w:r>
      <w:r w:rsidR="00204F99" w:rsidRPr="003E5A12">
        <w:t>de estas ayudas</w:t>
      </w:r>
      <w:r w:rsidR="00204F99" w:rsidRPr="00CA2985">
        <w:t xml:space="preserve"> para las empresas conc</w:t>
      </w:r>
      <w:r w:rsidR="00204F99" w:rsidRPr="00CA2985">
        <w:t>e</w:t>
      </w:r>
      <w:r w:rsidR="00204F99" w:rsidRPr="00CA2985">
        <w:t>sionarias</w:t>
      </w:r>
      <w:r w:rsidR="002E3FDC">
        <w:t>,</w:t>
      </w:r>
      <w:r w:rsidR="00204F99" w:rsidRPr="00CA2985">
        <w:t xml:space="preserve"> con explotación deficitaria e</w:t>
      </w:r>
      <w:r w:rsidR="002E3FDC">
        <w:t>n los años 2009 y siguientes, y, por ta</w:t>
      </w:r>
      <w:r w:rsidR="002E3FDC">
        <w:t>n</w:t>
      </w:r>
      <w:r w:rsidR="002E3FDC">
        <w:t>to;</w:t>
      </w:r>
      <w:r w:rsidR="00204F99" w:rsidRPr="00CA2985">
        <w:t xml:space="preserve"> no tiene la consideración de subvención, no está sujeta a la LFS, ni debiera haberse</w:t>
      </w:r>
      <w:r w:rsidR="0002313D">
        <w:t xml:space="preserve"> incluido en el PES</w:t>
      </w:r>
      <w:r w:rsidR="00204F99" w:rsidRPr="00CA2985">
        <w:t>.</w:t>
      </w:r>
    </w:p>
    <w:p w:rsidR="00204F99" w:rsidRPr="00CA2985" w:rsidRDefault="00204F99" w:rsidP="00CA2985">
      <w:pPr>
        <w:pStyle w:val="texto"/>
      </w:pPr>
      <w:r w:rsidRPr="00CA2985">
        <w:t>En la revisión de esta ayuda se ha detectado un error en los cálculos de la compensación económica por explotación deficitaria correspondiente al año 2019 y abonada en 2020. El departamento ha revisado los cálculos de los años precedentes no prescritos, ha regularizado y solicitado la devolución de los i</w:t>
      </w:r>
      <w:r w:rsidRPr="00CA2985">
        <w:t>m</w:t>
      </w:r>
      <w:r w:rsidRPr="00CA2985">
        <w:t>portes abonados en exceso durante los añ</w:t>
      </w:r>
      <w:r w:rsidR="000B41AF">
        <w:t xml:space="preserve">os 2017 a 2019 que ascienden a </w:t>
      </w:r>
      <w:r w:rsidRPr="00CA2985">
        <w:t>19.555 euros.</w:t>
      </w:r>
    </w:p>
    <w:p w:rsidR="00204F99" w:rsidRPr="00CA2985" w:rsidRDefault="00204F99" w:rsidP="00CA2985">
      <w:pPr>
        <w:pStyle w:val="texto"/>
      </w:pPr>
      <w:r w:rsidRPr="00CA2985">
        <w:lastRenderedPageBreak/>
        <w:t>Las concesiones para la prestación de este servicio de interés económico g</w:t>
      </w:r>
      <w:r w:rsidRPr="00CA2985">
        <w:t>e</w:t>
      </w:r>
      <w:r w:rsidRPr="00CA2985">
        <w:t>neral finalizaron en 2014 sin que se haya realizado la renovación concesional.</w:t>
      </w:r>
    </w:p>
    <w:p w:rsidR="00204F99" w:rsidRPr="002663CF" w:rsidRDefault="00662164" w:rsidP="00CE50DD">
      <w:pPr>
        <w:pStyle w:val="texto"/>
        <w:spacing w:after="240"/>
      </w:pPr>
      <w:r>
        <w:t>La prestación del servicio</w:t>
      </w:r>
      <w:r w:rsidR="00BD1ECA">
        <w:t xml:space="preserve"> </w:t>
      </w:r>
      <w:r w:rsidR="00204F99" w:rsidRPr="00CA2985">
        <w:t xml:space="preserve">ha continuado y </w:t>
      </w:r>
      <w:r w:rsidR="00BD1ECA" w:rsidRPr="00EC3733">
        <w:t xml:space="preserve">se han </w:t>
      </w:r>
      <w:r w:rsidR="00204F99" w:rsidRPr="00CA2985">
        <w:t>abonado las compensaci</w:t>
      </w:r>
      <w:r w:rsidR="00204F99" w:rsidRPr="00CA2985">
        <w:t>o</w:t>
      </w:r>
      <w:r w:rsidR="00204F99" w:rsidRPr="00CA2985">
        <w:t>nes económicas a las empresas concesionarias aplicando la doctrina de enriqu</w:t>
      </w:r>
      <w:r w:rsidR="00204F99" w:rsidRPr="00CA2985">
        <w:t>e</w:t>
      </w:r>
      <w:r w:rsidR="00204F99" w:rsidRPr="00CA2985">
        <w:t>cimiento injusto para el periodo 2015-2019</w:t>
      </w:r>
      <w:r w:rsidR="000B41AF">
        <w:t>,</w:t>
      </w:r>
      <w:r w:rsidR="00204F99" w:rsidRPr="00CA2985">
        <w:t xml:space="preserve"> por un total de 5,8 millones. </w:t>
      </w:r>
      <w:r w:rsidR="00204F99" w:rsidRPr="00CA2985">
        <w:tab/>
      </w:r>
      <w:r w:rsidR="00FD6B34">
        <w:t xml:space="preserve"> </w:t>
      </w:r>
    </w:p>
    <w:p w:rsidR="00204F99" w:rsidRPr="00E86C71" w:rsidRDefault="00204F99" w:rsidP="00CA2985">
      <w:pPr>
        <w:pStyle w:val="atitulo3"/>
      </w:pPr>
      <w:r>
        <w:t>Ayudas a la hostelería</w:t>
      </w:r>
    </w:p>
    <w:p w:rsidR="00204F99" w:rsidRPr="00CA2985" w:rsidRDefault="00204F99" w:rsidP="00CA2985">
      <w:pPr>
        <w:pStyle w:val="texto"/>
      </w:pPr>
      <w:r w:rsidRPr="00CA2985">
        <w:t xml:space="preserve">La convocatoria de ayudas a los sectores del turismo y la hostelería para compensar las afecciones económicas provocadas por la COVID-19 presenta un gasto en 2020 de 13,5 millones. </w:t>
      </w:r>
    </w:p>
    <w:p w:rsidR="00204F99" w:rsidRPr="00CA2985" w:rsidRDefault="00204F99" w:rsidP="00CA2985">
      <w:pPr>
        <w:pStyle w:val="texto"/>
      </w:pPr>
      <w:r w:rsidRPr="00CA2985">
        <w:t>El departamento estableció un sistema automatizado de gestión de las ayudas a través de la aplicación informática GESTAM, tanto para los procedimientos de comprobación de requisitos cómo para el cálculo automatizado del importe de la ayuda y en su caso, reintegro de las mismas.</w:t>
      </w:r>
    </w:p>
    <w:p w:rsidR="00204F99" w:rsidRPr="003A0EDD" w:rsidRDefault="00204F99" w:rsidP="00CE50DD">
      <w:pPr>
        <w:pStyle w:val="texto"/>
        <w:spacing w:after="240"/>
        <w:rPr>
          <w:i/>
        </w:rPr>
      </w:pPr>
      <w:r w:rsidRPr="00CA2985">
        <w:t xml:space="preserve">Hemos revisado tres controles y realizado tres pruebas sustantivas </w:t>
      </w:r>
      <w:r w:rsidR="001C1F3C">
        <w:t>sobre los sistemas de información involucrados en la gestión de esta subvención</w:t>
      </w:r>
      <w:r w:rsidR="003A0EDD">
        <w:t>,</w:t>
      </w:r>
      <w:r w:rsidR="003A0EDD">
        <w:rPr>
          <w:i/>
        </w:rPr>
        <w:t xml:space="preserve"> </w:t>
      </w:r>
      <w:r w:rsidR="007F2326">
        <w:t>anal</w:t>
      </w:r>
      <w:r w:rsidR="007F2326">
        <w:t>i</w:t>
      </w:r>
      <w:r w:rsidR="007F2326">
        <w:t xml:space="preserve">zando la totalidad de las subvenciones concedidas </w:t>
      </w:r>
      <w:r w:rsidR="003A0EDD" w:rsidRPr="003A0EDD">
        <w:t>(2.074 beneficiarios y 13 m</w:t>
      </w:r>
      <w:r w:rsidR="003A0EDD" w:rsidRPr="003A0EDD">
        <w:t>i</w:t>
      </w:r>
      <w:r w:rsidR="003A0EDD" w:rsidRPr="003A0EDD">
        <w:t>llones</w:t>
      </w:r>
      <w:r w:rsidR="003A0EDD" w:rsidRPr="002E4BB4">
        <w:rPr>
          <w:i/>
        </w:rPr>
        <w:t xml:space="preserve">) </w:t>
      </w:r>
      <w:r w:rsidR="003A0EDD" w:rsidRPr="00CA2985">
        <w:t>obteniendo</w:t>
      </w:r>
      <w:r w:rsidR="003A0EDD">
        <w:t xml:space="preserve"> </w:t>
      </w:r>
      <w:r w:rsidRPr="00CA2985">
        <w:t xml:space="preserve">el siguiente resultado: </w:t>
      </w:r>
    </w:p>
    <w:tbl>
      <w:tblPr>
        <w:tblStyle w:val="Tablaconcuadrcula"/>
        <w:tblW w:w="8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134"/>
        <w:gridCol w:w="1843"/>
        <w:gridCol w:w="1414"/>
        <w:gridCol w:w="992"/>
      </w:tblGrid>
      <w:tr w:rsidR="00204F99" w:rsidTr="005008EB">
        <w:trPr>
          <w:trHeight w:val="284"/>
        </w:trPr>
        <w:tc>
          <w:tcPr>
            <w:tcW w:w="3402" w:type="dxa"/>
            <w:tcBorders>
              <w:top w:val="single" w:sz="4" w:space="0" w:color="auto"/>
              <w:bottom w:val="single" w:sz="4" w:space="0" w:color="auto"/>
            </w:tcBorders>
            <w:shd w:val="clear" w:color="auto" w:fill="B8CCE4" w:themeFill="accent1" w:themeFillTint="66"/>
            <w:vAlign w:val="center"/>
          </w:tcPr>
          <w:p w:rsidR="00204F99" w:rsidRPr="00C90D88" w:rsidRDefault="00204F99" w:rsidP="00CA2985">
            <w:pPr>
              <w:pStyle w:val="cuadroCabe"/>
              <w:rPr>
                <w:lang w:val="es-ES"/>
              </w:rPr>
            </w:pPr>
          </w:p>
        </w:tc>
        <w:tc>
          <w:tcPr>
            <w:tcW w:w="1134" w:type="dxa"/>
            <w:tcBorders>
              <w:top w:val="single" w:sz="4" w:space="0" w:color="auto"/>
              <w:bottom w:val="single" w:sz="4" w:space="0" w:color="auto"/>
            </w:tcBorders>
            <w:shd w:val="clear" w:color="auto" w:fill="B8CCE4" w:themeFill="accent1" w:themeFillTint="66"/>
            <w:vAlign w:val="center"/>
          </w:tcPr>
          <w:p w:rsidR="00204F99" w:rsidRPr="00C90D88" w:rsidRDefault="00204F99" w:rsidP="005008EB">
            <w:pPr>
              <w:pStyle w:val="cuadroCabe"/>
              <w:jc w:val="right"/>
              <w:rPr>
                <w:lang w:val="es-ES"/>
              </w:rPr>
            </w:pPr>
            <w:r w:rsidRPr="00C90D88">
              <w:rPr>
                <w:lang w:val="es-ES"/>
              </w:rPr>
              <w:t xml:space="preserve">Efectivos </w:t>
            </w:r>
          </w:p>
        </w:tc>
        <w:tc>
          <w:tcPr>
            <w:tcW w:w="1843" w:type="dxa"/>
            <w:tcBorders>
              <w:top w:val="single" w:sz="4" w:space="0" w:color="auto"/>
              <w:bottom w:val="single" w:sz="4" w:space="0" w:color="auto"/>
            </w:tcBorders>
            <w:shd w:val="clear" w:color="auto" w:fill="B8CCE4" w:themeFill="accent1" w:themeFillTint="66"/>
            <w:vAlign w:val="center"/>
          </w:tcPr>
          <w:p w:rsidR="005008EB" w:rsidRDefault="00204F99" w:rsidP="005008EB">
            <w:pPr>
              <w:pStyle w:val="cuadroCabe"/>
              <w:jc w:val="right"/>
              <w:rPr>
                <w:lang w:val="es-ES"/>
              </w:rPr>
            </w:pPr>
            <w:r>
              <w:rPr>
                <w:lang w:val="es-ES"/>
              </w:rPr>
              <w:t xml:space="preserve">Efectivos con </w:t>
            </w:r>
          </w:p>
          <w:p w:rsidR="00204F99" w:rsidRDefault="00204F99" w:rsidP="005008EB">
            <w:pPr>
              <w:pStyle w:val="cuadroCabe"/>
              <w:jc w:val="right"/>
              <w:rPr>
                <w:lang w:val="es-ES"/>
              </w:rPr>
            </w:pPr>
            <w:r>
              <w:rPr>
                <w:lang w:val="es-ES"/>
              </w:rPr>
              <w:t>recomendaciones</w:t>
            </w:r>
          </w:p>
        </w:tc>
        <w:tc>
          <w:tcPr>
            <w:tcW w:w="1414" w:type="dxa"/>
            <w:tcBorders>
              <w:top w:val="single" w:sz="4" w:space="0" w:color="auto"/>
              <w:bottom w:val="single" w:sz="4" w:space="0" w:color="auto"/>
            </w:tcBorders>
            <w:shd w:val="clear" w:color="auto" w:fill="B8CCE4" w:themeFill="accent1" w:themeFillTint="66"/>
            <w:vAlign w:val="center"/>
          </w:tcPr>
          <w:p w:rsidR="00204F99" w:rsidRPr="00C90D88" w:rsidRDefault="00204F99" w:rsidP="005008EB">
            <w:pPr>
              <w:pStyle w:val="cuadroCabe"/>
              <w:jc w:val="right"/>
              <w:rPr>
                <w:lang w:val="es-ES"/>
              </w:rPr>
            </w:pPr>
            <w:r>
              <w:rPr>
                <w:lang w:val="es-ES"/>
              </w:rPr>
              <w:t>No efectivos</w:t>
            </w:r>
          </w:p>
        </w:tc>
        <w:tc>
          <w:tcPr>
            <w:tcW w:w="992" w:type="dxa"/>
            <w:tcBorders>
              <w:top w:val="single" w:sz="4" w:space="0" w:color="auto"/>
              <w:bottom w:val="single" w:sz="4" w:space="0" w:color="auto"/>
            </w:tcBorders>
            <w:shd w:val="clear" w:color="auto" w:fill="B8CCE4" w:themeFill="accent1" w:themeFillTint="66"/>
            <w:vAlign w:val="center"/>
          </w:tcPr>
          <w:p w:rsidR="00204F99" w:rsidRPr="00C90D88" w:rsidRDefault="00204F99" w:rsidP="005008EB">
            <w:pPr>
              <w:pStyle w:val="cuadroCabe"/>
              <w:jc w:val="right"/>
              <w:rPr>
                <w:lang w:val="es-ES"/>
              </w:rPr>
            </w:pPr>
            <w:r>
              <w:rPr>
                <w:lang w:val="es-ES"/>
              </w:rPr>
              <w:t>Total</w:t>
            </w:r>
          </w:p>
        </w:tc>
      </w:tr>
      <w:tr w:rsidR="00204F99" w:rsidTr="005008EB">
        <w:trPr>
          <w:trHeight w:val="284"/>
        </w:trPr>
        <w:tc>
          <w:tcPr>
            <w:tcW w:w="3402" w:type="dxa"/>
            <w:tcBorders>
              <w:top w:val="single" w:sz="4" w:space="0" w:color="auto"/>
              <w:bottom w:val="single" w:sz="2" w:space="0" w:color="auto"/>
            </w:tcBorders>
          </w:tcPr>
          <w:p w:rsidR="00204F99" w:rsidRPr="00C90D88" w:rsidRDefault="00204F99" w:rsidP="00CA2985">
            <w:pPr>
              <w:pStyle w:val="cuatexto"/>
              <w:rPr>
                <w:lang w:val="es-ES"/>
              </w:rPr>
            </w:pPr>
            <w:r>
              <w:rPr>
                <w:lang w:val="es-ES"/>
              </w:rPr>
              <w:t xml:space="preserve">Nº Controles </w:t>
            </w:r>
          </w:p>
        </w:tc>
        <w:tc>
          <w:tcPr>
            <w:tcW w:w="1134" w:type="dxa"/>
            <w:tcBorders>
              <w:top w:val="single" w:sz="4" w:space="0" w:color="auto"/>
              <w:bottom w:val="single" w:sz="2" w:space="0" w:color="auto"/>
            </w:tcBorders>
          </w:tcPr>
          <w:p w:rsidR="00204F99" w:rsidRPr="00C90D88" w:rsidRDefault="002E4BB4" w:rsidP="005008EB">
            <w:pPr>
              <w:pStyle w:val="cuatexto"/>
              <w:jc w:val="right"/>
              <w:rPr>
                <w:lang w:val="es-ES"/>
              </w:rPr>
            </w:pPr>
            <w:r>
              <w:rPr>
                <w:lang w:val="es-ES"/>
              </w:rPr>
              <w:t>-</w:t>
            </w:r>
          </w:p>
        </w:tc>
        <w:tc>
          <w:tcPr>
            <w:tcW w:w="1843" w:type="dxa"/>
            <w:tcBorders>
              <w:top w:val="single" w:sz="4" w:space="0" w:color="auto"/>
              <w:bottom w:val="single" w:sz="2" w:space="0" w:color="auto"/>
            </w:tcBorders>
          </w:tcPr>
          <w:p w:rsidR="00204F99" w:rsidRDefault="00204F99" w:rsidP="005008EB">
            <w:pPr>
              <w:pStyle w:val="cuatexto"/>
              <w:jc w:val="right"/>
              <w:rPr>
                <w:lang w:val="es-ES"/>
              </w:rPr>
            </w:pPr>
            <w:r>
              <w:rPr>
                <w:lang w:val="es-ES"/>
              </w:rPr>
              <w:t>2</w:t>
            </w:r>
          </w:p>
        </w:tc>
        <w:tc>
          <w:tcPr>
            <w:tcW w:w="1414" w:type="dxa"/>
            <w:tcBorders>
              <w:top w:val="single" w:sz="4" w:space="0" w:color="auto"/>
              <w:bottom w:val="single" w:sz="2" w:space="0" w:color="auto"/>
            </w:tcBorders>
          </w:tcPr>
          <w:p w:rsidR="00204F99" w:rsidRPr="00C90D88" w:rsidRDefault="00204F99" w:rsidP="005008EB">
            <w:pPr>
              <w:pStyle w:val="cuatexto"/>
              <w:jc w:val="right"/>
              <w:rPr>
                <w:lang w:val="es-ES"/>
              </w:rPr>
            </w:pPr>
            <w:r>
              <w:rPr>
                <w:lang w:val="es-ES"/>
              </w:rPr>
              <w:t>1</w:t>
            </w:r>
          </w:p>
        </w:tc>
        <w:tc>
          <w:tcPr>
            <w:tcW w:w="992" w:type="dxa"/>
            <w:tcBorders>
              <w:top w:val="single" w:sz="4" w:space="0" w:color="auto"/>
              <w:bottom w:val="single" w:sz="2" w:space="0" w:color="auto"/>
            </w:tcBorders>
          </w:tcPr>
          <w:p w:rsidR="00204F99" w:rsidRPr="00C90D88" w:rsidRDefault="00204F99" w:rsidP="005008EB">
            <w:pPr>
              <w:pStyle w:val="cuatexto"/>
              <w:jc w:val="right"/>
              <w:rPr>
                <w:lang w:val="es-ES"/>
              </w:rPr>
            </w:pPr>
            <w:r>
              <w:rPr>
                <w:lang w:val="es-ES"/>
              </w:rPr>
              <w:t>3</w:t>
            </w:r>
          </w:p>
        </w:tc>
      </w:tr>
      <w:tr w:rsidR="00204F99" w:rsidTr="005008EB">
        <w:trPr>
          <w:trHeight w:val="284"/>
        </w:trPr>
        <w:tc>
          <w:tcPr>
            <w:tcW w:w="3402" w:type="dxa"/>
            <w:tcBorders>
              <w:top w:val="single" w:sz="2" w:space="0" w:color="auto"/>
              <w:bottom w:val="single" w:sz="4" w:space="0" w:color="auto"/>
            </w:tcBorders>
          </w:tcPr>
          <w:p w:rsidR="00204F99" w:rsidRDefault="00204F99" w:rsidP="00CA2985">
            <w:pPr>
              <w:pStyle w:val="cuatexto"/>
              <w:rPr>
                <w:lang w:val="es-ES"/>
              </w:rPr>
            </w:pPr>
            <w:r>
              <w:rPr>
                <w:lang w:val="es-ES"/>
              </w:rPr>
              <w:t>Pruebas sustantivas</w:t>
            </w:r>
          </w:p>
        </w:tc>
        <w:tc>
          <w:tcPr>
            <w:tcW w:w="1134" w:type="dxa"/>
            <w:tcBorders>
              <w:top w:val="single" w:sz="2" w:space="0" w:color="auto"/>
              <w:bottom w:val="single" w:sz="4" w:space="0" w:color="auto"/>
            </w:tcBorders>
          </w:tcPr>
          <w:p w:rsidR="00204F99" w:rsidRDefault="00204F99" w:rsidP="005008EB">
            <w:pPr>
              <w:pStyle w:val="cuatexto"/>
              <w:jc w:val="right"/>
              <w:rPr>
                <w:lang w:val="es-ES"/>
              </w:rPr>
            </w:pPr>
            <w:r>
              <w:rPr>
                <w:lang w:val="es-ES"/>
              </w:rPr>
              <w:t>3</w:t>
            </w:r>
          </w:p>
        </w:tc>
        <w:tc>
          <w:tcPr>
            <w:tcW w:w="1843" w:type="dxa"/>
            <w:tcBorders>
              <w:top w:val="single" w:sz="2" w:space="0" w:color="auto"/>
              <w:bottom w:val="single" w:sz="4" w:space="0" w:color="auto"/>
            </w:tcBorders>
          </w:tcPr>
          <w:p w:rsidR="00204F99" w:rsidRDefault="002E4BB4" w:rsidP="005008EB">
            <w:pPr>
              <w:pStyle w:val="cuatexto"/>
              <w:jc w:val="right"/>
              <w:rPr>
                <w:lang w:val="es-ES"/>
              </w:rPr>
            </w:pPr>
            <w:r>
              <w:rPr>
                <w:lang w:val="es-ES"/>
              </w:rPr>
              <w:t>-</w:t>
            </w:r>
          </w:p>
        </w:tc>
        <w:tc>
          <w:tcPr>
            <w:tcW w:w="1414" w:type="dxa"/>
            <w:tcBorders>
              <w:top w:val="single" w:sz="2" w:space="0" w:color="auto"/>
              <w:bottom w:val="single" w:sz="4" w:space="0" w:color="auto"/>
            </w:tcBorders>
          </w:tcPr>
          <w:p w:rsidR="00204F99" w:rsidRDefault="002E4BB4" w:rsidP="005008EB">
            <w:pPr>
              <w:pStyle w:val="cuatexto"/>
              <w:jc w:val="right"/>
              <w:rPr>
                <w:lang w:val="es-ES"/>
              </w:rPr>
            </w:pPr>
            <w:r>
              <w:rPr>
                <w:lang w:val="es-ES"/>
              </w:rPr>
              <w:t>-</w:t>
            </w:r>
          </w:p>
        </w:tc>
        <w:tc>
          <w:tcPr>
            <w:tcW w:w="992" w:type="dxa"/>
            <w:tcBorders>
              <w:top w:val="single" w:sz="2" w:space="0" w:color="auto"/>
              <w:bottom w:val="single" w:sz="4" w:space="0" w:color="auto"/>
            </w:tcBorders>
          </w:tcPr>
          <w:p w:rsidR="00204F99" w:rsidRPr="00C90D88" w:rsidRDefault="00204F99" w:rsidP="005008EB">
            <w:pPr>
              <w:pStyle w:val="cuatexto"/>
              <w:jc w:val="right"/>
              <w:rPr>
                <w:lang w:val="es-ES"/>
              </w:rPr>
            </w:pPr>
            <w:r>
              <w:rPr>
                <w:lang w:val="es-ES"/>
              </w:rPr>
              <w:t>3</w:t>
            </w:r>
          </w:p>
        </w:tc>
      </w:tr>
    </w:tbl>
    <w:p w:rsidR="00204F99" w:rsidRDefault="00204F99" w:rsidP="00CA2985">
      <w:pPr>
        <w:pStyle w:val="texto"/>
        <w:spacing w:before="240"/>
        <w:rPr>
          <w:szCs w:val="26"/>
          <w:lang w:val="es-ES"/>
        </w:rPr>
      </w:pPr>
      <w:r>
        <w:rPr>
          <w:szCs w:val="26"/>
          <w:lang w:val="es-ES"/>
        </w:rPr>
        <w:t xml:space="preserve">De los resultados derivados </w:t>
      </w:r>
      <w:r w:rsidR="00E46B35">
        <w:rPr>
          <w:szCs w:val="26"/>
          <w:lang w:val="es-ES"/>
        </w:rPr>
        <w:t xml:space="preserve">de los controles realizados </w:t>
      </w:r>
      <w:r>
        <w:rPr>
          <w:szCs w:val="26"/>
          <w:lang w:val="es-ES"/>
        </w:rPr>
        <w:t>destacamos:</w:t>
      </w:r>
    </w:p>
    <w:p w:rsidR="00204F99" w:rsidRPr="00864DE5" w:rsidRDefault="003A0EDD"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rsidRPr="00864DE5">
        <w:rPr>
          <w:szCs w:val="26"/>
        </w:rPr>
        <w:t>T</w:t>
      </w:r>
      <w:r w:rsidR="00204F99" w:rsidRPr="00864DE5">
        <w:rPr>
          <w:szCs w:val="26"/>
        </w:rPr>
        <w:t xml:space="preserve">odos los usuarios, </w:t>
      </w:r>
      <w:r w:rsidR="0040754F" w:rsidRPr="00864DE5">
        <w:rPr>
          <w:szCs w:val="26"/>
        </w:rPr>
        <w:t>que no son</w:t>
      </w:r>
      <w:r w:rsidR="00204F99" w:rsidRPr="00864DE5">
        <w:rPr>
          <w:szCs w:val="26"/>
        </w:rPr>
        <w:t xml:space="preserve"> los administradores y el usuario de aplic</w:t>
      </w:r>
      <w:r w:rsidR="00204F99" w:rsidRPr="00864DE5">
        <w:rPr>
          <w:szCs w:val="26"/>
        </w:rPr>
        <w:t>a</w:t>
      </w:r>
      <w:r w:rsidR="00204F99" w:rsidRPr="00864DE5">
        <w:rPr>
          <w:szCs w:val="26"/>
        </w:rPr>
        <w:t>ción, tienen permiso de lectura, excepto un usuar</w:t>
      </w:r>
      <w:r w:rsidR="0046557F" w:rsidRPr="00864DE5">
        <w:rPr>
          <w:szCs w:val="26"/>
        </w:rPr>
        <w:t xml:space="preserve">io con permiso de escritura que, debido a </w:t>
      </w:r>
      <w:r w:rsidR="0040754F" w:rsidRPr="00864DE5">
        <w:rPr>
          <w:szCs w:val="26"/>
        </w:rPr>
        <w:t xml:space="preserve">la urgencia </w:t>
      </w:r>
      <w:r w:rsidR="0046557F" w:rsidRPr="00864DE5">
        <w:rPr>
          <w:szCs w:val="26"/>
        </w:rPr>
        <w:t>en el desarrollo de la aplicación, se habilitó por si fuera necesario</w:t>
      </w:r>
      <w:r w:rsidR="0040754F" w:rsidRPr="00864DE5">
        <w:rPr>
          <w:szCs w:val="26"/>
        </w:rPr>
        <w:t>.</w:t>
      </w:r>
      <w:r w:rsidR="002E4BB4" w:rsidRPr="00864DE5">
        <w:rPr>
          <w:szCs w:val="26"/>
        </w:rPr>
        <w:t xml:space="preserve"> </w:t>
      </w:r>
    </w:p>
    <w:p w:rsidR="005C68B7" w:rsidRPr="00864DE5" w:rsidRDefault="003A0EDD"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rsidRPr="00864DE5">
        <w:rPr>
          <w:szCs w:val="26"/>
        </w:rPr>
        <w:t>L</w:t>
      </w:r>
      <w:r w:rsidR="005C68B7" w:rsidRPr="00864DE5">
        <w:rPr>
          <w:szCs w:val="26"/>
        </w:rPr>
        <w:t xml:space="preserve">a generación de los pagos en </w:t>
      </w:r>
      <w:proofErr w:type="spellStart"/>
      <w:r w:rsidR="005C68B7" w:rsidRPr="00864DE5">
        <w:rPr>
          <w:szCs w:val="26"/>
        </w:rPr>
        <w:t>Gestam</w:t>
      </w:r>
      <w:proofErr w:type="spellEnd"/>
      <w:r w:rsidR="005C68B7" w:rsidRPr="00864DE5">
        <w:rPr>
          <w:szCs w:val="26"/>
        </w:rPr>
        <w:t xml:space="preserve"> y la carga en </w:t>
      </w:r>
      <w:r w:rsidR="005C68B7" w:rsidRPr="00306812">
        <w:rPr>
          <w:szCs w:val="26"/>
        </w:rPr>
        <w:t>S</w:t>
      </w:r>
      <w:r w:rsidR="00306812" w:rsidRPr="00306812">
        <w:rPr>
          <w:szCs w:val="26"/>
        </w:rPr>
        <w:t>AP</w:t>
      </w:r>
      <w:r w:rsidR="005C68B7" w:rsidRPr="00306812">
        <w:rPr>
          <w:szCs w:val="26"/>
        </w:rPr>
        <w:t xml:space="preserve"> G</w:t>
      </w:r>
      <w:r w:rsidR="00306812" w:rsidRPr="00306812">
        <w:rPr>
          <w:szCs w:val="26"/>
        </w:rPr>
        <w:t>E</w:t>
      </w:r>
      <w:r w:rsidR="005C68B7" w:rsidRPr="00306812">
        <w:rPr>
          <w:szCs w:val="26"/>
        </w:rPr>
        <w:t>21</w:t>
      </w:r>
      <w:r w:rsidR="005C68B7" w:rsidRPr="00864DE5">
        <w:rPr>
          <w:szCs w:val="26"/>
        </w:rPr>
        <w:t xml:space="preserve"> se hace de forma manual</w:t>
      </w:r>
      <w:r w:rsidR="00C53585" w:rsidRPr="00864DE5">
        <w:rPr>
          <w:szCs w:val="26"/>
        </w:rPr>
        <w:t>.</w:t>
      </w:r>
    </w:p>
    <w:p w:rsidR="00204F99" w:rsidRPr="00864DE5" w:rsidRDefault="003A0EDD"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rsidRPr="00864DE5">
        <w:rPr>
          <w:szCs w:val="26"/>
        </w:rPr>
        <w:t>S</w:t>
      </w:r>
      <w:r w:rsidR="00204F99" w:rsidRPr="00864DE5">
        <w:rPr>
          <w:szCs w:val="26"/>
        </w:rPr>
        <w:t xml:space="preserve">e ha habilitado la monitorización de las tareas programadas, si bien no se realiza una revisión periódica de la misma. Dentro de las tareas programadas, se utiliza una carpeta intermedia en la </w:t>
      </w:r>
      <w:r w:rsidR="002408AD" w:rsidRPr="00864DE5">
        <w:rPr>
          <w:szCs w:val="26"/>
        </w:rPr>
        <w:t xml:space="preserve">que </w:t>
      </w:r>
      <w:r w:rsidR="00204F99" w:rsidRPr="00864DE5">
        <w:rPr>
          <w:szCs w:val="26"/>
        </w:rPr>
        <w:t>hemos detecta</w:t>
      </w:r>
      <w:r w:rsidR="00957B53" w:rsidRPr="00864DE5">
        <w:rPr>
          <w:szCs w:val="26"/>
        </w:rPr>
        <w:t>do las siguientes deb</w:t>
      </w:r>
      <w:r w:rsidR="00957B53" w:rsidRPr="00864DE5">
        <w:rPr>
          <w:szCs w:val="26"/>
        </w:rPr>
        <w:t>i</w:t>
      </w:r>
      <w:r w:rsidR="00957B53" w:rsidRPr="00864DE5">
        <w:rPr>
          <w:szCs w:val="26"/>
        </w:rPr>
        <w:t xml:space="preserve">lidades: </w:t>
      </w:r>
      <w:r w:rsidR="00204F99" w:rsidRPr="00864DE5">
        <w:rPr>
          <w:szCs w:val="26"/>
        </w:rPr>
        <w:t>los ficheros no están protegidos contra escritura y existen dos grupos de usuarios con permisos de escritura sobre la carpeta cuando deberían ser de sólo lectura</w:t>
      </w:r>
      <w:r w:rsidR="00A3522A" w:rsidRPr="00864DE5">
        <w:rPr>
          <w:szCs w:val="26"/>
        </w:rPr>
        <w:t xml:space="preserve"> debido igualmente a la urgencia del desarrollo</w:t>
      </w:r>
      <w:r w:rsidR="00204F99" w:rsidRPr="00864DE5">
        <w:rPr>
          <w:szCs w:val="26"/>
        </w:rPr>
        <w:t>. No hemos podido verificar que las modificaciones en la carpeta están debidamente autorizadas por no estar habilitado el registro de auditoría.</w:t>
      </w:r>
    </w:p>
    <w:p w:rsidR="00204F99" w:rsidRPr="00864DE5" w:rsidRDefault="002E4BB4"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rsidRPr="00864DE5">
        <w:rPr>
          <w:szCs w:val="26"/>
        </w:rPr>
        <w:lastRenderedPageBreak/>
        <w:t xml:space="preserve">No consta un registro de </w:t>
      </w:r>
      <w:r w:rsidR="00204F99" w:rsidRPr="00864DE5">
        <w:rPr>
          <w:szCs w:val="26"/>
        </w:rPr>
        <w:t>la autorización de las modificacione</w:t>
      </w:r>
      <w:r w:rsidR="00F3724F" w:rsidRPr="00864DE5">
        <w:rPr>
          <w:szCs w:val="26"/>
        </w:rPr>
        <w:t>s en la base de datos</w:t>
      </w:r>
      <w:r w:rsidR="003E7285" w:rsidRPr="00864DE5">
        <w:rPr>
          <w:szCs w:val="26"/>
        </w:rPr>
        <w:t>.</w:t>
      </w:r>
      <w:r w:rsidR="00F3724F" w:rsidRPr="00864DE5">
        <w:rPr>
          <w:szCs w:val="26"/>
        </w:rPr>
        <w:t xml:space="preserve"> </w:t>
      </w:r>
    </w:p>
    <w:p w:rsidR="00204F99" w:rsidRPr="00CA2985" w:rsidRDefault="00204F99" w:rsidP="00CE50DD">
      <w:pPr>
        <w:pStyle w:val="texto"/>
        <w:spacing w:after="360"/>
      </w:pPr>
      <w:r w:rsidRPr="00CA2985">
        <w:t>En definitiva, podemos concluir que el nivel de control existente en los pr</w:t>
      </w:r>
      <w:r w:rsidRPr="00CA2985">
        <w:t>o</w:t>
      </w:r>
      <w:r w:rsidRPr="00CA2985">
        <w:t xml:space="preserve">cedimientos de gestión de </w:t>
      </w:r>
      <w:r w:rsidR="00E46B35" w:rsidRPr="003A0EDD">
        <w:t xml:space="preserve">las ayudas a la hostelería </w:t>
      </w:r>
      <w:r w:rsidRPr="00CA2985">
        <w:t>y en los sistemas de info</w:t>
      </w:r>
      <w:r w:rsidRPr="00CA2985">
        <w:t>r</w:t>
      </w:r>
      <w:r w:rsidRPr="00CA2985">
        <w:t>mación que lo soportan, aporta un nivel de confianza razonable para garantizar la correcta ejecución, la adecuada contabilización de las transacciones realiz</w:t>
      </w:r>
      <w:r w:rsidRPr="00CA2985">
        <w:t>a</w:t>
      </w:r>
      <w:r w:rsidRPr="00CA2985">
        <w:t xml:space="preserve">das y la validez, integridad, exactitud, confidencialidad y disponibilidad de la información relacionada. </w:t>
      </w:r>
    </w:p>
    <w:p w:rsidR="00204F99" w:rsidRPr="00CA2985" w:rsidRDefault="00204F99" w:rsidP="00CA2985">
      <w:pPr>
        <w:pStyle w:val="atitulo2"/>
      </w:pPr>
      <w:bookmarkStart w:id="32" w:name="_Toc75857473"/>
      <w:bookmarkStart w:id="33" w:name="_Toc81830152"/>
      <w:r w:rsidRPr="00CA2985">
        <w:t>IV.2. Opinión de fiscalización financiera</w:t>
      </w:r>
      <w:bookmarkEnd w:id="32"/>
      <w:bookmarkEnd w:id="33"/>
    </w:p>
    <w:p w:rsidR="00204F99" w:rsidRDefault="00204F99" w:rsidP="00CA2985">
      <w:pPr>
        <w:pStyle w:val="atitulo3"/>
      </w:pPr>
      <w:r>
        <w:t xml:space="preserve">Opinión financiera </w:t>
      </w:r>
    </w:p>
    <w:p w:rsidR="00204F99" w:rsidRPr="00CA2985" w:rsidRDefault="00204F99" w:rsidP="00CA2985">
      <w:pPr>
        <w:pStyle w:val="texto"/>
        <w:spacing w:after="240"/>
      </w:pPr>
      <w:r w:rsidRPr="00CA2985">
        <w:t xml:space="preserve">En nuestra opinión, </w:t>
      </w:r>
      <w:r w:rsidR="001C13A4" w:rsidRPr="00071D22">
        <w:t>las</w:t>
      </w:r>
      <w:r w:rsidR="001C13A4">
        <w:t xml:space="preserve"> </w:t>
      </w:r>
      <w:r w:rsidRPr="00CA2985">
        <w:t>transferencias</w:t>
      </w:r>
      <w:r w:rsidR="00BE55CE">
        <w:t xml:space="preserve"> corrientes y de capital a empresas pr</w:t>
      </w:r>
      <w:r w:rsidR="00BE55CE">
        <w:t>i</w:t>
      </w:r>
      <w:r w:rsidR="00BE55CE">
        <w:t>vadas</w:t>
      </w:r>
      <w:r w:rsidRPr="00CA2985">
        <w:t xml:space="preserve"> del presupuesto correspondiente a 2020 se han preparado en todos los a</w:t>
      </w:r>
      <w:r w:rsidRPr="00CA2985">
        <w:t>s</w:t>
      </w:r>
      <w:r w:rsidRPr="00CA2985">
        <w:t>pectos significativos, de conformidad con el marco normativo de información financiera que resulta de aplicación y, en particular, con los principios y crit</w:t>
      </w:r>
      <w:r w:rsidRPr="00CA2985">
        <w:t>e</w:t>
      </w:r>
      <w:r w:rsidRPr="00CA2985">
        <w:t xml:space="preserve">rios contables contenidos en el mismo. </w:t>
      </w:r>
    </w:p>
    <w:p w:rsidR="00204F99" w:rsidRPr="00CA2985" w:rsidRDefault="00204F99" w:rsidP="00CA2985">
      <w:pPr>
        <w:pStyle w:val="atitulo3"/>
      </w:pPr>
      <w:r w:rsidRPr="00CA2985">
        <w:t>Otras observaciones que no afectan a la opinión</w:t>
      </w:r>
    </w:p>
    <w:p w:rsidR="00D64336" w:rsidRPr="00864DE5" w:rsidRDefault="00D64336"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rsidRPr="00864DE5">
        <w:rPr>
          <w:szCs w:val="26"/>
        </w:rPr>
        <w:t>Hemos comprobado que no todos los anticipos o pagos a cuenta se canc</w:t>
      </w:r>
      <w:r w:rsidRPr="00864DE5">
        <w:rPr>
          <w:szCs w:val="26"/>
        </w:rPr>
        <w:t>e</w:t>
      </w:r>
      <w:r w:rsidRPr="00864DE5">
        <w:rPr>
          <w:szCs w:val="26"/>
        </w:rPr>
        <w:t xml:space="preserve">lan una vez que el beneficiario ha cumplido las condiciones y justificado la aplicación de los fondos anticipados. </w:t>
      </w:r>
      <w:r w:rsidRPr="00CA2985">
        <w:rPr>
          <w:szCs w:val="26"/>
        </w:rPr>
        <w:t>En la convocatoria de ayudas a doctora</w:t>
      </w:r>
      <w:r w:rsidRPr="00CA2985">
        <w:rPr>
          <w:szCs w:val="26"/>
        </w:rPr>
        <w:t>n</w:t>
      </w:r>
      <w:r w:rsidRPr="00CA2985">
        <w:rPr>
          <w:szCs w:val="26"/>
        </w:rPr>
        <w:t>dos el saldo de deudores por anticipos a junio de 2021, con el expediente ya f</w:t>
      </w:r>
      <w:r w:rsidRPr="00CA2985">
        <w:rPr>
          <w:szCs w:val="26"/>
        </w:rPr>
        <w:t>i</w:t>
      </w:r>
      <w:r w:rsidRPr="00CA2985">
        <w:rPr>
          <w:szCs w:val="26"/>
        </w:rPr>
        <w:t>nalizado</w:t>
      </w:r>
      <w:r w:rsidR="00957B53">
        <w:rPr>
          <w:szCs w:val="26"/>
        </w:rPr>
        <w:t>,</w:t>
      </w:r>
      <w:r>
        <w:rPr>
          <w:szCs w:val="26"/>
        </w:rPr>
        <w:t xml:space="preserve"> asciende a 288.314 </w:t>
      </w:r>
      <w:r w:rsidRPr="00D64336">
        <w:rPr>
          <w:szCs w:val="26"/>
        </w:rPr>
        <w:t>euros.</w:t>
      </w:r>
    </w:p>
    <w:p w:rsidR="00204F99" w:rsidRDefault="00204F99" w:rsidP="00864DE5">
      <w:pPr>
        <w:pStyle w:val="texto"/>
        <w:numPr>
          <w:ilvl w:val="0"/>
          <w:numId w:val="25"/>
        </w:numPr>
        <w:tabs>
          <w:tab w:val="clear" w:pos="2835"/>
          <w:tab w:val="clear" w:pos="3969"/>
          <w:tab w:val="clear" w:pos="5103"/>
          <w:tab w:val="clear" w:pos="6237"/>
          <w:tab w:val="clear" w:pos="7371"/>
          <w:tab w:val="left" w:pos="480"/>
          <w:tab w:val="num" w:pos="720"/>
          <w:tab w:val="num" w:pos="6597"/>
        </w:tabs>
        <w:ind w:left="0" w:firstLine="289"/>
        <w:rPr>
          <w:szCs w:val="26"/>
        </w:rPr>
      </w:pPr>
      <w:r w:rsidRPr="00CA2985">
        <w:rPr>
          <w:szCs w:val="26"/>
        </w:rPr>
        <w:t>Los artículos presupuestarios 47 y 77 correspondientes a “transferencias corrientes y de capital a empresas privadas” no recogen exclusivamente tran</w:t>
      </w:r>
      <w:r w:rsidRPr="00CA2985">
        <w:rPr>
          <w:szCs w:val="26"/>
        </w:rPr>
        <w:t>s</w:t>
      </w:r>
      <w:r w:rsidRPr="00CA2985">
        <w:rPr>
          <w:szCs w:val="26"/>
        </w:rPr>
        <w:t>ferencias a empresas, sino también a organismos de investigación y difusión de conocimientos. En la convocatoria de I+D estratégicos (RIS3), a pesar de que únicamente un 20 por ciento del total abonado corresponde a empresas priv</w:t>
      </w:r>
      <w:r w:rsidRPr="00CA2985">
        <w:rPr>
          <w:szCs w:val="26"/>
        </w:rPr>
        <w:t>a</w:t>
      </w:r>
      <w:r w:rsidRPr="00CA2985">
        <w:rPr>
          <w:szCs w:val="26"/>
        </w:rPr>
        <w:t>das, se imputa a presupuesto como transferencia a empresas privadas.</w:t>
      </w:r>
    </w:p>
    <w:p w:rsidR="00204F99" w:rsidRDefault="00204F99" w:rsidP="00204F99">
      <w:pPr>
        <w:pStyle w:val="atitulo2"/>
        <w:spacing w:before="240"/>
      </w:pPr>
      <w:bookmarkStart w:id="34" w:name="_Toc75857474"/>
      <w:bookmarkStart w:id="35" w:name="_Toc81830153"/>
      <w:r>
        <w:t>IV.3. Análisis Plan Estratégico</w:t>
      </w:r>
      <w:bookmarkEnd w:id="34"/>
      <w:r w:rsidR="004A73BC">
        <w:t xml:space="preserve"> de Subvenciones</w:t>
      </w:r>
      <w:bookmarkEnd w:id="35"/>
    </w:p>
    <w:p w:rsidR="00204F99" w:rsidRDefault="00204F99" w:rsidP="00204F99">
      <w:pPr>
        <w:pStyle w:val="texto"/>
        <w:rPr>
          <w:szCs w:val="26"/>
          <w:lang w:val="es-ES"/>
        </w:rPr>
      </w:pPr>
      <w:r w:rsidRPr="006B4AE9">
        <w:rPr>
          <w:szCs w:val="26"/>
          <w:lang w:val="es-ES"/>
        </w:rPr>
        <w:t>El Gobierno de Navarra tiene definida una guía para la formulación de obj</w:t>
      </w:r>
      <w:r w:rsidRPr="006B4AE9">
        <w:rPr>
          <w:szCs w:val="26"/>
          <w:lang w:val="es-ES"/>
        </w:rPr>
        <w:t>e</w:t>
      </w:r>
      <w:r w:rsidRPr="006B4AE9">
        <w:rPr>
          <w:szCs w:val="26"/>
          <w:lang w:val="es-ES"/>
        </w:rPr>
        <w:t>tivos e indicadores del PES, aprobada en noviembre de 2018. Para cada línea de subvención se determina un conjunto de indicadores, relacionados con el o</w:t>
      </w:r>
      <w:r w:rsidRPr="006B4AE9">
        <w:rPr>
          <w:szCs w:val="26"/>
          <w:lang w:val="es-ES"/>
        </w:rPr>
        <w:t>b</w:t>
      </w:r>
      <w:r w:rsidRPr="006B4AE9">
        <w:rPr>
          <w:szCs w:val="26"/>
          <w:lang w:val="es-ES"/>
        </w:rPr>
        <w:t>jetivo, que permitan conocer la situación y los progresos conseguidos en el cumplimiento de los objetivos</w:t>
      </w:r>
      <w:r>
        <w:rPr>
          <w:szCs w:val="26"/>
          <w:lang w:val="es-ES"/>
        </w:rPr>
        <w:t>.</w:t>
      </w:r>
      <w:r w:rsidRPr="006B4AE9">
        <w:rPr>
          <w:szCs w:val="26"/>
          <w:lang w:val="es-ES"/>
        </w:rPr>
        <w:t xml:space="preserve"> </w:t>
      </w:r>
    </w:p>
    <w:p w:rsidR="00204F99" w:rsidRPr="00070EA4" w:rsidRDefault="00204F99" w:rsidP="00204F99">
      <w:pPr>
        <w:pStyle w:val="texto"/>
        <w:rPr>
          <w:szCs w:val="26"/>
          <w:lang w:val="es-ES"/>
        </w:rPr>
      </w:pPr>
      <w:r w:rsidRPr="00070EA4">
        <w:rPr>
          <w:szCs w:val="26"/>
          <w:lang w:val="es-ES"/>
        </w:rPr>
        <w:t xml:space="preserve">Del análisis </w:t>
      </w:r>
      <w:r w:rsidR="00DC046A" w:rsidRPr="00070EA4">
        <w:rPr>
          <w:szCs w:val="26"/>
          <w:lang w:val="es-ES"/>
        </w:rPr>
        <w:t>del</w:t>
      </w:r>
      <w:r w:rsidR="0030583B" w:rsidRPr="00070EA4">
        <w:rPr>
          <w:szCs w:val="26"/>
          <w:lang w:val="es-ES"/>
        </w:rPr>
        <w:t xml:space="preserve"> PES</w:t>
      </w:r>
      <w:r w:rsidRPr="00070EA4">
        <w:rPr>
          <w:szCs w:val="26"/>
          <w:lang w:val="es-ES"/>
        </w:rPr>
        <w:t xml:space="preserve"> </w:t>
      </w:r>
      <w:r w:rsidR="0048259C" w:rsidRPr="00070EA4">
        <w:rPr>
          <w:szCs w:val="26"/>
          <w:lang w:val="es-ES"/>
        </w:rPr>
        <w:t>para las líneas de subvención a empresas privadas</w:t>
      </w:r>
      <w:r w:rsidR="0030583B" w:rsidRPr="00070EA4">
        <w:rPr>
          <w:szCs w:val="26"/>
          <w:lang w:val="es-ES"/>
        </w:rPr>
        <w:t xml:space="preserve"> señ</w:t>
      </w:r>
      <w:r w:rsidR="0030583B" w:rsidRPr="00070EA4">
        <w:rPr>
          <w:szCs w:val="26"/>
          <w:lang w:val="es-ES"/>
        </w:rPr>
        <w:t>a</w:t>
      </w:r>
      <w:r w:rsidR="0030583B" w:rsidRPr="00070EA4">
        <w:rPr>
          <w:szCs w:val="26"/>
          <w:lang w:val="es-ES"/>
        </w:rPr>
        <w:t>lamos lo</w:t>
      </w:r>
      <w:r w:rsidRPr="00070EA4">
        <w:rPr>
          <w:szCs w:val="26"/>
          <w:lang w:val="es-ES"/>
        </w:rPr>
        <w:t xml:space="preserve">s siguientes </w:t>
      </w:r>
      <w:r w:rsidR="0030583B" w:rsidRPr="00070EA4">
        <w:rPr>
          <w:szCs w:val="26"/>
          <w:lang w:val="es-ES"/>
        </w:rPr>
        <w:t>aspectos</w:t>
      </w:r>
      <w:r w:rsidRPr="00070EA4">
        <w:rPr>
          <w:szCs w:val="26"/>
          <w:lang w:val="es-ES"/>
        </w:rPr>
        <w:t xml:space="preserve">: </w:t>
      </w:r>
    </w:p>
    <w:bookmarkEnd w:id="25"/>
    <w:bookmarkEnd w:id="26"/>
    <w:bookmarkEnd w:id="27"/>
    <w:bookmarkEnd w:id="28"/>
    <w:bookmarkEnd w:id="29"/>
    <w:bookmarkEnd w:id="30"/>
    <w:bookmarkEnd w:id="31"/>
    <w:p w:rsidR="003912E5" w:rsidRPr="003912E5" w:rsidRDefault="003912E5" w:rsidP="00864DE5">
      <w:pPr>
        <w:pStyle w:val="texto"/>
        <w:numPr>
          <w:ilvl w:val="0"/>
          <w:numId w:val="22"/>
        </w:numPr>
        <w:tabs>
          <w:tab w:val="clear" w:pos="2835"/>
          <w:tab w:val="clear" w:pos="3969"/>
          <w:tab w:val="clear" w:pos="5103"/>
          <w:tab w:val="clear" w:pos="6237"/>
          <w:tab w:val="clear" w:pos="7371"/>
          <w:tab w:val="left" w:pos="480"/>
          <w:tab w:val="num" w:pos="720"/>
          <w:tab w:val="num" w:pos="6597"/>
        </w:tabs>
        <w:ind w:left="0" w:firstLine="289"/>
        <w:rPr>
          <w:szCs w:val="26"/>
        </w:rPr>
      </w:pPr>
      <w:r>
        <w:rPr>
          <w:szCs w:val="26"/>
        </w:rPr>
        <w:lastRenderedPageBreak/>
        <w:t>El PES</w:t>
      </w:r>
      <w:r w:rsidRPr="00C4135D">
        <w:rPr>
          <w:szCs w:val="26"/>
        </w:rPr>
        <w:t xml:space="preserve"> se compone de un informe global, y para cada uno de los depart</w:t>
      </w:r>
      <w:r w:rsidRPr="00C4135D">
        <w:rPr>
          <w:szCs w:val="26"/>
        </w:rPr>
        <w:t>a</w:t>
      </w:r>
      <w:r w:rsidRPr="00C4135D">
        <w:rPr>
          <w:szCs w:val="26"/>
        </w:rPr>
        <w:t>mentos, una ficha por línea de subvención. En lo relativo al procedimiento de concesión, no distingue entre concurrencia competitiva o evaluación individu</w:t>
      </w:r>
      <w:r w:rsidRPr="00C4135D">
        <w:rPr>
          <w:szCs w:val="26"/>
        </w:rPr>
        <w:t>a</w:t>
      </w:r>
      <w:r w:rsidRPr="00C4135D">
        <w:rPr>
          <w:szCs w:val="26"/>
        </w:rPr>
        <w:t>lizada. Para los supuestos de concesión directa, no diferencia entre las nomin</w:t>
      </w:r>
      <w:r w:rsidRPr="00C4135D">
        <w:rPr>
          <w:szCs w:val="26"/>
        </w:rPr>
        <w:t>a</w:t>
      </w:r>
      <w:r w:rsidRPr="00C4135D">
        <w:rPr>
          <w:szCs w:val="26"/>
        </w:rPr>
        <w:t>tivas y las subvenciones cuyo otorgamiento o cuantía venga impuesta por una norma de rango legal</w:t>
      </w:r>
      <w:r>
        <w:rPr>
          <w:szCs w:val="26"/>
        </w:rPr>
        <w:t>.</w:t>
      </w:r>
      <w:r w:rsidRPr="00C4135D">
        <w:rPr>
          <w:szCs w:val="26"/>
        </w:rPr>
        <w:t xml:space="preserve"> </w:t>
      </w:r>
    </w:p>
    <w:p w:rsidR="00204F99" w:rsidRPr="00CE50DD" w:rsidRDefault="00204F99" w:rsidP="00864DE5">
      <w:pPr>
        <w:pStyle w:val="texto"/>
        <w:numPr>
          <w:ilvl w:val="0"/>
          <w:numId w:val="22"/>
        </w:numPr>
        <w:tabs>
          <w:tab w:val="clear" w:pos="2835"/>
          <w:tab w:val="clear" w:pos="3969"/>
          <w:tab w:val="clear" w:pos="5103"/>
          <w:tab w:val="clear" w:pos="6237"/>
          <w:tab w:val="clear" w:pos="7371"/>
          <w:tab w:val="left" w:pos="480"/>
          <w:tab w:val="num" w:pos="720"/>
          <w:tab w:val="num" w:pos="6597"/>
        </w:tabs>
        <w:ind w:left="0" w:firstLine="289"/>
        <w:rPr>
          <w:szCs w:val="26"/>
        </w:rPr>
      </w:pPr>
      <w:r w:rsidRPr="00CA2985">
        <w:rPr>
          <w:szCs w:val="26"/>
        </w:rPr>
        <w:t>Se define obligatoriamente al menos un indicado</w:t>
      </w:r>
      <w:r w:rsidR="00070864">
        <w:rPr>
          <w:szCs w:val="26"/>
        </w:rPr>
        <w:t>r para cada línea de su</w:t>
      </w:r>
      <w:r w:rsidR="00070864">
        <w:rPr>
          <w:szCs w:val="26"/>
        </w:rPr>
        <w:t>b</w:t>
      </w:r>
      <w:r w:rsidR="00070864">
        <w:rPr>
          <w:szCs w:val="26"/>
        </w:rPr>
        <w:t xml:space="preserve">vención </w:t>
      </w:r>
      <w:r w:rsidR="00070864" w:rsidRPr="00070EA4">
        <w:rPr>
          <w:szCs w:val="26"/>
        </w:rPr>
        <w:t>y</w:t>
      </w:r>
      <w:r w:rsidRPr="00070EA4">
        <w:rPr>
          <w:szCs w:val="26"/>
        </w:rPr>
        <w:t xml:space="preserve"> </w:t>
      </w:r>
      <w:r w:rsidRPr="00CA2985">
        <w:rPr>
          <w:szCs w:val="26"/>
        </w:rPr>
        <w:t>para cada uno de ellos se define un dato de partida y una meta. Pr</w:t>
      </w:r>
      <w:r w:rsidRPr="00CA2985">
        <w:rPr>
          <w:szCs w:val="26"/>
        </w:rPr>
        <w:t>e</w:t>
      </w:r>
      <w:r w:rsidRPr="00CA2985">
        <w:rPr>
          <w:szCs w:val="26"/>
        </w:rPr>
        <w:t xml:space="preserve">dominan los indicadores </w:t>
      </w:r>
      <w:r w:rsidRPr="00443A2A">
        <w:rPr>
          <w:szCs w:val="26"/>
        </w:rPr>
        <w:t xml:space="preserve">de </w:t>
      </w:r>
      <w:r w:rsidR="000B02BA" w:rsidRPr="00443A2A">
        <w:rPr>
          <w:szCs w:val="26"/>
        </w:rPr>
        <w:t xml:space="preserve">gestión relativos a </w:t>
      </w:r>
      <w:r w:rsidR="009B7C5E" w:rsidRPr="00443A2A">
        <w:rPr>
          <w:szCs w:val="26"/>
        </w:rPr>
        <w:t xml:space="preserve">datos </w:t>
      </w:r>
      <w:r w:rsidR="000B02BA" w:rsidRPr="00443A2A">
        <w:rPr>
          <w:szCs w:val="26"/>
        </w:rPr>
        <w:t>estadísticos de la convoc</w:t>
      </w:r>
      <w:r w:rsidR="000B02BA" w:rsidRPr="00443A2A">
        <w:rPr>
          <w:szCs w:val="26"/>
        </w:rPr>
        <w:t>a</w:t>
      </w:r>
      <w:r w:rsidR="000B02BA" w:rsidRPr="00443A2A">
        <w:rPr>
          <w:szCs w:val="26"/>
        </w:rPr>
        <w:t>toria</w:t>
      </w:r>
      <w:r w:rsidRPr="00443A2A">
        <w:rPr>
          <w:szCs w:val="26"/>
        </w:rPr>
        <w:t xml:space="preserve">, </w:t>
      </w:r>
      <w:r w:rsidRPr="00070EA4">
        <w:rPr>
          <w:szCs w:val="26"/>
        </w:rPr>
        <w:t xml:space="preserve">y </w:t>
      </w:r>
      <w:r w:rsidR="00070864" w:rsidRPr="00070EA4">
        <w:rPr>
          <w:szCs w:val="26"/>
        </w:rPr>
        <w:t xml:space="preserve">no </w:t>
      </w:r>
      <w:r w:rsidRPr="00070EA4">
        <w:rPr>
          <w:szCs w:val="26"/>
        </w:rPr>
        <w:t xml:space="preserve">se </w:t>
      </w:r>
      <w:r w:rsidR="00070864" w:rsidRPr="00070EA4">
        <w:rPr>
          <w:szCs w:val="26"/>
        </w:rPr>
        <w:t xml:space="preserve">incluyen </w:t>
      </w:r>
      <w:r w:rsidRPr="00CA2985">
        <w:rPr>
          <w:szCs w:val="26"/>
        </w:rPr>
        <w:t>otro tipo de indicadores relacionados con el sector ec</w:t>
      </w:r>
      <w:r w:rsidRPr="00CA2985">
        <w:rPr>
          <w:szCs w:val="26"/>
        </w:rPr>
        <w:t>o</w:t>
      </w:r>
      <w:r w:rsidRPr="00CA2985">
        <w:rPr>
          <w:szCs w:val="26"/>
        </w:rPr>
        <w:t>nómico afectado e impacto de las medidas establecidas.  De las 89 fichas de subvención todas tienen al menos algún indicador para medir el objetivo oper</w:t>
      </w:r>
      <w:r w:rsidRPr="00CA2985">
        <w:rPr>
          <w:szCs w:val="26"/>
        </w:rPr>
        <w:t>a</w:t>
      </w:r>
      <w:r w:rsidRPr="00CA2985">
        <w:rPr>
          <w:szCs w:val="26"/>
        </w:rPr>
        <w:t xml:space="preserve">tivo, 41 tienen al menos dos indicadores y 9 tres indicadores. </w:t>
      </w:r>
    </w:p>
    <w:p w:rsidR="00CA572E" w:rsidRPr="00CA572E" w:rsidRDefault="00651A9A" w:rsidP="00864DE5">
      <w:pPr>
        <w:pStyle w:val="texto"/>
        <w:numPr>
          <w:ilvl w:val="0"/>
          <w:numId w:val="22"/>
        </w:numPr>
        <w:tabs>
          <w:tab w:val="clear" w:pos="2835"/>
          <w:tab w:val="clear" w:pos="3969"/>
          <w:tab w:val="clear" w:pos="5103"/>
          <w:tab w:val="clear" w:pos="6237"/>
          <w:tab w:val="clear" w:pos="7371"/>
          <w:tab w:val="left" w:pos="480"/>
          <w:tab w:val="num" w:pos="720"/>
          <w:tab w:val="num" w:pos="6597"/>
        </w:tabs>
        <w:ind w:left="0" w:firstLine="289"/>
        <w:rPr>
          <w:szCs w:val="26"/>
        </w:rPr>
      </w:pPr>
      <w:r w:rsidRPr="003609D9">
        <w:rPr>
          <w:szCs w:val="26"/>
        </w:rPr>
        <w:t>De los 13 departamentos,</w:t>
      </w:r>
      <w:r w:rsidR="000B41AF">
        <w:rPr>
          <w:szCs w:val="26"/>
        </w:rPr>
        <w:t xml:space="preserve"> </w:t>
      </w:r>
      <w:r w:rsidR="00204F99" w:rsidRPr="003609D9">
        <w:rPr>
          <w:szCs w:val="26"/>
        </w:rPr>
        <w:t>siete</w:t>
      </w:r>
      <w:r w:rsidR="003609D9">
        <w:rPr>
          <w:szCs w:val="26"/>
        </w:rPr>
        <w:t xml:space="preserve"> han remitido a Intervención</w:t>
      </w:r>
      <w:r w:rsidR="00681850">
        <w:rPr>
          <w:szCs w:val="26"/>
        </w:rPr>
        <w:t xml:space="preserve"> </w:t>
      </w:r>
      <w:r w:rsidR="003609D9" w:rsidRPr="00681850">
        <w:rPr>
          <w:szCs w:val="26"/>
        </w:rPr>
        <w:t>y a la comisión de economía del Parlamento</w:t>
      </w:r>
      <w:r w:rsidR="003609D9">
        <w:rPr>
          <w:szCs w:val="26"/>
        </w:rPr>
        <w:t xml:space="preserve"> </w:t>
      </w:r>
      <w:r w:rsidR="00204F99" w:rsidRPr="003609D9">
        <w:rPr>
          <w:szCs w:val="26"/>
        </w:rPr>
        <w:t>la aprobación de la evaluación mediante orden f</w:t>
      </w:r>
      <w:r w:rsidR="00204F99" w:rsidRPr="003609D9">
        <w:rPr>
          <w:szCs w:val="26"/>
        </w:rPr>
        <w:t>o</w:t>
      </w:r>
      <w:r w:rsidR="00204F99" w:rsidRPr="003609D9">
        <w:rPr>
          <w:szCs w:val="26"/>
        </w:rPr>
        <w:t>ral, como anexo se incorporan las fichas de evaluación de cada una de las l</w:t>
      </w:r>
      <w:r w:rsidR="00204F99" w:rsidRPr="003609D9">
        <w:rPr>
          <w:szCs w:val="26"/>
        </w:rPr>
        <w:t>í</w:t>
      </w:r>
      <w:r w:rsidR="00204F99" w:rsidRPr="003609D9">
        <w:rPr>
          <w:szCs w:val="26"/>
        </w:rPr>
        <w:t xml:space="preserve">neas en formato </w:t>
      </w:r>
      <w:proofErr w:type="spellStart"/>
      <w:r w:rsidR="00204F99" w:rsidRPr="003609D9">
        <w:rPr>
          <w:szCs w:val="26"/>
        </w:rPr>
        <w:t>pdf</w:t>
      </w:r>
      <w:proofErr w:type="spellEnd"/>
      <w:r w:rsidR="00204F99" w:rsidRPr="00CA2985">
        <w:rPr>
          <w:szCs w:val="26"/>
        </w:rPr>
        <w:t>.</w:t>
      </w:r>
      <w:r w:rsidR="00F3060E">
        <w:rPr>
          <w:szCs w:val="26"/>
        </w:rPr>
        <w:t xml:space="preserve"> </w:t>
      </w:r>
      <w:r w:rsidR="00A56822">
        <w:rPr>
          <w:szCs w:val="26"/>
        </w:rPr>
        <w:t xml:space="preserve"> </w:t>
      </w:r>
    </w:p>
    <w:p w:rsidR="00204F99" w:rsidRPr="00B72D3D" w:rsidRDefault="00204F99" w:rsidP="00864DE5">
      <w:pPr>
        <w:pStyle w:val="texto"/>
        <w:numPr>
          <w:ilvl w:val="0"/>
          <w:numId w:val="22"/>
        </w:numPr>
        <w:tabs>
          <w:tab w:val="clear" w:pos="2835"/>
          <w:tab w:val="clear" w:pos="3969"/>
          <w:tab w:val="clear" w:pos="5103"/>
          <w:tab w:val="clear" w:pos="6237"/>
          <w:tab w:val="clear" w:pos="7371"/>
          <w:tab w:val="left" w:pos="480"/>
          <w:tab w:val="num" w:pos="720"/>
          <w:tab w:val="num" w:pos="6597"/>
        </w:tabs>
        <w:ind w:left="0" w:firstLine="289"/>
        <w:rPr>
          <w:szCs w:val="26"/>
        </w:rPr>
      </w:pPr>
      <w:r w:rsidRPr="00CA2985">
        <w:rPr>
          <w:szCs w:val="26"/>
        </w:rPr>
        <w:t>El calendario que establece la LFS para el PES no es coincidente con m</w:t>
      </w:r>
      <w:r w:rsidRPr="00CA2985">
        <w:rPr>
          <w:szCs w:val="26"/>
        </w:rPr>
        <w:t>u</w:t>
      </w:r>
      <w:r w:rsidRPr="00CA2985">
        <w:rPr>
          <w:szCs w:val="26"/>
        </w:rPr>
        <w:t xml:space="preserve">chas subvenciones por no coincidir el calendario de éstas con el año natural. Esto provoca que se aprueben los informes de evaluación en muchas ocasiones con la convocatoria aún abierta. </w:t>
      </w:r>
    </w:p>
    <w:p w:rsidR="00204F99" w:rsidRPr="002D2E53" w:rsidRDefault="00204F99" w:rsidP="00864DE5">
      <w:pPr>
        <w:pStyle w:val="texto"/>
        <w:numPr>
          <w:ilvl w:val="0"/>
          <w:numId w:val="22"/>
        </w:numPr>
        <w:tabs>
          <w:tab w:val="clear" w:pos="2835"/>
          <w:tab w:val="clear" w:pos="3969"/>
          <w:tab w:val="clear" w:pos="5103"/>
          <w:tab w:val="clear" w:pos="6237"/>
          <w:tab w:val="clear" w:pos="7371"/>
          <w:tab w:val="left" w:pos="480"/>
          <w:tab w:val="num" w:pos="720"/>
          <w:tab w:val="num" w:pos="6597"/>
        </w:tabs>
        <w:ind w:left="0" w:firstLine="289"/>
        <w:rPr>
          <w:szCs w:val="26"/>
        </w:rPr>
      </w:pPr>
      <w:r w:rsidRPr="002D2E53">
        <w:rPr>
          <w:szCs w:val="26"/>
        </w:rPr>
        <w:t>La información de las líneas de subvención en el caso de las convocatorias plurianuales provoca la concurrencia de varias convocatorias abiertas en la misma partida. Los datos presupuestarios y de indicadores, cuando una línea de subvención cuenta con varias convocatorias abiertas en diferentes fases de ej</w:t>
      </w:r>
      <w:r w:rsidRPr="002D2E53">
        <w:rPr>
          <w:szCs w:val="26"/>
        </w:rPr>
        <w:t>e</w:t>
      </w:r>
      <w:r w:rsidRPr="002D2E53">
        <w:rPr>
          <w:szCs w:val="26"/>
        </w:rPr>
        <w:t xml:space="preserve">cución, no ofrecen información para cada una de ellas, sino datos agregados de todas las convocatorias o en particular de la última convocatoria. </w:t>
      </w:r>
    </w:p>
    <w:p w:rsidR="00204F99" w:rsidRPr="00CA2985" w:rsidRDefault="00204F99" w:rsidP="00D0511B">
      <w:pPr>
        <w:pStyle w:val="texto"/>
        <w:numPr>
          <w:ilvl w:val="0"/>
          <w:numId w:val="22"/>
        </w:numPr>
        <w:tabs>
          <w:tab w:val="clear" w:pos="2835"/>
          <w:tab w:val="clear" w:pos="3969"/>
          <w:tab w:val="clear" w:pos="5103"/>
          <w:tab w:val="clear" w:pos="6237"/>
          <w:tab w:val="clear" w:pos="7371"/>
          <w:tab w:val="left" w:pos="480"/>
          <w:tab w:val="num" w:pos="720"/>
          <w:tab w:val="num" w:pos="6597"/>
        </w:tabs>
        <w:spacing w:after="360"/>
        <w:ind w:left="0" w:firstLine="289"/>
        <w:rPr>
          <w:szCs w:val="26"/>
        </w:rPr>
      </w:pPr>
      <w:r w:rsidRPr="00CA2985">
        <w:rPr>
          <w:szCs w:val="26"/>
        </w:rPr>
        <w:t>El modelo de fichas individuales de evaluación de cada una de las líneas de sub</w:t>
      </w:r>
      <w:r w:rsidR="00533D41">
        <w:rPr>
          <w:szCs w:val="26"/>
        </w:rPr>
        <w:t xml:space="preserve">vención se define en formato </w:t>
      </w:r>
      <w:proofErr w:type="spellStart"/>
      <w:r w:rsidR="00533D41">
        <w:rPr>
          <w:szCs w:val="26"/>
        </w:rPr>
        <w:t>pdf</w:t>
      </w:r>
      <w:proofErr w:type="spellEnd"/>
      <w:r w:rsidRPr="00CA2985">
        <w:rPr>
          <w:szCs w:val="26"/>
        </w:rPr>
        <w:t xml:space="preserve">, </w:t>
      </w:r>
      <w:r w:rsidR="003912E5">
        <w:rPr>
          <w:szCs w:val="26"/>
        </w:rPr>
        <w:t>lo que supone que no se pueda analizar la información de una manera ágil y eficaz.</w:t>
      </w:r>
    </w:p>
    <w:p w:rsidR="00652A89" w:rsidRDefault="00652A89">
      <w:pPr>
        <w:spacing w:after="0"/>
        <w:ind w:firstLine="0"/>
        <w:jc w:val="left"/>
        <w:rPr>
          <w:rFonts w:ascii="Arial" w:hAnsi="Arial"/>
          <w:bCs/>
          <w:iCs/>
          <w:color w:val="000000"/>
          <w:spacing w:val="10"/>
          <w:kern w:val="28"/>
          <w:sz w:val="25"/>
          <w:szCs w:val="26"/>
        </w:rPr>
      </w:pPr>
      <w:bookmarkStart w:id="36" w:name="_Toc75857475"/>
      <w:bookmarkStart w:id="37" w:name="_Toc81830154"/>
      <w:r>
        <w:br w:type="page"/>
      </w:r>
    </w:p>
    <w:p w:rsidR="00204F99" w:rsidRDefault="00204F99" w:rsidP="00204F99">
      <w:pPr>
        <w:pStyle w:val="atitulo2"/>
        <w:spacing w:before="240"/>
      </w:pPr>
      <w:r>
        <w:lastRenderedPageBreak/>
        <w:t>IV.4. Conclusión final y recomendaciones</w:t>
      </w:r>
      <w:bookmarkEnd w:id="36"/>
      <w:bookmarkEnd w:id="37"/>
      <w:r>
        <w:t xml:space="preserve"> </w:t>
      </w:r>
    </w:p>
    <w:p w:rsidR="00204F99" w:rsidRPr="00CA2985" w:rsidRDefault="00204F99" w:rsidP="00CA2985">
      <w:pPr>
        <w:pStyle w:val="texto"/>
      </w:pPr>
      <w:r>
        <w:t xml:space="preserve">Las transferencias a empresas privadas, tanto corrientes como de capital, </w:t>
      </w:r>
      <w:r w:rsidRPr="00CA2985">
        <w:t xml:space="preserve">concedidas en 2020 </w:t>
      </w:r>
      <w:r w:rsidR="000B41AF">
        <w:t>suman</w:t>
      </w:r>
      <w:r w:rsidRPr="00CA2985">
        <w:t xml:space="preserve"> 180 millones y supusieron el 9,7 por ciento del total de obligaciones reconocidas por transferencias.</w:t>
      </w:r>
    </w:p>
    <w:p w:rsidR="00204F99" w:rsidRPr="007A00BA" w:rsidRDefault="00204F99" w:rsidP="00CA2985">
      <w:pPr>
        <w:pStyle w:val="texto"/>
      </w:pPr>
      <w:r w:rsidRPr="00CA2985">
        <w:t xml:space="preserve">Hemos revisado la legalidad de la tramitación </w:t>
      </w:r>
      <w:r w:rsidR="00AE2F9E">
        <w:t>de una muestra de subvenci</w:t>
      </w:r>
      <w:r w:rsidR="00AE2F9E">
        <w:t>o</w:t>
      </w:r>
      <w:r w:rsidR="00AE2F9E">
        <w:t>nes concedidas por importe total</w:t>
      </w:r>
      <w:r w:rsidR="00183C1C">
        <w:t xml:space="preserve"> de 29,6 </w:t>
      </w:r>
      <w:r w:rsidR="00183C1C" w:rsidRPr="007A00BA">
        <w:t>millones</w:t>
      </w:r>
      <w:r w:rsidR="00341424" w:rsidRPr="007A00BA">
        <w:t xml:space="preserve">. </w:t>
      </w:r>
      <w:r w:rsidRPr="007A00BA">
        <w:t>La conclusión es que</w:t>
      </w:r>
      <w:r w:rsidR="000B41AF" w:rsidRPr="007A00BA">
        <w:t>,</w:t>
      </w:r>
      <w:r w:rsidRPr="007A00BA">
        <w:rPr>
          <w:color w:val="FF0000"/>
        </w:rPr>
        <w:t xml:space="preserve"> </w:t>
      </w:r>
      <w:r w:rsidR="0071675C" w:rsidRPr="007A00BA">
        <w:t>en g</w:t>
      </w:r>
      <w:r w:rsidR="0071675C" w:rsidRPr="007A00BA">
        <w:t>e</w:t>
      </w:r>
      <w:r w:rsidR="0071675C" w:rsidRPr="007A00BA">
        <w:t>neral</w:t>
      </w:r>
      <w:r w:rsidR="000B41AF" w:rsidRPr="007A00BA">
        <w:t>,</w:t>
      </w:r>
      <w:r w:rsidR="0071675C" w:rsidRPr="007A00BA">
        <w:t xml:space="preserve"> </w:t>
      </w:r>
      <w:r w:rsidRPr="007A00BA">
        <w:t>los procedimientos se han realizado conforme a la normativa aplicable.</w:t>
      </w:r>
      <w:r w:rsidR="00B3331A" w:rsidRPr="007A00BA">
        <w:t xml:space="preserve"> Los sistemas de información que soportan las ayudas a la hostelería por la cr</w:t>
      </w:r>
      <w:r w:rsidR="00B3331A" w:rsidRPr="007A00BA">
        <w:t>i</w:t>
      </w:r>
      <w:r w:rsidR="00B3331A" w:rsidRPr="007A00BA">
        <w:t xml:space="preserve">sis COVID-19 </w:t>
      </w:r>
      <w:r w:rsidR="005E08CF" w:rsidRPr="007A00BA">
        <w:t>aportan un nivel de confianza razonable.</w:t>
      </w:r>
      <w:r w:rsidR="00B3331A" w:rsidRPr="007A00BA">
        <w:t xml:space="preserve">  </w:t>
      </w:r>
    </w:p>
    <w:p w:rsidR="00204F99" w:rsidRPr="007A00BA" w:rsidRDefault="00204F99" w:rsidP="00CA2985">
      <w:pPr>
        <w:pStyle w:val="texto"/>
      </w:pPr>
      <w:r w:rsidRPr="007A00BA">
        <w:t>La gestión económica y financiera de las transferencias concedidas a empr</w:t>
      </w:r>
      <w:r w:rsidRPr="007A00BA">
        <w:t>e</w:t>
      </w:r>
      <w:r w:rsidRPr="007A00BA">
        <w:t xml:space="preserve">sas privadas se ha reflejado </w:t>
      </w:r>
      <w:r w:rsidR="00E24D94" w:rsidRPr="007A00BA">
        <w:t xml:space="preserve">en general </w:t>
      </w:r>
      <w:r w:rsidRPr="007A00BA">
        <w:t>adecuadamente en los estados financi</w:t>
      </w:r>
      <w:r w:rsidRPr="007A00BA">
        <w:t>e</w:t>
      </w:r>
      <w:r w:rsidRPr="007A00BA">
        <w:t>ros de la ACFN, de acuerdo a los principios y criterios contables que le son aplicables.</w:t>
      </w:r>
    </w:p>
    <w:p w:rsidR="00204F99" w:rsidRPr="007A00BA" w:rsidRDefault="00CA2985" w:rsidP="00CA2985">
      <w:pPr>
        <w:pStyle w:val="texto"/>
      </w:pPr>
      <w:r w:rsidRPr="007A00BA">
        <w:tab/>
      </w:r>
      <w:r w:rsidR="00204F99" w:rsidRPr="007A00BA">
        <w:t>Se ha elaborado el PES y actualizado anu</w:t>
      </w:r>
      <w:r w:rsidR="00443A2A" w:rsidRPr="007A00BA">
        <w:t>almente conforme a la normativa,</w:t>
      </w:r>
      <w:r w:rsidR="00443A2A" w:rsidRPr="007A00BA">
        <w:rPr>
          <w:szCs w:val="26"/>
          <w:lang w:val="es-ES"/>
        </w:rPr>
        <w:t xml:space="preserve"> </w:t>
      </w:r>
      <w:r w:rsidR="00204F99" w:rsidRPr="007A00BA">
        <w:t xml:space="preserve">si bien el trabajo realizado ha puesto de manifiesto la limitada implantación de la mejora y evaluación continua en la gestión de la política </w:t>
      </w:r>
      <w:proofErr w:type="spellStart"/>
      <w:r w:rsidR="00204F99" w:rsidRPr="007A00BA">
        <w:t>subvencional</w:t>
      </w:r>
      <w:proofErr w:type="spellEnd"/>
      <w:r w:rsidR="00204F99" w:rsidRPr="007A00BA">
        <w:t xml:space="preserve">. </w:t>
      </w:r>
    </w:p>
    <w:p w:rsidR="00204F99" w:rsidRPr="007A00BA" w:rsidRDefault="00204F99" w:rsidP="0013731F">
      <w:pPr>
        <w:pStyle w:val="texto"/>
      </w:pPr>
      <w:r w:rsidRPr="007A00BA">
        <w:t>Teniendo en cuenta las conclusiones alcanzadas</w:t>
      </w:r>
      <w:r w:rsidR="00392046" w:rsidRPr="007A00BA">
        <w:t>, en relación con las def</w:t>
      </w:r>
      <w:r w:rsidR="00392046" w:rsidRPr="007A00BA">
        <w:t>i</w:t>
      </w:r>
      <w:r w:rsidR="00392046" w:rsidRPr="007A00BA">
        <w:t>ciencias detectadas</w:t>
      </w:r>
      <w:r w:rsidRPr="007A00BA">
        <w:t xml:space="preserve"> en nuestro trabajo</w:t>
      </w:r>
      <w:r w:rsidR="00392046" w:rsidRPr="007A00BA">
        <w:t>,</w:t>
      </w:r>
      <w:r w:rsidRPr="007A00BA">
        <w:t xml:space="preserve"> recomendamos: </w:t>
      </w:r>
    </w:p>
    <w:p w:rsidR="00204F99" w:rsidRPr="007A00BA" w:rsidRDefault="00187CE8" w:rsidP="00012F5D">
      <w:pPr>
        <w:pStyle w:val="Prrafodelista"/>
        <w:numPr>
          <w:ilvl w:val="0"/>
          <w:numId w:val="22"/>
        </w:numPr>
        <w:tabs>
          <w:tab w:val="left" w:pos="426"/>
          <w:tab w:val="left" w:pos="567"/>
        </w:tabs>
        <w:ind w:left="0" w:firstLine="142"/>
        <w:contextualSpacing w:val="0"/>
        <w:rPr>
          <w:i/>
          <w:spacing w:val="6"/>
          <w:sz w:val="26"/>
          <w:szCs w:val="26"/>
          <w:lang w:eastAsia="es-ES"/>
        </w:rPr>
      </w:pPr>
      <w:r w:rsidRPr="007A00BA">
        <w:rPr>
          <w:i/>
          <w:spacing w:val="6"/>
          <w:sz w:val="26"/>
          <w:szCs w:val="26"/>
          <w:lang w:eastAsia="es-ES"/>
        </w:rPr>
        <w:t>Simplificar</w:t>
      </w:r>
      <w:r w:rsidR="00204F99" w:rsidRPr="007A00BA">
        <w:rPr>
          <w:i/>
          <w:spacing w:val="6"/>
          <w:sz w:val="26"/>
          <w:szCs w:val="26"/>
          <w:lang w:eastAsia="es-ES"/>
        </w:rPr>
        <w:t xml:space="preserve"> las convocatorias de subvenciones atendiendo a principios de eficacia y racionalidad tanto para el órgano gestor como del beneficiario</w:t>
      </w:r>
      <w:r w:rsidR="000B41AF" w:rsidRPr="007A00BA">
        <w:rPr>
          <w:i/>
          <w:spacing w:val="6"/>
          <w:sz w:val="26"/>
          <w:szCs w:val="26"/>
          <w:lang w:eastAsia="es-ES"/>
        </w:rPr>
        <w:t>,</w:t>
      </w:r>
      <w:r w:rsidR="00204F99" w:rsidRPr="007A00BA">
        <w:rPr>
          <w:i/>
          <w:spacing w:val="6"/>
          <w:sz w:val="26"/>
          <w:szCs w:val="26"/>
          <w:lang w:eastAsia="es-ES"/>
        </w:rPr>
        <w:t xml:space="preserve"> bu</w:t>
      </w:r>
      <w:r w:rsidR="00204F99" w:rsidRPr="007A00BA">
        <w:rPr>
          <w:i/>
          <w:spacing w:val="6"/>
          <w:sz w:val="26"/>
          <w:szCs w:val="26"/>
          <w:lang w:eastAsia="es-ES"/>
        </w:rPr>
        <w:t>s</w:t>
      </w:r>
      <w:r w:rsidR="00204F99" w:rsidRPr="007A00BA">
        <w:rPr>
          <w:i/>
          <w:spacing w:val="6"/>
          <w:sz w:val="26"/>
          <w:szCs w:val="26"/>
          <w:lang w:eastAsia="es-ES"/>
        </w:rPr>
        <w:t>cando un equilibrio entre seguimiento y control y requisitos y exigencias d</w:t>
      </w:r>
      <w:r w:rsidR="00204F99" w:rsidRPr="007A00BA">
        <w:rPr>
          <w:i/>
          <w:spacing w:val="6"/>
          <w:sz w:val="26"/>
          <w:szCs w:val="26"/>
          <w:lang w:eastAsia="es-ES"/>
        </w:rPr>
        <w:t>o</w:t>
      </w:r>
      <w:r w:rsidR="00204F99" w:rsidRPr="007A00BA">
        <w:rPr>
          <w:i/>
          <w:spacing w:val="6"/>
          <w:sz w:val="26"/>
          <w:szCs w:val="26"/>
          <w:lang w:eastAsia="es-ES"/>
        </w:rPr>
        <w:t>cumentales.</w:t>
      </w:r>
    </w:p>
    <w:p w:rsidR="00B02332" w:rsidRPr="007A00BA" w:rsidRDefault="002F2877" w:rsidP="00B02332">
      <w:pPr>
        <w:pStyle w:val="Prrafodelista"/>
        <w:numPr>
          <w:ilvl w:val="0"/>
          <w:numId w:val="22"/>
        </w:numPr>
        <w:tabs>
          <w:tab w:val="left" w:pos="426"/>
          <w:tab w:val="left" w:pos="567"/>
        </w:tabs>
        <w:ind w:left="0" w:firstLine="142"/>
        <w:contextualSpacing w:val="0"/>
        <w:rPr>
          <w:i/>
          <w:spacing w:val="6"/>
          <w:sz w:val="26"/>
          <w:szCs w:val="26"/>
          <w:lang w:eastAsia="es-ES"/>
        </w:rPr>
      </w:pPr>
      <w:r w:rsidRPr="007A00BA">
        <w:rPr>
          <w:i/>
          <w:spacing w:val="6"/>
          <w:sz w:val="26"/>
          <w:szCs w:val="26"/>
          <w:lang w:eastAsia="es-ES"/>
        </w:rPr>
        <w:t>Flexibilizar los</w:t>
      </w:r>
      <w:r w:rsidR="00802391" w:rsidRPr="007A00BA">
        <w:rPr>
          <w:i/>
          <w:spacing w:val="6"/>
          <w:sz w:val="26"/>
          <w:szCs w:val="26"/>
          <w:lang w:eastAsia="es-ES"/>
        </w:rPr>
        <w:t xml:space="preserve"> límites </w:t>
      </w:r>
      <w:r w:rsidR="00DC7D97" w:rsidRPr="007A00BA">
        <w:rPr>
          <w:i/>
          <w:spacing w:val="6"/>
          <w:sz w:val="26"/>
          <w:szCs w:val="26"/>
          <w:lang w:eastAsia="es-ES"/>
        </w:rPr>
        <w:t xml:space="preserve">en la justificación </w:t>
      </w:r>
      <w:r w:rsidR="00CF513E" w:rsidRPr="007A00BA">
        <w:rPr>
          <w:i/>
          <w:spacing w:val="6"/>
          <w:sz w:val="26"/>
          <w:szCs w:val="26"/>
          <w:lang w:eastAsia="es-ES"/>
        </w:rPr>
        <w:t xml:space="preserve">de los diferentes </w:t>
      </w:r>
      <w:r w:rsidR="00EC0DF0" w:rsidRPr="007A00BA">
        <w:rPr>
          <w:i/>
          <w:spacing w:val="6"/>
          <w:sz w:val="26"/>
          <w:szCs w:val="26"/>
          <w:lang w:eastAsia="es-ES"/>
        </w:rPr>
        <w:t>conceptos</w:t>
      </w:r>
      <w:r w:rsidR="00B02332" w:rsidRPr="007A00BA">
        <w:rPr>
          <w:i/>
          <w:spacing w:val="6"/>
          <w:sz w:val="26"/>
          <w:szCs w:val="26"/>
          <w:lang w:eastAsia="es-ES"/>
        </w:rPr>
        <w:t xml:space="preserve"> de gasto</w:t>
      </w:r>
      <w:r w:rsidR="00DF04EF" w:rsidRPr="007A00BA">
        <w:rPr>
          <w:i/>
          <w:spacing w:val="6"/>
          <w:sz w:val="26"/>
          <w:szCs w:val="26"/>
          <w:lang w:eastAsia="es-ES"/>
        </w:rPr>
        <w:t>,</w:t>
      </w:r>
      <w:r w:rsidR="00B02332" w:rsidRPr="007A00BA">
        <w:rPr>
          <w:i/>
          <w:spacing w:val="6"/>
          <w:sz w:val="26"/>
          <w:szCs w:val="26"/>
          <w:lang w:eastAsia="es-ES"/>
        </w:rPr>
        <w:t xml:space="preserve"> </w:t>
      </w:r>
      <w:r w:rsidR="00802391" w:rsidRPr="007A00BA">
        <w:rPr>
          <w:i/>
          <w:spacing w:val="6"/>
          <w:sz w:val="26"/>
          <w:szCs w:val="26"/>
          <w:lang w:eastAsia="es-ES"/>
        </w:rPr>
        <w:t>especialmente para las inversiones</w:t>
      </w:r>
      <w:r w:rsidR="002F6506" w:rsidRPr="007A00BA">
        <w:rPr>
          <w:i/>
          <w:spacing w:val="6"/>
          <w:sz w:val="26"/>
          <w:szCs w:val="26"/>
          <w:lang w:eastAsia="es-ES"/>
        </w:rPr>
        <w:t>.</w:t>
      </w:r>
      <w:r w:rsidR="00802391" w:rsidRPr="007A00BA">
        <w:rPr>
          <w:i/>
          <w:spacing w:val="6"/>
          <w:sz w:val="26"/>
          <w:szCs w:val="26"/>
          <w:lang w:eastAsia="es-ES"/>
        </w:rPr>
        <w:t xml:space="preserve"> </w:t>
      </w:r>
    </w:p>
    <w:p w:rsidR="00204F99" w:rsidRPr="007A00BA" w:rsidRDefault="00204F99" w:rsidP="00012F5D">
      <w:pPr>
        <w:pStyle w:val="Prrafodelista"/>
        <w:numPr>
          <w:ilvl w:val="0"/>
          <w:numId w:val="22"/>
        </w:numPr>
        <w:tabs>
          <w:tab w:val="left" w:pos="426"/>
          <w:tab w:val="left" w:pos="567"/>
        </w:tabs>
        <w:ind w:left="0" w:firstLine="142"/>
        <w:contextualSpacing w:val="0"/>
        <w:rPr>
          <w:i/>
          <w:spacing w:val="6"/>
          <w:sz w:val="26"/>
          <w:szCs w:val="26"/>
          <w:lang w:eastAsia="es-ES"/>
        </w:rPr>
      </w:pPr>
      <w:r w:rsidRPr="007A00BA">
        <w:rPr>
          <w:i/>
          <w:spacing w:val="6"/>
          <w:sz w:val="26"/>
          <w:szCs w:val="26"/>
          <w:lang w:eastAsia="es-ES"/>
        </w:rPr>
        <w:t>Avanzar en la digitalización de las ayudas que reduce el elevado coste a</w:t>
      </w:r>
      <w:r w:rsidRPr="007A00BA">
        <w:rPr>
          <w:i/>
          <w:spacing w:val="6"/>
          <w:sz w:val="26"/>
          <w:szCs w:val="26"/>
          <w:lang w:eastAsia="es-ES"/>
        </w:rPr>
        <w:t>d</w:t>
      </w:r>
      <w:r w:rsidRPr="007A00BA">
        <w:rPr>
          <w:i/>
          <w:spacing w:val="6"/>
          <w:sz w:val="26"/>
          <w:szCs w:val="26"/>
          <w:lang w:eastAsia="es-ES"/>
        </w:rPr>
        <w:t xml:space="preserve">ministrativo de gestión y comprobación de requisitos. </w:t>
      </w:r>
    </w:p>
    <w:p w:rsidR="00BA64DF" w:rsidRDefault="00204F99" w:rsidP="00BA64DF">
      <w:pPr>
        <w:pStyle w:val="Prrafodelista"/>
        <w:numPr>
          <w:ilvl w:val="0"/>
          <w:numId w:val="22"/>
        </w:numPr>
        <w:tabs>
          <w:tab w:val="left" w:pos="426"/>
          <w:tab w:val="left" w:pos="567"/>
        </w:tabs>
        <w:ind w:left="0" w:firstLine="142"/>
        <w:contextualSpacing w:val="0"/>
        <w:rPr>
          <w:i/>
          <w:spacing w:val="6"/>
          <w:sz w:val="26"/>
          <w:szCs w:val="26"/>
          <w:lang w:eastAsia="es-ES"/>
        </w:rPr>
      </w:pPr>
      <w:r w:rsidRPr="00012F5D">
        <w:rPr>
          <w:i/>
          <w:spacing w:val="6"/>
          <w:sz w:val="26"/>
          <w:szCs w:val="26"/>
          <w:lang w:eastAsia="es-ES"/>
        </w:rPr>
        <w:t>Flexibilizar los plazos de justificación establecidos en las bases regulad</w:t>
      </w:r>
      <w:r w:rsidRPr="00012F5D">
        <w:rPr>
          <w:i/>
          <w:spacing w:val="6"/>
          <w:sz w:val="26"/>
          <w:szCs w:val="26"/>
          <w:lang w:eastAsia="es-ES"/>
        </w:rPr>
        <w:t>o</w:t>
      </w:r>
      <w:r w:rsidRPr="00012F5D">
        <w:rPr>
          <w:i/>
          <w:spacing w:val="6"/>
          <w:sz w:val="26"/>
          <w:szCs w:val="26"/>
          <w:lang w:eastAsia="es-ES"/>
        </w:rPr>
        <w:t xml:space="preserve">ras de las subvenciones, de forma que sean realistas y permitan a las empresas ejecutar y justificar </w:t>
      </w:r>
      <w:r w:rsidR="00FD551C" w:rsidRPr="0008576D">
        <w:rPr>
          <w:i/>
          <w:spacing w:val="6"/>
          <w:sz w:val="26"/>
          <w:szCs w:val="26"/>
          <w:lang w:eastAsia="es-ES"/>
        </w:rPr>
        <w:t xml:space="preserve">su inversión </w:t>
      </w:r>
      <w:r w:rsidRPr="00012F5D">
        <w:rPr>
          <w:i/>
          <w:spacing w:val="6"/>
          <w:sz w:val="26"/>
          <w:szCs w:val="26"/>
          <w:lang w:eastAsia="es-ES"/>
        </w:rPr>
        <w:t xml:space="preserve">en el plazo previsto. </w:t>
      </w:r>
    </w:p>
    <w:p w:rsidR="00BA64DF" w:rsidRPr="00C4135D" w:rsidRDefault="00CC0CF7" w:rsidP="00BA64DF">
      <w:pPr>
        <w:pStyle w:val="Prrafodelista"/>
        <w:numPr>
          <w:ilvl w:val="0"/>
          <w:numId w:val="22"/>
        </w:numPr>
        <w:tabs>
          <w:tab w:val="left" w:pos="426"/>
          <w:tab w:val="left" w:pos="567"/>
        </w:tabs>
        <w:ind w:left="0" w:firstLine="142"/>
        <w:contextualSpacing w:val="0"/>
        <w:rPr>
          <w:i/>
          <w:spacing w:val="6"/>
          <w:sz w:val="26"/>
          <w:szCs w:val="26"/>
          <w:lang w:eastAsia="es-ES"/>
        </w:rPr>
      </w:pPr>
      <w:r w:rsidRPr="0008576D">
        <w:rPr>
          <w:i/>
          <w:spacing w:val="6"/>
          <w:sz w:val="26"/>
          <w:szCs w:val="26"/>
          <w:lang w:eastAsia="es-ES"/>
        </w:rPr>
        <w:t>Analizar</w:t>
      </w:r>
      <w:r>
        <w:rPr>
          <w:i/>
          <w:spacing w:val="6"/>
          <w:sz w:val="26"/>
          <w:szCs w:val="26"/>
          <w:lang w:eastAsia="es-ES"/>
        </w:rPr>
        <w:t xml:space="preserve"> </w:t>
      </w:r>
      <w:r w:rsidR="00C4135D" w:rsidRPr="00C4135D">
        <w:rPr>
          <w:i/>
          <w:spacing w:val="6"/>
          <w:sz w:val="26"/>
          <w:szCs w:val="26"/>
          <w:lang w:eastAsia="es-ES"/>
        </w:rPr>
        <w:t>los incumplimientos parciales de las obligaciones de justificación aplicando criterios</w:t>
      </w:r>
      <w:r w:rsidR="002F2877" w:rsidRPr="00C4135D">
        <w:rPr>
          <w:i/>
          <w:spacing w:val="6"/>
          <w:sz w:val="26"/>
          <w:szCs w:val="26"/>
          <w:lang w:eastAsia="es-ES"/>
        </w:rPr>
        <w:t xml:space="preserve"> </w:t>
      </w:r>
      <w:r w:rsidR="00BA64DF" w:rsidRPr="00C4135D">
        <w:rPr>
          <w:i/>
          <w:spacing w:val="6"/>
          <w:sz w:val="26"/>
          <w:szCs w:val="26"/>
          <w:lang w:eastAsia="es-ES"/>
        </w:rPr>
        <w:t>de proporcionalidad</w:t>
      </w:r>
      <w:r w:rsidR="002F6506">
        <w:rPr>
          <w:i/>
          <w:spacing w:val="6"/>
          <w:sz w:val="26"/>
          <w:szCs w:val="26"/>
          <w:lang w:eastAsia="es-ES"/>
        </w:rPr>
        <w:t>.</w:t>
      </w:r>
    </w:p>
    <w:p w:rsidR="00204F99" w:rsidRPr="00012F5D" w:rsidRDefault="00204F99" w:rsidP="00012F5D">
      <w:pPr>
        <w:pStyle w:val="Prrafodelista"/>
        <w:numPr>
          <w:ilvl w:val="0"/>
          <w:numId w:val="22"/>
        </w:numPr>
        <w:tabs>
          <w:tab w:val="left" w:pos="426"/>
          <w:tab w:val="left" w:pos="567"/>
        </w:tabs>
        <w:ind w:left="0" w:firstLine="142"/>
        <w:contextualSpacing w:val="0"/>
        <w:rPr>
          <w:i/>
          <w:spacing w:val="6"/>
          <w:sz w:val="26"/>
          <w:szCs w:val="26"/>
          <w:lang w:eastAsia="es-ES"/>
        </w:rPr>
      </w:pPr>
      <w:r w:rsidRPr="00012F5D">
        <w:rPr>
          <w:i/>
          <w:spacing w:val="6"/>
          <w:sz w:val="26"/>
          <w:szCs w:val="26"/>
          <w:lang w:eastAsia="es-ES"/>
        </w:rPr>
        <w:t>Concretar en la convocatoria los criterios objetivos junto con los baremos para su aplicación y motivar de manera clara y detallada, dejando constancia en el expediente la valoración obtenida por los solicitantes de los criterios de concesión establecidos en</w:t>
      </w:r>
      <w:r w:rsidR="006D2732">
        <w:rPr>
          <w:i/>
          <w:spacing w:val="6"/>
          <w:sz w:val="26"/>
          <w:szCs w:val="26"/>
          <w:lang w:eastAsia="es-ES"/>
        </w:rPr>
        <w:t xml:space="preserve"> las bases.</w:t>
      </w:r>
    </w:p>
    <w:p w:rsidR="00204F99" w:rsidRPr="00012F5D" w:rsidRDefault="00204F99" w:rsidP="00012F5D">
      <w:pPr>
        <w:pStyle w:val="Prrafodelista"/>
        <w:numPr>
          <w:ilvl w:val="0"/>
          <w:numId w:val="22"/>
        </w:numPr>
        <w:tabs>
          <w:tab w:val="left" w:pos="426"/>
          <w:tab w:val="left" w:pos="567"/>
        </w:tabs>
        <w:ind w:left="0" w:firstLine="142"/>
        <w:contextualSpacing w:val="0"/>
        <w:rPr>
          <w:i/>
          <w:spacing w:val="6"/>
          <w:sz w:val="26"/>
          <w:szCs w:val="26"/>
          <w:lang w:eastAsia="es-ES"/>
        </w:rPr>
      </w:pPr>
      <w:r w:rsidRPr="00012F5D">
        <w:rPr>
          <w:i/>
          <w:spacing w:val="6"/>
          <w:sz w:val="26"/>
          <w:szCs w:val="26"/>
          <w:lang w:eastAsia="es-ES"/>
        </w:rPr>
        <w:lastRenderedPageBreak/>
        <w:t>Imputar presupuestariamente el importe de la convocatoria al artículo pr</w:t>
      </w:r>
      <w:r w:rsidRPr="00012F5D">
        <w:rPr>
          <w:i/>
          <w:spacing w:val="6"/>
          <w:sz w:val="26"/>
          <w:szCs w:val="26"/>
          <w:lang w:eastAsia="es-ES"/>
        </w:rPr>
        <w:t>e</w:t>
      </w:r>
      <w:r w:rsidRPr="00012F5D">
        <w:rPr>
          <w:i/>
          <w:spacing w:val="6"/>
          <w:sz w:val="26"/>
          <w:szCs w:val="26"/>
          <w:lang w:eastAsia="es-ES"/>
        </w:rPr>
        <w:t>supuestario del grupo perceptor más significativo del conjunto de los benef</w:t>
      </w:r>
      <w:r w:rsidRPr="00012F5D">
        <w:rPr>
          <w:i/>
          <w:spacing w:val="6"/>
          <w:sz w:val="26"/>
          <w:szCs w:val="26"/>
          <w:lang w:eastAsia="es-ES"/>
        </w:rPr>
        <w:t>i</w:t>
      </w:r>
      <w:r w:rsidRPr="00012F5D">
        <w:rPr>
          <w:i/>
          <w:spacing w:val="6"/>
          <w:sz w:val="26"/>
          <w:szCs w:val="26"/>
          <w:lang w:eastAsia="es-ES"/>
        </w:rPr>
        <w:t>ciarios.</w:t>
      </w:r>
    </w:p>
    <w:p w:rsidR="00204F99" w:rsidRPr="0044512D" w:rsidRDefault="00204F99" w:rsidP="00012F5D">
      <w:pPr>
        <w:pStyle w:val="Prrafodelista"/>
        <w:numPr>
          <w:ilvl w:val="0"/>
          <w:numId w:val="22"/>
        </w:numPr>
        <w:tabs>
          <w:tab w:val="left" w:pos="426"/>
          <w:tab w:val="left" w:pos="567"/>
        </w:tabs>
        <w:ind w:left="0" w:firstLine="142"/>
        <w:contextualSpacing w:val="0"/>
        <w:rPr>
          <w:i/>
          <w:spacing w:val="6"/>
          <w:sz w:val="26"/>
          <w:szCs w:val="26"/>
          <w:lang w:eastAsia="es-ES"/>
        </w:rPr>
      </w:pPr>
      <w:r w:rsidRPr="00012F5D">
        <w:rPr>
          <w:i/>
          <w:spacing w:val="6"/>
          <w:sz w:val="26"/>
          <w:szCs w:val="26"/>
          <w:lang w:eastAsia="es-ES"/>
        </w:rPr>
        <w:t>Publicar</w:t>
      </w:r>
      <w:r w:rsidR="00EC0DF0">
        <w:rPr>
          <w:i/>
          <w:spacing w:val="6"/>
          <w:sz w:val="26"/>
          <w:szCs w:val="26"/>
          <w:lang w:eastAsia="es-ES"/>
        </w:rPr>
        <w:t xml:space="preserve"> la concesión</w:t>
      </w:r>
      <w:r w:rsidRPr="00012F5D">
        <w:rPr>
          <w:i/>
          <w:spacing w:val="6"/>
          <w:sz w:val="26"/>
          <w:szCs w:val="26"/>
          <w:lang w:eastAsia="es-ES"/>
        </w:rPr>
        <w:t xml:space="preserve"> en la Base Nacional de Subvenciones </w:t>
      </w:r>
    </w:p>
    <w:p w:rsidR="00204F99" w:rsidRPr="00012F5D" w:rsidRDefault="00204F99" w:rsidP="00012F5D">
      <w:pPr>
        <w:pStyle w:val="Prrafodelista"/>
        <w:numPr>
          <w:ilvl w:val="0"/>
          <w:numId w:val="22"/>
        </w:numPr>
        <w:tabs>
          <w:tab w:val="left" w:pos="426"/>
          <w:tab w:val="left" w:pos="567"/>
        </w:tabs>
        <w:ind w:left="0" w:firstLine="142"/>
        <w:contextualSpacing w:val="0"/>
        <w:rPr>
          <w:i/>
          <w:spacing w:val="6"/>
          <w:sz w:val="26"/>
          <w:szCs w:val="26"/>
          <w:lang w:eastAsia="es-ES"/>
        </w:rPr>
      </w:pPr>
      <w:r w:rsidRPr="0044512D">
        <w:rPr>
          <w:i/>
          <w:spacing w:val="6"/>
          <w:sz w:val="26"/>
          <w:szCs w:val="26"/>
          <w:lang w:eastAsia="es-ES"/>
        </w:rPr>
        <w:t>Revisar, al menos</w:t>
      </w:r>
      <w:r w:rsidR="00183C1C" w:rsidRPr="0044512D">
        <w:rPr>
          <w:i/>
          <w:spacing w:val="6"/>
          <w:sz w:val="26"/>
          <w:szCs w:val="26"/>
          <w:lang w:eastAsia="es-ES"/>
        </w:rPr>
        <w:t>, en una muestra</w:t>
      </w:r>
      <w:r w:rsidRPr="0044512D">
        <w:rPr>
          <w:i/>
          <w:spacing w:val="6"/>
          <w:sz w:val="26"/>
          <w:szCs w:val="26"/>
          <w:lang w:eastAsia="es-ES"/>
        </w:rPr>
        <w:t xml:space="preserve">, la realidad de las declaraciones </w:t>
      </w:r>
      <w:r w:rsidRPr="00012F5D">
        <w:rPr>
          <w:i/>
          <w:spacing w:val="6"/>
          <w:sz w:val="26"/>
          <w:szCs w:val="26"/>
          <w:lang w:eastAsia="es-ES"/>
        </w:rPr>
        <w:t>re</w:t>
      </w:r>
      <w:r w:rsidRPr="00012F5D">
        <w:rPr>
          <w:i/>
          <w:spacing w:val="6"/>
          <w:sz w:val="26"/>
          <w:szCs w:val="26"/>
          <w:lang w:eastAsia="es-ES"/>
        </w:rPr>
        <w:t>s</w:t>
      </w:r>
      <w:r w:rsidRPr="00012F5D">
        <w:rPr>
          <w:i/>
          <w:spacing w:val="6"/>
          <w:sz w:val="26"/>
          <w:szCs w:val="26"/>
          <w:lang w:eastAsia="es-ES"/>
        </w:rPr>
        <w:t xml:space="preserve">ponsables sobre las ayudas </w:t>
      </w:r>
      <w:proofErr w:type="spellStart"/>
      <w:r w:rsidR="0044512D" w:rsidRPr="00012F5D">
        <w:rPr>
          <w:i/>
          <w:spacing w:val="6"/>
          <w:sz w:val="26"/>
          <w:szCs w:val="26"/>
          <w:lang w:eastAsia="es-ES"/>
        </w:rPr>
        <w:t>mínim</w:t>
      </w:r>
      <w:r w:rsidR="0089394E">
        <w:rPr>
          <w:i/>
          <w:spacing w:val="6"/>
          <w:sz w:val="26"/>
          <w:szCs w:val="26"/>
          <w:lang w:eastAsia="es-ES"/>
        </w:rPr>
        <w:t>i</w:t>
      </w:r>
      <w:r w:rsidR="0044512D" w:rsidRPr="00012F5D">
        <w:rPr>
          <w:i/>
          <w:spacing w:val="6"/>
          <w:sz w:val="26"/>
          <w:szCs w:val="26"/>
          <w:lang w:eastAsia="es-ES"/>
        </w:rPr>
        <w:t>s</w:t>
      </w:r>
      <w:proofErr w:type="spellEnd"/>
      <w:r w:rsidRPr="00012F5D">
        <w:rPr>
          <w:i/>
          <w:spacing w:val="6"/>
          <w:sz w:val="26"/>
          <w:szCs w:val="26"/>
          <w:lang w:eastAsia="es-ES"/>
        </w:rPr>
        <w:t xml:space="preserve"> concedidas a una misma empresa para un mayor control del límite de estas ayudas. </w:t>
      </w:r>
    </w:p>
    <w:p w:rsidR="00204F99" w:rsidRPr="00012F5D" w:rsidRDefault="00CC0CF7" w:rsidP="00012F5D">
      <w:pPr>
        <w:pStyle w:val="Prrafodelista"/>
        <w:numPr>
          <w:ilvl w:val="0"/>
          <w:numId w:val="22"/>
        </w:numPr>
        <w:tabs>
          <w:tab w:val="left" w:pos="426"/>
          <w:tab w:val="left" w:pos="567"/>
        </w:tabs>
        <w:ind w:left="0" w:firstLine="142"/>
        <w:contextualSpacing w:val="0"/>
        <w:rPr>
          <w:i/>
          <w:spacing w:val="6"/>
          <w:sz w:val="26"/>
          <w:szCs w:val="26"/>
          <w:lang w:eastAsia="es-ES"/>
        </w:rPr>
      </w:pPr>
      <w:r>
        <w:rPr>
          <w:i/>
          <w:spacing w:val="6"/>
          <w:sz w:val="26"/>
          <w:szCs w:val="26"/>
          <w:lang w:eastAsia="es-ES"/>
        </w:rPr>
        <w:t>Tramitar los contratos de concesión de servicios vencidos</w:t>
      </w:r>
      <w:r w:rsidR="00FD6B34">
        <w:rPr>
          <w:i/>
          <w:spacing w:val="6"/>
          <w:sz w:val="26"/>
          <w:szCs w:val="26"/>
          <w:lang w:eastAsia="es-ES"/>
        </w:rPr>
        <w:t>.</w:t>
      </w:r>
      <w:r>
        <w:rPr>
          <w:i/>
          <w:spacing w:val="6"/>
          <w:sz w:val="26"/>
          <w:szCs w:val="26"/>
          <w:lang w:eastAsia="es-ES"/>
        </w:rPr>
        <w:t xml:space="preserve"> </w:t>
      </w:r>
    </w:p>
    <w:p w:rsidR="00204F99" w:rsidRPr="00012F5D" w:rsidRDefault="00204F99" w:rsidP="00012F5D">
      <w:pPr>
        <w:pStyle w:val="Prrafodelista"/>
        <w:numPr>
          <w:ilvl w:val="0"/>
          <w:numId w:val="22"/>
        </w:numPr>
        <w:tabs>
          <w:tab w:val="left" w:pos="426"/>
          <w:tab w:val="left" w:pos="567"/>
        </w:tabs>
        <w:ind w:left="0" w:firstLine="142"/>
        <w:contextualSpacing w:val="0"/>
        <w:rPr>
          <w:i/>
          <w:spacing w:val="6"/>
          <w:sz w:val="26"/>
          <w:szCs w:val="26"/>
          <w:lang w:eastAsia="es-ES"/>
        </w:rPr>
      </w:pPr>
      <w:r w:rsidRPr="00012F5D">
        <w:rPr>
          <w:i/>
          <w:spacing w:val="6"/>
          <w:sz w:val="26"/>
          <w:szCs w:val="26"/>
          <w:lang w:eastAsia="es-ES"/>
        </w:rPr>
        <w:t>Imputar las ayudas por compensación económica del déficit de las conc</w:t>
      </w:r>
      <w:r w:rsidRPr="00012F5D">
        <w:rPr>
          <w:i/>
          <w:spacing w:val="6"/>
          <w:sz w:val="26"/>
          <w:szCs w:val="26"/>
          <w:lang w:eastAsia="es-ES"/>
        </w:rPr>
        <w:t>e</w:t>
      </w:r>
      <w:r w:rsidRPr="00012F5D">
        <w:rPr>
          <w:i/>
          <w:spacing w:val="6"/>
          <w:sz w:val="26"/>
          <w:szCs w:val="26"/>
          <w:lang w:eastAsia="es-ES"/>
        </w:rPr>
        <w:t xml:space="preserve">sionarias del transporte regular de viajeros al capítulo de gastos corrientes en bienes y servicios. </w:t>
      </w:r>
    </w:p>
    <w:p w:rsidR="00204F99" w:rsidRPr="00B80ABF" w:rsidRDefault="00204F99" w:rsidP="00B80ABF">
      <w:pPr>
        <w:pStyle w:val="atitulo3"/>
        <w:spacing w:before="360"/>
      </w:pPr>
      <w:r w:rsidRPr="00012F5D">
        <w:t xml:space="preserve">Relativas a las ayudas a la hostelería </w:t>
      </w:r>
    </w:p>
    <w:p w:rsidR="00204F99" w:rsidRPr="00012F5D" w:rsidRDefault="00AB0B90" w:rsidP="00012F5D">
      <w:pPr>
        <w:pStyle w:val="Prrafodelista"/>
        <w:numPr>
          <w:ilvl w:val="0"/>
          <w:numId w:val="22"/>
        </w:numPr>
        <w:tabs>
          <w:tab w:val="left" w:pos="426"/>
          <w:tab w:val="left" w:pos="567"/>
        </w:tabs>
        <w:ind w:left="0" w:firstLine="142"/>
        <w:contextualSpacing w:val="0"/>
        <w:rPr>
          <w:i/>
          <w:spacing w:val="6"/>
          <w:sz w:val="26"/>
          <w:szCs w:val="26"/>
          <w:lang w:eastAsia="es-ES"/>
        </w:rPr>
      </w:pPr>
      <w:r w:rsidRPr="00D637C9">
        <w:rPr>
          <w:i/>
          <w:spacing w:val="6"/>
          <w:sz w:val="26"/>
          <w:szCs w:val="26"/>
          <w:lang w:eastAsia="es-ES"/>
        </w:rPr>
        <w:t xml:space="preserve">Revisar periódicamente </w:t>
      </w:r>
      <w:r w:rsidR="00204F99" w:rsidRPr="00012F5D">
        <w:rPr>
          <w:i/>
          <w:spacing w:val="6"/>
          <w:sz w:val="26"/>
          <w:szCs w:val="26"/>
          <w:lang w:eastAsia="es-ES"/>
        </w:rPr>
        <w:t xml:space="preserve">que el proceso </w:t>
      </w:r>
      <w:r w:rsidR="00E87EED">
        <w:rPr>
          <w:i/>
          <w:spacing w:val="6"/>
          <w:sz w:val="26"/>
          <w:szCs w:val="26"/>
          <w:lang w:eastAsia="es-ES"/>
        </w:rPr>
        <w:t xml:space="preserve">de obtención de datos de </w:t>
      </w:r>
      <w:r w:rsidR="00E87EED" w:rsidRPr="00EC23EE">
        <w:rPr>
          <w:i/>
          <w:spacing w:val="6"/>
          <w:sz w:val="26"/>
          <w:szCs w:val="26"/>
          <w:lang w:eastAsia="es-ES"/>
        </w:rPr>
        <w:t>Hacienda</w:t>
      </w:r>
      <w:r w:rsidR="00E87EED">
        <w:rPr>
          <w:i/>
          <w:spacing w:val="6"/>
          <w:sz w:val="26"/>
          <w:szCs w:val="26"/>
          <w:lang w:eastAsia="es-ES"/>
        </w:rPr>
        <w:t xml:space="preserve"> </w:t>
      </w:r>
      <w:r w:rsidR="00204F99" w:rsidRPr="00012F5D">
        <w:rPr>
          <w:i/>
          <w:spacing w:val="6"/>
          <w:sz w:val="26"/>
          <w:szCs w:val="26"/>
          <w:lang w:eastAsia="es-ES"/>
        </w:rPr>
        <w:t>se está monitorizando y guardar un registro de dicha revisión.</w:t>
      </w:r>
    </w:p>
    <w:p w:rsidR="00204F99" w:rsidRPr="00012F5D" w:rsidRDefault="00204F99" w:rsidP="00012F5D">
      <w:pPr>
        <w:pStyle w:val="Prrafodelista"/>
        <w:numPr>
          <w:ilvl w:val="0"/>
          <w:numId w:val="22"/>
        </w:numPr>
        <w:tabs>
          <w:tab w:val="left" w:pos="426"/>
          <w:tab w:val="left" w:pos="567"/>
        </w:tabs>
        <w:ind w:left="0" w:firstLine="142"/>
        <w:contextualSpacing w:val="0"/>
        <w:rPr>
          <w:i/>
          <w:spacing w:val="6"/>
          <w:sz w:val="26"/>
          <w:szCs w:val="26"/>
          <w:lang w:eastAsia="es-ES"/>
        </w:rPr>
      </w:pPr>
      <w:r w:rsidRPr="00012F5D">
        <w:rPr>
          <w:i/>
          <w:spacing w:val="6"/>
          <w:sz w:val="26"/>
          <w:szCs w:val="26"/>
          <w:lang w:eastAsia="es-ES"/>
        </w:rPr>
        <w:t>Mejorar la seguridad de las carpetas intermedias (donde se almacenan los datos de Hacienda), protegiendo los ficheros contra escritura y activando los registros de auditoría de todos los cambios realizados por cualquier usuario.</w:t>
      </w:r>
    </w:p>
    <w:p w:rsidR="00204F99" w:rsidRDefault="00204F99" w:rsidP="00012F5D">
      <w:pPr>
        <w:pStyle w:val="Prrafodelista"/>
        <w:numPr>
          <w:ilvl w:val="0"/>
          <w:numId w:val="22"/>
        </w:numPr>
        <w:tabs>
          <w:tab w:val="left" w:pos="426"/>
          <w:tab w:val="left" w:pos="567"/>
        </w:tabs>
        <w:ind w:left="0" w:firstLine="142"/>
        <w:contextualSpacing w:val="0"/>
        <w:rPr>
          <w:i/>
          <w:spacing w:val="6"/>
          <w:sz w:val="26"/>
          <w:szCs w:val="26"/>
          <w:lang w:eastAsia="es-ES"/>
        </w:rPr>
      </w:pPr>
      <w:r w:rsidRPr="00012F5D">
        <w:rPr>
          <w:i/>
          <w:spacing w:val="6"/>
          <w:sz w:val="26"/>
          <w:szCs w:val="26"/>
          <w:lang w:eastAsia="es-ES"/>
        </w:rPr>
        <w:t>Activar un registro de cambios realizados en la base de datos por los usu</w:t>
      </w:r>
      <w:r w:rsidRPr="00012F5D">
        <w:rPr>
          <w:i/>
          <w:spacing w:val="6"/>
          <w:sz w:val="26"/>
          <w:szCs w:val="26"/>
          <w:lang w:eastAsia="es-ES"/>
        </w:rPr>
        <w:t>a</w:t>
      </w:r>
      <w:r w:rsidRPr="00012F5D">
        <w:rPr>
          <w:i/>
          <w:spacing w:val="6"/>
          <w:sz w:val="26"/>
          <w:szCs w:val="26"/>
          <w:lang w:eastAsia="es-ES"/>
        </w:rPr>
        <w:t>rios que no son de aplicación</w:t>
      </w:r>
      <w:r w:rsidR="002F6506">
        <w:rPr>
          <w:i/>
          <w:spacing w:val="6"/>
          <w:sz w:val="26"/>
          <w:szCs w:val="26"/>
          <w:lang w:eastAsia="es-ES"/>
        </w:rPr>
        <w:t>.</w:t>
      </w:r>
      <w:r w:rsidRPr="00012F5D">
        <w:rPr>
          <w:i/>
          <w:spacing w:val="6"/>
          <w:sz w:val="26"/>
          <w:szCs w:val="26"/>
          <w:lang w:eastAsia="es-ES"/>
        </w:rPr>
        <w:t xml:space="preserve"> </w:t>
      </w:r>
    </w:p>
    <w:p w:rsidR="00F241C4" w:rsidRPr="00306812" w:rsidRDefault="00F241C4" w:rsidP="00012F5D">
      <w:pPr>
        <w:pStyle w:val="Prrafodelista"/>
        <w:numPr>
          <w:ilvl w:val="0"/>
          <w:numId w:val="22"/>
        </w:numPr>
        <w:tabs>
          <w:tab w:val="left" w:pos="426"/>
          <w:tab w:val="left" w:pos="567"/>
        </w:tabs>
        <w:ind w:left="0" w:firstLine="142"/>
        <w:contextualSpacing w:val="0"/>
        <w:rPr>
          <w:i/>
          <w:spacing w:val="6"/>
          <w:sz w:val="26"/>
          <w:szCs w:val="26"/>
          <w:lang w:eastAsia="es-ES"/>
        </w:rPr>
      </w:pPr>
      <w:r>
        <w:rPr>
          <w:i/>
          <w:spacing w:val="6"/>
          <w:sz w:val="26"/>
          <w:szCs w:val="26"/>
          <w:lang w:eastAsia="es-ES"/>
        </w:rPr>
        <w:t xml:space="preserve">Automatizar la generación de ficheros de </w:t>
      </w:r>
      <w:r w:rsidRPr="00306812">
        <w:rPr>
          <w:i/>
          <w:spacing w:val="6"/>
          <w:sz w:val="26"/>
          <w:szCs w:val="26"/>
          <w:lang w:eastAsia="es-ES"/>
        </w:rPr>
        <w:t>pago y carga en SAP</w:t>
      </w:r>
      <w:r w:rsidR="00306812" w:rsidRPr="00306812">
        <w:rPr>
          <w:i/>
          <w:spacing w:val="6"/>
          <w:sz w:val="26"/>
          <w:szCs w:val="26"/>
          <w:lang w:eastAsia="es-ES"/>
        </w:rPr>
        <w:t xml:space="preserve"> </w:t>
      </w:r>
      <w:r w:rsidRPr="00306812">
        <w:rPr>
          <w:i/>
          <w:spacing w:val="6"/>
          <w:sz w:val="26"/>
          <w:szCs w:val="26"/>
          <w:lang w:eastAsia="es-ES"/>
        </w:rPr>
        <w:t>G</w:t>
      </w:r>
      <w:r w:rsidR="00306812" w:rsidRPr="00306812">
        <w:rPr>
          <w:i/>
          <w:spacing w:val="6"/>
          <w:sz w:val="26"/>
          <w:szCs w:val="26"/>
          <w:lang w:eastAsia="es-ES"/>
        </w:rPr>
        <w:t>E</w:t>
      </w:r>
      <w:r w:rsidRPr="00306812">
        <w:rPr>
          <w:i/>
          <w:spacing w:val="6"/>
          <w:sz w:val="26"/>
          <w:szCs w:val="26"/>
          <w:lang w:eastAsia="es-ES"/>
        </w:rPr>
        <w:t>21</w:t>
      </w:r>
      <w:r w:rsidR="002F6506" w:rsidRPr="00306812">
        <w:rPr>
          <w:i/>
          <w:spacing w:val="6"/>
          <w:sz w:val="26"/>
          <w:szCs w:val="26"/>
          <w:lang w:eastAsia="es-ES"/>
        </w:rPr>
        <w:t>.</w:t>
      </w:r>
    </w:p>
    <w:p w:rsidR="00204F99" w:rsidRPr="001366D7" w:rsidRDefault="00204F99" w:rsidP="00012F5D">
      <w:pPr>
        <w:pStyle w:val="atitulo3"/>
        <w:spacing w:before="360"/>
      </w:pPr>
      <w:r w:rsidRPr="001366D7">
        <w:t xml:space="preserve">Relativas al </w:t>
      </w:r>
      <w:r w:rsidR="005332E6">
        <w:t>P</w:t>
      </w:r>
      <w:r w:rsidR="00C77D60">
        <w:t>lan estratégico de subvenciones</w:t>
      </w:r>
    </w:p>
    <w:p w:rsidR="00204F99" w:rsidRPr="00012F5D" w:rsidRDefault="00204F99" w:rsidP="00012F5D">
      <w:pPr>
        <w:pStyle w:val="Prrafodelista"/>
        <w:numPr>
          <w:ilvl w:val="0"/>
          <w:numId w:val="22"/>
        </w:numPr>
        <w:tabs>
          <w:tab w:val="left" w:pos="426"/>
          <w:tab w:val="left" w:pos="567"/>
        </w:tabs>
        <w:ind w:left="0" w:firstLine="142"/>
        <w:contextualSpacing w:val="0"/>
        <w:rPr>
          <w:i/>
          <w:spacing w:val="6"/>
          <w:sz w:val="26"/>
          <w:szCs w:val="26"/>
          <w:lang w:eastAsia="es-ES"/>
        </w:rPr>
      </w:pPr>
      <w:r w:rsidRPr="00012F5D">
        <w:rPr>
          <w:i/>
          <w:spacing w:val="6"/>
          <w:sz w:val="26"/>
          <w:szCs w:val="26"/>
          <w:lang w:eastAsia="es-ES"/>
        </w:rPr>
        <w:t xml:space="preserve">Evaluar el impacto de las subvenciones, mediante la definición detallada de indicadores de seguimiento de objetivos, del análisis de las desviaciones producidas </w:t>
      </w:r>
      <w:r w:rsidR="00AB0B90" w:rsidRPr="00693263">
        <w:rPr>
          <w:i/>
          <w:spacing w:val="6"/>
          <w:sz w:val="26"/>
          <w:szCs w:val="26"/>
          <w:lang w:eastAsia="es-ES"/>
        </w:rPr>
        <w:t xml:space="preserve">que sirva de base para la </w:t>
      </w:r>
      <w:r w:rsidRPr="00012F5D">
        <w:rPr>
          <w:i/>
          <w:spacing w:val="6"/>
          <w:sz w:val="26"/>
          <w:szCs w:val="26"/>
          <w:lang w:eastAsia="es-ES"/>
        </w:rPr>
        <w:t>toma de decisiones para la mejora cont</w:t>
      </w:r>
      <w:r w:rsidRPr="00012F5D">
        <w:rPr>
          <w:i/>
          <w:spacing w:val="6"/>
          <w:sz w:val="26"/>
          <w:szCs w:val="26"/>
          <w:lang w:eastAsia="es-ES"/>
        </w:rPr>
        <w:t>i</w:t>
      </w:r>
      <w:r w:rsidRPr="00012F5D">
        <w:rPr>
          <w:i/>
          <w:spacing w:val="6"/>
          <w:sz w:val="26"/>
          <w:szCs w:val="26"/>
          <w:lang w:eastAsia="es-ES"/>
        </w:rPr>
        <w:t xml:space="preserve">nua. </w:t>
      </w:r>
    </w:p>
    <w:p w:rsidR="00204F99" w:rsidRPr="00D0511B" w:rsidRDefault="00204F99" w:rsidP="00012F5D">
      <w:pPr>
        <w:pStyle w:val="Prrafodelista"/>
        <w:numPr>
          <w:ilvl w:val="0"/>
          <w:numId w:val="22"/>
        </w:numPr>
        <w:tabs>
          <w:tab w:val="left" w:pos="426"/>
          <w:tab w:val="left" w:pos="567"/>
        </w:tabs>
        <w:ind w:left="0" w:firstLine="142"/>
        <w:contextualSpacing w:val="0"/>
        <w:rPr>
          <w:i/>
          <w:spacing w:val="4"/>
          <w:sz w:val="26"/>
          <w:szCs w:val="26"/>
          <w:lang w:eastAsia="es-ES"/>
        </w:rPr>
      </w:pPr>
      <w:r w:rsidRPr="00D0511B">
        <w:rPr>
          <w:i/>
          <w:spacing w:val="4"/>
          <w:sz w:val="26"/>
          <w:szCs w:val="26"/>
          <w:lang w:eastAsia="es-ES"/>
        </w:rPr>
        <w:t>Distinguir en las fichas del PES, en lo relativo al procedimiento de conc</w:t>
      </w:r>
      <w:r w:rsidRPr="00D0511B">
        <w:rPr>
          <w:i/>
          <w:spacing w:val="4"/>
          <w:sz w:val="26"/>
          <w:szCs w:val="26"/>
          <w:lang w:eastAsia="es-ES"/>
        </w:rPr>
        <w:t>e</w:t>
      </w:r>
      <w:r w:rsidRPr="00D0511B">
        <w:rPr>
          <w:i/>
          <w:spacing w:val="4"/>
          <w:sz w:val="26"/>
          <w:szCs w:val="26"/>
          <w:lang w:eastAsia="es-ES"/>
        </w:rPr>
        <w:t>sión por convocatoria</w:t>
      </w:r>
      <w:r w:rsidR="00574EBF" w:rsidRPr="00D0511B">
        <w:rPr>
          <w:i/>
          <w:spacing w:val="4"/>
          <w:sz w:val="26"/>
          <w:szCs w:val="26"/>
          <w:lang w:eastAsia="es-ES"/>
        </w:rPr>
        <w:t xml:space="preserve"> pública</w:t>
      </w:r>
      <w:r w:rsidRPr="00D0511B">
        <w:rPr>
          <w:i/>
          <w:spacing w:val="4"/>
          <w:sz w:val="26"/>
          <w:szCs w:val="26"/>
          <w:lang w:eastAsia="es-ES"/>
        </w:rPr>
        <w:t>, si es concurrencia competitiva o evaluación ind</w:t>
      </w:r>
      <w:r w:rsidRPr="00D0511B">
        <w:rPr>
          <w:i/>
          <w:spacing w:val="4"/>
          <w:sz w:val="26"/>
          <w:szCs w:val="26"/>
          <w:lang w:eastAsia="es-ES"/>
        </w:rPr>
        <w:t>i</w:t>
      </w:r>
      <w:r w:rsidRPr="00D0511B">
        <w:rPr>
          <w:i/>
          <w:spacing w:val="4"/>
          <w:sz w:val="26"/>
          <w:szCs w:val="26"/>
          <w:lang w:eastAsia="es-ES"/>
        </w:rPr>
        <w:t>vidualizada, y para los supuestos de concesión directa, entre nominativa o e</w:t>
      </w:r>
      <w:r w:rsidRPr="00D0511B">
        <w:rPr>
          <w:i/>
          <w:spacing w:val="4"/>
          <w:sz w:val="26"/>
          <w:szCs w:val="26"/>
          <w:lang w:eastAsia="es-ES"/>
        </w:rPr>
        <w:t>x</w:t>
      </w:r>
      <w:r w:rsidRPr="00D0511B">
        <w:rPr>
          <w:i/>
          <w:spacing w:val="4"/>
          <w:sz w:val="26"/>
          <w:szCs w:val="26"/>
          <w:lang w:eastAsia="es-ES"/>
        </w:rPr>
        <w:t xml:space="preserve">cepcional. </w:t>
      </w:r>
    </w:p>
    <w:p w:rsidR="00204F99" w:rsidRPr="00012F5D" w:rsidRDefault="00204F99" w:rsidP="00012F5D">
      <w:pPr>
        <w:pStyle w:val="Prrafodelista"/>
        <w:numPr>
          <w:ilvl w:val="0"/>
          <w:numId w:val="22"/>
        </w:numPr>
        <w:tabs>
          <w:tab w:val="left" w:pos="426"/>
          <w:tab w:val="left" w:pos="567"/>
        </w:tabs>
        <w:ind w:left="0" w:firstLine="142"/>
        <w:contextualSpacing w:val="0"/>
        <w:rPr>
          <w:i/>
          <w:spacing w:val="6"/>
          <w:sz w:val="26"/>
          <w:szCs w:val="26"/>
          <w:lang w:eastAsia="es-ES"/>
        </w:rPr>
      </w:pPr>
      <w:r w:rsidRPr="00012F5D">
        <w:rPr>
          <w:i/>
          <w:spacing w:val="6"/>
          <w:sz w:val="26"/>
          <w:szCs w:val="26"/>
          <w:lang w:eastAsia="es-ES"/>
        </w:rPr>
        <w:t>Desarrollar instrucciones claras para cumplimentar las fichas de subve</w:t>
      </w:r>
      <w:r w:rsidRPr="00012F5D">
        <w:rPr>
          <w:i/>
          <w:spacing w:val="6"/>
          <w:sz w:val="26"/>
          <w:szCs w:val="26"/>
          <w:lang w:eastAsia="es-ES"/>
        </w:rPr>
        <w:t>n</w:t>
      </w:r>
      <w:r w:rsidRPr="00012F5D">
        <w:rPr>
          <w:i/>
          <w:spacing w:val="6"/>
          <w:sz w:val="26"/>
          <w:szCs w:val="26"/>
          <w:lang w:eastAsia="es-ES"/>
        </w:rPr>
        <w:t xml:space="preserve">ciones </w:t>
      </w:r>
      <w:r w:rsidR="00BA6477" w:rsidRPr="00574522">
        <w:rPr>
          <w:i/>
          <w:spacing w:val="6"/>
          <w:sz w:val="26"/>
          <w:szCs w:val="26"/>
          <w:lang w:eastAsia="es-ES"/>
        </w:rPr>
        <w:t xml:space="preserve">en los casos en los que existan </w:t>
      </w:r>
      <w:r w:rsidRPr="00012F5D">
        <w:rPr>
          <w:i/>
          <w:spacing w:val="6"/>
          <w:sz w:val="26"/>
          <w:szCs w:val="26"/>
          <w:lang w:eastAsia="es-ES"/>
        </w:rPr>
        <w:t xml:space="preserve">varias convocatorias abiertas para una misma línea en un mismo ejercicio presupuestario. </w:t>
      </w:r>
    </w:p>
    <w:p w:rsidR="00204F99" w:rsidRPr="00012F5D" w:rsidRDefault="00204F99" w:rsidP="00012F5D">
      <w:pPr>
        <w:pStyle w:val="Prrafodelista"/>
        <w:numPr>
          <w:ilvl w:val="0"/>
          <w:numId w:val="22"/>
        </w:numPr>
        <w:tabs>
          <w:tab w:val="left" w:pos="426"/>
          <w:tab w:val="left" w:pos="567"/>
        </w:tabs>
        <w:ind w:left="0" w:firstLine="142"/>
        <w:contextualSpacing w:val="0"/>
        <w:rPr>
          <w:i/>
          <w:spacing w:val="6"/>
          <w:sz w:val="26"/>
          <w:szCs w:val="26"/>
          <w:lang w:eastAsia="es-ES"/>
        </w:rPr>
      </w:pPr>
      <w:r w:rsidRPr="00012F5D">
        <w:rPr>
          <w:i/>
          <w:spacing w:val="6"/>
          <w:sz w:val="26"/>
          <w:szCs w:val="26"/>
          <w:lang w:eastAsia="es-ES"/>
        </w:rPr>
        <w:lastRenderedPageBreak/>
        <w:t xml:space="preserve">Modificar el formato de los informes de evaluación con el objeto de que los datos sean explotables y permitan un análisis y seguimiento por parte de los departamentos. </w:t>
      </w:r>
    </w:p>
    <w:p w:rsidR="00204F99" w:rsidRPr="00012F5D" w:rsidRDefault="00204F99" w:rsidP="00012F5D">
      <w:pPr>
        <w:pStyle w:val="Prrafodelista"/>
        <w:numPr>
          <w:ilvl w:val="0"/>
          <w:numId w:val="22"/>
        </w:numPr>
        <w:tabs>
          <w:tab w:val="left" w:pos="426"/>
          <w:tab w:val="left" w:pos="567"/>
        </w:tabs>
        <w:ind w:left="0" w:firstLine="142"/>
        <w:contextualSpacing w:val="0"/>
        <w:rPr>
          <w:i/>
          <w:spacing w:val="6"/>
          <w:sz w:val="26"/>
          <w:szCs w:val="26"/>
          <w:lang w:eastAsia="es-ES"/>
        </w:rPr>
      </w:pPr>
      <w:r w:rsidRPr="00012F5D">
        <w:rPr>
          <w:i/>
          <w:spacing w:val="6"/>
          <w:sz w:val="26"/>
          <w:szCs w:val="26"/>
          <w:lang w:eastAsia="es-ES"/>
        </w:rPr>
        <w:t>Realizar los informes de evaluación una vez finalizado el expediente para el caso de las convocatorias plurianuales o para aquellas en las</w:t>
      </w:r>
      <w:r w:rsidR="00CF14BE">
        <w:rPr>
          <w:i/>
          <w:spacing w:val="6"/>
          <w:sz w:val="26"/>
          <w:szCs w:val="26"/>
          <w:lang w:eastAsia="es-ES"/>
        </w:rPr>
        <w:t xml:space="preserve"> </w:t>
      </w:r>
      <w:r w:rsidR="00CF14BE" w:rsidRPr="00610DA8">
        <w:rPr>
          <w:i/>
          <w:spacing w:val="6"/>
          <w:sz w:val="26"/>
          <w:szCs w:val="26"/>
          <w:lang w:eastAsia="es-ES"/>
        </w:rPr>
        <w:t>que</w:t>
      </w:r>
      <w:r w:rsidRPr="00012F5D">
        <w:rPr>
          <w:i/>
          <w:spacing w:val="6"/>
          <w:sz w:val="26"/>
          <w:szCs w:val="26"/>
          <w:lang w:eastAsia="es-ES"/>
        </w:rPr>
        <w:t xml:space="preserve"> no coinc</w:t>
      </w:r>
      <w:r w:rsidRPr="00012F5D">
        <w:rPr>
          <w:i/>
          <w:spacing w:val="6"/>
          <w:sz w:val="26"/>
          <w:szCs w:val="26"/>
          <w:lang w:eastAsia="es-ES"/>
        </w:rPr>
        <w:t>i</w:t>
      </w:r>
      <w:r w:rsidRPr="00012F5D">
        <w:rPr>
          <w:i/>
          <w:spacing w:val="6"/>
          <w:sz w:val="26"/>
          <w:szCs w:val="26"/>
          <w:lang w:eastAsia="es-ES"/>
        </w:rPr>
        <w:t>de el calendario con el año natural.</w:t>
      </w:r>
    </w:p>
    <w:p w:rsidR="00204F99" w:rsidRDefault="00204F99" w:rsidP="00012F5D">
      <w:pPr>
        <w:pStyle w:val="Prrafodelista"/>
        <w:numPr>
          <w:ilvl w:val="0"/>
          <w:numId w:val="22"/>
        </w:numPr>
        <w:tabs>
          <w:tab w:val="left" w:pos="426"/>
          <w:tab w:val="left" w:pos="567"/>
        </w:tabs>
        <w:spacing w:after="0"/>
        <w:ind w:left="0" w:firstLine="142"/>
        <w:contextualSpacing w:val="0"/>
        <w:rPr>
          <w:i/>
          <w:spacing w:val="6"/>
          <w:sz w:val="26"/>
          <w:szCs w:val="26"/>
          <w:lang w:eastAsia="es-ES"/>
        </w:rPr>
      </w:pPr>
      <w:r w:rsidRPr="00012F5D">
        <w:rPr>
          <w:i/>
          <w:spacing w:val="6"/>
          <w:sz w:val="26"/>
          <w:szCs w:val="26"/>
          <w:lang w:eastAsia="es-ES"/>
        </w:rPr>
        <w:t xml:space="preserve">Constituir el grupo de trabajo interdepartamental inicialmente planteado relativo a la homogeneización de bases de convocatorias y de documentos a justificar en el marco del </w:t>
      </w:r>
      <w:r w:rsidR="00CF14BE">
        <w:rPr>
          <w:i/>
          <w:spacing w:val="6"/>
          <w:sz w:val="26"/>
          <w:szCs w:val="26"/>
          <w:lang w:eastAsia="es-ES"/>
        </w:rPr>
        <w:t>PES</w:t>
      </w:r>
      <w:r w:rsidRPr="00012F5D">
        <w:rPr>
          <w:i/>
          <w:spacing w:val="6"/>
          <w:sz w:val="26"/>
          <w:szCs w:val="26"/>
          <w:lang w:eastAsia="es-ES"/>
        </w:rPr>
        <w:t xml:space="preserve">. </w:t>
      </w:r>
    </w:p>
    <w:p w:rsidR="007A0634" w:rsidRDefault="007A0634" w:rsidP="007A0634">
      <w:pPr>
        <w:tabs>
          <w:tab w:val="left" w:pos="426"/>
          <w:tab w:val="left" w:pos="567"/>
        </w:tabs>
        <w:spacing w:after="0"/>
        <w:rPr>
          <w:i/>
          <w:spacing w:val="6"/>
          <w:sz w:val="26"/>
          <w:szCs w:val="26"/>
          <w:lang w:eastAsia="es-ES"/>
        </w:rPr>
      </w:pPr>
    </w:p>
    <w:p w:rsidR="007A0634" w:rsidRPr="007A0634" w:rsidRDefault="007A0634" w:rsidP="007A0634">
      <w:pPr>
        <w:tabs>
          <w:tab w:val="left" w:pos="426"/>
          <w:tab w:val="left" w:pos="567"/>
        </w:tabs>
        <w:spacing w:after="0"/>
        <w:rPr>
          <w:spacing w:val="6"/>
          <w:sz w:val="26"/>
          <w:szCs w:val="26"/>
          <w:lang w:eastAsia="es-ES"/>
        </w:rPr>
      </w:pPr>
      <w:r>
        <w:rPr>
          <w:spacing w:val="6"/>
          <w:sz w:val="26"/>
          <w:szCs w:val="26"/>
          <w:lang w:eastAsia="es-ES"/>
        </w:rPr>
        <w:t>Informe que se emite a propuesta de la auditora Begoña Herrera Isasi, re</w:t>
      </w:r>
      <w:r>
        <w:rPr>
          <w:spacing w:val="6"/>
          <w:sz w:val="26"/>
          <w:szCs w:val="26"/>
          <w:lang w:eastAsia="es-ES"/>
        </w:rPr>
        <w:t>s</w:t>
      </w:r>
      <w:r>
        <w:rPr>
          <w:spacing w:val="6"/>
          <w:sz w:val="26"/>
          <w:szCs w:val="26"/>
          <w:lang w:eastAsia="es-ES"/>
        </w:rPr>
        <w:t>ponsable de la realización de este trabajo, una vez cumplimentados los trámites previstos por la normativa vigente.</w:t>
      </w:r>
    </w:p>
    <w:p w:rsidR="00204F99" w:rsidRDefault="00204F99" w:rsidP="00012F5D">
      <w:pPr>
        <w:pStyle w:val="texto"/>
        <w:spacing w:before="120" w:after="0"/>
        <w:jc w:val="center"/>
      </w:pPr>
      <w:r w:rsidRPr="00125C91">
        <w:t xml:space="preserve">Pamplona, </w:t>
      </w:r>
      <w:r>
        <w:t>de</w:t>
      </w:r>
      <w:r w:rsidR="007A0634">
        <w:t xml:space="preserve"> </w:t>
      </w:r>
      <w:r w:rsidR="009C039F">
        <w:t xml:space="preserve">15 </w:t>
      </w:r>
      <w:r w:rsidR="00C758A2">
        <w:t>de</w:t>
      </w:r>
      <w:r w:rsidR="007A0634">
        <w:t xml:space="preserve"> septiembre</w:t>
      </w:r>
      <w:r w:rsidRPr="00125C91">
        <w:t xml:space="preserve"> de 20</w:t>
      </w:r>
      <w:r>
        <w:t>21</w:t>
      </w:r>
    </w:p>
    <w:p w:rsidR="00CE50DD" w:rsidRDefault="007A0634" w:rsidP="00012F5D">
      <w:pPr>
        <w:pStyle w:val="texto"/>
        <w:spacing w:after="0"/>
        <w:jc w:val="center"/>
      </w:pPr>
      <w:r>
        <w:t>La presidenta</w:t>
      </w:r>
      <w:r w:rsidR="00204F99" w:rsidRPr="00125C91">
        <w:t xml:space="preserve">, </w:t>
      </w:r>
      <w:bookmarkStart w:id="38" w:name="_Toc75857477"/>
      <w:bookmarkEnd w:id="6"/>
      <w:bookmarkEnd w:id="7"/>
      <w:bookmarkEnd w:id="8"/>
      <w:bookmarkEnd w:id="9"/>
    </w:p>
    <w:p w:rsidR="00012F5D" w:rsidRDefault="007A0634" w:rsidP="00012F5D">
      <w:pPr>
        <w:pStyle w:val="texto"/>
        <w:spacing w:after="0"/>
        <w:jc w:val="center"/>
        <w:sectPr w:rsidR="00012F5D" w:rsidSect="00D2472C">
          <w:headerReference w:type="even" r:id="rId16"/>
          <w:footerReference w:type="default" r:id="rId17"/>
          <w:type w:val="oddPage"/>
          <w:pgSz w:w="11907" w:h="16840" w:code="9"/>
          <w:pgMar w:top="2109" w:right="1559" w:bottom="1644" w:left="1559" w:header="369" w:footer="136" w:gutter="0"/>
          <w:pgNumType w:start="3"/>
          <w:cols w:space="720"/>
          <w:docGrid w:linePitch="360"/>
        </w:sectPr>
      </w:pPr>
      <w:r>
        <w:t xml:space="preserve">Asunción Olaechea </w:t>
      </w:r>
      <w:proofErr w:type="spellStart"/>
      <w:r>
        <w:t>Estanga</w:t>
      </w:r>
      <w:proofErr w:type="spellEnd"/>
    </w:p>
    <w:p w:rsidR="00012F5D" w:rsidRDefault="00012F5D" w:rsidP="00012F5D">
      <w:pPr>
        <w:pStyle w:val="texto"/>
        <w:spacing w:after="0"/>
        <w:jc w:val="center"/>
      </w:pPr>
    </w:p>
    <w:p w:rsidR="00102D31" w:rsidRDefault="00102D31" w:rsidP="00102D31">
      <w:pPr>
        <w:pStyle w:val="atitulo1"/>
        <w:rPr>
          <w:lang w:val="es-ES"/>
        </w:rPr>
      </w:pPr>
      <w:bookmarkStart w:id="39" w:name="_Toc81830155"/>
      <w:bookmarkEnd w:id="38"/>
      <w:r>
        <w:rPr>
          <w:lang w:val="es-ES"/>
        </w:rPr>
        <w:t>Anexo 1.-</w:t>
      </w:r>
      <w:r w:rsidR="009472B8">
        <w:rPr>
          <w:lang w:val="es-ES"/>
        </w:rPr>
        <w:t xml:space="preserve"> Detalle convocatorias revisadas</w:t>
      </w:r>
      <w:bookmarkEnd w:id="39"/>
    </w:p>
    <w:tbl>
      <w:tblPr>
        <w:tblStyle w:val="Tablaconcuadrcula"/>
        <w:tblW w:w="15315" w:type="dxa"/>
        <w:tblInd w:w="-856" w:type="dxa"/>
        <w:tblBorders>
          <w:left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55"/>
        <w:gridCol w:w="1175"/>
        <w:gridCol w:w="800"/>
        <w:gridCol w:w="1059"/>
        <w:gridCol w:w="984"/>
        <w:gridCol w:w="1084"/>
        <w:gridCol w:w="975"/>
        <w:gridCol w:w="675"/>
        <w:gridCol w:w="959"/>
        <w:gridCol w:w="967"/>
        <w:gridCol w:w="925"/>
        <w:gridCol w:w="967"/>
        <w:gridCol w:w="950"/>
        <w:gridCol w:w="859"/>
        <w:gridCol w:w="1027"/>
        <w:gridCol w:w="1067"/>
      </w:tblGrid>
      <w:tr w:rsidR="00CE50DD" w:rsidRPr="006E0B8C" w:rsidTr="006C1E66">
        <w:trPr>
          <w:trHeight w:val="227"/>
        </w:trPr>
        <w:tc>
          <w:tcPr>
            <w:tcW w:w="1560" w:type="dxa"/>
            <w:shd w:val="clear" w:color="auto" w:fill="B8CCE4" w:themeFill="accent1" w:themeFillTint="66"/>
            <w:vAlign w:val="center"/>
          </w:tcPr>
          <w:p w:rsidR="00102D31" w:rsidRPr="006E0B8C" w:rsidRDefault="00102D31" w:rsidP="00FD6651">
            <w:pPr>
              <w:pStyle w:val="texto"/>
              <w:spacing w:after="0"/>
              <w:ind w:firstLine="0"/>
              <w:rPr>
                <w:rFonts w:ascii="Arial" w:hAnsi="Arial" w:cs="Arial"/>
                <w:sz w:val="15"/>
                <w:szCs w:val="15"/>
                <w:lang w:val="es-ES"/>
              </w:rPr>
            </w:pPr>
            <w:r w:rsidRPr="006E0B8C">
              <w:rPr>
                <w:rFonts w:ascii="Arial" w:hAnsi="Arial" w:cs="Arial"/>
                <w:sz w:val="15"/>
                <w:szCs w:val="15"/>
                <w:lang w:val="es-ES"/>
              </w:rPr>
              <w:t>Concepto</w:t>
            </w:r>
          </w:p>
        </w:tc>
        <w:tc>
          <w:tcPr>
            <w:tcW w:w="1201" w:type="dxa"/>
            <w:shd w:val="clear" w:color="auto" w:fill="B8CCE4" w:themeFill="accent1" w:themeFillTint="66"/>
            <w:vAlign w:val="center"/>
          </w:tcPr>
          <w:p w:rsidR="00102D31" w:rsidRPr="006E0B8C" w:rsidRDefault="00102D31" w:rsidP="00FD6651">
            <w:pPr>
              <w:spacing w:after="0"/>
              <w:ind w:firstLine="0"/>
              <w:jc w:val="left"/>
              <w:rPr>
                <w:rFonts w:ascii="Arial" w:hAnsi="Arial" w:cs="Arial"/>
                <w:sz w:val="15"/>
                <w:szCs w:val="15"/>
                <w:lang w:val="es-ES" w:eastAsia="es-ES"/>
              </w:rPr>
            </w:pPr>
            <w:r w:rsidRPr="006E0B8C">
              <w:rPr>
                <w:rFonts w:ascii="Arial" w:hAnsi="Arial" w:cs="Arial"/>
                <w:sz w:val="15"/>
                <w:szCs w:val="15"/>
              </w:rPr>
              <w:t>Procedimiento</w:t>
            </w:r>
          </w:p>
        </w:tc>
        <w:tc>
          <w:tcPr>
            <w:tcW w:w="875" w:type="dxa"/>
            <w:shd w:val="clear" w:color="auto" w:fill="B8CCE4" w:themeFill="accent1" w:themeFillTint="66"/>
            <w:vAlign w:val="center"/>
          </w:tcPr>
          <w:p w:rsidR="00102D31" w:rsidRPr="006E0B8C" w:rsidRDefault="00102D31" w:rsidP="009845D6">
            <w:pPr>
              <w:tabs>
                <w:tab w:val="left" w:pos="361"/>
              </w:tabs>
              <w:spacing w:after="0"/>
              <w:ind w:firstLine="0"/>
              <w:jc w:val="right"/>
              <w:rPr>
                <w:rFonts w:ascii="Arial" w:hAnsi="Arial" w:cs="Arial"/>
                <w:sz w:val="15"/>
                <w:szCs w:val="15"/>
              </w:rPr>
            </w:pPr>
            <w:proofErr w:type="spellStart"/>
            <w:r w:rsidRPr="006E0B8C">
              <w:rPr>
                <w:rFonts w:ascii="Arial" w:hAnsi="Arial" w:cs="Arial"/>
                <w:sz w:val="15"/>
                <w:szCs w:val="15"/>
              </w:rPr>
              <w:t>Perioric</w:t>
            </w:r>
            <w:proofErr w:type="spellEnd"/>
            <w:r w:rsidRPr="006E0B8C">
              <w:rPr>
                <w:rFonts w:ascii="Arial" w:hAnsi="Arial" w:cs="Arial"/>
                <w:sz w:val="15"/>
                <w:szCs w:val="15"/>
              </w:rPr>
              <w:t>.</w:t>
            </w:r>
          </w:p>
        </w:tc>
        <w:tc>
          <w:tcPr>
            <w:tcW w:w="1073" w:type="dxa"/>
            <w:shd w:val="clear" w:color="auto" w:fill="B8CCE4" w:themeFill="accent1" w:themeFillTint="66"/>
            <w:vAlign w:val="center"/>
          </w:tcPr>
          <w:p w:rsidR="00102D31" w:rsidRPr="006E0B8C" w:rsidRDefault="00102D31" w:rsidP="00CE50DD">
            <w:pPr>
              <w:spacing w:after="0"/>
              <w:ind w:firstLine="0"/>
              <w:jc w:val="right"/>
              <w:rPr>
                <w:rFonts w:ascii="Arial" w:hAnsi="Arial" w:cs="Arial"/>
                <w:sz w:val="15"/>
                <w:szCs w:val="15"/>
              </w:rPr>
            </w:pPr>
            <w:r w:rsidRPr="006E0B8C">
              <w:rPr>
                <w:rFonts w:ascii="Arial" w:hAnsi="Arial" w:cs="Arial"/>
                <w:sz w:val="15"/>
                <w:szCs w:val="15"/>
              </w:rPr>
              <w:t xml:space="preserve">Presupuesto </w:t>
            </w:r>
            <w:proofErr w:type="spellStart"/>
            <w:r w:rsidRPr="006E0B8C">
              <w:rPr>
                <w:rFonts w:ascii="Arial" w:hAnsi="Arial" w:cs="Arial"/>
                <w:sz w:val="15"/>
                <w:szCs w:val="15"/>
              </w:rPr>
              <w:t>Convocat</w:t>
            </w:r>
            <w:proofErr w:type="spellEnd"/>
            <w:r w:rsidR="00CE50DD">
              <w:rPr>
                <w:rFonts w:ascii="Arial" w:hAnsi="Arial" w:cs="Arial"/>
                <w:sz w:val="15"/>
                <w:szCs w:val="15"/>
              </w:rPr>
              <w:t>.</w:t>
            </w:r>
          </w:p>
        </w:tc>
        <w:tc>
          <w:tcPr>
            <w:tcW w:w="789" w:type="dxa"/>
            <w:shd w:val="clear" w:color="auto" w:fill="B8CCE4" w:themeFill="accent1" w:themeFillTint="66"/>
            <w:vAlign w:val="center"/>
          </w:tcPr>
          <w:p w:rsidR="00102D31" w:rsidRPr="006E0B8C" w:rsidRDefault="00102D31" w:rsidP="00FD6651">
            <w:pPr>
              <w:spacing w:after="0"/>
              <w:ind w:firstLine="0"/>
              <w:jc w:val="right"/>
              <w:rPr>
                <w:rFonts w:ascii="Arial" w:hAnsi="Arial" w:cs="Arial"/>
                <w:sz w:val="15"/>
                <w:szCs w:val="15"/>
              </w:rPr>
            </w:pPr>
            <w:r w:rsidRPr="006E0B8C">
              <w:rPr>
                <w:rFonts w:ascii="Arial" w:hAnsi="Arial" w:cs="Arial"/>
                <w:sz w:val="15"/>
                <w:szCs w:val="15"/>
              </w:rPr>
              <w:t>Nº Solic</w:t>
            </w:r>
            <w:r w:rsidRPr="006E0B8C">
              <w:rPr>
                <w:rFonts w:ascii="Arial" w:hAnsi="Arial" w:cs="Arial"/>
                <w:sz w:val="15"/>
                <w:szCs w:val="15"/>
              </w:rPr>
              <w:t>i</w:t>
            </w:r>
            <w:r w:rsidRPr="006E0B8C">
              <w:rPr>
                <w:rFonts w:ascii="Arial" w:hAnsi="Arial" w:cs="Arial"/>
                <w:sz w:val="15"/>
                <w:szCs w:val="15"/>
              </w:rPr>
              <w:t>tantes</w:t>
            </w:r>
          </w:p>
        </w:tc>
        <w:tc>
          <w:tcPr>
            <w:tcW w:w="819" w:type="dxa"/>
            <w:shd w:val="clear" w:color="auto" w:fill="B8CCE4" w:themeFill="accent1" w:themeFillTint="66"/>
            <w:vAlign w:val="center"/>
          </w:tcPr>
          <w:p w:rsidR="00102D31" w:rsidRPr="006E0B8C" w:rsidRDefault="00102D31" w:rsidP="00E80CB3">
            <w:pPr>
              <w:spacing w:after="0"/>
              <w:ind w:firstLine="0"/>
              <w:jc w:val="right"/>
              <w:rPr>
                <w:rFonts w:ascii="Arial" w:hAnsi="Arial" w:cs="Arial"/>
                <w:sz w:val="15"/>
                <w:szCs w:val="15"/>
              </w:rPr>
            </w:pPr>
            <w:r w:rsidRPr="006E0B8C">
              <w:rPr>
                <w:rFonts w:ascii="Arial" w:hAnsi="Arial" w:cs="Arial"/>
                <w:sz w:val="15"/>
                <w:szCs w:val="15"/>
              </w:rPr>
              <w:t xml:space="preserve">Nº </w:t>
            </w:r>
            <w:r w:rsidR="00E80CB3">
              <w:rPr>
                <w:rFonts w:ascii="Arial" w:hAnsi="Arial" w:cs="Arial"/>
                <w:sz w:val="15"/>
                <w:szCs w:val="15"/>
              </w:rPr>
              <w:t>Conc</w:t>
            </w:r>
            <w:r w:rsidR="00E80CB3">
              <w:rPr>
                <w:rFonts w:ascii="Arial" w:hAnsi="Arial" w:cs="Arial"/>
                <w:sz w:val="15"/>
                <w:szCs w:val="15"/>
              </w:rPr>
              <w:t>e</w:t>
            </w:r>
            <w:r w:rsidR="00E80CB3">
              <w:rPr>
                <w:rFonts w:ascii="Arial" w:hAnsi="Arial" w:cs="Arial"/>
                <w:sz w:val="15"/>
                <w:szCs w:val="15"/>
              </w:rPr>
              <w:t>siones</w:t>
            </w:r>
          </w:p>
        </w:tc>
        <w:tc>
          <w:tcPr>
            <w:tcW w:w="1044" w:type="dxa"/>
            <w:shd w:val="clear" w:color="auto" w:fill="B8CCE4" w:themeFill="accent1" w:themeFillTint="66"/>
            <w:vAlign w:val="center"/>
          </w:tcPr>
          <w:p w:rsidR="00CE50DD" w:rsidRDefault="00102D31" w:rsidP="00FD6651">
            <w:pPr>
              <w:spacing w:after="0"/>
              <w:ind w:firstLine="0"/>
              <w:jc w:val="right"/>
              <w:rPr>
                <w:rFonts w:ascii="Arial" w:hAnsi="Arial" w:cs="Arial"/>
                <w:sz w:val="15"/>
                <w:szCs w:val="15"/>
              </w:rPr>
            </w:pPr>
            <w:r w:rsidRPr="006E0B8C">
              <w:rPr>
                <w:rFonts w:ascii="Arial" w:hAnsi="Arial" w:cs="Arial"/>
                <w:sz w:val="15"/>
                <w:szCs w:val="15"/>
              </w:rPr>
              <w:t xml:space="preserve">Nº </w:t>
            </w:r>
            <w:proofErr w:type="spellStart"/>
            <w:r w:rsidRPr="006E0B8C">
              <w:rPr>
                <w:rFonts w:ascii="Arial" w:hAnsi="Arial" w:cs="Arial"/>
                <w:sz w:val="15"/>
                <w:szCs w:val="15"/>
              </w:rPr>
              <w:t>Deneg</w:t>
            </w:r>
            <w:proofErr w:type="spellEnd"/>
            <w:r w:rsidR="00CE50DD">
              <w:rPr>
                <w:rFonts w:ascii="Arial" w:hAnsi="Arial" w:cs="Arial"/>
                <w:sz w:val="15"/>
                <w:szCs w:val="15"/>
              </w:rPr>
              <w:t xml:space="preserve">. </w:t>
            </w:r>
          </w:p>
          <w:p w:rsidR="00102D31" w:rsidRPr="006E0B8C" w:rsidRDefault="002852E9" w:rsidP="00FD6651">
            <w:pPr>
              <w:spacing w:after="0"/>
              <w:ind w:firstLine="0"/>
              <w:jc w:val="right"/>
              <w:rPr>
                <w:rFonts w:ascii="Arial" w:hAnsi="Arial" w:cs="Arial"/>
                <w:sz w:val="15"/>
                <w:szCs w:val="15"/>
              </w:rPr>
            </w:pPr>
            <w:r>
              <w:rPr>
                <w:rFonts w:ascii="Arial" w:hAnsi="Arial" w:cs="Arial"/>
                <w:sz w:val="15"/>
                <w:szCs w:val="15"/>
              </w:rPr>
              <w:t>in</w:t>
            </w:r>
            <w:r w:rsidR="00FD6651">
              <w:rPr>
                <w:rFonts w:ascii="Arial" w:hAnsi="Arial" w:cs="Arial"/>
                <w:sz w:val="15"/>
                <w:szCs w:val="15"/>
              </w:rPr>
              <w:t>admitidos</w:t>
            </w:r>
          </w:p>
        </w:tc>
        <w:tc>
          <w:tcPr>
            <w:tcW w:w="1003" w:type="dxa"/>
            <w:shd w:val="clear" w:color="auto" w:fill="B8CCE4" w:themeFill="accent1" w:themeFillTint="66"/>
            <w:vAlign w:val="center"/>
          </w:tcPr>
          <w:p w:rsidR="00102D31" w:rsidRPr="006E0B8C" w:rsidRDefault="00102D31" w:rsidP="006C1E66">
            <w:pPr>
              <w:spacing w:after="0"/>
              <w:ind w:firstLine="0"/>
              <w:jc w:val="right"/>
              <w:rPr>
                <w:rFonts w:ascii="Arial" w:hAnsi="Arial" w:cs="Arial"/>
                <w:sz w:val="15"/>
                <w:szCs w:val="15"/>
              </w:rPr>
            </w:pPr>
            <w:r w:rsidRPr="006E0B8C">
              <w:rPr>
                <w:rFonts w:ascii="Arial" w:hAnsi="Arial" w:cs="Arial"/>
                <w:sz w:val="15"/>
                <w:szCs w:val="15"/>
              </w:rPr>
              <w:t xml:space="preserve">nº </w:t>
            </w:r>
            <w:proofErr w:type="spellStart"/>
            <w:r w:rsidRPr="006E0B8C">
              <w:rPr>
                <w:rFonts w:ascii="Arial" w:hAnsi="Arial" w:cs="Arial"/>
                <w:sz w:val="15"/>
                <w:szCs w:val="15"/>
              </w:rPr>
              <w:t>deneg</w:t>
            </w:r>
            <w:proofErr w:type="spellEnd"/>
            <w:r w:rsidR="006C1E66">
              <w:rPr>
                <w:rFonts w:ascii="Arial" w:hAnsi="Arial" w:cs="Arial"/>
                <w:sz w:val="15"/>
                <w:szCs w:val="15"/>
              </w:rPr>
              <w:t>.</w:t>
            </w:r>
            <w:r w:rsidRPr="006E0B8C">
              <w:rPr>
                <w:rFonts w:ascii="Arial" w:hAnsi="Arial" w:cs="Arial"/>
                <w:sz w:val="15"/>
                <w:szCs w:val="15"/>
              </w:rPr>
              <w:t xml:space="preserve"> falta </w:t>
            </w:r>
            <w:proofErr w:type="spellStart"/>
            <w:r w:rsidRPr="006E0B8C">
              <w:rPr>
                <w:rFonts w:ascii="Arial" w:hAnsi="Arial" w:cs="Arial"/>
                <w:sz w:val="15"/>
                <w:szCs w:val="15"/>
              </w:rPr>
              <w:t>ppto</w:t>
            </w:r>
            <w:proofErr w:type="spellEnd"/>
          </w:p>
        </w:tc>
        <w:tc>
          <w:tcPr>
            <w:tcW w:w="992" w:type="dxa"/>
            <w:shd w:val="clear" w:color="auto" w:fill="B8CCE4" w:themeFill="accent1" w:themeFillTint="66"/>
            <w:vAlign w:val="center"/>
          </w:tcPr>
          <w:p w:rsidR="00102D31" w:rsidRPr="006E0B8C" w:rsidRDefault="00102D31" w:rsidP="006C1E66">
            <w:pPr>
              <w:spacing w:after="0"/>
              <w:ind w:firstLine="0"/>
              <w:jc w:val="right"/>
              <w:rPr>
                <w:rFonts w:ascii="Arial" w:hAnsi="Arial" w:cs="Arial"/>
                <w:sz w:val="15"/>
                <w:szCs w:val="15"/>
              </w:rPr>
            </w:pPr>
            <w:r w:rsidRPr="006E0B8C">
              <w:rPr>
                <w:rFonts w:ascii="Arial" w:hAnsi="Arial" w:cs="Arial"/>
                <w:sz w:val="15"/>
                <w:szCs w:val="15"/>
              </w:rPr>
              <w:t xml:space="preserve">% </w:t>
            </w:r>
            <w:proofErr w:type="spellStart"/>
            <w:r w:rsidRPr="006E0B8C">
              <w:rPr>
                <w:rFonts w:ascii="Arial" w:hAnsi="Arial" w:cs="Arial"/>
                <w:sz w:val="15"/>
                <w:szCs w:val="15"/>
              </w:rPr>
              <w:t>Deneg</w:t>
            </w:r>
            <w:proofErr w:type="spellEnd"/>
            <w:r w:rsidR="006C1E66">
              <w:rPr>
                <w:rFonts w:ascii="Arial" w:hAnsi="Arial" w:cs="Arial"/>
                <w:sz w:val="15"/>
                <w:szCs w:val="15"/>
              </w:rPr>
              <w:t>.</w:t>
            </w:r>
            <w:r w:rsidRPr="006E0B8C">
              <w:rPr>
                <w:rFonts w:ascii="Arial" w:hAnsi="Arial" w:cs="Arial"/>
                <w:sz w:val="15"/>
                <w:szCs w:val="15"/>
              </w:rPr>
              <w:t xml:space="preserve"> /solicitudes</w:t>
            </w:r>
          </w:p>
        </w:tc>
        <w:tc>
          <w:tcPr>
            <w:tcW w:w="1016" w:type="dxa"/>
            <w:shd w:val="clear" w:color="auto" w:fill="B8CCE4" w:themeFill="accent1" w:themeFillTint="66"/>
            <w:vAlign w:val="center"/>
          </w:tcPr>
          <w:p w:rsidR="00CE50DD" w:rsidRDefault="00102D31" w:rsidP="00FD6651">
            <w:pPr>
              <w:spacing w:after="0"/>
              <w:ind w:firstLine="0"/>
              <w:jc w:val="right"/>
              <w:rPr>
                <w:rFonts w:ascii="Arial" w:hAnsi="Arial" w:cs="Arial"/>
                <w:sz w:val="15"/>
                <w:szCs w:val="15"/>
              </w:rPr>
            </w:pPr>
            <w:r w:rsidRPr="006E0B8C">
              <w:rPr>
                <w:rFonts w:ascii="Arial" w:hAnsi="Arial" w:cs="Arial"/>
                <w:sz w:val="15"/>
                <w:szCs w:val="15"/>
              </w:rPr>
              <w:t xml:space="preserve">Importe  </w:t>
            </w:r>
          </w:p>
          <w:p w:rsidR="00102D31" w:rsidRPr="006E0B8C" w:rsidRDefault="00102D31" w:rsidP="00FD6651">
            <w:pPr>
              <w:spacing w:after="0"/>
              <w:ind w:firstLine="0"/>
              <w:jc w:val="right"/>
              <w:rPr>
                <w:rFonts w:ascii="Arial" w:hAnsi="Arial" w:cs="Arial"/>
                <w:sz w:val="15"/>
                <w:szCs w:val="15"/>
              </w:rPr>
            </w:pPr>
            <w:r w:rsidRPr="006E0B8C">
              <w:rPr>
                <w:rFonts w:ascii="Arial" w:hAnsi="Arial" w:cs="Arial"/>
                <w:sz w:val="15"/>
                <w:szCs w:val="15"/>
              </w:rPr>
              <w:t>concesión</w:t>
            </w:r>
          </w:p>
        </w:tc>
        <w:tc>
          <w:tcPr>
            <w:tcW w:w="669" w:type="dxa"/>
            <w:shd w:val="clear" w:color="auto" w:fill="B8CCE4" w:themeFill="accent1" w:themeFillTint="66"/>
            <w:vAlign w:val="center"/>
          </w:tcPr>
          <w:p w:rsidR="00102D31" w:rsidRPr="006E0B8C" w:rsidRDefault="00102D31" w:rsidP="00FD6651">
            <w:pPr>
              <w:spacing w:after="0"/>
              <w:ind w:firstLine="0"/>
              <w:rPr>
                <w:rFonts w:ascii="Arial" w:hAnsi="Arial" w:cs="Arial"/>
                <w:sz w:val="15"/>
                <w:szCs w:val="15"/>
              </w:rPr>
            </w:pPr>
            <w:r w:rsidRPr="006E0B8C">
              <w:rPr>
                <w:rFonts w:ascii="Arial" w:hAnsi="Arial" w:cs="Arial"/>
                <w:sz w:val="15"/>
                <w:szCs w:val="15"/>
              </w:rPr>
              <w:t>Concesión /</w:t>
            </w:r>
            <w:proofErr w:type="spellStart"/>
            <w:r w:rsidRPr="006E0B8C">
              <w:rPr>
                <w:rFonts w:ascii="Arial" w:hAnsi="Arial" w:cs="Arial"/>
                <w:sz w:val="15"/>
                <w:szCs w:val="15"/>
              </w:rPr>
              <w:t>ppto</w:t>
            </w:r>
            <w:proofErr w:type="spellEnd"/>
            <w:r w:rsidRPr="006E0B8C">
              <w:rPr>
                <w:rFonts w:ascii="Arial" w:hAnsi="Arial" w:cs="Arial"/>
                <w:sz w:val="15"/>
                <w:szCs w:val="15"/>
              </w:rPr>
              <w:t>.</w:t>
            </w:r>
          </w:p>
        </w:tc>
        <w:tc>
          <w:tcPr>
            <w:tcW w:w="1094" w:type="dxa"/>
            <w:shd w:val="clear" w:color="auto" w:fill="B8CCE4" w:themeFill="accent1" w:themeFillTint="66"/>
            <w:vAlign w:val="center"/>
          </w:tcPr>
          <w:p w:rsidR="00102D31" w:rsidRPr="006E0B8C" w:rsidRDefault="00102D31" w:rsidP="00FD6651">
            <w:pPr>
              <w:spacing w:after="0"/>
              <w:ind w:firstLine="0"/>
              <w:jc w:val="right"/>
              <w:rPr>
                <w:rFonts w:ascii="Arial" w:hAnsi="Arial" w:cs="Arial"/>
                <w:sz w:val="15"/>
                <w:szCs w:val="15"/>
              </w:rPr>
            </w:pPr>
            <w:r w:rsidRPr="006E0B8C">
              <w:rPr>
                <w:rFonts w:ascii="Arial" w:hAnsi="Arial" w:cs="Arial"/>
                <w:sz w:val="15"/>
                <w:szCs w:val="15"/>
              </w:rPr>
              <w:t>Importes    abonados</w:t>
            </w:r>
          </w:p>
        </w:tc>
        <w:tc>
          <w:tcPr>
            <w:tcW w:w="693" w:type="dxa"/>
            <w:shd w:val="clear" w:color="auto" w:fill="B8CCE4" w:themeFill="accent1" w:themeFillTint="66"/>
            <w:vAlign w:val="center"/>
          </w:tcPr>
          <w:p w:rsidR="00102D31" w:rsidRPr="006E0B8C" w:rsidRDefault="00102D31" w:rsidP="00FD6651">
            <w:pPr>
              <w:spacing w:after="0"/>
              <w:ind w:firstLine="0"/>
              <w:rPr>
                <w:rFonts w:ascii="Arial" w:hAnsi="Arial" w:cs="Arial"/>
                <w:sz w:val="15"/>
                <w:szCs w:val="15"/>
              </w:rPr>
            </w:pPr>
            <w:r w:rsidRPr="006E0B8C">
              <w:rPr>
                <w:rFonts w:ascii="Arial" w:hAnsi="Arial" w:cs="Arial"/>
                <w:sz w:val="15"/>
                <w:szCs w:val="15"/>
              </w:rPr>
              <w:t>%Abonado /concedido</w:t>
            </w:r>
          </w:p>
        </w:tc>
        <w:tc>
          <w:tcPr>
            <w:tcW w:w="614" w:type="dxa"/>
            <w:shd w:val="clear" w:color="auto" w:fill="B8CCE4" w:themeFill="accent1" w:themeFillTint="66"/>
            <w:vAlign w:val="center"/>
          </w:tcPr>
          <w:p w:rsidR="00102D31" w:rsidRPr="006E0B8C" w:rsidRDefault="00102D31" w:rsidP="00FD6651">
            <w:pPr>
              <w:spacing w:after="0"/>
              <w:ind w:firstLine="0"/>
              <w:jc w:val="right"/>
              <w:rPr>
                <w:rFonts w:ascii="Arial" w:hAnsi="Arial" w:cs="Arial"/>
                <w:sz w:val="15"/>
                <w:szCs w:val="15"/>
              </w:rPr>
            </w:pPr>
            <w:r w:rsidRPr="006E0B8C">
              <w:rPr>
                <w:rFonts w:ascii="Arial" w:hAnsi="Arial" w:cs="Arial"/>
                <w:sz w:val="15"/>
                <w:szCs w:val="15"/>
              </w:rPr>
              <w:t>% Ab</w:t>
            </w:r>
            <w:r w:rsidRPr="006E0B8C">
              <w:rPr>
                <w:rFonts w:ascii="Arial" w:hAnsi="Arial" w:cs="Arial"/>
                <w:sz w:val="15"/>
                <w:szCs w:val="15"/>
              </w:rPr>
              <w:t>o</w:t>
            </w:r>
            <w:r w:rsidRPr="006E0B8C">
              <w:rPr>
                <w:rFonts w:ascii="Arial" w:hAnsi="Arial" w:cs="Arial"/>
                <w:sz w:val="15"/>
                <w:szCs w:val="15"/>
              </w:rPr>
              <w:t xml:space="preserve">nado/ </w:t>
            </w:r>
            <w:proofErr w:type="spellStart"/>
            <w:r w:rsidRPr="006E0B8C">
              <w:rPr>
                <w:rFonts w:ascii="Arial" w:hAnsi="Arial" w:cs="Arial"/>
                <w:sz w:val="15"/>
                <w:szCs w:val="15"/>
              </w:rPr>
              <w:t>ppto</w:t>
            </w:r>
            <w:proofErr w:type="spellEnd"/>
          </w:p>
        </w:tc>
        <w:tc>
          <w:tcPr>
            <w:tcW w:w="1027" w:type="dxa"/>
            <w:shd w:val="clear" w:color="auto" w:fill="B8CCE4" w:themeFill="accent1" w:themeFillTint="66"/>
            <w:vAlign w:val="center"/>
          </w:tcPr>
          <w:p w:rsidR="00102D31" w:rsidRDefault="00102D31" w:rsidP="00FD6651">
            <w:pPr>
              <w:spacing w:after="0"/>
              <w:ind w:firstLine="0"/>
              <w:jc w:val="right"/>
              <w:rPr>
                <w:rFonts w:ascii="Arial" w:hAnsi="Arial" w:cs="Arial"/>
                <w:sz w:val="15"/>
                <w:szCs w:val="15"/>
              </w:rPr>
            </w:pPr>
            <w:r w:rsidRPr="006E0B8C">
              <w:rPr>
                <w:rFonts w:ascii="Arial" w:hAnsi="Arial" w:cs="Arial"/>
                <w:sz w:val="15"/>
                <w:szCs w:val="15"/>
              </w:rPr>
              <w:t>Total</w:t>
            </w:r>
          </w:p>
          <w:p w:rsidR="00102D31" w:rsidRPr="006E0B8C" w:rsidRDefault="002A51C9" w:rsidP="00FD6651">
            <w:pPr>
              <w:spacing w:after="0"/>
              <w:ind w:firstLine="0"/>
              <w:jc w:val="right"/>
              <w:rPr>
                <w:rFonts w:ascii="Arial" w:hAnsi="Arial" w:cs="Arial"/>
                <w:sz w:val="15"/>
                <w:szCs w:val="15"/>
              </w:rPr>
            </w:pPr>
            <w:r w:rsidRPr="006E0B8C">
              <w:rPr>
                <w:rFonts w:ascii="Arial" w:hAnsi="Arial" w:cs="Arial"/>
                <w:sz w:val="15"/>
                <w:szCs w:val="15"/>
              </w:rPr>
              <w:t>E</w:t>
            </w:r>
            <w:r w:rsidR="00102D31" w:rsidRPr="006E0B8C">
              <w:rPr>
                <w:rFonts w:ascii="Arial" w:hAnsi="Arial" w:cs="Arial"/>
                <w:sz w:val="15"/>
                <w:szCs w:val="15"/>
              </w:rPr>
              <w:t>mpresas</w:t>
            </w:r>
            <w:r>
              <w:rPr>
                <w:rFonts w:ascii="Arial" w:hAnsi="Arial" w:cs="Arial"/>
                <w:sz w:val="15"/>
                <w:szCs w:val="15"/>
              </w:rPr>
              <w:t xml:space="preserve"> y </w:t>
            </w:r>
            <w:proofErr w:type="spellStart"/>
            <w:r>
              <w:rPr>
                <w:rFonts w:ascii="Arial" w:hAnsi="Arial" w:cs="Arial"/>
                <w:sz w:val="15"/>
                <w:szCs w:val="15"/>
              </w:rPr>
              <w:t>autonomos</w:t>
            </w:r>
            <w:proofErr w:type="spellEnd"/>
          </w:p>
        </w:tc>
        <w:tc>
          <w:tcPr>
            <w:tcW w:w="846" w:type="dxa"/>
            <w:shd w:val="clear" w:color="auto" w:fill="B8CCE4" w:themeFill="accent1" w:themeFillTint="66"/>
            <w:vAlign w:val="center"/>
          </w:tcPr>
          <w:p w:rsidR="00102D31" w:rsidRPr="006E0B8C" w:rsidRDefault="00CC2BE2" w:rsidP="00FD6651">
            <w:pPr>
              <w:spacing w:after="0"/>
              <w:ind w:firstLine="0"/>
              <w:jc w:val="right"/>
              <w:rPr>
                <w:rFonts w:ascii="Arial" w:hAnsi="Arial" w:cs="Arial"/>
                <w:sz w:val="15"/>
                <w:szCs w:val="15"/>
              </w:rPr>
            </w:pPr>
            <w:r>
              <w:rPr>
                <w:rFonts w:ascii="Arial" w:hAnsi="Arial" w:cs="Arial"/>
                <w:sz w:val="15"/>
                <w:szCs w:val="15"/>
              </w:rPr>
              <w:t>%</w:t>
            </w:r>
            <w:r w:rsidR="00102D31" w:rsidRPr="006E0B8C">
              <w:rPr>
                <w:rFonts w:ascii="Arial" w:hAnsi="Arial" w:cs="Arial"/>
                <w:sz w:val="15"/>
                <w:szCs w:val="15"/>
              </w:rPr>
              <w:t xml:space="preserve">Empresas/ Total </w:t>
            </w:r>
            <w:proofErr w:type="spellStart"/>
            <w:r w:rsidR="00102D31" w:rsidRPr="006E0B8C">
              <w:rPr>
                <w:rFonts w:ascii="Arial" w:hAnsi="Arial" w:cs="Arial"/>
                <w:sz w:val="15"/>
                <w:szCs w:val="15"/>
              </w:rPr>
              <w:t>conc</w:t>
            </w:r>
            <w:proofErr w:type="spellEnd"/>
            <w:r w:rsidR="00102D31" w:rsidRPr="006E0B8C">
              <w:rPr>
                <w:rFonts w:ascii="Arial" w:hAnsi="Arial" w:cs="Arial"/>
                <w:sz w:val="15"/>
                <w:szCs w:val="15"/>
              </w:rPr>
              <w:t>.</w:t>
            </w:r>
          </w:p>
        </w:tc>
      </w:tr>
      <w:tr w:rsidR="00102D31" w:rsidRPr="00CE50DD" w:rsidTr="006C1E66">
        <w:trPr>
          <w:trHeight w:val="1201"/>
        </w:trPr>
        <w:tc>
          <w:tcPr>
            <w:tcW w:w="1560" w:type="dxa"/>
            <w:vAlign w:val="center"/>
          </w:tcPr>
          <w:p w:rsidR="00102D31" w:rsidRPr="00CE50DD" w:rsidRDefault="00102D31" w:rsidP="00FD6651">
            <w:pPr>
              <w:spacing w:after="0"/>
              <w:ind w:firstLine="0"/>
              <w:jc w:val="left"/>
              <w:rPr>
                <w:rFonts w:ascii="Arial Narrow" w:hAnsi="Arial Narrow" w:cs="Calibri"/>
                <w:color w:val="000000"/>
                <w:sz w:val="16"/>
                <w:szCs w:val="16"/>
                <w:lang w:val="es-ES" w:eastAsia="es-ES"/>
              </w:rPr>
            </w:pPr>
            <w:r w:rsidRPr="00CE50DD">
              <w:rPr>
                <w:rFonts w:ascii="Arial Narrow" w:hAnsi="Arial Narrow" w:cs="Calibri"/>
                <w:color w:val="000000"/>
                <w:sz w:val="16"/>
                <w:szCs w:val="16"/>
              </w:rPr>
              <w:t>Ayudas co</w:t>
            </w:r>
            <w:r w:rsidRPr="00CE50DD">
              <w:rPr>
                <w:rFonts w:ascii="Arial Narrow" w:hAnsi="Arial Narrow" w:cs="Calibri"/>
                <w:color w:val="000000"/>
                <w:sz w:val="16"/>
                <w:szCs w:val="16"/>
              </w:rPr>
              <w:t>n</w:t>
            </w:r>
            <w:r w:rsidRPr="00CE50DD">
              <w:rPr>
                <w:rFonts w:ascii="Arial Narrow" w:hAnsi="Arial Narrow" w:cs="Calibri"/>
                <w:color w:val="000000"/>
                <w:sz w:val="16"/>
                <w:szCs w:val="16"/>
              </w:rPr>
              <w:t>tratación de doctorandos y doctorandas por empresas y organismos de investig</w:t>
            </w:r>
            <w:r w:rsidRPr="00CE50DD">
              <w:rPr>
                <w:rFonts w:ascii="Arial Narrow" w:hAnsi="Arial Narrow" w:cs="Calibri"/>
                <w:color w:val="000000"/>
                <w:sz w:val="16"/>
                <w:szCs w:val="16"/>
              </w:rPr>
              <w:t>a</w:t>
            </w:r>
            <w:r w:rsidRPr="00CE50DD">
              <w:rPr>
                <w:rFonts w:ascii="Arial Narrow" w:hAnsi="Arial Narrow" w:cs="Calibri"/>
                <w:color w:val="000000"/>
                <w:sz w:val="16"/>
                <w:szCs w:val="16"/>
              </w:rPr>
              <w:t>ción y difusión de conoc</w:t>
            </w:r>
            <w:r w:rsidRPr="00CE50DD">
              <w:rPr>
                <w:rFonts w:ascii="Arial Narrow" w:hAnsi="Arial Narrow" w:cs="Calibri"/>
                <w:color w:val="000000"/>
                <w:sz w:val="16"/>
                <w:szCs w:val="16"/>
              </w:rPr>
              <w:t>i</w:t>
            </w:r>
            <w:r w:rsidRPr="00CE50DD">
              <w:rPr>
                <w:rFonts w:ascii="Arial Narrow" w:hAnsi="Arial Narrow" w:cs="Calibri"/>
                <w:color w:val="000000"/>
                <w:sz w:val="16"/>
                <w:szCs w:val="16"/>
              </w:rPr>
              <w:t>mientos</w:t>
            </w:r>
          </w:p>
        </w:tc>
        <w:tc>
          <w:tcPr>
            <w:tcW w:w="1201" w:type="dxa"/>
            <w:vAlign w:val="center"/>
          </w:tcPr>
          <w:p w:rsidR="00102D31" w:rsidRPr="00CE50DD" w:rsidRDefault="00102D31" w:rsidP="00FD6651">
            <w:pPr>
              <w:spacing w:after="0"/>
              <w:ind w:firstLine="0"/>
              <w:jc w:val="left"/>
              <w:rPr>
                <w:rFonts w:ascii="Arial Narrow" w:hAnsi="Arial Narrow" w:cs="Calibri"/>
                <w:color w:val="000000"/>
                <w:sz w:val="16"/>
                <w:szCs w:val="16"/>
                <w:lang w:val="es-ES" w:eastAsia="es-ES"/>
              </w:rPr>
            </w:pPr>
            <w:r w:rsidRPr="00CE50DD">
              <w:rPr>
                <w:rFonts w:ascii="Arial Narrow" w:hAnsi="Arial Narrow" w:cs="Calibri"/>
                <w:color w:val="000000"/>
                <w:sz w:val="16"/>
                <w:szCs w:val="16"/>
              </w:rPr>
              <w:t>Concurrencia competitiva</w:t>
            </w:r>
          </w:p>
        </w:tc>
        <w:tc>
          <w:tcPr>
            <w:tcW w:w="875"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Plurianual</w:t>
            </w:r>
          </w:p>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3 años</w:t>
            </w:r>
          </w:p>
        </w:tc>
        <w:tc>
          <w:tcPr>
            <w:tcW w:w="1073" w:type="dxa"/>
            <w:vAlign w:val="center"/>
          </w:tcPr>
          <w:p w:rsidR="00102D31" w:rsidRPr="00CE50DD" w:rsidRDefault="00A5744A"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1.500.000</w:t>
            </w:r>
          </w:p>
        </w:tc>
        <w:tc>
          <w:tcPr>
            <w:tcW w:w="789" w:type="dxa"/>
            <w:vAlign w:val="center"/>
          </w:tcPr>
          <w:p w:rsidR="00102D31" w:rsidRPr="00CE50DD" w:rsidRDefault="00102D31" w:rsidP="00FD6651">
            <w:pPr>
              <w:spacing w:after="0"/>
              <w:ind w:firstLine="0"/>
              <w:jc w:val="right"/>
              <w:rPr>
                <w:rFonts w:ascii="Arial Narrow" w:hAnsi="Arial Narrow" w:cs="Calibri"/>
                <w:color w:val="000000"/>
                <w:sz w:val="16"/>
                <w:szCs w:val="16"/>
                <w:lang w:val="es-ES" w:eastAsia="es-ES"/>
              </w:rPr>
            </w:pPr>
            <w:r w:rsidRPr="00CE50DD">
              <w:rPr>
                <w:rFonts w:ascii="Arial Narrow" w:hAnsi="Arial Narrow" w:cs="Calibri"/>
                <w:color w:val="000000"/>
                <w:sz w:val="16"/>
                <w:szCs w:val="16"/>
              </w:rPr>
              <w:t>32</w:t>
            </w:r>
          </w:p>
        </w:tc>
        <w:tc>
          <w:tcPr>
            <w:tcW w:w="819"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17</w:t>
            </w:r>
          </w:p>
        </w:tc>
        <w:tc>
          <w:tcPr>
            <w:tcW w:w="1044"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15</w:t>
            </w:r>
          </w:p>
        </w:tc>
        <w:tc>
          <w:tcPr>
            <w:tcW w:w="1003"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13</w:t>
            </w:r>
          </w:p>
        </w:tc>
        <w:tc>
          <w:tcPr>
            <w:tcW w:w="992"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47%</w:t>
            </w:r>
          </w:p>
        </w:tc>
        <w:tc>
          <w:tcPr>
            <w:tcW w:w="1016" w:type="dxa"/>
            <w:vAlign w:val="center"/>
          </w:tcPr>
          <w:p w:rsidR="00102D31" w:rsidRPr="00CE50DD" w:rsidRDefault="00A5744A" w:rsidP="00FD6651">
            <w:pPr>
              <w:spacing w:after="0"/>
              <w:ind w:firstLine="0"/>
              <w:jc w:val="right"/>
              <w:rPr>
                <w:rFonts w:ascii="Arial Narrow" w:hAnsi="Arial Narrow" w:cs="Calibri"/>
                <w:color w:val="000000"/>
                <w:sz w:val="16"/>
                <w:szCs w:val="16"/>
                <w:lang w:val="es-ES" w:eastAsia="es-ES"/>
              </w:rPr>
            </w:pPr>
            <w:r w:rsidRPr="00CE50DD">
              <w:rPr>
                <w:rFonts w:ascii="Arial Narrow" w:hAnsi="Arial Narrow" w:cs="Calibri"/>
                <w:color w:val="000000"/>
                <w:sz w:val="16"/>
                <w:szCs w:val="16"/>
              </w:rPr>
              <w:t>1.455.262</w:t>
            </w:r>
          </w:p>
        </w:tc>
        <w:tc>
          <w:tcPr>
            <w:tcW w:w="669" w:type="dxa"/>
            <w:vAlign w:val="center"/>
          </w:tcPr>
          <w:p w:rsidR="00102D31" w:rsidRPr="00CE50DD" w:rsidRDefault="003B50A5"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97</w:t>
            </w:r>
          </w:p>
        </w:tc>
        <w:tc>
          <w:tcPr>
            <w:tcW w:w="1094" w:type="dxa"/>
            <w:vAlign w:val="center"/>
          </w:tcPr>
          <w:p w:rsidR="00102D31" w:rsidRPr="00CE50DD" w:rsidRDefault="00A5744A"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1.029.561</w:t>
            </w:r>
          </w:p>
        </w:tc>
        <w:tc>
          <w:tcPr>
            <w:tcW w:w="693" w:type="dxa"/>
            <w:vAlign w:val="center"/>
          </w:tcPr>
          <w:p w:rsidR="00102D31" w:rsidRPr="00CE50DD" w:rsidRDefault="00102D31" w:rsidP="00FD6651">
            <w:pPr>
              <w:spacing w:after="0"/>
              <w:ind w:firstLine="0"/>
              <w:jc w:val="right"/>
              <w:rPr>
                <w:rFonts w:ascii="Arial Narrow" w:hAnsi="Arial Narrow" w:cs="Calibri"/>
                <w:color w:val="000000"/>
                <w:sz w:val="16"/>
                <w:szCs w:val="16"/>
                <w:lang w:val="es-ES" w:eastAsia="es-ES"/>
              </w:rPr>
            </w:pPr>
            <w:r w:rsidRPr="00CE50DD">
              <w:rPr>
                <w:rFonts w:ascii="Arial Narrow" w:hAnsi="Arial Narrow" w:cs="Calibri"/>
                <w:color w:val="000000"/>
                <w:sz w:val="16"/>
                <w:szCs w:val="16"/>
              </w:rPr>
              <w:t>71</w:t>
            </w:r>
          </w:p>
        </w:tc>
        <w:tc>
          <w:tcPr>
            <w:tcW w:w="614" w:type="dxa"/>
            <w:vAlign w:val="center"/>
          </w:tcPr>
          <w:p w:rsidR="00102D31" w:rsidRPr="00CE50DD" w:rsidRDefault="003B50A5"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69</w:t>
            </w:r>
          </w:p>
        </w:tc>
        <w:tc>
          <w:tcPr>
            <w:tcW w:w="1027" w:type="dxa"/>
            <w:vAlign w:val="center"/>
          </w:tcPr>
          <w:p w:rsidR="00102D31" w:rsidRPr="00CE50DD" w:rsidRDefault="00A5744A"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653.148</w:t>
            </w:r>
          </w:p>
        </w:tc>
        <w:tc>
          <w:tcPr>
            <w:tcW w:w="846" w:type="dxa"/>
            <w:vAlign w:val="center"/>
          </w:tcPr>
          <w:p w:rsidR="00102D31" w:rsidRPr="00CE50DD" w:rsidRDefault="00102D31" w:rsidP="00FD6651">
            <w:pPr>
              <w:spacing w:after="0"/>
              <w:ind w:firstLine="0"/>
              <w:jc w:val="right"/>
              <w:rPr>
                <w:rFonts w:ascii="Arial Narrow" w:hAnsi="Arial Narrow" w:cs="Calibri"/>
                <w:color w:val="000000"/>
                <w:sz w:val="16"/>
                <w:szCs w:val="16"/>
                <w:lang w:val="es-ES" w:eastAsia="es-ES"/>
              </w:rPr>
            </w:pPr>
            <w:r w:rsidRPr="00CE50DD">
              <w:rPr>
                <w:rFonts w:ascii="Arial Narrow" w:hAnsi="Arial Narrow" w:cs="Calibri"/>
                <w:color w:val="000000"/>
                <w:sz w:val="16"/>
                <w:szCs w:val="16"/>
              </w:rPr>
              <w:t>63</w:t>
            </w:r>
          </w:p>
        </w:tc>
      </w:tr>
      <w:tr w:rsidR="00102D31" w:rsidRPr="00CE50DD" w:rsidTr="006C1E66">
        <w:trPr>
          <w:trHeight w:val="694"/>
        </w:trPr>
        <w:tc>
          <w:tcPr>
            <w:tcW w:w="1560" w:type="dxa"/>
            <w:vAlign w:val="center"/>
          </w:tcPr>
          <w:p w:rsidR="00102D31" w:rsidRPr="00CE50DD" w:rsidRDefault="00102D31" w:rsidP="00FD6651">
            <w:pPr>
              <w:spacing w:after="0"/>
              <w:ind w:firstLine="0"/>
              <w:rPr>
                <w:rFonts w:ascii="Arial Narrow" w:hAnsi="Arial Narrow" w:cs="Calibri"/>
                <w:color w:val="000000"/>
                <w:sz w:val="16"/>
                <w:szCs w:val="16"/>
              </w:rPr>
            </w:pPr>
            <w:r w:rsidRPr="00CE50DD">
              <w:rPr>
                <w:rFonts w:ascii="Arial Narrow" w:hAnsi="Arial Narrow" w:cs="Calibri"/>
                <w:color w:val="000000"/>
                <w:sz w:val="16"/>
                <w:szCs w:val="16"/>
              </w:rPr>
              <w:t>Incentivos a la contratación de jóvenes por empresas</w:t>
            </w:r>
          </w:p>
        </w:tc>
        <w:tc>
          <w:tcPr>
            <w:tcW w:w="1201" w:type="dxa"/>
            <w:vAlign w:val="center"/>
          </w:tcPr>
          <w:p w:rsidR="00102D31" w:rsidRPr="00CE50DD" w:rsidRDefault="00102D31" w:rsidP="00FD6651">
            <w:pPr>
              <w:spacing w:after="0"/>
              <w:ind w:firstLine="0"/>
              <w:jc w:val="left"/>
              <w:rPr>
                <w:rFonts w:ascii="Arial Narrow" w:hAnsi="Arial Narrow" w:cs="Calibri"/>
                <w:color w:val="000000"/>
                <w:sz w:val="16"/>
                <w:szCs w:val="16"/>
              </w:rPr>
            </w:pPr>
            <w:r w:rsidRPr="00CE50DD">
              <w:rPr>
                <w:rFonts w:ascii="Arial Narrow" w:hAnsi="Arial Narrow" w:cs="Calibri"/>
                <w:color w:val="000000"/>
                <w:sz w:val="16"/>
                <w:szCs w:val="16"/>
              </w:rPr>
              <w:t>Evaluación Individualizada</w:t>
            </w:r>
          </w:p>
        </w:tc>
        <w:tc>
          <w:tcPr>
            <w:tcW w:w="875"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Plurianual</w:t>
            </w:r>
          </w:p>
        </w:tc>
        <w:tc>
          <w:tcPr>
            <w:tcW w:w="1073" w:type="dxa"/>
            <w:vAlign w:val="center"/>
          </w:tcPr>
          <w:p w:rsidR="00102D31" w:rsidRPr="00CE50DD" w:rsidRDefault="00A5744A"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1.480.000</w:t>
            </w:r>
          </w:p>
        </w:tc>
        <w:tc>
          <w:tcPr>
            <w:tcW w:w="789"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368</w:t>
            </w:r>
          </w:p>
        </w:tc>
        <w:tc>
          <w:tcPr>
            <w:tcW w:w="819" w:type="dxa"/>
            <w:vAlign w:val="center"/>
          </w:tcPr>
          <w:p w:rsidR="00102D31" w:rsidRPr="00CE50DD" w:rsidRDefault="00E80CB3"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318</w:t>
            </w:r>
          </w:p>
        </w:tc>
        <w:tc>
          <w:tcPr>
            <w:tcW w:w="1044" w:type="dxa"/>
            <w:vAlign w:val="center"/>
          </w:tcPr>
          <w:p w:rsidR="00102D31" w:rsidRPr="00CE50DD" w:rsidRDefault="00FD665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50</w:t>
            </w:r>
          </w:p>
        </w:tc>
        <w:tc>
          <w:tcPr>
            <w:tcW w:w="1003"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0</w:t>
            </w:r>
          </w:p>
        </w:tc>
        <w:tc>
          <w:tcPr>
            <w:tcW w:w="992"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sz w:val="16"/>
                <w:szCs w:val="16"/>
              </w:rPr>
              <w:t>8%</w:t>
            </w:r>
          </w:p>
        </w:tc>
        <w:tc>
          <w:tcPr>
            <w:tcW w:w="1016" w:type="dxa"/>
            <w:vAlign w:val="center"/>
          </w:tcPr>
          <w:p w:rsidR="00102D31" w:rsidRPr="00CE50DD" w:rsidRDefault="00A5744A"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1.465.860</w:t>
            </w:r>
          </w:p>
        </w:tc>
        <w:tc>
          <w:tcPr>
            <w:tcW w:w="669" w:type="dxa"/>
            <w:vAlign w:val="center"/>
          </w:tcPr>
          <w:p w:rsidR="00102D31" w:rsidRPr="00CE50DD" w:rsidRDefault="003B50A5"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99</w:t>
            </w:r>
          </w:p>
        </w:tc>
        <w:tc>
          <w:tcPr>
            <w:tcW w:w="1094" w:type="dxa"/>
            <w:vAlign w:val="center"/>
          </w:tcPr>
          <w:p w:rsidR="00102D31" w:rsidRPr="00CE50DD" w:rsidRDefault="00A5744A"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1.465.860</w:t>
            </w:r>
          </w:p>
        </w:tc>
        <w:tc>
          <w:tcPr>
            <w:tcW w:w="693" w:type="dxa"/>
            <w:vAlign w:val="center"/>
          </w:tcPr>
          <w:p w:rsidR="00102D31" w:rsidRPr="00CE50DD" w:rsidRDefault="003B50A5"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100</w:t>
            </w:r>
          </w:p>
        </w:tc>
        <w:tc>
          <w:tcPr>
            <w:tcW w:w="614" w:type="dxa"/>
            <w:vAlign w:val="center"/>
          </w:tcPr>
          <w:p w:rsidR="00102D31" w:rsidRPr="00CE50DD" w:rsidRDefault="003B50A5"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99</w:t>
            </w:r>
          </w:p>
        </w:tc>
        <w:tc>
          <w:tcPr>
            <w:tcW w:w="1027" w:type="dxa"/>
            <w:vAlign w:val="center"/>
          </w:tcPr>
          <w:p w:rsidR="00102D31" w:rsidRPr="00CE50DD" w:rsidRDefault="00A5744A"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1.465.860</w:t>
            </w:r>
          </w:p>
        </w:tc>
        <w:tc>
          <w:tcPr>
            <w:tcW w:w="846" w:type="dxa"/>
            <w:vAlign w:val="center"/>
          </w:tcPr>
          <w:p w:rsidR="00102D31" w:rsidRPr="00CE50DD" w:rsidRDefault="00CC2BE2"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100</w:t>
            </w:r>
          </w:p>
        </w:tc>
      </w:tr>
      <w:tr w:rsidR="00102D31" w:rsidRPr="00CE50DD" w:rsidTr="006C1E66">
        <w:trPr>
          <w:trHeight w:val="562"/>
        </w:trPr>
        <w:tc>
          <w:tcPr>
            <w:tcW w:w="1560" w:type="dxa"/>
            <w:vAlign w:val="center"/>
          </w:tcPr>
          <w:p w:rsidR="00102D31" w:rsidRPr="00CE50DD" w:rsidRDefault="00102D31" w:rsidP="00FD6651">
            <w:pPr>
              <w:spacing w:after="0"/>
              <w:ind w:firstLine="0"/>
              <w:rPr>
                <w:rFonts w:ascii="Arial Narrow" w:hAnsi="Arial Narrow" w:cs="Calibri"/>
                <w:color w:val="000000"/>
                <w:sz w:val="16"/>
                <w:szCs w:val="16"/>
              </w:rPr>
            </w:pPr>
            <w:r w:rsidRPr="00CE50DD">
              <w:rPr>
                <w:rFonts w:ascii="Arial Narrow" w:hAnsi="Arial Narrow" w:cs="Calibri"/>
                <w:color w:val="000000"/>
                <w:sz w:val="16"/>
                <w:szCs w:val="16"/>
              </w:rPr>
              <w:t>Ayudas la inversión a grandes empresas</w:t>
            </w:r>
          </w:p>
        </w:tc>
        <w:tc>
          <w:tcPr>
            <w:tcW w:w="1201" w:type="dxa"/>
            <w:vAlign w:val="center"/>
          </w:tcPr>
          <w:p w:rsidR="00102D31" w:rsidRPr="00CE50DD" w:rsidRDefault="00102D31" w:rsidP="00FD6651">
            <w:pPr>
              <w:spacing w:after="0"/>
              <w:ind w:firstLine="0"/>
              <w:jc w:val="left"/>
              <w:rPr>
                <w:rFonts w:ascii="Arial Narrow" w:hAnsi="Arial Narrow" w:cs="Calibri"/>
                <w:color w:val="000000"/>
                <w:sz w:val="16"/>
                <w:szCs w:val="16"/>
              </w:rPr>
            </w:pPr>
            <w:r w:rsidRPr="00CE50DD">
              <w:rPr>
                <w:rFonts w:ascii="Arial Narrow" w:hAnsi="Arial Narrow" w:cs="Calibri"/>
                <w:color w:val="000000"/>
                <w:sz w:val="16"/>
                <w:szCs w:val="16"/>
              </w:rPr>
              <w:t>Concurrencia competitiva</w:t>
            </w:r>
          </w:p>
        </w:tc>
        <w:tc>
          <w:tcPr>
            <w:tcW w:w="875"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Anual</w:t>
            </w:r>
          </w:p>
        </w:tc>
        <w:tc>
          <w:tcPr>
            <w:tcW w:w="1073" w:type="dxa"/>
            <w:vAlign w:val="center"/>
          </w:tcPr>
          <w:p w:rsidR="00102D31" w:rsidRPr="00CE50DD" w:rsidRDefault="00A5744A"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2.500.000</w:t>
            </w:r>
          </w:p>
        </w:tc>
        <w:tc>
          <w:tcPr>
            <w:tcW w:w="789"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40</w:t>
            </w:r>
          </w:p>
        </w:tc>
        <w:tc>
          <w:tcPr>
            <w:tcW w:w="819"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14</w:t>
            </w:r>
          </w:p>
        </w:tc>
        <w:tc>
          <w:tcPr>
            <w:tcW w:w="1044"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26</w:t>
            </w:r>
          </w:p>
        </w:tc>
        <w:tc>
          <w:tcPr>
            <w:tcW w:w="1003"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21</w:t>
            </w:r>
          </w:p>
        </w:tc>
        <w:tc>
          <w:tcPr>
            <w:tcW w:w="992"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65%</w:t>
            </w:r>
          </w:p>
        </w:tc>
        <w:tc>
          <w:tcPr>
            <w:tcW w:w="1016" w:type="dxa"/>
            <w:vAlign w:val="center"/>
          </w:tcPr>
          <w:p w:rsidR="00102D31" w:rsidRPr="00CE50DD" w:rsidRDefault="00A5744A"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2.500.000</w:t>
            </w:r>
          </w:p>
        </w:tc>
        <w:tc>
          <w:tcPr>
            <w:tcW w:w="669" w:type="dxa"/>
            <w:vAlign w:val="center"/>
          </w:tcPr>
          <w:p w:rsidR="00102D31" w:rsidRPr="00CE50DD" w:rsidRDefault="00102D31" w:rsidP="00FD6651">
            <w:pPr>
              <w:spacing w:after="0"/>
              <w:ind w:firstLine="0"/>
              <w:jc w:val="right"/>
              <w:rPr>
                <w:rFonts w:ascii="Arial Narrow" w:hAnsi="Arial Narrow" w:cs="Calibri"/>
                <w:sz w:val="16"/>
                <w:szCs w:val="16"/>
              </w:rPr>
            </w:pPr>
            <w:r w:rsidRPr="00CE50DD">
              <w:rPr>
                <w:rFonts w:ascii="Arial Narrow" w:hAnsi="Arial Narrow" w:cs="Calibri"/>
                <w:sz w:val="16"/>
                <w:szCs w:val="16"/>
              </w:rPr>
              <w:t>100%</w:t>
            </w:r>
          </w:p>
        </w:tc>
        <w:tc>
          <w:tcPr>
            <w:tcW w:w="1094" w:type="dxa"/>
            <w:vAlign w:val="center"/>
          </w:tcPr>
          <w:p w:rsidR="00102D31" w:rsidRPr="00CE50DD" w:rsidRDefault="00A5744A"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1.581.959</w:t>
            </w:r>
          </w:p>
        </w:tc>
        <w:tc>
          <w:tcPr>
            <w:tcW w:w="693"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63</w:t>
            </w:r>
          </w:p>
        </w:tc>
        <w:tc>
          <w:tcPr>
            <w:tcW w:w="614" w:type="dxa"/>
            <w:vAlign w:val="center"/>
          </w:tcPr>
          <w:p w:rsidR="00102D31" w:rsidRPr="00CE50DD" w:rsidRDefault="003B50A5"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63</w:t>
            </w:r>
          </w:p>
        </w:tc>
        <w:tc>
          <w:tcPr>
            <w:tcW w:w="1027" w:type="dxa"/>
            <w:vAlign w:val="center"/>
          </w:tcPr>
          <w:p w:rsidR="00102D31" w:rsidRPr="00CE50DD" w:rsidRDefault="00A5744A"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1.581.959</w:t>
            </w:r>
          </w:p>
        </w:tc>
        <w:tc>
          <w:tcPr>
            <w:tcW w:w="846" w:type="dxa"/>
            <w:vAlign w:val="center"/>
          </w:tcPr>
          <w:p w:rsidR="00102D31" w:rsidRPr="00CE50DD" w:rsidRDefault="00225357"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100</w:t>
            </w:r>
          </w:p>
        </w:tc>
      </w:tr>
      <w:tr w:rsidR="00102D31" w:rsidRPr="00CE50DD" w:rsidTr="006C1E66">
        <w:trPr>
          <w:trHeight w:val="712"/>
        </w:trPr>
        <w:tc>
          <w:tcPr>
            <w:tcW w:w="1560" w:type="dxa"/>
            <w:vAlign w:val="center"/>
          </w:tcPr>
          <w:p w:rsidR="00102D31" w:rsidRPr="00CE50DD" w:rsidRDefault="00102D31" w:rsidP="00FD6651">
            <w:pPr>
              <w:spacing w:after="0"/>
              <w:ind w:firstLine="0"/>
              <w:rPr>
                <w:rFonts w:ascii="Arial Narrow" w:hAnsi="Arial Narrow" w:cs="Calibri"/>
                <w:color w:val="000000"/>
                <w:sz w:val="16"/>
                <w:szCs w:val="16"/>
              </w:rPr>
            </w:pPr>
            <w:r w:rsidRPr="00CE50DD">
              <w:rPr>
                <w:rFonts w:ascii="Arial Narrow" w:hAnsi="Arial Narrow" w:cs="Calibri"/>
                <w:color w:val="000000"/>
                <w:sz w:val="16"/>
                <w:szCs w:val="16"/>
              </w:rPr>
              <w:t xml:space="preserve">Ayudas a la inversión en proyectos estratégicos </w:t>
            </w:r>
            <w:proofErr w:type="spellStart"/>
            <w:r w:rsidRPr="00CE50DD">
              <w:rPr>
                <w:rFonts w:ascii="Arial Narrow" w:hAnsi="Arial Narrow" w:cs="Calibri"/>
                <w:color w:val="000000"/>
                <w:sz w:val="16"/>
                <w:szCs w:val="16"/>
              </w:rPr>
              <w:t>i+D</w:t>
            </w:r>
            <w:proofErr w:type="spellEnd"/>
          </w:p>
        </w:tc>
        <w:tc>
          <w:tcPr>
            <w:tcW w:w="1201" w:type="dxa"/>
            <w:vAlign w:val="center"/>
          </w:tcPr>
          <w:p w:rsidR="00102D31" w:rsidRPr="00CE50DD" w:rsidRDefault="00102D31" w:rsidP="00FD6651">
            <w:pPr>
              <w:spacing w:after="0"/>
              <w:ind w:firstLine="0"/>
              <w:jc w:val="left"/>
              <w:rPr>
                <w:rFonts w:ascii="Arial Narrow" w:hAnsi="Arial Narrow" w:cs="Calibri"/>
                <w:color w:val="000000"/>
                <w:sz w:val="16"/>
                <w:szCs w:val="16"/>
              </w:rPr>
            </w:pPr>
            <w:r w:rsidRPr="00CE50DD">
              <w:rPr>
                <w:rFonts w:ascii="Arial Narrow" w:hAnsi="Arial Narrow" w:cs="Calibri"/>
                <w:color w:val="000000"/>
                <w:sz w:val="16"/>
                <w:szCs w:val="16"/>
              </w:rPr>
              <w:t>Concurrencia competitiva</w:t>
            </w:r>
          </w:p>
        </w:tc>
        <w:tc>
          <w:tcPr>
            <w:tcW w:w="875"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Plurianual</w:t>
            </w:r>
          </w:p>
        </w:tc>
        <w:tc>
          <w:tcPr>
            <w:tcW w:w="1073" w:type="dxa"/>
            <w:vAlign w:val="center"/>
          </w:tcPr>
          <w:p w:rsidR="00102D31" w:rsidRPr="00CE50DD" w:rsidRDefault="00A5744A"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12.000.000</w:t>
            </w:r>
          </w:p>
        </w:tc>
        <w:tc>
          <w:tcPr>
            <w:tcW w:w="789"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60</w:t>
            </w:r>
          </w:p>
        </w:tc>
        <w:tc>
          <w:tcPr>
            <w:tcW w:w="819"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46</w:t>
            </w:r>
          </w:p>
        </w:tc>
        <w:tc>
          <w:tcPr>
            <w:tcW w:w="1044"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14</w:t>
            </w:r>
          </w:p>
        </w:tc>
        <w:tc>
          <w:tcPr>
            <w:tcW w:w="1003"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4</w:t>
            </w:r>
          </w:p>
        </w:tc>
        <w:tc>
          <w:tcPr>
            <w:tcW w:w="992"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23%</w:t>
            </w:r>
          </w:p>
        </w:tc>
        <w:tc>
          <w:tcPr>
            <w:tcW w:w="1016" w:type="dxa"/>
            <w:vAlign w:val="center"/>
          </w:tcPr>
          <w:p w:rsidR="00102D31" w:rsidRPr="00CE50DD" w:rsidRDefault="00A5744A"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9.182.407</w:t>
            </w:r>
          </w:p>
        </w:tc>
        <w:tc>
          <w:tcPr>
            <w:tcW w:w="669" w:type="dxa"/>
            <w:vAlign w:val="center"/>
          </w:tcPr>
          <w:p w:rsidR="00102D31" w:rsidRPr="00CE50DD" w:rsidRDefault="003B50A5"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77</w:t>
            </w:r>
          </w:p>
        </w:tc>
        <w:tc>
          <w:tcPr>
            <w:tcW w:w="1094" w:type="dxa"/>
            <w:vAlign w:val="center"/>
          </w:tcPr>
          <w:p w:rsidR="00102D31" w:rsidRPr="00CE50DD" w:rsidRDefault="00A5744A"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7.765.303</w:t>
            </w:r>
          </w:p>
        </w:tc>
        <w:tc>
          <w:tcPr>
            <w:tcW w:w="693" w:type="dxa"/>
            <w:vAlign w:val="center"/>
          </w:tcPr>
          <w:p w:rsidR="00102D31" w:rsidRPr="00CE50DD" w:rsidRDefault="003B50A5"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85</w:t>
            </w:r>
          </w:p>
        </w:tc>
        <w:tc>
          <w:tcPr>
            <w:tcW w:w="614" w:type="dxa"/>
            <w:vAlign w:val="center"/>
          </w:tcPr>
          <w:p w:rsidR="00102D31" w:rsidRPr="00CE50DD" w:rsidRDefault="003B50A5"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65</w:t>
            </w:r>
          </w:p>
        </w:tc>
        <w:tc>
          <w:tcPr>
            <w:tcW w:w="1027" w:type="dxa"/>
            <w:vAlign w:val="center"/>
          </w:tcPr>
          <w:p w:rsidR="00102D31" w:rsidRPr="00CE50DD" w:rsidRDefault="00A5744A"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1.587.277</w:t>
            </w:r>
          </w:p>
        </w:tc>
        <w:tc>
          <w:tcPr>
            <w:tcW w:w="846" w:type="dxa"/>
            <w:vAlign w:val="center"/>
          </w:tcPr>
          <w:p w:rsidR="00102D31" w:rsidRPr="00CE50DD" w:rsidRDefault="00225357"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20</w:t>
            </w:r>
          </w:p>
        </w:tc>
      </w:tr>
      <w:tr w:rsidR="00102D31" w:rsidRPr="00CE50DD" w:rsidTr="006C1E66">
        <w:trPr>
          <w:trHeight w:val="552"/>
        </w:trPr>
        <w:tc>
          <w:tcPr>
            <w:tcW w:w="1560" w:type="dxa"/>
            <w:vAlign w:val="center"/>
          </w:tcPr>
          <w:p w:rsidR="00102D31" w:rsidRPr="00CE50DD" w:rsidRDefault="00102D31" w:rsidP="00FD6651">
            <w:pPr>
              <w:spacing w:after="0"/>
              <w:ind w:firstLine="0"/>
              <w:rPr>
                <w:rFonts w:ascii="Arial Narrow" w:hAnsi="Arial Narrow" w:cs="Calibri"/>
                <w:color w:val="000000"/>
                <w:sz w:val="16"/>
                <w:szCs w:val="16"/>
              </w:rPr>
            </w:pPr>
            <w:r w:rsidRPr="00CE50DD">
              <w:rPr>
                <w:rFonts w:ascii="Arial Narrow" w:hAnsi="Arial Narrow" w:cs="Calibri"/>
                <w:color w:val="000000"/>
                <w:sz w:val="16"/>
                <w:szCs w:val="16"/>
              </w:rPr>
              <w:t xml:space="preserve">Ayudas a la </w:t>
            </w:r>
            <w:proofErr w:type="spellStart"/>
            <w:r w:rsidRPr="00CE50DD">
              <w:rPr>
                <w:rFonts w:ascii="Arial Narrow" w:hAnsi="Arial Narrow" w:cs="Calibri"/>
                <w:color w:val="000000"/>
                <w:sz w:val="16"/>
                <w:szCs w:val="16"/>
              </w:rPr>
              <w:t>hosteleria</w:t>
            </w:r>
            <w:proofErr w:type="spellEnd"/>
            <w:r w:rsidRPr="00CE50DD">
              <w:rPr>
                <w:rFonts w:ascii="Arial Narrow" w:hAnsi="Arial Narrow" w:cs="Calibri"/>
                <w:color w:val="000000"/>
                <w:sz w:val="16"/>
                <w:szCs w:val="16"/>
              </w:rPr>
              <w:t xml:space="preserve"> y turismo</w:t>
            </w:r>
          </w:p>
        </w:tc>
        <w:tc>
          <w:tcPr>
            <w:tcW w:w="1201" w:type="dxa"/>
            <w:vAlign w:val="center"/>
          </w:tcPr>
          <w:p w:rsidR="00102D31" w:rsidRPr="00CE50DD" w:rsidRDefault="00102D31" w:rsidP="00FD6651">
            <w:pPr>
              <w:spacing w:after="0"/>
              <w:ind w:firstLine="0"/>
              <w:jc w:val="left"/>
              <w:rPr>
                <w:rFonts w:ascii="Arial Narrow" w:hAnsi="Arial Narrow" w:cs="Calibri"/>
                <w:color w:val="000000"/>
                <w:sz w:val="16"/>
                <w:szCs w:val="16"/>
              </w:rPr>
            </w:pPr>
            <w:r w:rsidRPr="00CE50DD">
              <w:rPr>
                <w:rFonts w:ascii="Arial Narrow" w:hAnsi="Arial Narrow" w:cs="Calibri"/>
                <w:color w:val="000000"/>
                <w:sz w:val="16"/>
                <w:szCs w:val="16"/>
              </w:rPr>
              <w:t>Evaluación Individualizada</w:t>
            </w:r>
          </w:p>
        </w:tc>
        <w:tc>
          <w:tcPr>
            <w:tcW w:w="875"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Anual</w:t>
            </w:r>
          </w:p>
        </w:tc>
        <w:tc>
          <w:tcPr>
            <w:tcW w:w="1073" w:type="dxa"/>
            <w:vAlign w:val="center"/>
          </w:tcPr>
          <w:p w:rsidR="00102D31" w:rsidRPr="00CE50DD" w:rsidRDefault="00A5744A"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20.000.000</w:t>
            </w:r>
          </w:p>
        </w:tc>
        <w:tc>
          <w:tcPr>
            <w:tcW w:w="789"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2.810</w:t>
            </w:r>
          </w:p>
        </w:tc>
        <w:tc>
          <w:tcPr>
            <w:tcW w:w="819" w:type="dxa"/>
            <w:vAlign w:val="center"/>
          </w:tcPr>
          <w:p w:rsidR="00102D31" w:rsidRPr="00CE50DD" w:rsidRDefault="00AA189E"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2.0</w:t>
            </w:r>
            <w:r w:rsidR="00102D31" w:rsidRPr="00CE50DD">
              <w:rPr>
                <w:rFonts w:ascii="Arial Narrow" w:hAnsi="Arial Narrow" w:cs="Calibri"/>
                <w:color w:val="000000"/>
                <w:sz w:val="16"/>
                <w:szCs w:val="16"/>
              </w:rPr>
              <w:t>74</w:t>
            </w:r>
          </w:p>
        </w:tc>
        <w:tc>
          <w:tcPr>
            <w:tcW w:w="1044"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566</w:t>
            </w:r>
          </w:p>
        </w:tc>
        <w:tc>
          <w:tcPr>
            <w:tcW w:w="1003"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0</w:t>
            </w:r>
          </w:p>
        </w:tc>
        <w:tc>
          <w:tcPr>
            <w:tcW w:w="992"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20%</w:t>
            </w:r>
          </w:p>
        </w:tc>
        <w:tc>
          <w:tcPr>
            <w:tcW w:w="1016" w:type="dxa"/>
            <w:vAlign w:val="center"/>
          </w:tcPr>
          <w:p w:rsidR="00102D31" w:rsidRPr="00CE50DD" w:rsidRDefault="00A5744A"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13.538.562</w:t>
            </w:r>
          </w:p>
        </w:tc>
        <w:tc>
          <w:tcPr>
            <w:tcW w:w="669" w:type="dxa"/>
            <w:vAlign w:val="center"/>
          </w:tcPr>
          <w:p w:rsidR="00102D31" w:rsidRPr="00CE50DD" w:rsidRDefault="003B50A5"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68</w:t>
            </w:r>
          </w:p>
        </w:tc>
        <w:tc>
          <w:tcPr>
            <w:tcW w:w="1094" w:type="dxa"/>
            <w:vAlign w:val="center"/>
          </w:tcPr>
          <w:p w:rsidR="00102D31" w:rsidRPr="00CE50DD" w:rsidRDefault="00A5744A"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13.538.562</w:t>
            </w:r>
          </w:p>
        </w:tc>
        <w:tc>
          <w:tcPr>
            <w:tcW w:w="693" w:type="dxa"/>
            <w:vAlign w:val="center"/>
          </w:tcPr>
          <w:p w:rsidR="00102D31" w:rsidRPr="00CE50DD" w:rsidRDefault="003B50A5"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100</w:t>
            </w:r>
          </w:p>
        </w:tc>
        <w:tc>
          <w:tcPr>
            <w:tcW w:w="614" w:type="dxa"/>
            <w:vAlign w:val="center"/>
          </w:tcPr>
          <w:p w:rsidR="00102D31" w:rsidRPr="00CE50DD" w:rsidRDefault="003B50A5"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68</w:t>
            </w:r>
          </w:p>
        </w:tc>
        <w:tc>
          <w:tcPr>
            <w:tcW w:w="1027" w:type="dxa"/>
            <w:vAlign w:val="center"/>
          </w:tcPr>
          <w:p w:rsidR="00102D31" w:rsidRPr="00CE50DD" w:rsidRDefault="00A5744A"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13.538.562</w:t>
            </w:r>
          </w:p>
        </w:tc>
        <w:tc>
          <w:tcPr>
            <w:tcW w:w="846" w:type="dxa"/>
            <w:vAlign w:val="center"/>
          </w:tcPr>
          <w:p w:rsidR="00102D31" w:rsidRPr="00CE50DD" w:rsidRDefault="00225357"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100</w:t>
            </w:r>
          </w:p>
        </w:tc>
      </w:tr>
      <w:tr w:rsidR="00102D31" w:rsidRPr="00CE50DD" w:rsidTr="006C1E66">
        <w:trPr>
          <w:trHeight w:val="702"/>
        </w:trPr>
        <w:tc>
          <w:tcPr>
            <w:tcW w:w="1560" w:type="dxa"/>
            <w:vAlign w:val="center"/>
          </w:tcPr>
          <w:p w:rsidR="00102D31" w:rsidRPr="00CE50DD" w:rsidRDefault="00102D31" w:rsidP="00FD6651">
            <w:pPr>
              <w:spacing w:after="0"/>
              <w:ind w:firstLine="0"/>
              <w:rPr>
                <w:rFonts w:ascii="Arial Narrow" w:hAnsi="Arial Narrow" w:cs="Calibri"/>
                <w:color w:val="000000"/>
                <w:sz w:val="16"/>
                <w:szCs w:val="16"/>
              </w:rPr>
            </w:pPr>
            <w:r w:rsidRPr="00CE50DD">
              <w:rPr>
                <w:rFonts w:ascii="Arial Narrow" w:hAnsi="Arial Narrow" w:cs="Calibri"/>
                <w:color w:val="000000"/>
                <w:sz w:val="16"/>
                <w:szCs w:val="16"/>
              </w:rPr>
              <w:t>Ayudas para gastos inici</w:t>
            </w:r>
            <w:r w:rsidRPr="00CE50DD">
              <w:rPr>
                <w:rFonts w:ascii="Arial Narrow" w:hAnsi="Arial Narrow" w:cs="Calibri"/>
                <w:color w:val="000000"/>
                <w:sz w:val="16"/>
                <w:szCs w:val="16"/>
              </w:rPr>
              <w:t>a</w:t>
            </w:r>
            <w:r w:rsidRPr="00CE50DD">
              <w:rPr>
                <w:rFonts w:ascii="Arial Narrow" w:hAnsi="Arial Narrow" w:cs="Calibri"/>
                <w:color w:val="000000"/>
                <w:sz w:val="16"/>
                <w:szCs w:val="16"/>
              </w:rPr>
              <w:t>les a empr</w:t>
            </w:r>
            <w:r w:rsidRPr="00CE50DD">
              <w:rPr>
                <w:rFonts w:ascii="Arial Narrow" w:hAnsi="Arial Narrow" w:cs="Calibri"/>
                <w:color w:val="000000"/>
                <w:sz w:val="16"/>
                <w:szCs w:val="16"/>
              </w:rPr>
              <w:t>e</w:t>
            </w:r>
            <w:r w:rsidRPr="00CE50DD">
              <w:rPr>
                <w:rFonts w:ascii="Arial Narrow" w:hAnsi="Arial Narrow" w:cs="Calibri"/>
                <w:color w:val="000000"/>
                <w:sz w:val="16"/>
                <w:szCs w:val="16"/>
              </w:rPr>
              <w:t>sas</w:t>
            </w:r>
          </w:p>
        </w:tc>
        <w:tc>
          <w:tcPr>
            <w:tcW w:w="1201" w:type="dxa"/>
            <w:vAlign w:val="center"/>
          </w:tcPr>
          <w:p w:rsidR="00102D31" w:rsidRPr="00CE50DD" w:rsidRDefault="00102D31" w:rsidP="00FD6651">
            <w:pPr>
              <w:spacing w:after="0"/>
              <w:ind w:firstLine="0"/>
              <w:jc w:val="left"/>
              <w:rPr>
                <w:rFonts w:ascii="Arial Narrow" w:hAnsi="Arial Narrow" w:cs="Calibri"/>
                <w:color w:val="000000"/>
                <w:sz w:val="16"/>
                <w:szCs w:val="16"/>
              </w:rPr>
            </w:pPr>
            <w:r w:rsidRPr="00CE50DD">
              <w:rPr>
                <w:rFonts w:ascii="Arial Narrow" w:hAnsi="Arial Narrow" w:cs="Calibri"/>
                <w:color w:val="000000"/>
                <w:sz w:val="16"/>
                <w:szCs w:val="16"/>
              </w:rPr>
              <w:t>Evaluación Individualizada</w:t>
            </w:r>
          </w:p>
        </w:tc>
        <w:tc>
          <w:tcPr>
            <w:tcW w:w="875"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Anual</w:t>
            </w:r>
          </w:p>
        </w:tc>
        <w:tc>
          <w:tcPr>
            <w:tcW w:w="1073" w:type="dxa"/>
            <w:vAlign w:val="center"/>
          </w:tcPr>
          <w:p w:rsidR="00102D31" w:rsidRPr="00CE50DD" w:rsidRDefault="00A5744A"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280.000</w:t>
            </w:r>
          </w:p>
        </w:tc>
        <w:tc>
          <w:tcPr>
            <w:tcW w:w="789"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133</w:t>
            </w:r>
          </w:p>
        </w:tc>
        <w:tc>
          <w:tcPr>
            <w:tcW w:w="819"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100</w:t>
            </w:r>
          </w:p>
        </w:tc>
        <w:tc>
          <w:tcPr>
            <w:tcW w:w="1044"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33</w:t>
            </w:r>
          </w:p>
        </w:tc>
        <w:tc>
          <w:tcPr>
            <w:tcW w:w="1003"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0</w:t>
            </w:r>
          </w:p>
        </w:tc>
        <w:tc>
          <w:tcPr>
            <w:tcW w:w="992"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25%</w:t>
            </w:r>
          </w:p>
        </w:tc>
        <w:tc>
          <w:tcPr>
            <w:tcW w:w="1016" w:type="dxa"/>
            <w:vAlign w:val="center"/>
          </w:tcPr>
          <w:p w:rsidR="00102D31" w:rsidRPr="00CE50DD" w:rsidRDefault="00A5744A"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185.569</w:t>
            </w:r>
          </w:p>
        </w:tc>
        <w:tc>
          <w:tcPr>
            <w:tcW w:w="669" w:type="dxa"/>
            <w:vAlign w:val="center"/>
          </w:tcPr>
          <w:p w:rsidR="00102D31" w:rsidRPr="00CE50DD" w:rsidRDefault="003B50A5"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66</w:t>
            </w:r>
          </w:p>
        </w:tc>
        <w:tc>
          <w:tcPr>
            <w:tcW w:w="1094" w:type="dxa"/>
            <w:vAlign w:val="center"/>
          </w:tcPr>
          <w:p w:rsidR="00102D31" w:rsidRPr="00CE50DD" w:rsidRDefault="00A5744A"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185.569</w:t>
            </w:r>
          </w:p>
        </w:tc>
        <w:tc>
          <w:tcPr>
            <w:tcW w:w="693" w:type="dxa"/>
            <w:vAlign w:val="center"/>
          </w:tcPr>
          <w:p w:rsidR="00102D31" w:rsidRPr="00CE50DD" w:rsidRDefault="003B50A5"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100</w:t>
            </w:r>
          </w:p>
        </w:tc>
        <w:tc>
          <w:tcPr>
            <w:tcW w:w="614" w:type="dxa"/>
            <w:vAlign w:val="center"/>
          </w:tcPr>
          <w:p w:rsidR="00102D31" w:rsidRPr="00CE50DD" w:rsidRDefault="003B50A5"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66</w:t>
            </w:r>
          </w:p>
        </w:tc>
        <w:tc>
          <w:tcPr>
            <w:tcW w:w="1027" w:type="dxa"/>
            <w:vAlign w:val="center"/>
          </w:tcPr>
          <w:p w:rsidR="00102D31" w:rsidRPr="00CE50DD" w:rsidRDefault="00A5744A"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185.569</w:t>
            </w:r>
          </w:p>
        </w:tc>
        <w:tc>
          <w:tcPr>
            <w:tcW w:w="846" w:type="dxa"/>
            <w:vAlign w:val="center"/>
          </w:tcPr>
          <w:p w:rsidR="00102D31" w:rsidRPr="00CE50DD" w:rsidRDefault="00102D31" w:rsidP="00FD6651">
            <w:pPr>
              <w:spacing w:after="0"/>
              <w:ind w:firstLine="0"/>
              <w:jc w:val="right"/>
              <w:rPr>
                <w:rFonts w:ascii="Arial Narrow" w:hAnsi="Arial Narrow" w:cs="Calibri"/>
                <w:color w:val="000000"/>
                <w:sz w:val="16"/>
                <w:szCs w:val="16"/>
              </w:rPr>
            </w:pPr>
            <w:r w:rsidRPr="00CE50DD">
              <w:rPr>
                <w:rFonts w:ascii="Arial Narrow" w:hAnsi="Arial Narrow" w:cs="Calibri"/>
                <w:color w:val="000000"/>
                <w:sz w:val="16"/>
                <w:szCs w:val="16"/>
              </w:rPr>
              <w:t>100</w:t>
            </w:r>
          </w:p>
        </w:tc>
      </w:tr>
      <w:tr w:rsidR="006C1E66" w:rsidRPr="00CE50DD" w:rsidTr="006C1E66">
        <w:trPr>
          <w:trHeight w:val="340"/>
        </w:trPr>
        <w:tc>
          <w:tcPr>
            <w:tcW w:w="1560" w:type="dxa"/>
            <w:shd w:val="clear" w:color="auto" w:fill="B8CCE4" w:themeFill="accent1" w:themeFillTint="66"/>
            <w:vAlign w:val="center"/>
          </w:tcPr>
          <w:p w:rsidR="00102D31" w:rsidRPr="00CE50DD" w:rsidRDefault="00102D31" w:rsidP="00FD6651">
            <w:pPr>
              <w:pStyle w:val="texto"/>
              <w:spacing w:after="0"/>
              <w:ind w:firstLine="0"/>
              <w:rPr>
                <w:rFonts w:ascii="Arial" w:hAnsi="Arial" w:cs="Arial"/>
                <w:sz w:val="15"/>
                <w:szCs w:val="15"/>
                <w:lang w:val="es-ES"/>
              </w:rPr>
            </w:pPr>
            <w:r w:rsidRPr="00CE50DD">
              <w:rPr>
                <w:rFonts w:ascii="Arial" w:hAnsi="Arial" w:cs="Arial"/>
                <w:sz w:val="15"/>
                <w:szCs w:val="15"/>
                <w:lang w:val="es-ES"/>
              </w:rPr>
              <w:t>Total</w:t>
            </w:r>
          </w:p>
        </w:tc>
        <w:tc>
          <w:tcPr>
            <w:tcW w:w="1201" w:type="dxa"/>
            <w:shd w:val="clear" w:color="auto" w:fill="B8CCE4" w:themeFill="accent1" w:themeFillTint="66"/>
            <w:vAlign w:val="center"/>
          </w:tcPr>
          <w:p w:rsidR="00102D31" w:rsidRPr="00CE50DD" w:rsidRDefault="00102D31" w:rsidP="00FD6651">
            <w:pPr>
              <w:pStyle w:val="texto"/>
              <w:spacing w:after="0"/>
              <w:ind w:firstLine="0"/>
              <w:rPr>
                <w:rFonts w:ascii="Arial" w:hAnsi="Arial" w:cs="Arial"/>
                <w:sz w:val="15"/>
                <w:szCs w:val="15"/>
                <w:lang w:val="es-ES"/>
              </w:rPr>
            </w:pPr>
          </w:p>
        </w:tc>
        <w:tc>
          <w:tcPr>
            <w:tcW w:w="875" w:type="dxa"/>
            <w:shd w:val="clear" w:color="auto" w:fill="B8CCE4" w:themeFill="accent1" w:themeFillTint="66"/>
            <w:vAlign w:val="center"/>
          </w:tcPr>
          <w:p w:rsidR="00102D31" w:rsidRPr="00CE50DD" w:rsidRDefault="00102D31" w:rsidP="00FD6651">
            <w:pPr>
              <w:pStyle w:val="texto"/>
              <w:spacing w:after="0"/>
              <w:ind w:firstLine="0"/>
              <w:rPr>
                <w:rFonts w:ascii="Arial" w:hAnsi="Arial" w:cs="Arial"/>
                <w:sz w:val="15"/>
                <w:szCs w:val="15"/>
                <w:lang w:val="es-ES"/>
              </w:rPr>
            </w:pPr>
          </w:p>
        </w:tc>
        <w:tc>
          <w:tcPr>
            <w:tcW w:w="1073" w:type="dxa"/>
            <w:shd w:val="clear" w:color="auto" w:fill="B8CCE4" w:themeFill="accent1" w:themeFillTint="66"/>
            <w:vAlign w:val="center"/>
          </w:tcPr>
          <w:p w:rsidR="00102D31" w:rsidRPr="00CE50DD" w:rsidRDefault="00A5744A" w:rsidP="00A5744A">
            <w:pPr>
              <w:spacing w:after="0"/>
              <w:ind w:firstLine="0"/>
              <w:jc w:val="right"/>
              <w:rPr>
                <w:rFonts w:ascii="Arial" w:hAnsi="Arial" w:cs="Arial"/>
                <w:sz w:val="15"/>
                <w:szCs w:val="15"/>
                <w:lang w:val="es-ES"/>
              </w:rPr>
            </w:pPr>
            <w:r w:rsidRPr="00CE50DD">
              <w:rPr>
                <w:rFonts w:ascii="Arial" w:hAnsi="Arial" w:cs="Arial"/>
                <w:color w:val="000000"/>
                <w:sz w:val="15"/>
                <w:szCs w:val="15"/>
              </w:rPr>
              <w:t>37.760.000</w:t>
            </w:r>
          </w:p>
        </w:tc>
        <w:tc>
          <w:tcPr>
            <w:tcW w:w="789" w:type="dxa"/>
            <w:shd w:val="clear" w:color="auto" w:fill="B8CCE4" w:themeFill="accent1" w:themeFillTint="66"/>
            <w:vAlign w:val="center"/>
          </w:tcPr>
          <w:p w:rsidR="00102D31" w:rsidRPr="00CE50DD" w:rsidRDefault="00102D31" w:rsidP="00FD6651">
            <w:pPr>
              <w:pStyle w:val="texto"/>
              <w:spacing w:after="0"/>
              <w:ind w:firstLine="0"/>
              <w:rPr>
                <w:rFonts w:ascii="Arial" w:hAnsi="Arial" w:cs="Arial"/>
                <w:sz w:val="15"/>
                <w:szCs w:val="15"/>
                <w:lang w:val="es-ES"/>
              </w:rPr>
            </w:pPr>
          </w:p>
        </w:tc>
        <w:tc>
          <w:tcPr>
            <w:tcW w:w="819" w:type="dxa"/>
            <w:shd w:val="clear" w:color="auto" w:fill="B8CCE4" w:themeFill="accent1" w:themeFillTint="66"/>
            <w:vAlign w:val="center"/>
          </w:tcPr>
          <w:p w:rsidR="00102D31" w:rsidRPr="00CE50DD" w:rsidRDefault="00102D31" w:rsidP="00FD6651">
            <w:pPr>
              <w:pStyle w:val="texto"/>
              <w:spacing w:after="0"/>
              <w:ind w:firstLine="0"/>
              <w:rPr>
                <w:rFonts w:ascii="Arial" w:hAnsi="Arial" w:cs="Arial"/>
                <w:sz w:val="15"/>
                <w:szCs w:val="15"/>
                <w:lang w:val="es-ES"/>
              </w:rPr>
            </w:pPr>
          </w:p>
        </w:tc>
        <w:tc>
          <w:tcPr>
            <w:tcW w:w="1044" w:type="dxa"/>
            <w:shd w:val="clear" w:color="auto" w:fill="B8CCE4" w:themeFill="accent1" w:themeFillTint="66"/>
            <w:vAlign w:val="center"/>
          </w:tcPr>
          <w:p w:rsidR="00102D31" w:rsidRPr="00CE50DD" w:rsidRDefault="00102D31" w:rsidP="00FD6651">
            <w:pPr>
              <w:pStyle w:val="texto"/>
              <w:spacing w:after="0"/>
              <w:ind w:firstLine="0"/>
              <w:rPr>
                <w:rFonts w:ascii="Arial" w:hAnsi="Arial" w:cs="Arial"/>
                <w:sz w:val="15"/>
                <w:szCs w:val="15"/>
                <w:lang w:val="es-ES"/>
              </w:rPr>
            </w:pPr>
          </w:p>
        </w:tc>
        <w:tc>
          <w:tcPr>
            <w:tcW w:w="1003" w:type="dxa"/>
            <w:shd w:val="clear" w:color="auto" w:fill="B8CCE4" w:themeFill="accent1" w:themeFillTint="66"/>
            <w:vAlign w:val="center"/>
          </w:tcPr>
          <w:p w:rsidR="00102D31" w:rsidRPr="00CE50DD" w:rsidRDefault="00102D31" w:rsidP="00FD6651">
            <w:pPr>
              <w:pStyle w:val="texto"/>
              <w:spacing w:after="0"/>
              <w:ind w:firstLine="0"/>
              <w:rPr>
                <w:rFonts w:ascii="Arial" w:hAnsi="Arial" w:cs="Arial"/>
                <w:sz w:val="15"/>
                <w:szCs w:val="15"/>
                <w:lang w:val="es-ES"/>
              </w:rPr>
            </w:pPr>
          </w:p>
        </w:tc>
        <w:tc>
          <w:tcPr>
            <w:tcW w:w="992" w:type="dxa"/>
            <w:shd w:val="clear" w:color="auto" w:fill="B8CCE4" w:themeFill="accent1" w:themeFillTint="66"/>
            <w:vAlign w:val="center"/>
          </w:tcPr>
          <w:p w:rsidR="00102D31" w:rsidRPr="00CE50DD" w:rsidRDefault="00102D31" w:rsidP="00FD6651">
            <w:pPr>
              <w:pStyle w:val="texto"/>
              <w:spacing w:after="0"/>
              <w:ind w:firstLine="0"/>
              <w:rPr>
                <w:rFonts w:ascii="Arial" w:hAnsi="Arial" w:cs="Arial"/>
                <w:sz w:val="15"/>
                <w:szCs w:val="15"/>
                <w:lang w:val="es-ES"/>
              </w:rPr>
            </w:pPr>
          </w:p>
        </w:tc>
        <w:tc>
          <w:tcPr>
            <w:tcW w:w="1016" w:type="dxa"/>
            <w:shd w:val="clear" w:color="auto" w:fill="B8CCE4" w:themeFill="accent1" w:themeFillTint="66"/>
            <w:vAlign w:val="center"/>
          </w:tcPr>
          <w:p w:rsidR="00102D31" w:rsidRPr="00CE50DD" w:rsidRDefault="00501978" w:rsidP="00501978">
            <w:pPr>
              <w:spacing w:after="0"/>
              <w:ind w:firstLine="0"/>
              <w:jc w:val="right"/>
              <w:rPr>
                <w:rFonts w:ascii="Arial" w:hAnsi="Arial" w:cs="Arial"/>
                <w:sz w:val="15"/>
                <w:szCs w:val="15"/>
                <w:lang w:val="es-ES"/>
              </w:rPr>
            </w:pPr>
            <w:r w:rsidRPr="00CE50DD">
              <w:rPr>
                <w:rFonts w:ascii="Arial" w:hAnsi="Arial" w:cs="Arial"/>
                <w:color w:val="000000"/>
                <w:sz w:val="15"/>
                <w:szCs w:val="15"/>
              </w:rPr>
              <w:t>28.327.660</w:t>
            </w:r>
          </w:p>
        </w:tc>
        <w:tc>
          <w:tcPr>
            <w:tcW w:w="669" w:type="dxa"/>
            <w:shd w:val="clear" w:color="auto" w:fill="B8CCE4" w:themeFill="accent1" w:themeFillTint="66"/>
            <w:vAlign w:val="center"/>
          </w:tcPr>
          <w:p w:rsidR="00102D31" w:rsidRPr="00CE50DD" w:rsidRDefault="003B50A5" w:rsidP="00501978">
            <w:pPr>
              <w:pStyle w:val="texto"/>
              <w:spacing w:after="0"/>
              <w:ind w:firstLine="0"/>
              <w:jc w:val="right"/>
              <w:rPr>
                <w:rFonts w:ascii="Arial" w:hAnsi="Arial" w:cs="Arial"/>
                <w:sz w:val="15"/>
                <w:szCs w:val="15"/>
                <w:lang w:val="es-ES"/>
              </w:rPr>
            </w:pPr>
            <w:r w:rsidRPr="00CE50DD">
              <w:rPr>
                <w:rFonts w:ascii="Arial" w:hAnsi="Arial" w:cs="Arial"/>
                <w:sz w:val="15"/>
                <w:szCs w:val="15"/>
                <w:lang w:val="es-ES"/>
              </w:rPr>
              <w:t>75</w:t>
            </w:r>
          </w:p>
        </w:tc>
        <w:tc>
          <w:tcPr>
            <w:tcW w:w="1094" w:type="dxa"/>
            <w:shd w:val="clear" w:color="auto" w:fill="B8CCE4" w:themeFill="accent1" w:themeFillTint="66"/>
            <w:vAlign w:val="center"/>
          </w:tcPr>
          <w:p w:rsidR="00102D31" w:rsidRPr="00CE50DD" w:rsidRDefault="004F2741" w:rsidP="00501978">
            <w:pPr>
              <w:spacing w:after="0"/>
              <w:ind w:firstLine="0"/>
              <w:jc w:val="right"/>
              <w:rPr>
                <w:rFonts w:ascii="Arial" w:hAnsi="Arial" w:cs="Arial"/>
                <w:color w:val="000000"/>
                <w:sz w:val="15"/>
                <w:szCs w:val="15"/>
              </w:rPr>
            </w:pPr>
            <w:r w:rsidRPr="00CE50DD">
              <w:rPr>
                <w:rFonts w:ascii="Arial" w:hAnsi="Arial" w:cs="Arial"/>
                <w:color w:val="000000"/>
                <w:sz w:val="15"/>
                <w:szCs w:val="15"/>
              </w:rPr>
              <w:t>25.566.81</w:t>
            </w:r>
            <w:r w:rsidR="00BD79DC" w:rsidRPr="00CE50DD">
              <w:rPr>
                <w:rFonts w:ascii="Arial" w:hAnsi="Arial" w:cs="Arial"/>
                <w:color w:val="000000"/>
                <w:sz w:val="15"/>
                <w:szCs w:val="15"/>
              </w:rPr>
              <w:t>4</w:t>
            </w:r>
          </w:p>
        </w:tc>
        <w:tc>
          <w:tcPr>
            <w:tcW w:w="693" w:type="dxa"/>
            <w:shd w:val="clear" w:color="auto" w:fill="B8CCE4" w:themeFill="accent1" w:themeFillTint="66"/>
            <w:vAlign w:val="center"/>
          </w:tcPr>
          <w:p w:rsidR="00102D31" w:rsidRPr="00CE50DD" w:rsidRDefault="003B50A5" w:rsidP="00501978">
            <w:pPr>
              <w:pStyle w:val="texto"/>
              <w:spacing w:after="0"/>
              <w:ind w:firstLine="0"/>
              <w:jc w:val="right"/>
              <w:rPr>
                <w:rFonts w:ascii="Arial" w:hAnsi="Arial" w:cs="Arial"/>
                <w:color w:val="000000"/>
                <w:spacing w:val="0"/>
                <w:sz w:val="15"/>
                <w:szCs w:val="15"/>
              </w:rPr>
            </w:pPr>
            <w:r w:rsidRPr="00CE50DD">
              <w:rPr>
                <w:rFonts w:ascii="Arial" w:hAnsi="Arial" w:cs="Arial"/>
                <w:color w:val="000000"/>
                <w:spacing w:val="0"/>
                <w:sz w:val="15"/>
                <w:szCs w:val="15"/>
              </w:rPr>
              <w:t>90,2</w:t>
            </w:r>
          </w:p>
        </w:tc>
        <w:tc>
          <w:tcPr>
            <w:tcW w:w="614" w:type="dxa"/>
            <w:shd w:val="clear" w:color="auto" w:fill="B8CCE4" w:themeFill="accent1" w:themeFillTint="66"/>
            <w:vAlign w:val="center"/>
          </w:tcPr>
          <w:p w:rsidR="00102D31" w:rsidRPr="00CE50DD" w:rsidRDefault="003B50A5" w:rsidP="00501978">
            <w:pPr>
              <w:pStyle w:val="texto"/>
              <w:spacing w:after="0"/>
              <w:ind w:firstLine="0"/>
              <w:jc w:val="right"/>
              <w:rPr>
                <w:rFonts w:ascii="Arial" w:hAnsi="Arial" w:cs="Arial"/>
                <w:sz w:val="15"/>
                <w:szCs w:val="15"/>
                <w:lang w:val="es-ES"/>
              </w:rPr>
            </w:pPr>
            <w:r w:rsidRPr="00CE50DD">
              <w:rPr>
                <w:rFonts w:ascii="Arial" w:hAnsi="Arial" w:cs="Arial"/>
                <w:sz w:val="15"/>
                <w:szCs w:val="15"/>
                <w:lang w:val="es-ES"/>
              </w:rPr>
              <w:t>67,7</w:t>
            </w:r>
          </w:p>
        </w:tc>
        <w:tc>
          <w:tcPr>
            <w:tcW w:w="1027" w:type="dxa"/>
            <w:shd w:val="clear" w:color="auto" w:fill="B8CCE4" w:themeFill="accent1" w:themeFillTint="66"/>
            <w:vAlign w:val="center"/>
          </w:tcPr>
          <w:p w:rsidR="00102D31" w:rsidRPr="00CE50DD" w:rsidRDefault="004F2741" w:rsidP="00501978">
            <w:pPr>
              <w:pStyle w:val="texto"/>
              <w:spacing w:after="0"/>
              <w:ind w:firstLine="0"/>
              <w:jc w:val="right"/>
              <w:rPr>
                <w:rFonts w:ascii="Arial" w:hAnsi="Arial" w:cs="Arial"/>
                <w:sz w:val="15"/>
                <w:szCs w:val="15"/>
                <w:lang w:val="es-ES"/>
              </w:rPr>
            </w:pPr>
            <w:r w:rsidRPr="00CE50DD">
              <w:rPr>
                <w:rFonts w:ascii="Arial" w:hAnsi="Arial" w:cs="Arial"/>
                <w:sz w:val="15"/>
                <w:szCs w:val="15"/>
                <w:lang w:val="es-ES"/>
              </w:rPr>
              <w:t>19.012.37</w:t>
            </w:r>
            <w:r w:rsidR="003B50A5" w:rsidRPr="00CE50DD">
              <w:rPr>
                <w:rFonts w:ascii="Arial" w:hAnsi="Arial" w:cs="Arial"/>
                <w:sz w:val="15"/>
                <w:szCs w:val="15"/>
                <w:lang w:val="es-ES"/>
              </w:rPr>
              <w:t>5</w:t>
            </w:r>
          </w:p>
        </w:tc>
        <w:tc>
          <w:tcPr>
            <w:tcW w:w="846" w:type="dxa"/>
            <w:shd w:val="clear" w:color="auto" w:fill="B8CCE4" w:themeFill="accent1" w:themeFillTint="66"/>
            <w:vAlign w:val="center"/>
          </w:tcPr>
          <w:p w:rsidR="00102D31" w:rsidRPr="00CE50DD" w:rsidRDefault="003B50A5" w:rsidP="00501978">
            <w:pPr>
              <w:pStyle w:val="texto"/>
              <w:spacing w:after="0"/>
              <w:ind w:firstLine="0"/>
              <w:jc w:val="right"/>
              <w:rPr>
                <w:rFonts w:ascii="Arial" w:hAnsi="Arial" w:cs="Arial"/>
                <w:sz w:val="15"/>
                <w:szCs w:val="15"/>
                <w:lang w:val="es-ES"/>
              </w:rPr>
            </w:pPr>
            <w:r w:rsidRPr="00CE50DD">
              <w:rPr>
                <w:rFonts w:ascii="Arial" w:hAnsi="Arial" w:cs="Arial"/>
                <w:sz w:val="15"/>
                <w:szCs w:val="15"/>
                <w:lang w:val="es-ES"/>
              </w:rPr>
              <w:t>74,3</w:t>
            </w:r>
          </w:p>
        </w:tc>
      </w:tr>
    </w:tbl>
    <w:tbl>
      <w:tblPr>
        <w:tblW w:w="11060" w:type="dxa"/>
        <w:tblInd w:w="-851" w:type="dxa"/>
        <w:tblCellMar>
          <w:left w:w="70" w:type="dxa"/>
          <w:right w:w="70" w:type="dxa"/>
        </w:tblCellMar>
        <w:tblLook w:val="04A0" w:firstRow="1" w:lastRow="0" w:firstColumn="1" w:lastColumn="0" w:noHBand="0" w:noVBand="1"/>
      </w:tblPr>
      <w:tblGrid>
        <w:gridCol w:w="9500"/>
        <w:gridCol w:w="1560"/>
      </w:tblGrid>
      <w:tr w:rsidR="00102D31" w:rsidRPr="00DC21F8" w:rsidTr="009845D6">
        <w:trPr>
          <w:trHeight w:val="1324"/>
        </w:trPr>
        <w:tc>
          <w:tcPr>
            <w:tcW w:w="9500" w:type="dxa"/>
            <w:tcBorders>
              <w:top w:val="nil"/>
              <w:left w:val="nil"/>
              <w:bottom w:val="nil"/>
              <w:right w:val="nil"/>
            </w:tcBorders>
            <w:shd w:val="clear" w:color="auto" w:fill="auto"/>
            <w:noWrap/>
            <w:vAlign w:val="center"/>
            <w:hideMark/>
          </w:tcPr>
          <w:p w:rsidR="00102D31" w:rsidRDefault="00102D31" w:rsidP="00FD6651">
            <w:pPr>
              <w:spacing w:before="120" w:after="0"/>
              <w:ind w:left="-926" w:firstLine="926"/>
              <w:jc w:val="left"/>
              <w:rPr>
                <w:rFonts w:ascii="Arial" w:hAnsi="Arial" w:cs="Arial"/>
                <w:color w:val="000000"/>
                <w:sz w:val="16"/>
                <w:szCs w:val="16"/>
                <w:lang w:val="es-ES" w:eastAsia="es-ES"/>
              </w:rPr>
            </w:pPr>
            <w:proofErr w:type="gramStart"/>
            <w:r w:rsidRPr="00DC21F8">
              <w:rPr>
                <w:rFonts w:ascii="Arial" w:hAnsi="Arial" w:cs="Arial"/>
                <w:color w:val="000000"/>
                <w:sz w:val="16"/>
                <w:szCs w:val="16"/>
                <w:lang w:val="es-ES" w:eastAsia="es-ES"/>
              </w:rPr>
              <w:lastRenderedPageBreak/>
              <w:t>NOTA :</w:t>
            </w:r>
            <w:proofErr w:type="gramEnd"/>
            <w:r w:rsidRPr="00DC21F8">
              <w:rPr>
                <w:rFonts w:ascii="Arial" w:hAnsi="Arial" w:cs="Arial"/>
                <w:color w:val="000000"/>
                <w:sz w:val="16"/>
                <w:szCs w:val="16"/>
                <w:lang w:val="es-ES" w:eastAsia="es-ES"/>
              </w:rPr>
              <w:t xml:space="preserve"> </w:t>
            </w:r>
            <w:r>
              <w:rPr>
                <w:rFonts w:ascii="Arial" w:hAnsi="Arial" w:cs="Arial"/>
                <w:color w:val="000000"/>
                <w:sz w:val="16"/>
                <w:szCs w:val="16"/>
                <w:lang w:val="es-ES" w:eastAsia="es-ES"/>
              </w:rPr>
              <w:t>Se excluyen</w:t>
            </w:r>
            <w:r w:rsidRPr="00DC21F8">
              <w:rPr>
                <w:rFonts w:ascii="Arial" w:hAnsi="Arial" w:cs="Arial"/>
                <w:color w:val="000000"/>
                <w:sz w:val="16"/>
                <w:szCs w:val="16"/>
                <w:lang w:val="es-ES" w:eastAsia="es-ES"/>
              </w:rPr>
              <w:t xml:space="preserve"> las ayudas al transporte ya que no existe convocatoria como tal</w:t>
            </w:r>
            <w:r>
              <w:rPr>
                <w:rFonts w:ascii="Arial" w:hAnsi="Arial" w:cs="Arial"/>
                <w:color w:val="000000"/>
                <w:sz w:val="16"/>
                <w:szCs w:val="16"/>
                <w:lang w:val="es-ES" w:eastAsia="es-ES"/>
              </w:rPr>
              <w:t>.</w:t>
            </w:r>
          </w:p>
          <w:p w:rsidR="00FD6651" w:rsidRPr="00DC21F8" w:rsidRDefault="00FD6651" w:rsidP="00FD6651">
            <w:pPr>
              <w:spacing w:before="120" w:after="0"/>
              <w:ind w:left="-926" w:firstLine="926"/>
              <w:jc w:val="left"/>
              <w:rPr>
                <w:rFonts w:ascii="Arial" w:hAnsi="Arial" w:cs="Arial"/>
                <w:color w:val="000000"/>
                <w:sz w:val="16"/>
                <w:szCs w:val="16"/>
                <w:lang w:val="es-ES" w:eastAsia="es-ES"/>
              </w:rPr>
            </w:pPr>
          </w:p>
        </w:tc>
        <w:tc>
          <w:tcPr>
            <w:tcW w:w="1560" w:type="dxa"/>
            <w:tcBorders>
              <w:top w:val="nil"/>
              <w:left w:val="nil"/>
              <w:bottom w:val="nil"/>
              <w:right w:val="nil"/>
            </w:tcBorders>
            <w:shd w:val="clear" w:color="auto" w:fill="auto"/>
            <w:noWrap/>
            <w:vAlign w:val="bottom"/>
            <w:hideMark/>
          </w:tcPr>
          <w:p w:rsidR="00102D31" w:rsidRPr="00DC21F8" w:rsidRDefault="00102D31" w:rsidP="00FD6651">
            <w:pPr>
              <w:spacing w:before="120" w:after="0"/>
              <w:ind w:firstLine="0"/>
              <w:jc w:val="left"/>
              <w:rPr>
                <w:rFonts w:ascii="Arial" w:hAnsi="Arial" w:cs="Arial"/>
                <w:color w:val="000000"/>
                <w:sz w:val="16"/>
                <w:szCs w:val="16"/>
                <w:lang w:val="es-ES" w:eastAsia="es-ES"/>
              </w:rPr>
            </w:pPr>
          </w:p>
        </w:tc>
      </w:tr>
    </w:tbl>
    <w:p w:rsidR="00102D31" w:rsidRDefault="00102D31" w:rsidP="00102D31">
      <w:pPr>
        <w:pStyle w:val="texto"/>
        <w:rPr>
          <w:szCs w:val="26"/>
          <w:lang w:val="es-ES"/>
        </w:rPr>
      </w:pPr>
    </w:p>
    <w:p w:rsidR="00102D31" w:rsidRDefault="00102D31" w:rsidP="00102D31">
      <w:pPr>
        <w:spacing w:after="0"/>
        <w:ind w:firstLine="0"/>
        <w:jc w:val="left"/>
        <w:rPr>
          <w:spacing w:val="6"/>
          <w:sz w:val="26"/>
          <w:szCs w:val="26"/>
          <w:lang w:val="es-ES"/>
        </w:rPr>
      </w:pPr>
      <w:r>
        <w:rPr>
          <w:szCs w:val="26"/>
          <w:lang w:val="es-ES"/>
        </w:rPr>
        <w:br w:type="page"/>
      </w:r>
    </w:p>
    <w:p w:rsidR="00204F99" w:rsidRDefault="00204F99" w:rsidP="00204F99">
      <w:pPr>
        <w:pStyle w:val="texto"/>
        <w:rPr>
          <w:szCs w:val="26"/>
          <w:lang w:val="es-ES"/>
        </w:rPr>
      </w:pPr>
    </w:p>
    <w:tbl>
      <w:tblPr>
        <w:tblStyle w:val="Tablaconcuadrcula"/>
        <w:tblW w:w="13178" w:type="dxa"/>
        <w:tblLook w:val="04A0" w:firstRow="1" w:lastRow="0" w:firstColumn="1" w:lastColumn="0" w:noHBand="0" w:noVBand="1"/>
      </w:tblPr>
      <w:tblGrid>
        <w:gridCol w:w="2547"/>
        <w:gridCol w:w="1701"/>
        <w:gridCol w:w="2835"/>
        <w:gridCol w:w="1868"/>
        <w:gridCol w:w="2526"/>
        <w:gridCol w:w="1701"/>
      </w:tblGrid>
      <w:tr w:rsidR="009845D6" w:rsidRPr="00DC21F8" w:rsidTr="006C1E66">
        <w:trPr>
          <w:trHeight w:val="284"/>
        </w:trPr>
        <w:tc>
          <w:tcPr>
            <w:tcW w:w="2547" w:type="dxa"/>
            <w:shd w:val="clear" w:color="auto" w:fill="B8CCE4" w:themeFill="accent1" w:themeFillTint="66"/>
            <w:vAlign w:val="center"/>
          </w:tcPr>
          <w:p w:rsidR="009845D6" w:rsidRPr="00DC21F8" w:rsidRDefault="009845D6" w:rsidP="00204F99">
            <w:pPr>
              <w:spacing w:after="0"/>
              <w:ind w:firstLine="0"/>
              <w:jc w:val="left"/>
              <w:rPr>
                <w:rFonts w:ascii="Arial" w:hAnsi="Arial" w:cs="Arial"/>
                <w:sz w:val="18"/>
                <w:szCs w:val="18"/>
                <w:lang w:val="es-ES" w:eastAsia="es-ES"/>
              </w:rPr>
            </w:pPr>
            <w:r w:rsidRPr="00DC21F8">
              <w:rPr>
                <w:rFonts w:ascii="Arial" w:hAnsi="Arial" w:cs="Arial"/>
                <w:sz w:val="18"/>
                <w:szCs w:val="18"/>
              </w:rPr>
              <w:t>Concepto</w:t>
            </w:r>
          </w:p>
        </w:tc>
        <w:tc>
          <w:tcPr>
            <w:tcW w:w="1701" w:type="dxa"/>
            <w:shd w:val="clear" w:color="auto" w:fill="B8CCE4" w:themeFill="accent1" w:themeFillTint="66"/>
            <w:vAlign w:val="center"/>
          </w:tcPr>
          <w:p w:rsidR="009845D6" w:rsidRPr="00DC21F8" w:rsidRDefault="009845D6" w:rsidP="00204F99">
            <w:pPr>
              <w:spacing w:after="0"/>
              <w:ind w:firstLine="0"/>
              <w:rPr>
                <w:rFonts w:ascii="Arial" w:hAnsi="Arial" w:cs="Arial"/>
                <w:sz w:val="18"/>
                <w:szCs w:val="18"/>
              </w:rPr>
            </w:pPr>
            <w:r w:rsidRPr="00DC21F8">
              <w:rPr>
                <w:rFonts w:ascii="Arial" w:hAnsi="Arial" w:cs="Arial"/>
                <w:sz w:val="18"/>
                <w:szCs w:val="18"/>
              </w:rPr>
              <w:t>Departamento</w:t>
            </w:r>
          </w:p>
        </w:tc>
        <w:tc>
          <w:tcPr>
            <w:tcW w:w="2835" w:type="dxa"/>
            <w:shd w:val="clear" w:color="auto" w:fill="B8CCE4" w:themeFill="accent1" w:themeFillTint="66"/>
            <w:vAlign w:val="center"/>
          </w:tcPr>
          <w:p w:rsidR="009845D6" w:rsidRPr="00DC21F8" w:rsidRDefault="009845D6" w:rsidP="00204F99">
            <w:pPr>
              <w:spacing w:after="0"/>
              <w:ind w:firstLine="0"/>
              <w:rPr>
                <w:rFonts w:ascii="Arial" w:hAnsi="Arial" w:cs="Arial"/>
                <w:sz w:val="18"/>
                <w:szCs w:val="18"/>
              </w:rPr>
            </w:pPr>
            <w:r w:rsidRPr="00DC21F8">
              <w:rPr>
                <w:rFonts w:ascii="Arial" w:hAnsi="Arial" w:cs="Arial"/>
                <w:sz w:val="18"/>
                <w:szCs w:val="18"/>
              </w:rPr>
              <w:t>Objetivo estratégico</w:t>
            </w:r>
          </w:p>
        </w:tc>
        <w:tc>
          <w:tcPr>
            <w:tcW w:w="1868" w:type="dxa"/>
            <w:shd w:val="clear" w:color="auto" w:fill="B8CCE4" w:themeFill="accent1" w:themeFillTint="66"/>
            <w:vAlign w:val="center"/>
          </w:tcPr>
          <w:p w:rsidR="009845D6" w:rsidRPr="00DC21F8" w:rsidRDefault="009845D6" w:rsidP="00204F99">
            <w:pPr>
              <w:spacing w:after="0"/>
              <w:ind w:firstLine="0"/>
              <w:rPr>
                <w:rFonts w:ascii="Arial" w:hAnsi="Arial" w:cs="Arial"/>
                <w:sz w:val="18"/>
                <w:szCs w:val="18"/>
              </w:rPr>
            </w:pPr>
            <w:r w:rsidRPr="00DC21F8">
              <w:rPr>
                <w:rFonts w:ascii="Arial" w:hAnsi="Arial" w:cs="Arial"/>
                <w:sz w:val="18"/>
                <w:szCs w:val="18"/>
              </w:rPr>
              <w:t>Plan sectorial</w:t>
            </w:r>
          </w:p>
        </w:tc>
        <w:tc>
          <w:tcPr>
            <w:tcW w:w="2526" w:type="dxa"/>
            <w:shd w:val="clear" w:color="auto" w:fill="B8CCE4" w:themeFill="accent1" w:themeFillTint="66"/>
            <w:vAlign w:val="center"/>
          </w:tcPr>
          <w:p w:rsidR="009845D6" w:rsidRPr="00DC21F8" w:rsidRDefault="009845D6" w:rsidP="00204F99">
            <w:pPr>
              <w:spacing w:after="0"/>
              <w:ind w:firstLine="0"/>
              <w:rPr>
                <w:rFonts w:ascii="Arial" w:hAnsi="Arial" w:cs="Arial"/>
                <w:sz w:val="18"/>
                <w:szCs w:val="18"/>
              </w:rPr>
            </w:pPr>
            <w:r w:rsidRPr="00DC21F8">
              <w:rPr>
                <w:rFonts w:ascii="Arial" w:hAnsi="Arial" w:cs="Arial"/>
                <w:sz w:val="18"/>
                <w:szCs w:val="18"/>
              </w:rPr>
              <w:t>Objetivo operativo</w:t>
            </w:r>
          </w:p>
        </w:tc>
        <w:tc>
          <w:tcPr>
            <w:tcW w:w="1701" w:type="dxa"/>
            <w:shd w:val="clear" w:color="auto" w:fill="B8CCE4" w:themeFill="accent1" w:themeFillTint="66"/>
            <w:vAlign w:val="center"/>
          </w:tcPr>
          <w:p w:rsidR="009845D6" w:rsidRPr="00DC21F8" w:rsidRDefault="009845D6" w:rsidP="00204F99">
            <w:pPr>
              <w:spacing w:after="0"/>
              <w:ind w:firstLine="0"/>
              <w:rPr>
                <w:rFonts w:ascii="Arial" w:hAnsi="Arial" w:cs="Arial"/>
                <w:sz w:val="18"/>
                <w:szCs w:val="18"/>
              </w:rPr>
            </w:pPr>
            <w:r w:rsidRPr="00DC21F8">
              <w:rPr>
                <w:rFonts w:ascii="Arial" w:hAnsi="Arial" w:cs="Arial"/>
                <w:sz w:val="18"/>
                <w:szCs w:val="18"/>
              </w:rPr>
              <w:t>Indicador</w:t>
            </w:r>
          </w:p>
        </w:tc>
      </w:tr>
      <w:tr w:rsidR="009845D6" w:rsidTr="006C1E66">
        <w:trPr>
          <w:trHeight w:val="846"/>
        </w:trPr>
        <w:tc>
          <w:tcPr>
            <w:tcW w:w="2547" w:type="dxa"/>
            <w:vAlign w:val="center"/>
          </w:tcPr>
          <w:p w:rsidR="009845D6" w:rsidRPr="00DC21F8" w:rsidRDefault="009845D6" w:rsidP="00204F99">
            <w:pPr>
              <w:spacing w:after="0"/>
              <w:ind w:firstLine="0"/>
              <w:jc w:val="left"/>
              <w:rPr>
                <w:rFonts w:ascii="Arial Narrow" w:hAnsi="Arial Narrow" w:cs="Calibri"/>
                <w:color w:val="000000"/>
                <w:sz w:val="18"/>
                <w:szCs w:val="18"/>
                <w:lang w:val="es-ES" w:eastAsia="es-ES"/>
              </w:rPr>
            </w:pPr>
            <w:r w:rsidRPr="00DC21F8">
              <w:rPr>
                <w:rFonts w:ascii="Arial Narrow" w:hAnsi="Arial Narrow" w:cs="Calibri"/>
                <w:color w:val="000000"/>
                <w:sz w:val="18"/>
                <w:szCs w:val="18"/>
              </w:rPr>
              <w:t>Ayudas al mantenimiento de serv</w:t>
            </w:r>
            <w:r w:rsidRPr="00DC21F8">
              <w:rPr>
                <w:rFonts w:ascii="Arial Narrow" w:hAnsi="Arial Narrow" w:cs="Calibri"/>
                <w:color w:val="000000"/>
                <w:sz w:val="18"/>
                <w:szCs w:val="18"/>
              </w:rPr>
              <w:t>i</w:t>
            </w:r>
            <w:r w:rsidRPr="00DC21F8">
              <w:rPr>
                <w:rFonts w:ascii="Arial Narrow" w:hAnsi="Arial Narrow" w:cs="Calibri"/>
                <w:color w:val="000000"/>
                <w:sz w:val="18"/>
                <w:szCs w:val="18"/>
              </w:rPr>
              <w:t>cios de transporte de viajeros</w:t>
            </w:r>
          </w:p>
        </w:tc>
        <w:tc>
          <w:tcPr>
            <w:tcW w:w="1701"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Cohesión territorial</w:t>
            </w:r>
          </w:p>
        </w:tc>
        <w:tc>
          <w:tcPr>
            <w:tcW w:w="2835"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Impulsar la estrategia de movilidad sostenible de Navarra</w:t>
            </w:r>
          </w:p>
        </w:tc>
        <w:tc>
          <w:tcPr>
            <w:tcW w:w="1868" w:type="dxa"/>
            <w:vAlign w:val="center"/>
          </w:tcPr>
          <w:p w:rsidR="009845D6" w:rsidRPr="00DC21F8" w:rsidRDefault="009845D6" w:rsidP="00204F99">
            <w:pPr>
              <w:spacing w:after="0"/>
              <w:ind w:firstLine="0"/>
              <w:rPr>
                <w:rFonts w:ascii="Arial Narrow" w:hAnsi="Arial Narrow" w:cs="Calibri"/>
                <w:color w:val="000000"/>
                <w:sz w:val="18"/>
                <w:szCs w:val="18"/>
              </w:rPr>
            </w:pPr>
          </w:p>
        </w:tc>
        <w:tc>
          <w:tcPr>
            <w:tcW w:w="2526"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Incrementar el número de pers</w:t>
            </w:r>
            <w:r w:rsidRPr="00DC21F8">
              <w:rPr>
                <w:rFonts w:ascii="Arial Narrow" w:hAnsi="Arial Narrow" w:cs="Calibri"/>
                <w:color w:val="000000"/>
                <w:sz w:val="18"/>
                <w:szCs w:val="18"/>
              </w:rPr>
              <w:t>o</w:t>
            </w:r>
            <w:r w:rsidRPr="00DC21F8">
              <w:rPr>
                <w:rFonts w:ascii="Arial Narrow" w:hAnsi="Arial Narrow" w:cs="Calibri"/>
                <w:color w:val="000000"/>
                <w:sz w:val="18"/>
                <w:szCs w:val="18"/>
              </w:rPr>
              <w:t>nas usuarias de transporte público interurbano</w:t>
            </w:r>
          </w:p>
        </w:tc>
        <w:tc>
          <w:tcPr>
            <w:tcW w:w="1701"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Nº viajeros anuales</w:t>
            </w:r>
          </w:p>
        </w:tc>
      </w:tr>
      <w:tr w:rsidR="009845D6" w:rsidTr="006C1E66">
        <w:trPr>
          <w:trHeight w:val="1113"/>
        </w:trPr>
        <w:tc>
          <w:tcPr>
            <w:tcW w:w="2547" w:type="dxa"/>
            <w:vAlign w:val="center"/>
          </w:tcPr>
          <w:p w:rsidR="009845D6" w:rsidRPr="00DC21F8" w:rsidRDefault="009845D6" w:rsidP="00204F99">
            <w:pPr>
              <w:spacing w:after="0"/>
              <w:ind w:firstLine="0"/>
              <w:jc w:val="left"/>
              <w:rPr>
                <w:rFonts w:ascii="Arial Narrow" w:hAnsi="Arial Narrow" w:cs="Calibri"/>
                <w:color w:val="000000"/>
                <w:sz w:val="18"/>
                <w:szCs w:val="18"/>
                <w:lang w:val="es-ES" w:eastAsia="es-ES"/>
              </w:rPr>
            </w:pPr>
            <w:r w:rsidRPr="00DC21F8">
              <w:rPr>
                <w:rFonts w:ascii="Arial Narrow" w:hAnsi="Arial Narrow" w:cs="Calibri"/>
                <w:color w:val="000000"/>
                <w:sz w:val="18"/>
                <w:szCs w:val="18"/>
              </w:rPr>
              <w:t>Ayudas a la contratación de doct</w:t>
            </w:r>
            <w:r w:rsidRPr="00DC21F8">
              <w:rPr>
                <w:rFonts w:ascii="Arial Narrow" w:hAnsi="Arial Narrow" w:cs="Calibri"/>
                <w:color w:val="000000"/>
                <w:sz w:val="18"/>
                <w:szCs w:val="18"/>
              </w:rPr>
              <w:t>o</w:t>
            </w:r>
            <w:r w:rsidRPr="00DC21F8">
              <w:rPr>
                <w:rFonts w:ascii="Arial Narrow" w:hAnsi="Arial Narrow" w:cs="Calibri"/>
                <w:color w:val="000000"/>
                <w:sz w:val="18"/>
                <w:szCs w:val="18"/>
              </w:rPr>
              <w:t>randos y doctorandas por empr</w:t>
            </w:r>
            <w:r w:rsidRPr="00DC21F8">
              <w:rPr>
                <w:rFonts w:ascii="Arial Narrow" w:hAnsi="Arial Narrow" w:cs="Calibri"/>
                <w:color w:val="000000"/>
                <w:sz w:val="18"/>
                <w:szCs w:val="18"/>
              </w:rPr>
              <w:t>e</w:t>
            </w:r>
            <w:r w:rsidRPr="00DC21F8">
              <w:rPr>
                <w:rFonts w:ascii="Arial Narrow" w:hAnsi="Arial Narrow" w:cs="Calibri"/>
                <w:color w:val="000000"/>
                <w:sz w:val="18"/>
                <w:szCs w:val="18"/>
              </w:rPr>
              <w:t>sas y organismos de investigación y difusión de conocimientos</w:t>
            </w:r>
          </w:p>
        </w:tc>
        <w:tc>
          <w:tcPr>
            <w:tcW w:w="1701"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Universidades</w:t>
            </w:r>
          </w:p>
        </w:tc>
        <w:tc>
          <w:tcPr>
            <w:tcW w:w="2835"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Fomentar el talento investigador</w:t>
            </w:r>
          </w:p>
        </w:tc>
        <w:tc>
          <w:tcPr>
            <w:tcW w:w="1868"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Plan de ciencia, tecnol</w:t>
            </w:r>
            <w:r w:rsidRPr="00DC21F8">
              <w:rPr>
                <w:rFonts w:ascii="Arial Narrow" w:hAnsi="Arial Narrow" w:cs="Calibri"/>
                <w:color w:val="000000"/>
                <w:sz w:val="18"/>
                <w:szCs w:val="18"/>
              </w:rPr>
              <w:t>o</w:t>
            </w:r>
            <w:r w:rsidRPr="00DC21F8">
              <w:rPr>
                <w:rFonts w:ascii="Arial Narrow" w:hAnsi="Arial Narrow" w:cs="Calibri"/>
                <w:color w:val="000000"/>
                <w:sz w:val="18"/>
                <w:szCs w:val="18"/>
              </w:rPr>
              <w:t>gía e innovación</w:t>
            </w:r>
          </w:p>
        </w:tc>
        <w:tc>
          <w:tcPr>
            <w:tcW w:w="2526"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Incorporación del personal invest</w:t>
            </w:r>
            <w:r w:rsidRPr="00DC21F8">
              <w:rPr>
                <w:rFonts w:ascii="Arial Narrow" w:hAnsi="Arial Narrow" w:cs="Calibri"/>
                <w:color w:val="000000"/>
                <w:sz w:val="18"/>
                <w:szCs w:val="18"/>
              </w:rPr>
              <w:t>i</w:t>
            </w:r>
            <w:r w:rsidRPr="00DC21F8">
              <w:rPr>
                <w:rFonts w:ascii="Arial Narrow" w:hAnsi="Arial Narrow" w:cs="Calibri"/>
                <w:color w:val="000000"/>
                <w:sz w:val="18"/>
                <w:szCs w:val="18"/>
              </w:rPr>
              <w:t>gador de alto nivel en empresas y organismos de investigación</w:t>
            </w:r>
          </w:p>
        </w:tc>
        <w:tc>
          <w:tcPr>
            <w:tcW w:w="1701"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Nº  de contratos su</w:t>
            </w:r>
            <w:r w:rsidRPr="00DC21F8">
              <w:rPr>
                <w:rFonts w:ascii="Arial Narrow" w:hAnsi="Arial Narrow" w:cs="Calibri"/>
                <w:color w:val="000000"/>
                <w:sz w:val="18"/>
                <w:szCs w:val="18"/>
              </w:rPr>
              <w:t>b</w:t>
            </w:r>
            <w:r w:rsidRPr="00DC21F8">
              <w:rPr>
                <w:rFonts w:ascii="Arial Narrow" w:hAnsi="Arial Narrow" w:cs="Calibri"/>
                <w:color w:val="000000"/>
                <w:sz w:val="18"/>
                <w:szCs w:val="18"/>
              </w:rPr>
              <w:t>vencionados</w:t>
            </w:r>
          </w:p>
        </w:tc>
      </w:tr>
      <w:tr w:rsidR="009845D6" w:rsidTr="006C1E66">
        <w:trPr>
          <w:trHeight w:val="859"/>
        </w:trPr>
        <w:tc>
          <w:tcPr>
            <w:tcW w:w="2547"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Incentivos a la contratación de jóvenes por empresas</w:t>
            </w:r>
          </w:p>
        </w:tc>
        <w:tc>
          <w:tcPr>
            <w:tcW w:w="1701"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Derechos sociales (servicio navarro de empleo)</w:t>
            </w:r>
          </w:p>
        </w:tc>
        <w:tc>
          <w:tcPr>
            <w:tcW w:w="2835"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Aumentar el empleo estable y de cal</w:t>
            </w:r>
            <w:r w:rsidRPr="00DC21F8">
              <w:rPr>
                <w:rFonts w:ascii="Arial Narrow" w:hAnsi="Arial Narrow" w:cs="Calibri"/>
                <w:color w:val="000000"/>
                <w:sz w:val="18"/>
                <w:szCs w:val="18"/>
              </w:rPr>
              <w:t>i</w:t>
            </w:r>
            <w:r w:rsidRPr="00DC21F8">
              <w:rPr>
                <w:rFonts w:ascii="Arial Narrow" w:hAnsi="Arial Narrow" w:cs="Calibri"/>
                <w:color w:val="000000"/>
                <w:sz w:val="18"/>
                <w:szCs w:val="18"/>
              </w:rPr>
              <w:t>dad en Navarra</w:t>
            </w:r>
          </w:p>
        </w:tc>
        <w:tc>
          <w:tcPr>
            <w:tcW w:w="1868"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Acuerdo sobre políticas activas de empleo</w:t>
            </w:r>
          </w:p>
        </w:tc>
        <w:tc>
          <w:tcPr>
            <w:tcW w:w="2526"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Promover el empleo de personas desempleadas menores de 30 años</w:t>
            </w:r>
          </w:p>
        </w:tc>
        <w:tc>
          <w:tcPr>
            <w:tcW w:w="1701"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Nº  de jóvenes contr</w:t>
            </w:r>
            <w:r w:rsidRPr="00DC21F8">
              <w:rPr>
                <w:rFonts w:ascii="Arial Narrow" w:hAnsi="Arial Narrow" w:cs="Calibri"/>
                <w:color w:val="000000"/>
                <w:sz w:val="18"/>
                <w:szCs w:val="18"/>
              </w:rPr>
              <w:t>a</w:t>
            </w:r>
            <w:r w:rsidRPr="00DC21F8">
              <w:rPr>
                <w:rFonts w:ascii="Arial Narrow" w:hAnsi="Arial Narrow" w:cs="Calibri"/>
                <w:color w:val="000000"/>
                <w:sz w:val="18"/>
                <w:szCs w:val="18"/>
              </w:rPr>
              <w:t>tados</w:t>
            </w:r>
          </w:p>
        </w:tc>
      </w:tr>
      <w:tr w:rsidR="009845D6" w:rsidTr="006C1E66">
        <w:trPr>
          <w:trHeight w:val="1268"/>
        </w:trPr>
        <w:tc>
          <w:tcPr>
            <w:tcW w:w="2547"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Ayudas a la inversión a grandes empresas</w:t>
            </w:r>
          </w:p>
        </w:tc>
        <w:tc>
          <w:tcPr>
            <w:tcW w:w="1701"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Desarrollo económico</w:t>
            </w:r>
          </w:p>
        </w:tc>
        <w:tc>
          <w:tcPr>
            <w:tcW w:w="2835"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Generar un marco adecuado para el desarrollo de la estrategia de especial</w:t>
            </w:r>
            <w:r w:rsidRPr="00DC21F8">
              <w:rPr>
                <w:rFonts w:ascii="Arial Narrow" w:hAnsi="Arial Narrow" w:cs="Calibri"/>
                <w:color w:val="000000"/>
                <w:sz w:val="18"/>
                <w:szCs w:val="18"/>
              </w:rPr>
              <w:t>i</w:t>
            </w:r>
            <w:r w:rsidRPr="00DC21F8">
              <w:rPr>
                <w:rFonts w:ascii="Arial Narrow" w:hAnsi="Arial Narrow" w:cs="Calibri"/>
                <w:color w:val="000000"/>
                <w:sz w:val="18"/>
                <w:szCs w:val="18"/>
              </w:rPr>
              <w:t xml:space="preserve">zación inteligente de Navarra </w:t>
            </w:r>
            <w:proofErr w:type="spellStart"/>
            <w:r w:rsidRPr="00DC21F8">
              <w:rPr>
                <w:rFonts w:ascii="Arial Narrow" w:hAnsi="Arial Narrow" w:cs="Calibri"/>
                <w:color w:val="000000"/>
                <w:sz w:val="18"/>
                <w:szCs w:val="18"/>
              </w:rPr>
              <w:t>S3</w:t>
            </w:r>
            <w:proofErr w:type="spellEnd"/>
          </w:p>
        </w:tc>
        <w:tc>
          <w:tcPr>
            <w:tcW w:w="1868"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Plan industrial de nav</w:t>
            </w:r>
            <w:r w:rsidRPr="00DC21F8">
              <w:rPr>
                <w:rFonts w:ascii="Arial Narrow" w:hAnsi="Arial Narrow" w:cs="Calibri"/>
                <w:color w:val="000000"/>
                <w:sz w:val="18"/>
                <w:szCs w:val="18"/>
              </w:rPr>
              <w:t>a</w:t>
            </w:r>
            <w:r w:rsidRPr="00DC21F8">
              <w:rPr>
                <w:rFonts w:ascii="Arial Narrow" w:hAnsi="Arial Narrow" w:cs="Calibri"/>
                <w:color w:val="000000"/>
                <w:sz w:val="18"/>
                <w:szCs w:val="18"/>
              </w:rPr>
              <w:t>rra</w:t>
            </w:r>
          </w:p>
        </w:tc>
        <w:tc>
          <w:tcPr>
            <w:tcW w:w="2526"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Fomentar la realización de proye</w:t>
            </w:r>
            <w:r w:rsidRPr="00DC21F8">
              <w:rPr>
                <w:rFonts w:ascii="Arial Narrow" w:hAnsi="Arial Narrow" w:cs="Calibri"/>
                <w:color w:val="000000"/>
                <w:sz w:val="18"/>
                <w:szCs w:val="18"/>
              </w:rPr>
              <w:t>c</w:t>
            </w:r>
            <w:r w:rsidRPr="00DC21F8">
              <w:rPr>
                <w:rFonts w:ascii="Arial Narrow" w:hAnsi="Arial Narrow" w:cs="Calibri"/>
                <w:color w:val="000000"/>
                <w:sz w:val="18"/>
                <w:szCs w:val="18"/>
              </w:rPr>
              <w:t>tos de inv</w:t>
            </w:r>
            <w:r>
              <w:rPr>
                <w:rFonts w:ascii="Arial Narrow" w:hAnsi="Arial Narrow" w:cs="Calibri"/>
                <w:color w:val="000000"/>
                <w:sz w:val="18"/>
                <w:szCs w:val="18"/>
              </w:rPr>
              <w:t xml:space="preserve">ersión productiva por parte de </w:t>
            </w:r>
            <w:r w:rsidRPr="00DC21F8">
              <w:rPr>
                <w:rFonts w:ascii="Arial Narrow" w:hAnsi="Arial Narrow" w:cs="Calibri"/>
                <w:color w:val="000000"/>
                <w:sz w:val="18"/>
                <w:szCs w:val="18"/>
              </w:rPr>
              <w:t>grandes empresas con la finalidad de mejorar su posición competitiva</w:t>
            </w:r>
          </w:p>
        </w:tc>
        <w:tc>
          <w:tcPr>
            <w:tcW w:w="1701"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 VAB industria m</w:t>
            </w:r>
            <w:r w:rsidRPr="00DC21F8">
              <w:rPr>
                <w:rFonts w:ascii="Arial Narrow" w:hAnsi="Arial Narrow" w:cs="Calibri"/>
                <w:color w:val="000000"/>
                <w:sz w:val="18"/>
                <w:szCs w:val="18"/>
              </w:rPr>
              <w:t>a</w:t>
            </w:r>
            <w:r w:rsidRPr="00DC21F8">
              <w:rPr>
                <w:rFonts w:ascii="Arial Narrow" w:hAnsi="Arial Narrow" w:cs="Calibri"/>
                <w:color w:val="000000"/>
                <w:sz w:val="18"/>
                <w:szCs w:val="18"/>
              </w:rPr>
              <w:t>nufacturera</w:t>
            </w:r>
          </w:p>
        </w:tc>
      </w:tr>
      <w:tr w:rsidR="009845D6" w:rsidTr="006C1E66">
        <w:trPr>
          <w:trHeight w:val="1117"/>
        </w:trPr>
        <w:tc>
          <w:tcPr>
            <w:tcW w:w="2547"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 xml:space="preserve">Ayudas a la inversión en proyectos estratégicos </w:t>
            </w:r>
            <w:proofErr w:type="spellStart"/>
            <w:r w:rsidRPr="00DC21F8">
              <w:rPr>
                <w:rFonts w:ascii="Arial Narrow" w:hAnsi="Arial Narrow" w:cs="Calibri"/>
                <w:color w:val="000000"/>
                <w:sz w:val="18"/>
                <w:szCs w:val="18"/>
              </w:rPr>
              <w:t>i+D</w:t>
            </w:r>
            <w:proofErr w:type="spellEnd"/>
          </w:p>
        </w:tc>
        <w:tc>
          <w:tcPr>
            <w:tcW w:w="1701"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Desarrollo económico</w:t>
            </w:r>
          </w:p>
        </w:tc>
        <w:tc>
          <w:tcPr>
            <w:tcW w:w="2835"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Impulsar el desarrollo de los sectores económicos de futuro para Navarra, con foco en la estrategia de especial</w:t>
            </w:r>
            <w:r w:rsidRPr="00DC21F8">
              <w:rPr>
                <w:rFonts w:ascii="Arial Narrow" w:hAnsi="Arial Narrow" w:cs="Calibri"/>
                <w:color w:val="000000"/>
                <w:sz w:val="18"/>
                <w:szCs w:val="18"/>
              </w:rPr>
              <w:t>i</w:t>
            </w:r>
            <w:r w:rsidRPr="00DC21F8">
              <w:rPr>
                <w:rFonts w:ascii="Arial Narrow" w:hAnsi="Arial Narrow" w:cs="Calibri"/>
                <w:color w:val="000000"/>
                <w:sz w:val="18"/>
                <w:szCs w:val="18"/>
              </w:rPr>
              <w:t xml:space="preserve">zación inteligente de Navarra </w:t>
            </w:r>
            <w:proofErr w:type="spellStart"/>
            <w:r w:rsidRPr="00DC21F8">
              <w:rPr>
                <w:rFonts w:ascii="Arial Narrow" w:hAnsi="Arial Narrow" w:cs="Calibri"/>
                <w:color w:val="000000"/>
                <w:sz w:val="18"/>
                <w:szCs w:val="18"/>
              </w:rPr>
              <w:t>S3</w:t>
            </w:r>
            <w:proofErr w:type="spellEnd"/>
          </w:p>
        </w:tc>
        <w:tc>
          <w:tcPr>
            <w:tcW w:w="1868"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Estrategia de especial</w:t>
            </w:r>
            <w:r w:rsidRPr="00DC21F8">
              <w:rPr>
                <w:rFonts w:ascii="Arial Narrow" w:hAnsi="Arial Narrow" w:cs="Calibri"/>
                <w:color w:val="000000"/>
                <w:sz w:val="18"/>
                <w:szCs w:val="18"/>
              </w:rPr>
              <w:t>i</w:t>
            </w:r>
            <w:r w:rsidRPr="00DC21F8">
              <w:rPr>
                <w:rFonts w:ascii="Arial Narrow" w:hAnsi="Arial Narrow" w:cs="Calibri"/>
                <w:color w:val="000000"/>
                <w:sz w:val="18"/>
                <w:szCs w:val="18"/>
              </w:rPr>
              <w:t xml:space="preserve">zación inteligente de navarra </w:t>
            </w:r>
            <w:proofErr w:type="spellStart"/>
            <w:r w:rsidRPr="00DC21F8">
              <w:rPr>
                <w:rFonts w:ascii="Arial Narrow" w:hAnsi="Arial Narrow" w:cs="Calibri"/>
                <w:color w:val="000000"/>
                <w:sz w:val="18"/>
                <w:szCs w:val="18"/>
              </w:rPr>
              <w:t>s3</w:t>
            </w:r>
            <w:proofErr w:type="spellEnd"/>
          </w:p>
        </w:tc>
        <w:tc>
          <w:tcPr>
            <w:tcW w:w="2526"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Propone</w:t>
            </w:r>
            <w:r>
              <w:rPr>
                <w:rFonts w:ascii="Arial Narrow" w:hAnsi="Arial Narrow" w:cs="Calibri"/>
                <w:color w:val="000000"/>
                <w:sz w:val="18"/>
                <w:szCs w:val="18"/>
              </w:rPr>
              <w:t>r</w:t>
            </w:r>
            <w:r w:rsidRPr="00DC21F8">
              <w:rPr>
                <w:rFonts w:ascii="Arial Narrow" w:hAnsi="Arial Narrow" w:cs="Calibri"/>
                <w:color w:val="000000"/>
                <w:sz w:val="18"/>
                <w:szCs w:val="18"/>
              </w:rPr>
              <w:t xml:space="preserve"> soluciones innovadoras a los retos estratégicos que tiene planteados Navarra en los difere</w:t>
            </w:r>
            <w:r w:rsidRPr="00DC21F8">
              <w:rPr>
                <w:rFonts w:ascii="Arial Narrow" w:hAnsi="Arial Narrow" w:cs="Calibri"/>
                <w:color w:val="000000"/>
                <w:sz w:val="18"/>
                <w:szCs w:val="18"/>
              </w:rPr>
              <w:t>n</w:t>
            </w:r>
            <w:r w:rsidRPr="00DC21F8">
              <w:rPr>
                <w:rFonts w:ascii="Arial Narrow" w:hAnsi="Arial Narrow" w:cs="Calibri"/>
                <w:color w:val="000000"/>
                <w:sz w:val="18"/>
                <w:szCs w:val="18"/>
              </w:rPr>
              <w:t>tes sectores de RIS3</w:t>
            </w:r>
          </w:p>
        </w:tc>
        <w:tc>
          <w:tcPr>
            <w:tcW w:w="1701"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Nº  de proyectos subvencionados</w:t>
            </w:r>
          </w:p>
        </w:tc>
      </w:tr>
      <w:tr w:rsidR="009845D6" w:rsidTr="006C1E66">
        <w:trPr>
          <w:trHeight w:val="284"/>
        </w:trPr>
        <w:tc>
          <w:tcPr>
            <w:tcW w:w="2547"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Ayudas para gastos iniciales a empresas</w:t>
            </w:r>
          </w:p>
        </w:tc>
        <w:tc>
          <w:tcPr>
            <w:tcW w:w="1701"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Desarrollo económico</w:t>
            </w:r>
          </w:p>
        </w:tc>
        <w:tc>
          <w:tcPr>
            <w:tcW w:w="2835"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Facilitar la transformación y moderniz</w:t>
            </w:r>
            <w:r w:rsidRPr="00DC21F8">
              <w:rPr>
                <w:rFonts w:ascii="Arial Narrow" w:hAnsi="Arial Narrow" w:cs="Calibri"/>
                <w:color w:val="000000"/>
                <w:sz w:val="18"/>
                <w:szCs w:val="18"/>
              </w:rPr>
              <w:t>a</w:t>
            </w:r>
            <w:r w:rsidRPr="00DC21F8">
              <w:rPr>
                <w:rFonts w:ascii="Arial Narrow" w:hAnsi="Arial Narrow" w:cs="Calibri"/>
                <w:color w:val="000000"/>
                <w:sz w:val="18"/>
                <w:szCs w:val="18"/>
              </w:rPr>
              <w:t>ción del tejido empresarial, apoyando a las PYMES de Navarra y su desarrollo competitivo y sostenible</w:t>
            </w:r>
          </w:p>
        </w:tc>
        <w:tc>
          <w:tcPr>
            <w:tcW w:w="1868" w:type="dxa"/>
            <w:vAlign w:val="center"/>
          </w:tcPr>
          <w:p w:rsidR="009845D6" w:rsidRPr="00DC21F8" w:rsidRDefault="009845D6" w:rsidP="00204F99">
            <w:pPr>
              <w:spacing w:after="0"/>
              <w:ind w:firstLine="0"/>
              <w:rPr>
                <w:rFonts w:ascii="Arial Narrow" w:hAnsi="Arial Narrow" w:cs="Calibri"/>
                <w:color w:val="000000"/>
                <w:sz w:val="18"/>
                <w:szCs w:val="18"/>
              </w:rPr>
            </w:pPr>
            <w:r>
              <w:rPr>
                <w:rFonts w:ascii="Arial Narrow" w:hAnsi="Arial Narrow" w:cs="Calibri"/>
                <w:color w:val="000000"/>
                <w:sz w:val="18"/>
                <w:szCs w:val="18"/>
              </w:rPr>
              <w:t>II P</w:t>
            </w:r>
            <w:r w:rsidRPr="00DC21F8">
              <w:rPr>
                <w:rFonts w:ascii="Arial Narrow" w:hAnsi="Arial Narrow" w:cs="Calibri"/>
                <w:color w:val="000000"/>
                <w:sz w:val="18"/>
                <w:szCs w:val="18"/>
              </w:rPr>
              <w:t>lan de emprendimie</w:t>
            </w:r>
            <w:r w:rsidRPr="00DC21F8">
              <w:rPr>
                <w:rFonts w:ascii="Arial Narrow" w:hAnsi="Arial Narrow" w:cs="Calibri"/>
                <w:color w:val="000000"/>
                <w:sz w:val="18"/>
                <w:szCs w:val="18"/>
              </w:rPr>
              <w:t>n</w:t>
            </w:r>
            <w:r w:rsidRPr="00DC21F8">
              <w:rPr>
                <w:rFonts w:ascii="Arial Narrow" w:hAnsi="Arial Narrow" w:cs="Calibri"/>
                <w:color w:val="000000"/>
                <w:sz w:val="18"/>
                <w:szCs w:val="18"/>
              </w:rPr>
              <w:t>to en navarra</w:t>
            </w:r>
          </w:p>
        </w:tc>
        <w:tc>
          <w:tcPr>
            <w:tcW w:w="2526"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Fomentar la acción emprendedora para generar empleo de calidad</w:t>
            </w:r>
          </w:p>
        </w:tc>
        <w:tc>
          <w:tcPr>
            <w:tcW w:w="1701" w:type="dxa"/>
            <w:vAlign w:val="center"/>
          </w:tcPr>
          <w:p w:rsidR="009845D6" w:rsidRPr="00DC21F8" w:rsidRDefault="009845D6" w:rsidP="00204F99">
            <w:pPr>
              <w:spacing w:after="0"/>
              <w:ind w:firstLine="0"/>
              <w:rPr>
                <w:rFonts w:ascii="Arial Narrow" w:hAnsi="Arial Narrow" w:cs="Calibri"/>
                <w:color w:val="000000"/>
                <w:sz w:val="18"/>
                <w:szCs w:val="18"/>
              </w:rPr>
            </w:pPr>
            <w:r w:rsidRPr="00DC21F8">
              <w:rPr>
                <w:rFonts w:ascii="Arial Narrow" w:hAnsi="Arial Narrow" w:cs="Calibri"/>
                <w:color w:val="000000"/>
                <w:sz w:val="18"/>
                <w:szCs w:val="18"/>
              </w:rPr>
              <w:t>Número de concesi</w:t>
            </w:r>
            <w:r w:rsidRPr="00DC21F8">
              <w:rPr>
                <w:rFonts w:ascii="Arial Narrow" w:hAnsi="Arial Narrow" w:cs="Calibri"/>
                <w:color w:val="000000"/>
                <w:sz w:val="18"/>
                <w:szCs w:val="18"/>
              </w:rPr>
              <w:t>o</w:t>
            </w:r>
            <w:r w:rsidRPr="00DC21F8">
              <w:rPr>
                <w:rFonts w:ascii="Arial Narrow" w:hAnsi="Arial Narrow" w:cs="Calibri"/>
                <w:color w:val="000000"/>
                <w:sz w:val="18"/>
                <w:szCs w:val="18"/>
              </w:rPr>
              <w:t>nes</w:t>
            </w:r>
          </w:p>
        </w:tc>
      </w:tr>
    </w:tbl>
    <w:tbl>
      <w:tblPr>
        <w:tblW w:w="7980" w:type="dxa"/>
        <w:tblCellMar>
          <w:left w:w="70" w:type="dxa"/>
          <w:right w:w="70" w:type="dxa"/>
        </w:tblCellMar>
        <w:tblLook w:val="04A0" w:firstRow="1" w:lastRow="0" w:firstColumn="1" w:lastColumn="0" w:noHBand="0" w:noVBand="1"/>
      </w:tblPr>
      <w:tblGrid>
        <w:gridCol w:w="7980"/>
      </w:tblGrid>
      <w:tr w:rsidR="00204F99" w:rsidRPr="00A54153" w:rsidTr="00204F99">
        <w:trPr>
          <w:trHeight w:val="300"/>
        </w:trPr>
        <w:tc>
          <w:tcPr>
            <w:tcW w:w="7980" w:type="dxa"/>
            <w:tcBorders>
              <w:top w:val="nil"/>
              <w:left w:val="nil"/>
              <w:bottom w:val="nil"/>
              <w:right w:val="nil"/>
            </w:tcBorders>
            <w:shd w:val="clear" w:color="auto" w:fill="auto"/>
            <w:noWrap/>
            <w:vAlign w:val="center"/>
            <w:hideMark/>
          </w:tcPr>
          <w:p w:rsidR="00204F99" w:rsidRPr="00A54153" w:rsidRDefault="00204F99" w:rsidP="00204F99">
            <w:pPr>
              <w:spacing w:before="120" w:after="0"/>
              <w:ind w:firstLine="0"/>
              <w:jc w:val="left"/>
              <w:rPr>
                <w:rFonts w:ascii="Arial" w:hAnsi="Arial" w:cs="Arial"/>
                <w:color w:val="000000"/>
                <w:sz w:val="18"/>
                <w:szCs w:val="18"/>
                <w:lang w:val="es-ES" w:eastAsia="es-ES"/>
              </w:rPr>
            </w:pPr>
            <w:proofErr w:type="gramStart"/>
            <w:r w:rsidRPr="00A54153">
              <w:rPr>
                <w:rFonts w:ascii="Arial" w:hAnsi="Arial" w:cs="Arial"/>
                <w:color w:val="000000"/>
                <w:sz w:val="18"/>
                <w:szCs w:val="18"/>
                <w:lang w:val="es-ES" w:eastAsia="es-ES"/>
              </w:rPr>
              <w:t>NOTA :</w:t>
            </w:r>
            <w:proofErr w:type="gramEnd"/>
            <w:r w:rsidRPr="00A54153">
              <w:rPr>
                <w:rFonts w:ascii="Arial" w:hAnsi="Arial" w:cs="Arial"/>
                <w:color w:val="000000"/>
                <w:sz w:val="18"/>
                <w:szCs w:val="18"/>
                <w:lang w:val="es-ES" w:eastAsia="es-ES"/>
              </w:rPr>
              <w:t xml:space="preserve"> </w:t>
            </w:r>
            <w:r>
              <w:rPr>
                <w:rFonts w:ascii="Arial" w:hAnsi="Arial" w:cs="Arial"/>
                <w:color w:val="000000"/>
                <w:sz w:val="18"/>
                <w:szCs w:val="18"/>
                <w:lang w:val="es-ES" w:eastAsia="es-ES"/>
              </w:rPr>
              <w:t>Se excluyen</w:t>
            </w:r>
            <w:r w:rsidRPr="00A54153">
              <w:rPr>
                <w:rFonts w:ascii="Arial" w:hAnsi="Arial" w:cs="Arial"/>
                <w:color w:val="000000"/>
                <w:sz w:val="18"/>
                <w:szCs w:val="18"/>
                <w:lang w:val="es-ES" w:eastAsia="es-ES"/>
              </w:rPr>
              <w:t xml:space="preserve"> las ayudas a la hostelería por no </w:t>
            </w:r>
            <w:r>
              <w:rPr>
                <w:rFonts w:ascii="Arial" w:hAnsi="Arial" w:cs="Arial"/>
                <w:color w:val="000000"/>
                <w:sz w:val="18"/>
                <w:szCs w:val="18"/>
                <w:lang w:val="es-ES" w:eastAsia="es-ES"/>
              </w:rPr>
              <w:t>estar incluidas</w:t>
            </w:r>
            <w:r w:rsidRPr="00A54153">
              <w:rPr>
                <w:rFonts w:ascii="Arial" w:hAnsi="Arial" w:cs="Arial"/>
                <w:color w:val="000000"/>
                <w:sz w:val="18"/>
                <w:szCs w:val="18"/>
                <w:lang w:val="es-ES" w:eastAsia="es-ES"/>
              </w:rPr>
              <w:t xml:space="preserve"> en el plan estratégico</w:t>
            </w:r>
            <w:r w:rsidR="00012F5D">
              <w:rPr>
                <w:rFonts w:ascii="Arial" w:hAnsi="Arial" w:cs="Arial"/>
                <w:color w:val="000000"/>
                <w:sz w:val="18"/>
                <w:szCs w:val="18"/>
                <w:lang w:val="es-ES" w:eastAsia="es-ES"/>
              </w:rPr>
              <w:t>.</w:t>
            </w:r>
          </w:p>
        </w:tc>
      </w:tr>
    </w:tbl>
    <w:p w:rsidR="00564F2D" w:rsidRPr="004B2F01" w:rsidRDefault="00564F2D" w:rsidP="00012F5D">
      <w:pPr>
        <w:pStyle w:val="atitulo3"/>
      </w:pPr>
    </w:p>
    <w:sectPr w:rsidR="00564F2D" w:rsidRPr="004B2F01" w:rsidSect="00CE50DD">
      <w:pgSz w:w="16840" w:h="11907" w:orient="landscape" w:code="9"/>
      <w:pgMar w:top="1559" w:right="2109" w:bottom="1559" w:left="1644"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31A" w:rsidRDefault="00B3331A">
      <w:r>
        <w:separator/>
      </w:r>
    </w:p>
    <w:p w:rsidR="00B3331A" w:rsidRDefault="00B3331A"/>
    <w:p w:rsidR="00B3331A" w:rsidRDefault="00B3331A"/>
    <w:p w:rsidR="00B3331A" w:rsidRDefault="00B3331A"/>
  </w:endnote>
  <w:endnote w:type="continuationSeparator" w:id="0">
    <w:p w:rsidR="00B3331A" w:rsidRDefault="00B3331A">
      <w:r>
        <w:continuationSeparator/>
      </w:r>
    </w:p>
    <w:p w:rsidR="00B3331A" w:rsidRDefault="00B3331A"/>
    <w:p w:rsidR="00B3331A" w:rsidRDefault="00B3331A"/>
    <w:p w:rsidR="00B3331A" w:rsidRDefault="00B33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altName w:val="Liberation Mono"/>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1A" w:rsidRDefault="00B3331A"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3331A" w:rsidRDefault="00B3331A"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1A" w:rsidRPr="00F03814" w:rsidRDefault="00B3331A"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B3331A" w:rsidRDefault="00B3331A" w:rsidP="00F03814">
    <w:pPr>
      <w:pStyle w:val="Piedepgina"/>
      <w:tabs>
        <w:tab w:val="clear" w:pos="4252"/>
        <w:tab w:val="clear" w:pos="8504"/>
        <w:tab w:val="center" w:pos="4560"/>
      </w:tabs>
      <w:ind w:right="360"/>
      <w:jc w:val="left"/>
      <w:rPr>
        <w:rStyle w:val="Nmerodepgina"/>
      </w:rPr>
    </w:pPr>
  </w:p>
  <w:p w:rsidR="00B3331A" w:rsidRPr="00F74E38" w:rsidRDefault="00B3331A"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1A" w:rsidRDefault="00B3331A"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1A" w:rsidRDefault="00B3331A" w:rsidP="00CE50DD">
    <w:pPr>
      <w:pStyle w:val="Piedepgina"/>
      <w:tabs>
        <w:tab w:val="clear" w:pos="2835"/>
        <w:tab w:val="clear" w:pos="3969"/>
        <w:tab w:val="clear" w:pos="4252"/>
        <w:tab w:val="clear" w:pos="5103"/>
        <w:tab w:val="clear" w:pos="6237"/>
        <w:tab w:val="clear" w:pos="7371"/>
        <w:tab w:val="clear" w:pos="8504"/>
        <w:tab w:val="center" w:pos="4440"/>
      </w:tabs>
      <w:spacing w:after="0"/>
      <w:ind w:left="-993" w:right="29"/>
      <w:jc w:val="left"/>
      <w:rPr>
        <w:rFonts w:ascii="GillSans" w:hAnsi="GillSans"/>
      </w:rPr>
    </w:pPr>
    <w:r>
      <w:rPr>
        <w:rFonts w:ascii="GillSans" w:hAnsi="GillSans"/>
        <w:noProof/>
        <w:lang w:val="es-ES" w:eastAsia="es-ES"/>
      </w:rPr>
      <w:drawing>
        <wp:inline distT="0" distB="0" distL="0" distR="0">
          <wp:extent cx="213100" cy="3714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p>
  <w:p w:rsidR="00B3331A" w:rsidRDefault="00B3331A" w:rsidP="00CE50DD">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7D325C">
      <w:rPr>
        <w:rStyle w:val="Nmerodepgina"/>
        <w:noProof/>
        <w:szCs w:val="24"/>
      </w:rPr>
      <w:t>24</w:t>
    </w:r>
    <w:r w:rsidRPr="001D4F09">
      <w:rPr>
        <w:rStyle w:val="Nmerodepgina"/>
        <w:szCs w:val="24"/>
      </w:rPr>
      <w:fldChar w:fldCharType="end"/>
    </w:r>
    <w:r w:rsidRPr="001D4F09">
      <w:rPr>
        <w:rStyle w:val="Nmerodepgina"/>
        <w:szCs w:val="24"/>
      </w:rPr>
      <w:t xml:space="preserve"> </w:t>
    </w:r>
    <w:r>
      <w:rPr>
        <w:rStyle w:val="Nmerodepgina"/>
        <w:szCs w:val="24"/>
      </w:rPr>
      <w:t>-</w:t>
    </w:r>
  </w:p>
  <w:p w:rsidR="00B3331A" w:rsidRDefault="00B3331A" w:rsidP="00CE50DD">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p>
  <w:p w:rsidR="00B3331A" w:rsidRPr="00F03814" w:rsidRDefault="00B3331A" w:rsidP="00CE50DD">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31A" w:rsidRDefault="00B3331A" w:rsidP="00015946">
      <w:pPr>
        <w:ind w:firstLine="0"/>
      </w:pPr>
      <w:r>
        <w:separator/>
      </w:r>
    </w:p>
  </w:footnote>
  <w:footnote w:type="continuationSeparator" w:id="0">
    <w:p w:rsidR="00B3331A" w:rsidRDefault="00B3331A" w:rsidP="00015946">
      <w:pPr>
        <w:ind w:firstLine="0"/>
      </w:pPr>
      <w:r>
        <w:continuationSeparator/>
      </w:r>
    </w:p>
  </w:footnote>
  <w:footnote w:id="1">
    <w:p w:rsidR="00B3331A" w:rsidRPr="009609F4" w:rsidRDefault="00B3331A" w:rsidP="00F75A43">
      <w:pPr>
        <w:pStyle w:val="texto"/>
        <w:tabs>
          <w:tab w:val="clear" w:pos="2835"/>
          <w:tab w:val="clear" w:pos="3969"/>
          <w:tab w:val="clear" w:pos="5103"/>
          <w:tab w:val="clear" w:pos="6237"/>
          <w:tab w:val="clear" w:pos="7371"/>
        </w:tabs>
        <w:spacing w:after="100"/>
        <w:ind w:firstLine="0"/>
        <w:rPr>
          <w:lang w:val="es-ES"/>
        </w:rPr>
      </w:pPr>
      <w:r>
        <w:rPr>
          <w:rStyle w:val="Refdenotaalpie"/>
        </w:rPr>
        <w:footnoteRef/>
      </w:r>
      <w:r>
        <w:t xml:space="preserve"> </w:t>
      </w:r>
      <w:r w:rsidRPr="00745431">
        <w:rPr>
          <w:sz w:val="18"/>
          <w:szCs w:val="18"/>
        </w:rPr>
        <w:t>En cumplimiento de la recomendación del Informe de auditoría financiera sobre el procedimiento previsto para la elaboración, contenido, desarrollo y evaluación de los PES del Servicio de Control Financiero Permane</w:t>
      </w:r>
      <w:r w:rsidRPr="00745431">
        <w:rPr>
          <w:sz w:val="18"/>
          <w:szCs w:val="18"/>
        </w:rPr>
        <w:t>n</w:t>
      </w:r>
      <w:r w:rsidRPr="00745431">
        <w:rPr>
          <w:sz w:val="18"/>
          <w:szCs w:val="18"/>
        </w:rPr>
        <w:t>te y Auditoría de septiembre de 2020, en el plan 2021-2023 se incluye un anexo con la relación de subvenciones de escasa cuantía económica, con consignación presupuestaria de importe inferior o igual a 50.000 euros.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1A" w:rsidRPr="0059650E" w:rsidRDefault="00B3331A" w:rsidP="00204F99">
    <w:pPr>
      <w:pStyle w:val="Encabezado"/>
      <w:pBdr>
        <w:bottom w:val="single" w:sz="4" w:space="1" w:color="auto"/>
      </w:pBdr>
      <w:spacing w:after="40"/>
      <w:ind w:firstLine="0"/>
      <w:jc w:val="left"/>
      <w:rPr>
        <w:lang w:val="es-ES"/>
      </w:rPr>
    </w:pPr>
    <w:r>
      <w:rPr>
        <w:b/>
        <w:noProof/>
        <w:lang w:val="es-ES" w:eastAsia="es-ES"/>
      </w:rPr>
      <w:drawing>
        <wp:inline distT="0" distB="0" distL="0" distR="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Informe de fiscalización SOBRE subvenciones de la ACFN a empresas privadas,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1A" w:rsidRDefault="00B3331A"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31A" w:rsidRDefault="00B3331A"/>
  <w:p w:rsidR="00B3331A" w:rsidRDefault="00B3331A"/>
  <w:p w:rsidR="00B3331A" w:rsidRDefault="00B333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7BAB"/>
    <w:multiLevelType w:val="hybridMultilevel"/>
    <w:tmpl w:val="FBCA25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1968B4"/>
    <w:multiLevelType w:val="hybridMultilevel"/>
    <w:tmpl w:val="FFAACB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19951D82"/>
    <w:multiLevelType w:val="hybridMultilevel"/>
    <w:tmpl w:val="8E7835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E7A58D9"/>
    <w:multiLevelType w:val="hybridMultilevel"/>
    <w:tmpl w:val="E8000EC6"/>
    <w:lvl w:ilvl="0" w:tplc="E6F6E6E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5F24EF"/>
    <w:multiLevelType w:val="hybridMultilevel"/>
    <w:tmpl w:val="92262A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4F205EB"/>
    <w:multiLevelType w:val="hybridMultilevel"/>
    <w:tmpl w:val="5FFE1A64"/>
    <w:lvl w:ilvl="0" w:tplc="A2D44DEA">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
    <w:nsid w:val="259D240F"/>
    <w:multiLevelType w:val="hybridMultilevel"/>
    <w:tmpl w:val="8D849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C86440"/>
    <w:multiLevelType w:val="hybridMultilevel"/>
    <w:tmpl w:val="D4C072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357516C"/>
    <w:multiLevelType w:val="hybridMultilevel"/>
    <w:tmpl w:val="A6440F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A0A596C"/>
    <w:multiLevelType w:val="hybridMultilevel"/>
    <w:tmpl w:val="9BD8487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1">
    <w:nsid w:val="3CFF525F"/>
    <w:multiLevelType w:val="hybridMultilevel"/>
    <w:tmpl w:val="ABC89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4A13718D"/>
    <w:multiLevelType w:val="hybridMultilevel"/>
    <w:tmpl w:val="143CB4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124160C"/>
    <w:multiLevelType w:val="hybridMultilevel"/>
    <w:tmpl w:val="98EACC4A"/>
    <w:lvl w:ilvl="0" w:tplc="0C0A0001">
      <w:start w:val="1"/>
      <w:numFmt w:val="bullet"/>
      <w:lvlText w:val=""/>
      <w:lvlJc w:val="left"/>
      <w:pPr>
        <w:ind w:left="3600" w:hanging="360"/>
      </w:pPr>
      <w:rPr>
        <w:rFonts w:ascii="Symbol" w:hAnsi="Symbol" w:hint="default"/>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15">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6">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nsid w:val="6DD84E0C"/>
    <w:multiLevelType w:val="hybridMultilevel"/>
    <w:tmpl w:val="B8D0A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E423710"/>
    <w:multiLevelType w:val="hybridMultilevel"/>
    <w:tmpl w:val="2C320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49554AA"/>
    <w:multiLevelType w:val="hybridMultilevel"/>
    <w:tmpl w:val="B87CDFFE"/>
    <w:lvl w:ilvl="0" w:tplc="B80AD65E">
      <w:start w:val="1"/>
      <w:numFmt w:val="bullet"/>
      <w:lvlText w:val=""/>
      <w:lvlJc w:val="left"/>
      <w:pPr>
        <w:ind w:left="502"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1">
    <w:nsid w:val="7CC446CF"/>
    <w:multiLevelType w:val="hybridMultilevel"/>
    <w:tmpl w:val="F72C0E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
  </w:num>
  <w:num w:numId="4">
    <w:abstractNumId w:val="12"/>
  </w:num>
  <w:num w:numId="5">
    <w:abstractNumId w:val="16"/>
  </w:num>
  <w:num w:numId="6">
    <w:abstractNumId w:val="2"/>
  </w:num>
  <w:num w:numId="7">
    <w:abstractNumId w:val="2"/>
  </w:num>
  <w:num w:numId="8">
    <w:abstractNumId w:val="2"/>
  </w:num>
  <w:num w:numId="9">
    <w:abstractNumId w:val="14"/>
  </w:num>
  <w:num w:numId="10">
    <w:abstractNumId w:val="8"/>
  </w:num>
  <w:num w:numId="11">
    <w:abstractNumId w:val="9"/>
  </w:num>
  <w:num w:numId="12">
    <w:abstractNumId w:val="13"/>
  </w:num>
  <w:num w:numId="13">
    <w:abstractNumId w:val="10"/>
  </w:num>
  <w:num w:numId="14">
    <w:abstractNumId w:val="11"/>
  </w:num>
  <w:num w:numId="15">
    <w:abstractNumId w:val="17"/>
  </w:num>
  <w:num w:numId="16">
    <w:abstractNumId w:val="21"/>
  </w:num>
  <w:num w:numId="17">
    <w:abstractNumId w:val="4"/>
  </w:num>
  <w:num w:numId="18">
    <w:abstractNumId w:val="1"/>
  </w:num>
  <w:num w:numId="19">
    <w:abstractNumId w:val="0"/>
  </w:num>
  <w:num w:numId="20">
    <w:abstractNumId w:val="3"/>
  </w:num>
  <w:num w:numId="21">
    <w:abstractNumId w:val="7"/>
  </w:num>
  <w:num w:numId="22">
    <w:abstractNumId w:val="19"/>
  </w:num>
  <w:num w:numId="23">
    <w:abstractNumId w:val="6"/>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6A1"/>
    <w:rsid w:val="000019D8"/>
    <w:rsid w:val="00002C85"/>
    <w:rsid w:val="00006736"/>
    <w:rsid w:val="00006A97"/>
    <w:rsid w:val="0001123B"/>
    <w:rsid w:val="00012A7F"/>
    <w:rsid w:val="00012F5D"/>
    <w:rsid w:val="00015946"/>
    <w:rsid w:val="00015D9F"/>
    <w:rsid w:val="00017A3A"/>
    <w:rsid w:val="0002313D"/>
    <w:rsid w:val="00026545"/>
    <w:rsid w:val="00031234"/>
    <w:rsid w:val="000333A2"/>
    <w:rsid w:val="00034E3A"/>
    <w:rsid w:val="00036E42"/>
    <w:rsid w:val="00041A72"/>
    <w:rsid w:val="00042A38"/>
    <w:rsid w:val="00042CF0"/>
    <w:rsid w:val="0004373B"/>
    <w:rsid w:val="000448FA"/>
    <w:rsid w:val="00053A42"/>
    <w:rsid w:val="0005517D"/>
    <w:rsid w:val="00055BC3"/>
    <w:rsid w:val="00056A56"/>
    <w:rsid w:val="0006133D"/>
    <w:rsid w:val="00063585"/>
    <w:rsid w:val="00070864"/>
    <w:rsid w:val="00070EA4"/>
    <w:rsid w:val="00071CD0"/>
    <w:rsid w:val="00071D22"/>
    <w:rsid w:val="00075677"/>
    <w:rsid w:val="00075692"/>
    <w:rsid w:val="0008576D"/>
    <w:rsid w:val="00087B8D"/>
    <w:rsid w:val="00093D67"/>
    <w:rsid w:val="00093E60"/>
    <w:rsid w:val="000958EB"/>
    <w:rsid w:val="000A00A4"/>
    <w:rsid w:val="000A18B7"/>
    <w:rsid w:val="000A2C1E"/>
    <w:rsid w:val="000A3EF8"/>
    <w:rsid w:val="000A4697"/>
    <w:rsid w:val="000B02BA"/>
    <w:rsid w:val="000B2728"/>
    <w:rsid w:val="000B3943"/>
    <w:rsid w:val="000B41AF"/>
    <w:rsid w:val="000B4477"/>
    <w:rsid w:val="000C0704"/>
    <w:rsid w:val="000C2398"/>
    <w:rsid w:val="000C2B07"/>
    <w:rsid w:val="000C39CC"/>
    <w:rsid w:val="000C7566"/>
    <w:rsid w:val="000D1399"/>
    <w:rsid w:val="000D188E"/>
    <w:rsid w:val="000D5335"/>
    <w:rsid w:val="000D53D1"/>
    <w:rsid w:val="000D611B"/>
    <w:rsid w:val="000D7C7A"/>
    <w:rsid w:val="000E6E06"/>
    <w:rsid w:val="000E7B86"/>
    <w:rsid w:val="000F103A"/>
    <w:rsid w:val="000F2B66"/>
    <w:rsid w:val="000F3D83"/>
    <w:rsid w:val="000F44C1"/>
    <w:rsid w:val="00100494"/>
    <w:rsid w:val="00100F12"/>
    <w:rsid w:val="00102831"/>
    <w:rsid w:val="00102D31"/>
    <w:rsid w:val="00103589"/>
    <w:rsid w:val="001045C9"/>
    <w:rsid w:val="001051ED"/>
    <w:rsid w:val="00107CC1"/>
    <w:rsid w:val="00111497"/>
    <w:rsid w:val="00111A92"/>
    <w:rsid w:val="0011440E"/>
    <w:rsid w:val="001145C3"/>
    <w:rsid w:val="00115B48"/>
    <w:rsid w:val="001161D2"/>
    <w:rsid w:val="00116CFE"/>
    <w:rsid w:val="001173B6"/>
    <w:rsid w:val="001254FB"/>
    <w:rsid w:val="00125787"/>
    <w:rsid w:val="001300AC"/>
    <w:rsid w:val="00130C43"/>
    <w:rsid w:val="00131399"/>
    <w:rsid w:val="00131DF1"/>
    <w:rsid w:val="00132C38"/>
    <w:rsid w:val="00133984"/>
    <w:rsid w:val="001365C4"/>
    <w:rsid w:val="0013731F"/>
    <w:rsid w:val="00137BC3"/>
    <w:rsid w:val="0014147D"/>
    <w:rsid w:val="00141D29"/>
    <w:rsid w:val="001443E8"/>
    <w:rsid w:val="0014506A"/>
    <w:rsid w:val="0014728F"/>
    <w:rsid w:val="00147491"/>
    <w:rsid w:val="001521A2"/>
    <w:rsid w:val="00152358"/>
    <w:rsid w:val="0015429B"/>
    <w:rsid w:val="00154319"/>
    <w:rsid w:val="00155BFF"/>
    <w:rsid w:val="00160F66"/>
    <w:rsid w:val="001633AF"/>
    <w:rsid w:val="00166A6C"/>
    <w:rsid w:val="001728D0"/>
    <w:rsid w:val="00172D64"/>
    <w:rsid w:val="00173EDD"/>
    <w:rsid w:val="0017402B"/>
    <w:rsid w:val="00174ECF"/>
    <w:rsid w:val="001767F4"/>
    <w:rsid w:val="00176F0F"/>
    <w:rsid w:val="00181D37"/>
    <w:rsid w:val="001835B7"/>
    <w:rsid w:val="00183C1C"/>
    <w:rsid w:val="0018426B"/>
    <w:rsid w:val="001845BE"/>
    <w:rsid w:val="00185A37"/>
    <w:rsid w:val="00187CE8"/>
    <w:rsid w:val="001938C6"/>
    <w:rsid w:val="00194309"/>
    <w:rsid w:val="0019660E"/>
    <w:rsid w:val="00197579"/>
    <w:rsid w:val="00197B46"/>
    <w:rsid w:val="001A2756"/>
    <w:rsid w:val="001A3BFF"/>
    <w:rsid w:val="001A6BC0"/>
    <w:rsid w:val="001A6D29"/>
    <w:rsid w:val="001B39E2"/>
    <w:rsid w:val="001B440F"/>
    <w:rsid w:val="001C13A4"/>
    <w:rsid w:val="001C1F3C"/>
    <w:rsid w:val="001C2B26"/>
    <w:rsid w:val="001C3A32"/>
    <w:rsid w:val="001C741A"/>
    <w:rsid w:val="001D4F09"/>
    <w:rsid w:val="001E17E3"/>
    <w:rsid w:val="001E21BE"/>
    <w:rsid w:val="001E3807"/>
    <w:rsid w:val="001E5C54"/>
    <w:rsid w:val="001E7682"/>
    <w:rsid w:val="001F1482"/>
    <w:rsid w:val="001F20D7"/>
    <w:rsid w:val="001F7744"/>
    <w:rsid w:val="002014EB"/>
    <w:rsid w:val="00202B1A"/>
    <w:rsid w:val="00204979"/>
    <w:rsid w:val="00204F99"/>
    <w:rsid w:val="00207FBB"/>
    <w:rsid w:val="00211D69"/>
    <w:rsid w:val="002179DB"/>
    <w:rsid w:val="00225357"/>
    <w:rsid w:val="002266CF"/>
    <w:rsid w:val="00227E48"/>
    <w:rsid w:val="00230577"/>
    <w:rsid w:val="0023159D"/>
    <w:rsid w:val="002316A1"/>
    <w:rsid w:val="0023209D"/>
    <w:rsid w:val="002333F8"/>
    <w:rsid w:val="00233D79"/>
    <w:rsid w:val="00236E06"/>
    <w:rsid w:val="00237657"/>
    <w:rsid w:val="002408AD"/>
    <w:rsid w:val="00242BA7"/>
    <w:rsid w:val="002437B5"/>
    <w:rsid w:val="00244EF1"/>
    <w:rsid w:val="00246F21"/>
    <w:rsid w:val="00253E78"/>
    <w:rsid w:val="00262C3C"/>
    <w:rsid w:val="00264C88"/>
    <w:rsid w:val="0026532C"/>
    <w:rsid w:val="0026575D"/>
    <w:rsid w:val="002663CF"/>
    <w:rsid w:val="00266D8E"/>
    <w:rsid w:val="002705B0"/>
    <w:rsid w:val="002717A6"/>
    <w:rsid w:val="00272015"/>
    <w:rsid w:val="00273C10"/>
    <w:rsid w:val="00274B4C"/>
    <w:rsid w:val="00275FE9"/>
    <w:rsid w:val="00276264"/>
    <w:rsid w:val="0028152F"/>
    <w:rsid w:val="00281DCA"/>
    <w:rsid w:val="002852E9"/>
    <w:rsid w:val="00297B04"/>
    <w:rsid w:val="002A056C"/>
    <w:rsid w:val="002A2408"/>
    <w:rsid w:val="002A4E82"/>
    <w:rsid w:val="002A51C9"/>
    <w:rsid w:val="002A66A5"/>
    <w:rsid w:val="002A6EBB"/>
    <w:rsid w:val="002A7254"/>
    <w:rsid w:val="002B21E9"/>
    <w:rsid w:val="002B2B87"/>
    <w:rsid w:val="002B40D7"/>
    <w:rsid w:val="002B4E0F"/>
    <w:rsid w:val="002B5754"/>
    <w:rsid w:val="002C6939"/>
    <w:rsid w:val="002C7026"/>
    <w:rsid w:val="002C7E08"/>
    <w:rsid w:val="002D089F"/>
    <w:rsid w:val="002D2E53"/>
    <w:rsid w:val="002D5635"/>
    <w:rsid w:val="002D56EA"/>
    <w:rsid w:val="002D65E8"/>
    <w:rsid w:val="002D6CE1"/>
    <w:rsid w:val="002D7D32"/>
    <w:rsid w:val="002E02E5"/>
    <w:rsid w:val="002E0478"/>
    <w:rsid w:val="002E0791"/>
    <w:rsid w:val="002E12C0"/>
    <w:rsid w:val="002E13B0"/>
    <w:rsid w:val="002E1B92"/>
    <w:rsid w:val="002E3E44"/>
    <w:rsid w:val="002E3FDC"/>
    <w:rsid w:val="002E4BB4"/>
    <w:rsid w:val="002E7B81"/>
    <w:rsid w:val="002F09FB"/>
    <w:rsid w:val="002F0FE3"/>
    <w:rsid w:val="002F1AF0"/>
    <w:rsid w:val="002F230C"/>
    <w:rsid w:val="002F2530"/>
    <w:rsid w:val="002F272A"/>
    <w:rsid w:val="002F2877"/>
    <w:rsid w:val="002F3225"/>
    <w:rsid w:val="002F53B4"/>
    <w:rsid w:val="002F6506"/>
    <w:rsid w:val="002F6F43"/>
    <w:rsid w:val="002F76D6"/>
    <w:rsid w:val="003020CB"/>
    <w:rsid w:val="00303506"/>
    <w:rsid w:val="00303DF0"/>
    <w:rsid w:val="0030480C"/>
    <w:rsid w:val="0030583B"/>
    <w:rsid w:val="00306812"/>
    <w:rsid w:val="00307057"/>
    <w:rsid w:val="00312819"/>
    <w:rsid w:val="00312E9C"/>
    <w:rsid w:val="00313875"/>
    <w:rsid w:val="00314800"/>
    <w:rsid w:val="00315134"/>
    <w:rsid w:val="00316E6F"/>
    <w:rsid w:val="003203BF"/>
    <w:rsid w:val="00321369"/>
    <w:rsid w:val="00326780"/>
    <w:rsid w:val="00330787"/>
    <w:rsid w:val="00333202"/>
    <w:rsid w:val="00337493"/>
    <w:rsid w:val="00341424"/>
    <w:rsid w:val="0034285F"/>
    <w:rsid w:val="003464A4"/>
    <w:rsid w:val="00351684"/>
    <w:rsid w:val="00354458"/>
    <w:rsid w:val="003609D9"/>
    <w:rsid w:val="0036185F"/>
    <w:rsid w:val="003625AE"/>
    <w:rsid w:val="00363653"/>
    <w:rsid w:val="0036370C"/>
    <w:rsid w:val="0036509D"/>
    <w:rsid w:val="00370B6A"/>
    <w:rsid w:val="0037228C"/>
    <w:rsid w:val="003738FD"/>
    <w:rsid w:val="003810BE"/>
    <w:rsid w:val="00385045"/>
    <w:rsid w:val="00386F6C"/>
    <w:rsid w:val="00387709"/>
    <w:rsid w:val="00387794"/>
    <w:rsid w:val="003912E5"/>
    <w:rsid w:val="00392046"/>
    <w:rsid w:val="003926D3"/>
    <w:rsid w:val="00397162"/>
    <w:rsid w:val="003975BE"/>
    <w:rsid w:val="003A0EDD"/>
    <w:rsid w:val="003A335E"/>
    <w:rsid w:val="003A3DD2"/>
    <w:rsid w:val="003B3573"/>
    <w:rsid w:val="003B50A5"/>
    <w:rsid w:val="003B5813"/>
    <w:rsid w:val="003B63D1"/>
    <w:rsid w:val="003B750E"/>
    <w:rsid w:val="003B7EB1"/>
    <w:rsid w:val="003B7FF8"/>
    <w:rsid w:val="003C03EA"/>
    <w:rsid w:val="003C196B"/>
    <w:rsid w:val="003C6E1D"/>
    <w:rsid w:val="003D058C"/>
    <w:rsid w:val="003D76B1"/>
    <w:rsid w:val="003E150B"/>
    <w:rsid w:val="003E17A6"/>
    <w:rsid w:val="003E4AA5"/>
    <w:rsid w:val="003E5A12"/>
    <w:rsid w:val="003E7285"/>
    <w:rsid w:val="003F1CEC"/>
    <w:rsid w:val="003F43BF"/>
    <w:rsid w:val="003F490C"/>
    <w:rsid w:val="003F6BE4"/>
    <w:rsid w:val="0040389F"/>
    <w:rsid w:val="00403CF8"/>
    <w:rsid w:val="00407459"/>
    <w:rsid w:val="0040754F"/>
    <w:rsid w:val="00414D01"/>
    <w:rsid w:val="004170FE"/>
    <w:rsid w:val="004209E6"/>
    <w:rsid w:val="0042324B"/>
    <w:rsid w:val="004234E8"/>
    <w:rsid w:val="0042678C"/>
    <w:rsid w:val="00426805"/>
    <w:rsid w:val="00430150"/>
    <w:rsid w:val="004302F9"/>
    <w:rsid w:val="004303DB"/>
    <w:rsid w:val="004308C6"/>
    <w:rsid w:val="0043229B"/>
    <w:rsid w:val="0043249F"/>
    <w:rsid w:val="00435287"/>
    <w:rsid w:val="00440A22"/>
    <w:rsid w:val="00440FE6"/>
    <w:rsid w:val="00443A2A"/>
    <w:rsid w:val="0044512D"/>
    <w:rsid w:val="00454676"/>
    <w:rsid w:val="0045550E"/>
    <w:rsid w:val="00456456"/>
    <w:rsid w:val="00456DC1"/>
    <w:rsid w:val="0046042B"/>
    <w:rsid w:val="00462367"/>
    <w:rsid w:val="004628AA"/>
    <w:rsid w:val="0046490C"/>
    <w:rsid w:val="0046557F"/>
    <w:rsid w:val="00470287"/>
    <w:rsid w:val="00470733"/>
    <w:rsid w:val="00474C37"/>
    <w:rsid w:val="00477C53"/>
    <w:rsid w:val="0048259C"/>
    <w:rsid w:val="00485380"/>
    <w:rsid w:val="00493D87"/>
    <w:rsid w:val="004950D4"/>
    <w:rsid w:val="00496B22"/>
    <w:rsid w:val="004A0506"/>
    <w:rsid w:val="004A2342"/>
    <w:rsid w:val="004A2F62"/>
    <w:rsid w:val="004A73BC"/>
    <w:rsid w:val="004B1A16"/>
    <w:rsid w:val="004B1DB8"/>
    <w:rsid w:val="004B2F01"/>
    <w:rsid w:val="004B4182"/>
    <w:rsid w:val="004B4538"/>
    <w:rsid w:val="004B6FB6"/>
    <w:rsid w:val="004C276A"/>
    <w:rsid w:val="004C3423"/>
    <w:rsid w:val="004C571D"/>
    <w:rsid w:val="004D219A"/>
    <w:rsid w:val="004D2789"/>
    <w:rsid w:val="004D35A2"/>
    <w:rsid w:val="004D5FD1"/>
    <w:rsid w:val="004E4A07"/>
    <w:rsid w:val="004F1676"/>
    <w:rsid w:val="004F2741"/>
    <w:rsid w:val="004F7074"/>
    <w:rsid w:val="004F7C93"/>
    <w:rsid w:val="005008EB"/>
    <w:rsid w:val="00501146"/>
    <w:rsid w:val="00501978"/>
    <w:rsid w:val="00506105"/>
    <w:rsid w:val="00513162"/>
    <w:rsid w:val="005148BD"/>
    <w:rsid w:val="00516DF7"/>
    <w:rsid w:val="005216A8"/>
    <w:rsid w:val="00525809"/>
    <w:rsid w:val="00532512"/>
    <w:rsid w:val="005332E6"/>
    <w:rsid w:val="00533D41"/>
    <w:rsid w:val="00535130"/>
    <w:rsid w:val="00537302"/>
    <w:rsid w:val="00545765"/>
    <w:rsid w:val="00553841"/>
    <w:rsid w:val="00555509"/>
    <w:rsid w:val="00561C5B"/>
    <w:rsid w:val="00562599"/>
    <w:rsid w:val="00564F2D"/>
    <w:rsid w:val="00566CDA"/>
    <w:rsid w:val="0056727E"/>
    <w:rsid w:val="00567BA6"/>
    <w:rsid w:val="00570033"/>
    <w:rsid w:val="00570147"/>
    <w:rsid w:val="0057307E"/>
    <w:rsid w:val="00573A4C"/>
    <w:rsid w:val="00574522"/>
    <w:rsid w:val="00574B79"/>
    <w:rsid w:val="00574D12"/>
    <w:rsid w:val="00574EBF"/>
    <w:rsid w:val="005800B4"/>
    <w:rsid w:val="0058070B"/>
    <w:rsid w:val="0058296F"/>
    <w:rsid w:val="00583E0E"/>
    <w:rsid w:val="00595E80"/>
    <w:rsid w:val="0059650E"/>
    <w:rsid w:val="00596953"/>
    <w:rsid w:val="005A5E78"/>
    <w:rsid w:val="005A6030"/>
    <w:rsid w:val="005B3C7C"/>
    <w:rsid w:val="005B57AD"/>
    <w:rsid w:val="005B722E"/>
    <w:rsid w:val="005C02FE"/>
    <w:rsid w:val="005C4C04"/>
    <w:rsid w:val="005C50AC"/>
    <w:rsid w:val="005C6406"/>
    <w:rsid w:val="005C68B7"/>
    <w:rsid w:val="005D20F2"/>
    <w:rsid w:val="005D3454"/>
    <w:rsid w:val="005D3E18"/>
    <w:rsid w:val="005D69D1"/>
    <w:rsid w:val="005E08CF"/>
    <w:rsid w:val="005E210D"/>
    <w:rsid w:val="005F2425"/>
    <w:rsid w:val="005F29F9"/>
    <w:rsid w:val="005F5EC7"/>
    <w:rsid w:val="005F7207"/>
    <w:rsid w:val="005F7FCF"/>
    <w:rsid w:val="006014C6"/>
    <w:rsid w:val="006049FA"/>
    <w:rsid w:val="00607691"/>
    <w:rsid w:val="00607D39"/>
    <w:rsid w:val="0061047E"/>
    <w:rsid w:val="0061062C"/>
    <w:rsid w:val="00610DA8"/>
    <w:rsid w:val="00613183"/>
    <w:rsid w:val="006133F0"/>
    <w:rsid w:val="00616888"/>
    <w:rsid w:val="006176BE"/>
    <w:rsid w:val="006212CB"/>
    <w:rsid w:val="006279F9"/>
    <w:rsid w:val="0063001F"/>
    <w:rsid w:val="006369EE"/>
    <w:rsid w:val="00644E28"/>
    <w:rsid w:val="0064700E"/>
    <w:rsid w:val="00650183"/>
    <w:rsid w:val="00650677"/>
    <w:rsid w:val="00650747"/>
    <w:rsid w:val="00651A9A"/>
    <w:rsid w:val="00652A89"/>
    <w:rsid w:val="00660544"/>
    <w:rsid w:val="00662164"/>
    <w:rsid w:val="00665D76"/>
    <w:rsid w:val="006679CF"/>
    <w:rsid w:val="006702AB"/>
    <w:rsid w:val="006736A9"/>
    <w:rsid w:val="00673BC7"/>
    <w:rsid w:val="00674975"/>
    <w:rsid w:val="00675D39"/>
    <w:rsid w:val="006763A1"/>
    <w:rsid w:val="00681850"/>
    <w:rsid w:val="00683035"/>
    <w:rsid w:val="0068560B"/>
    <w:rsid w:val="00687EA9"/>
    <w:rsid w:val="00693263"/>
    <w:rsid w:val="006A1277"/>
    <w:rsid w:val="006A2602"/>
    <w:rsid w:val="006A2D41"/>
    <w:rsid w:val="006A67E1"/>
    <w:rsid w:val="006C1E66"/>
    <w:rsid w:val="006C36FB"/>
    <w:rsid w:val="006C7D62"/>
    <w:rsid w:val="006D0B23"/>
    <w:rsid w:val="006D2732"/>
    <w:rsid w:val="006D2ED6"/>
    <w:rsid w:val="006D413E"/>
    <w:rsid w:val="006D5685"/>
    <w:rsid w:val="006E1987"/>
    <w:rsid w:val="006E23B2"/>
    <w:rsid w:val="006E499E"/>
    <w:rsid w:val="006E5207"/>
    <w:rsid w:val="006F5C70"/>
    <w:rsid w:val="006F6A20"/>
    <w:rsid w:val="006F7383"/>
    <w:rsid w:val="007047B2"/>
    <w:rsid w:val="00704DE7"/>
    <w:rsid w:val="00706868"/>
    <w:rsid w:val="007078B8"/>
    <w:rsid w:val="00715E32"/>
    <w:rsid w:val="007162D1"/>
    <w:rsid w:val="00716463"/>
    <w:rsid w:val="0071675C"/>
    <w:rsid w:val="0071706E"/>
    <w:rsid w:val="00720814"/>
    <w:rsid w:val="00727292"/>
    <w:rsid w:val="00731763"/>
    <w:rsid w:val="00735A7E"/>
    <w:rsid w:val="007403CB"/>
    <w:rsid w:val="007412FF"/>
    <w:rsid w:val="00742F6A"/>
    <w:rsid w:val="007446E8"/>
    <w:rsid w:val="00745431"/>
    <w:rsid w:val="007455B4"/>
    <w:rsid w:val="00751553"/>
    <w:rsid w:val="0075165E"/>
    <w:rsid w:val="00753C7F"/>
    <w:rsid w:val="00754E10"/>
    <w:rsid w:val="00760A1C"/>
    <w:rsid w:val="00762A29"/>
    <w:rsid w:val="0076327D"/>
    <w:rsid w:val="00767745"/>
    <w:rsid w:val="00767F65"/>
    <w:rsid w:val="007707FC"/>
    <w:rsid w:val="00770BE3"/>
    <w:rsid w:val="007713EF"/>
    <w:rsid w:val="0077177A"/>
    <w:rsid w:val="007728A8"/>
    <w:rsid w:val="0078163F"/>
    <w:rsid w:val="00785A76"/>
    <w:rsid w:val="00785D89"/>
    <w:rsid w:val="00787852"/>
    <w:rsid w:val="007915BC"/>
    <w:rsid w:val="007967FA"/>
    <w:rsid w:val="00796DBF"/>
    <w:rsid w:val="00797E7A"/>
    <w:rsid w:val="007A00BA"/>
    <w:rsid w:val="007A0634"/>
    <w:rsid w:val="007A0EA6"/>
    <w:rsid w:val="007A1B6C"/>
    <w:rsid w:val="007A2D9E"/>
    <w:rsid w:val="007B0381"/>
    <w:rsid w:val="007B0F3D"/>
    <w:rsid w:val="007B148D"/>
    <w:rsid w:val="007B18AB"/>
    <w:rsid w:val="007B18C8"/>
    <w:rsid w:val="007B28DE"/>
    <w:rsid w:val="007B7A5F"/>
    <w:rsid w:val="007C36BE"/>
    <w:rsid w:val="007C4B03"/>
    <w:rsid w:val="007D22A4"/>
    <w:rsid w:val="007D325C"/>
    <w:rsid w:val="007D34D7"/>
    <w:rsid w:val="007D53ED"/>
    <w:rsid w:val="007D6001"/>
    <w:rsid w:val="007D7B2C"/>
    <w:rsid w:val="007D7F94"/>
    <w:rsid w:val="007E1B76"/>
    <w:rsid w:val="007E219A"/>
    <w:rsid w:val="007E37BF"/>
    <w:rsid w:val="007E6593"/>
    <w:rsid w:val="007E6997"/>
    <w:rsid w:val="007F1101"/>
    <w:rsid w:val="007F2326"/>
    <w:rsid w:val="007F2CB1"/>
    <w:rsid w:val="00802391"/>
    <w:rsid w:val="00803D20"/>
    <w:rsid w:val="0080619F"/>
    <w:rsid w:val="008112A0"/>
    <w:rsid w:val="008123F3"/>
    <w:rsid w:val="0081696D"/>
    <w:rsid w:val="00816E01"/>
    <w:rsid w:val="008173D0"/>
    <w:rsid w:val="00820BF8"/>
    <w:rsid w:val="00823235"/>
    <w:rsid w:val="008249F1"/>
    <w:rsid w:val="00824AF2"/>
    <w:rsid w:val="00825B96"/>
    <w:rsid w:val="00826686"/>
    <w:rsid w:val="00835563"/>
    <w:rsid w:val="00836511"/>
    <w:rsid w:val="00836B02"/>
    <w:rsid w:val="00836EC6"/>
    <w:rsid w:val="0083741E"/>
    <w:rsid w:val="00837985"/>
    <w:rsid w:val="00840E3D"/>
    <w:rsid w:val="00841D8C"/>
    <w:rsid w:val="00842220"/>
    <w:rsid w:val="00843E09"/>
    <w:rsid w:val="00844111"/>
    <w:rsid w:val="00844F74"/>
    <w:rsid w:val="00846382"/>
    <w:rsid w:val="00850F57"/>
    <w:rsid w:val="00851FC6"/>
    <w:rsid w:val="008536C2"/>
    <w:rsid w:val="008574EC"/>
    <w:rsid w:val="008600C7"/>
    <w:rsid w:val="008617D0"/>
    <w:rsid w:val="00861A60"/>
    <w:rsid w:val="00862357"/>
    <w:rsid w:val="00862D02"/>
    <w:rsid w:val="008637B9"/>
    <w:rsid w:val="00864194"/>
    <w:rsid w:val="00864DE5"/>
    <w:rsid w:val="00870399"/>
    <w:rsid w:val="008711EC"/>
    <w:rsid w:val="008718FE"/>
    <w:rsid w:val="00872946"/>
    <w:rsid w:val="0087454C"/>
    <w:rsid w:val="00883928"/>
    <w:rsid w:val="00883DDE"/>
    <w:rsid w:val="00886245"/>
    <w:rsid w:val="008867A2"/>
    <w:rsid w:val="00891D73"/>
    <w:rsid w:val="00892A44"/>
    <w:rsid w:val="0089394E"/>
    <w:rsid w:val="0089777C"/>
    <w:rsid w:val="008A11BA"/>
    <w:rsid w:val="008A2DE8"/>
    <w:rsid w:val="008A312D"/>
    <w:rsid w:val="008A3E09"/>
    <w:rsid w:val="008A3E57"/>
    <w:rsid w:val="008A77A7"/>
    <w:rsid w:val="008B3F34"/>
    <w:rsid w:val="008B750B"/>
    <w:rsid w:val="008C126D"/>
    <w:rsid w:val="008C56B9"/>
    <w:rsid w:val="008D05E0"/>
    <w:rsid w:val="008D2600"/>
    <w:rsid w:val="008D650E"/>
    <w:rsid w:val="008E070A"/>
    <w:rsid w:val="008E0AC0"/>
    <w:rsid w:val="008E1974"/>
    <w:rsid w:val="008E221A"/>
    <w:rsid w:val="008E2785"/>
    <w:rsid w:val="008E3610"/>
    <w:rsid w:val="008E3FFE"/>
    <w:rsid w:val="008E60BE"/>
    <w:rsid w:val="008E6B74"/>
    <w:rsid w:val="008F06E0"/>
    <w:rsid w:val="008F0F0B"/>
    <w:rsid w:val="008F0FAF"/>
    <w:rsid w:val="008F15B9"/>
    <w:rsid w:val="008F15F4"/>
    <w:rsid w:val="008F46CD"/>
    <w:rsid w:val="008F6480"/>
    <w:rsid w:val="008F7740"/>
    <w:rsid w:val="00900CA2"/>
    <w:rsid w:val="00903653"/>
    <w:rsid w:val="00910A52"/>
    <w:rsid w:val="00911479"/>
    <w:rsid w:val="009145E1"/>
    <w:rsid w:val="0091484D"/>
    <w:rsid w:val="00920FBA"/>
    <w:rsid w:val="009221D1"/>
    <w:rsid w:val="00925E71"/>
    <w:rsid w:val="0093329F"/>
    <w:rsid w:val="00937043"/>
    <w:rsid w:val="00940C52"/>
    <w:rsid w:val="009445D3"/>
    <w:rsid w:val="009472B8"/>
    <w:rsid w:val="00951E58"/>
    <w:rsid w:val="00955A8A"/>
    <w:rsid w:val="00957B53"/>
    <w:rsid w:val="0096400D"/>
    <w:rsid w:val="00966600"/>
    <w:rsid w:val="009671D9"/>
    <w:rsid w:val="00971352"/>
    <w:rsid w:val="00975E5B"/>
    <w:rsid w:val="00977C8F"/>
    <w:rsid w:val="00977F94"/>
    <w:rsid w:val="00980283"/>
    <w:rsid w:val="009845D6"/>
    <w:rsid w:val="00985A26"/>
    <w:rsid w:val="009863E9"/>
    <w:rsid w:val="00987CA2"/>
    <w:rsid w:val="00992E20"/>
    <w:rsid w:val="009936FC"/>
    <w:rsid w:val="00993925"/>
    <w:rsid w:val="00993977"/>
    <w:rsid w:val="00993CA6"/>
    <w:rsid w:val="009A05D1"/>
    <w:rsid w:val="009A28AC"/>
    <w:rsid w:val="009A3A5B"/>
    <w:rsid w:val="009A3F2A"/>
    <w:rsid w:val="009B2AAC"/>
    <w:rsid w:val="009B3521"/>
    <w:rsid w:val="009B541C"/>
    <w:rsid w:val="009B7BCC"/>
    <w:rsid w:val="009B7C5E"/>
    <w:rsid w:val="009C039F"/>
    <w:rsid w:val="009C0A09"/>
    <w:rsid w:val="009C4460"/>
    <w:rsid w:val="009C68EC"/>
    <w:rsid w:val="009D7192"/>
    <w:rsid w:val="009E053C"/>
    <w:rsid w:val="009E0E38"/>
    <w:rsid w:val="009E1A35"/>
    <w:rsid w:val="009F09AA"/>
    <w:rsid w:val="009F2C16"/>
    <w:rsid w:val="009F2C1B"/>
    <w:rsid w:val="009F2E9B"/>
    <w:rsid w:val="009F335C"/>
    <w:rsid w:val="00A002B5"/>
    <w:rsid w:val="00A0260C"/>
    <w:rsid w:val="00A029F7"/>
    <w:rsid w:val="00A041B5"/>
    <w:rsid w:val="00A04F8C"/>
    <w:rsid w:val="00A05158"/>
    <w:rsid w:val="00A112A0"/>
    <w:rsid w:val="00A13BF5"/>
    <w:rsid w:val="00A14837"/>
    <w:rsid w:val="00A208E2"/>
    <w:rsid w:val="00A225E3"/>
    <w:rsid w:val="00A23694"/>
    <w:rsid w:val="00A23A26"/>
    <w:rsid w:val="00A24A8F"/>
    <w:rsid w:val="00A25708"/>
    <w:rsid w:val="00A25BF0"/>
    <w:rsid w:val="00A3026E"/>
    <w:rsid w:val="00A32FE4"/>
    <w:rsid w:val="00A3522A"/>
    <w:rsid w:val="00A40CEB"/>
    <w:rsid w:val="00A444EA"/>
    <w:rsid w:val="00A4514C"/>
    <w:rsid w:val="00A4576A"/>
    <w:rsid w:val="00A45AD0"/>
    <w:rsid w:val="00A45EE9"/>
    <w:rsid w:val="00A53C14"/>
    <w:rsid w:val="00A53CA5"/>
    <w:rsid w:val="00A55718"/>
    <w:rsid w:val="00A56822"/>
    <w:rsid w:val="00A5744A"/>
    <w:rsid w:val="00A61410"/>
    <w:rsid w:val="00A6198A"/>
    <w:rsid w:val="00A65108"/>
    <w:rsid w:val="00A66583"/>
    <w:rsid w:val="00A7067F"/>
    <w:rsid w:val="00A707A7"/>
    <w:rsid w:val="00A71164"/>
    <w:rsid w:val="00A718FD"/>
    <w:rsid w:val="00A72341"/>
    <w:rsid w:val="00A7759F"/>
    <w:rsid w:val="00A776ED"/>
    <w:rsid w:val="00A80E50"/>
    <w:rsid w:val="00A8137F"/>
    <w:rsid w:val="00A83663"/>
    <w:rsid w:val="00A83B0F"/>
    <w:rsid w:val="00A84216"/>
    <w:rsid w:val="00A85EC1"/>
    <w:rsid w:val="00A90BFA"/>
    <w:rsid w:val="00A92112"/>
    <w:rsid w:val="00A92BF3"/>
    <w:rsid w:val="00A943C8"/>
    <w:rsid w:val="00A950A4"/>
    <w:rsid w:val="00A9520D"/>
    <w:rsid w:val="00A9747D"/>
    <w:rsid w:val="00AA00A6"/>
    <w:rsid w:val="00AA0680"/>
    <w:rsid w:val="00AA0951"/>
    <w:rsid w:val="00AA189E"/>
    <w:rsid w:val="00AA567B"/>
    <w:rsid w:val="00AA6BA8"/>
    <w:rsid w:val="00AA7F5A"/>
    <w:rsid w:val="00AB0B90"/>
    <w:rsid w:val="00AB2340"/>
    <w:rsid w:val="00AB5FE4"/>
    <w:rsid w:val="00AB659D"/>
    <w:rsid w:val="00AB7FF9"/>
    <w:rsid w:val="00AC229F"/>
    <w:rsid w:val="00AC26EC"/>
    <w:rsid w:val="00AC2990"/>
    <w:rsid w:val="00AC2C31"/>
    <w:rsid w:val="00AC434E"/>
    <w:rsid w:val="00AD1C8D"/>
    <w:rsid w:val="00AD7671"/>
    <w:rsid w:val="00AE1C4B"/>
    <w:rsid w:val="00AE2F9E"/>
    <w:rsid w:val="00AE44ED"/>
    <w:rsid w:val="00AE53E8"/>
    <w:rsid w:val="00AE6FE4"/>
    <w:rsid w:val="00AE7D68"/>
    <w:rsid w:val="00AF2059"/>
    <w:rsid w:val="00AF3D84"/>
    <w:rsid w:val="00AF4161"/>
    <w:rsid w:val="00AF580B"/>
    <w:rsid w:val="00B007C8"/>
    <w:rsid w:val="00B02332"/>
    <w:rsid w:val="00B072B3"/>
    <w:rsid w:val="00B14410"/>
    <w:rsid w:val="00B15C0D"/>
    <w:rsid w:val="00B15E61"/>
    <w:rsid w:val="00B239CA"/>
    <w:rsid w:val="00B24F35"/>
    <w:rsid w:val="00B257B3"/>
    <w:rsid w:val="00B31CFD"/>
    <w:rsid w:val="00B32209"/>
    <w:rsid w:val="00B32C88"/>
    <w:rsid w:val="00B3331A"/>
    <w:rsid w:val="00B34747"/>
    <w:rsid w:val="00B42813"/>
    <w:rsid w:val="00B42E49"/>
    <w:rsid w:val="00B468EC"/>
    <w:rsid w:val="00B50903"/>
    <w:rsid w:val="00B6012E"/>
    <w:rsid w:val="00B60977"/>
    <w:rsid w:val="00B609D5"/>
    <w:rsid w:val="00B609E4"/>
    <w:rsid w:val="00B622B6"/>
    <w:rsid w:val="00B62FFE"/>
    <w:rsid w:val="00B65013"/>
    <w:rsid w:val="00B65291"/>
    <w:rsid w:val="00B70BA3"/>
    <w:rsid w:val="00B7123A"/>
    <w:rsid w:val="00B72D3D"/>
    <w:rsid w:val="00B7435C"/>
    <w:rsid w:val="00B76F38"/>
    <w:rsid w:val="00B8085D"/>
    <w:rsid w:val="00B80ABF"/>
    <w:rsid w:val="00B81EFF"/>
    <w:rsid w:val="00B836BB"/>
    <w:rsid w:val="00B84122"/>
    <w:rsid w:val="00B84A46"/>
    <w:rsid w:val="00B85BF7"/>
    <w:rsid w:val="00B86264"/>
    <w:rsid w:val="00B862B0"/>
    <w:rsid w:val="00B90F48"/>
    <w:rsid w:val="00BA05BE"/>
    <w:rsid w:val="00BA0E1B"/>
    <w:rsid w:val="00BA2B7C"/>
    <w:rsid w:val="00BA4BBF"/>
    <w:rsid w:val="00BA6477"/>
    <w:rsid w:val="00BA64DF"/>
    <w:rsid w:val="00BA7EFE"/>
    <w:rsid w:val="00BB142A"/>
    <w:rsid w:val="00BB34B9"/>
    <w:rsid w:val="00BB35C2"/>
    <w:rsid w:val="00BB553B"/>
    <w:rsid w:val="00BC28D7"/>
    <w:rsid w:val="00BC2CE2"/>
    <w:rsid w:val="00BC376C"/>
    <w:rsid w:val="00BC6321"/>
    <w:rsid w:val="00BC7817"/>
    <w:rsid w:val="00BD1ECA"/>
    <w:rsid w:val="00BD3819"/>
    <w:rsid w:val="00BD642D"/>
    <w:rsid w:val="00BD6988"/>
    <w:rsid w:val="00BD79DC"/>
    <w:rsid w:val="00BE1A77"/>
    <w:rsid w:val="00BE4742"/>
    <w:rsid w:val="00BE55CE"/>
    <w:rsid w:val="00BE7383"/>
    <w:rsid w:val="00BE754D"/>
    <w:rsid w:val="00BF1DB9"/>
    <w:rsid w:val="00BF6A9A"/>
    <w:rsid w:val="00BF6D10"/>
    <w:rsid w:val="00BF6E79"/>
    <w:rsid w:val="00C00FB2"/>
    <w:rsid w:val="00C03F6C"/>
    <w:rsid w:val="00C12108"/>
    <w:rsid w:val="00C121D9"/>
    <w:rsid w:val="00C13453"/>
    <w:rsid w:val="00C220F9"/>
    <w:rsid w:val="00C23836"/>
    <w:rsid w:val="00C2541C"/>
    <w:rsid w:val="00C26862"/>
    <w:rsid w:val="00C30458"/>
    <w:rsid w:val="00C31DA6"/>
    <w:rsid w:val="00C33260"/>
    <w:rsid w:val="00C4135D"/>
    <w:rsid w:val="00C4598F"/>
    <w:rsid w:val="00C46603"/>
    <w:rsid w:val="00C50360"/>
    <w:rsid w:val="00C53585"/>
    <w:rsid w:val="00C54E12"/>
    <w:rsid w:val="00C55468"/>
    <w:rsid w:val="00C622C3"/>
    <w:rsid w:val="00C63BD5"/>
    <w:rsid w:val="00C65737"/>
    <w:rsid w:val="00C74906"/>
    <w:rsid w:val="00C758A2"/>
    <w:rsid w:val="00C76158"/>
    <w:rsid w:val="00C77D60"/>
    <w:rsid w:val="00C81B40"/>
    <w:rsid w:val="00C81FEA"/>
    <w:rsid w:val="00C83969"/>
    <w:rsid w:val="00C84C6B"/>
    <w:rsid w:val="00C8502A"/>
    <w:rsid w:val="00C86C95"/>
    <w:rsid w:val="00C91A1D"/>
    <w:rsid w:val="00CA05EB"/>
    <w:rsid w:val="00CA2985"/>
    <w:rsid w:val="00CA3515"/>
    <w:rsid w:val="00CA3A05"/>
    <w:rsid w:val="00CA52E4"/>
    <w:rsid w:val="00CA572E"/>
    <w:rsid w:val="00CA6580"/>
    <w:rsid w:val="00CB0BE8"/>
    <w:rsid w:val="00CB14E9"/>
    <w:rsid w:val="00CB2C31"/>
    <w:rsid w:val="00CB3C6C"/>
    <w:rsid w:val="00CB6D90"/>
    <w:rsid w:val="00CB72C3"/>
    <w:rsid w:val="00CC0CF7"/>
    <w:rsid w:val="00CC16D1"/>
    <w:rsid w:val="00CC2BE2"/>
    <w:rsid w:val="00CC45E4"/>
    <w:rsid w:val="00CC538E"/>
    <w:rsid w:val="00CC6385"/>
    <w:rsid w:val="00CD019F"/>
    <w:rsid w:val="00CD27C5"/>
    <w:rsid w:val="00CE10DF"/>
    <w:rsid w:val="00CE168E"/>
    <w:rsid w:val="00CE4169"/>
    <w:rsid w:val="00CE4616"/>
    <w:rsid w:val="00CE50DD"/>
    <w:rsid w:val="00CE6C55"/>
    <w:rsid w:val="00CE7894"/>
    <w:rsid w:val="00CF06A1"/>
    <w:rsid w:val="00CF1467"/>
    <w:rsid w:val="00CF14BE"/>
    <w:rsid w:val="00CF360B"/>
    <w:rsid w:val="00CF48D6"/>
    <w:rsid w:val="00CF513E"/>
    <w:rsid w:val="00CF57D6"/>
    <w:rsid w:val="00CF61D4"/>
    <w:rsid w:val="00CF6C1B"/>
    <w:rsid w:val="00CF7ACB"/>
    <w:rsid w:val="00D019D5"/>
    <w:rsid w:val="00D040FE"/>
    <w:rsid w:val="00D0511B"/>
    <w:rsid w:val="00D114CB"/>
    <w:rsid w:val="00D16487"/>
    <w:rsid w:val="00D168FD"/>
    <w:rsid w:val="00D16F64"/>
    <w:rsid w:val="00D2472C"/>
    <w:rsid w:val="00D27162"/>
    <w:rsid w:val="00D279BA"/>
    <w:rsid w:val="00D32002"/>
    <w:rsid w:val="00D37E85"/>
    <w:rsid w:val="00D404B5"/>
    <w:rsid w:val="00D41985"/>
    <w:rsid w:val="00D447CB"/>
    <w:rsid w:val="00D44B1E"/>
    <w:rsid w:val="00D4587F"/>
    <w:rsid w:val="00D4698D"/>
    <w:rsid w:val="00D47D16"/>
    <w:rsid w:val="00D505F4"/>
    <w:rsid w:val="00D51CE1"/>
    <w:rsid w:val="00D562F2"/>
    <w:rsid w:val="00D56CC9"/>
    <w:rsid w:val="00D608C9"/>
    <w:rsid w:val="00D61B93"/>
    <w:rsid w:val="00D637C9"/>
    <w:rsid w:val="00D64336"/>
    <w:rsid w:val="00D67865"/>
    <w:rsid w:val="00D67E4A"/>
    <w:rsid w:val="00D70383"/>
    <w:rsid w:val="00D746D1"/>
    <w:rsid w:val="00D763FD"/>
    <w:rsid w:val="00D80737"/>
    <w:rsid w:val="00D85E4F"/>
    <w:rsid w:val="00D90AD1"/>
    <w:rsid w:val="00D941F7"/>
    <w:rsid w:val="00DA4DDF"/>
    <w:rsid w:val="00DB0397"/>
    <w:rsid w:val="00DB0804"/>
    <w:rsid w:val="00DB2FC4"/>
    <w:rsid w:val="00DB75B0"/>
    <w:rsid w:val="00DC046A"/>
    <w:rsid w:val="00DC382A"/>
    <w:rsid w:val="00DC4D01"/>
    <w:rsid w:val="00DC7D97"/>
    <w:rsid w:val="00DE18C0"/>
    <w:rsid w:val="00DE1923"/>
    <w:rsid w:val="00DE2B33"/>
    <w:rsid w:val="00DE638B"/>
    <w:rsid w:val="00DE72EE"/>
    <w:rsid w:val="00DE7A57"/>
    <w:rsid w:val="00DF04EF"/>
    <w:rsid w:val="00DF2D20"/>
    <w:rsid w:val="00DF37E5"/>
    <w:rsid w:val="00DF3A7B"/>
    <w:rsid w:val="00DF57F7"/>
    <w:rsid w:val="00E034FE"/>
    <w:rsid w:val="00E041E5"/>
    <w:rsid w:val="00E04888"/>
    <w:rsid w:val="00E0763B"/>
    <w:rsid w:val="00E10302"/>
    <w:rsid w:val="00E17EC5"/>
    <w:rsid w:val="00E24D94"/>
    <w:rsid w:val="00E26BFD"/>
    <w:rsid w:val="00E27E90"/>
    <w:rsid w:val="00E319D5"/>
    <w:rsid w:val="00E33D02"/>
    <w:rsid w:val="00E34F2C"/>
    <w:rsid w:val="00E35D79"/>
    <w:rsid w:val="00E35EE8"/>
    <w:rsid w:val="00E36872"/>
    <w:rsid w:val="00E4641E"/>
    <w:rsid w:val="00E46B35"/>
    <w:rsid w:val="00E519AE"/>
    <w:rsid w:val="00E57339"/>
    <w:rsid w:val="00E57AF7"/>
    <w:rsid w:val="00E61CBA"/>
    <w:rsid w:val="00E62177"/>
    <w:rsid w:val="00E6241B"/>
    <w:rsid w:val="00E64FCC"/>
    <w:rsid w:val="00E6591B"/>
    <w:rsid w:val="00E703B6"/>
    <w:rsid w:val="00E72200"/>
    <w:rsid w:val="00E72B1B"/>
    <w:rsid w:val="00E75D47"/>
    <w:rsid w:val="00E766F5"/>
    <w:rsid w:val="00E80CB3"/>
    <w:rsid w:val="00E81212"/>
    <w:rsid w:val="00E82948"/>
    <w:rsid w:val="00E87EED"/>
    <w:rsid w:val="00E90218"/>
    <w:rsid w:val="00E90497"/>
    <w:rsid w:val="00E913BB"/>
    <w:rsid w:val="00E918F7"/>
    <w:rsid w:val="00E9196E"/>
    <w:rsid w:val="00E938A1"/>
    <w:rsid w:val="00E95F2E"/>
    <w:rsid w:val="00EA1508"/>
    <w:rsid w:val="00EA1541"/>
    <w:rsid w:val="00EA32E4"/>
    <w:rsid w:val="00EA408D"/>
    <w:rsid w:val="00EA7E36"/>
    <w:rsid w:val="00EB0898"/>
    <w:rsid w:val="00EB627B"/>
    <w:rsid w:val="00EB6D94"/>
    <w:rsid w:val="00EB7C1B"/>
    <w:rsid w:val="00EC0DF0"/>
    <w:rsid w:val="00EC23EE"/>
    <w:rsid w:val="00EC3733"/>
    <w:rsid w:val="00EC4183"/>
    <w:rsid w:val="00EC6468"/>
    <w:rsid w:val="00EC6708"/>
    <w:rsid w:val="00ED065E"/>
    <w:rsid w:val="00ED207C"/>
    <w:rsid w:val="00ED325A"/>
    <w:rsid w:val="00ED3F41"/>
    <w:rsid w:val="00ED5615"/>
    <w:rsid w:val="00ED692E"/>
    <w:rsid w:val="00ED69AF"/>
    <w:rsid w:val="00EE1847"/>
    <w:rsid w:val="00EE240E"/>
    <w:rsid w:val="00EE42B1"/>
    <w:rsid w:val="00EE688E"/>
    <w:rsid w:val="00EE6A6D"/>
    <w:rsid w:val="00EF03E2"/>
    <w:rsid w:val="00EF6A45"/>
    <w:rsid w:val="00EF7F8B"/>
    <w:rsid w:val="00F01522"/>
    <w:rsid w:val="00F03664"/>
    <w:rsid w:val="00F03814"/>
    <w:rsid w:val="00F07051"/>
    <w:rsid w:val="00F07A09"/>
    <w:rsid w:val="00F1390C"/>
    <w:rsid w:val="00F14D98"/>
    <w:rsid w:val="00F20C5E"/>
    <w:rsid w:val="00F241C4"/>
    <w:rsid w:val="00F3060E"/>
    <w:rsid w:val="00F355E7"/>
    <w:rsid w:val="00F3632D"/>
    <w:rsid w:val="00F36A1D"/>
    <w:rsid w:val="00F3724F"/>
    <w:rsid w:val="00F43C88"/>
    <w:rsid w:val="00F44278"/>
    <w:rsid w:val="00F45039"/>
    <w:rsid w:val="00F452EE"/>
    <w:rsid w:val="00F4544B"/>
    <w:rsid w:val="00F51B65"/>
    <w:rsid w:val="00F52AAB"/>
    <w:rsid w:val="00F52EB6"/>
    <w:rsid w:val="00F55260"/>
    <w:rsid w:val="00F60B25"/>
    <w:rsid w:val="00F6316B"/>
    <w:rsid w:val="00F63EA4"/>
    <w:rsid w:val="00F65AE0"/>
    <w:rsid w:val="00F71766"/>
    <w:rsid w:val="00F74E38"/>
    <w:rsid w:val="00F75A43"/>
    <w:rsid w:val="00F76D6F"/>
    <w:rsid w:val="00F76FCA"/>
    <w:rsid w:val="00F778B0"/>
    <w:rsid w:val="00F83BC2"/>
    <w:rsid w:val="00F92EC1"/>
    <w:rsid w:val="00F94C47"/>
    <w:rsid w:val="00F978D7"/>
    <w:rsid w:val="00FA0421"/>
    <w:rsid w:val="00FA1666"/>
    <w:rsid w:val="00FA2CE6"/>
    <w:rsid w:val="00FA3389"/>
    <w:rsid w:val="00FA3476"/>
    <w:rsid w:val="00FA495F"/>
    <w:rsid w:val="00FB0C10"/>
    <w:rsid w:val="00FB31D8"/>
    <w:rsid w:val="00FB3A5C"/>
    <w:rsid w:val="00FB3C36"/>
    <w:rsid w:val="00FB4280"/>
    <w:rsid w:val="00FB7CCE"/>
    <w:rsid w:val="00FC01C8"/>
    <w:rsid w:val="00FC1232"/>
    <w:rsid w:val="00FC5027"/>
    <w:rsid w:val="00FC50C7"/>
    <w:rsid w:val="00FC511D"/>
    <w:rsid w:val="00FC68BC"/>
    <w:rsid w:val="00FC6993"/>
    <w:rsid w:val="00FD11D4"/>
    <w:rsid w:val="00FD225D"/>
    <w:rsid w:val="00FD2384"/>
    <w:rsid w:val="00FD551C"/>
    <w:rsid w:val="00FD6651"/>
    <w:rsid w:val="00FD6B34"/>
    <w:rsid w:val="00FE0208"/>
    <w:rsid w:val="00FE16E2"/>
    <w:rsid w:val="00FE246B"/>
    <w:rsid w:val="00FE44A2"/>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caption" w:uiPriority="9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204F99"/>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204F99"/>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204F99"/>
    <w:rPr>
      <w:b/>
      <w:bCs/>
      <w:sz w:val="28"/>
      <w:szCs w:val="28"/>
      <w:lang w:val="es-ES_tradnl" w:eastAsia="en-US"/>
    </w:rPr>
  </w:style>
  <w:style w:type="character" w:customStyle="1" w:styleId="Ttulo7Car">
    <w:name w:val="Título 7 Car"/>
    <w:basedOn w:val="Fuentedeprrafopredeter"/>
    <w:link w:val="Ttulo7"/>
    <w:uiPriority w:val="99"/>
    <w:rsid w:val="00204F99"/>
    <w:rPr>
      <w:sz w:val="52"/>
    </w:rPr>
  </w:style>
  <w:style w:type="character" w:customStyle="1" w:styleId="atitulo2Car">
    <w:name w:val="atitulo2 Car"/>
    <w:link w:val="atitulo2"/>
    <w:uiPriority w:val="99"/>
    <w:rsid w:val="00204F99"/>
    <w:rPr>
      <w:rFonts w:ascii="Arial" w:hAnsi="Arial"/>
      <w:bCs/>
      <w:iCs/>
      <w:color w:val="000000"/>
      <w:spacing w:val="10"/>
      <w:kern w:val="28"/>
      <w:sz w:val="25"/>
      <w:szCs w:val="26"/>
      <w:lang w:val="es-ES_tradnl" w:eastAsia="en-US"/>
    </w:rPr>
  </w:style>
  <w:style w:type="paragraph" w:customStyle="1" w:styleId="Estndar">
    <w:name w:val="Estándar"/>
    <w:rsid w:val="00204F99"/>
    <w:pPr>
      <w:snapToGrid w:val="0"/>
    </w:pPr>
    <w:rPr>
      <w:rFonts w:ascii="CG Omega" w:hAnsi="CG Omega"/>
      <w:color w:val="000000"/>
      <w:sz w:val="22"/>
    </w:rPr>
  </w:style>
  <w:style w:type="paragraph" w:customStyle="1" w:styleId="tabla10">
    <w:name w:val="tabla10"/>
    <w:rsid w:val="00204F99"/>
    <w:pPr>
      <w:tabs>
        <w:tab w:val="left" w:pos="567"/>
        <w:tab w:val="left" w:pos="1134"/>
      </w:tabs>
      <w:snapToGrid w:val="0"/>
    </w:pPr>
    <w:rPr>
      <w:rFonts w:ascii="CG Times" w:hAnsi="CG Times"/>
      <w:color w:val="000000"/>
    </w:rPr>
  </w:style>
  <w:style w:type="paragraph" w:styleId="NormalWeb">
    <w:name w:val="Normal (Web)"/>
    <w:basedOn w:val="Normal"/>
    <w:uiPriority w:val="99"/>
    <w:rsid w:val="00204F99"/>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semiHidden/>
    <w:rsid w:val="00204F99"/>
  </w:style>
  <w:style w:type="character" w:customStyle="1" w:styleId="TextocomentarioCar">
    <w:name w:val="Texto comentario Car"/>
    <w:basedOn w:val="Fuentedeprrafopredeter"/>
    <w:link w:val="Textocomentario"/>
    <w:semiHidden/>
    <w:rsid w:val="00204F99"/>
    <w:rPr>
      <w:lang w:val="es-ES_tradnl" w:eastAsia="en-US"/>
    </w:rPr>
  </w:style>
  <w:style w:type="paragraph" w:styleId="Asuntodelcomentario">
    <w:name w:val="annotation subject"/>
    <w:basedOn w:val="Textocomentario"/>
    <w:next w:val="Textocomentario"/>
    <w:link w:val="AsuntodelcomentarioCar"/>
    <w:semiHidden/>
    <w:rsid w:val="00204F99"/>
    <w:rPr>
      <w:b/>
      <w:bCs/>
    </w:rPr>
  </w:style>
  <w:style w:type="character" w:customStyle="1" w:styleId="AsuntodelcomentarioCar">
    <w:name w:val="Asunto del comentario Car"/>
    <w:basedOn w:val="TextocomentarioCar"/>
    <w:link w:val="Asuntodelcomentario"/>
    <w:semiHidden/>
    <w:rsid w:val="00204F99"/>
    <w:rPr>
      <w:b/>
      <w:bCs/>
      <w:lang w:val="es-ES_tradnl" w:eastAsia="en-US"/>
    </w:rPr>
  </w:style>
  <w:style w:type="paragraph" w:styleId="Mapadeldocumento">
    <w:name w:val="Document Map"/>
    <w:basedOn w:val="Normal"/>
    <w:link w:val="MapadeldocumentoCar"/>
    <w:semiHidden/>
    <w:rsid w:val="00204F99"/>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204F99"/>
    <w:rPr>
      <w:rFonts w:ascii="Tahoma" w:hAnsi="Tahoma" w:cs="Tahoma"/>
      <w:shd w:val="clear" w:color="auto" w:fill="000080"/>
      <w:lang w:val="es-ES_tradnl" w:eastAsia="en-US"/>
    </w:rPr>
  </w:style>
  <w:style w:type="paragraph" w:styleId="Textonotapie">
    <w:name w:val="footnote text"/>
    <w:basedOn w:val="Normal"/>
    <w:link w:val="TextonotapieCar"/>
    <w:rsid w:val="00204F99"/>
  </w:style>
  <w:style w:type="character" w:customStyle="1" w:styleId="TextonotapieCar">
    <w:name w:val="Texto nota pie Car"/>
    <w:basedOn w:val="Fuentedeprrafopredeter"/>
    <w:link w:val="Textonotapie"/>
    <w:rsid w:val="00204F99"/>
    <w:rPr>
      <w:lang w:val="es-ES_tradnl" w:eastAsia="en-US"/>
    </w:rPr>
  </w:style>
  <w:style w:type="character" w:styleId="Refdenotaalpie">
    <w:name w:val="footnote reference"/>
    <w:rsid w:val="00204F99"/>
    <w:rPr>
      <w:vertAlign w:val="superscript"/>
    </w:rPr>
  </w:style>
  <w:style w:type="paragraph" w:styleId="Prrafodelista">
    <w:name w:val="List Paragraph"/>
    <w:basedOn w:val="Normal"/>
    <w:uiPriority w:val="34"/>
    <w:qFormat/>
    <w:rsid w:val="00204F99"/>
    <w:pPr>
      <w:ind w:left="720"/>
      <w:contextualSpacing/>
    </w:pPr>
  </w:style>
  <w:style w:type="character" w:customStyle="1" w:styleId="PiedepginaCar">
    <w:name w:val="Pie de página Car"/>
    <w:basedOn w:val="Fuentedeprrafopredeter"/>
    <w:link w:val="Piedepgina"/>
    <w:rsid w:val="00204F99"/>
    <w:rPr>
      <w:spacing w:val="6"/>
      <w:lang w:val="es-ES_tradnl" w:eastAsia="en-US"/>
    </w:rPr>
  </w:style>
  <w:style w:type="character" w:customStyle="1" w:styleId="atitulo1Car">
    <w:name w:val="atitulo1 Car"/>
    <w:link w:val="atitulo1"/>
    <w:uiPriority w:val="99"/>
    <w:rsid w:val="00204F99"/>
    <w:rPr>
      <w:rFonts w:ascii="Arial" w:hAnsi="Arial"/>
      <w:b/>
      <w:color w:val="000000"/>
      <w:kern w:val="28"/>
      <w:sz w:val="25"/>
      <w:szCs w:val="26"/>
      <w:lang w:val="es-ES_tradnl" w:eastAsia="en-US"/>
    </w:rPr>
  </w:style>
  <w:style w:type="paragraph" w:customStyle="1" w:styleId="Default">
    <w:name w:val="Default"/>
    <w:rsid w:val="00204F99"/>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204F99"/>
    <w:rPr>
      <w:color w:val="auto"/>
    </w:rPr>
  </w:style>
  <w:style w:type="paragraph" w:styleId="Textoindependiente">
    <w:name w:val="Body Text"/>
    <w:basedOn w:val="Normal"/>
    <w:link w:val="TextoindependienteCar"/>
    <w:rsid w:val="00204F99"/>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204F99"/>
    <w:rPr>
      <w:rFonts w:ascii="Arial" w:hAnsi="Arial"/>
      <w:sz w:val="24"/>
      <w:lang w:val="es-ES_tradnl"/>
    </w:rPr>
  </w:style>
  <w:style w:type="paragraph" w:customStyle="1" w:styleId="Pa7">
    <w:name w:val="Pa7"/>
    <w:basedOn w:val="Default"/>
    <w:next w:val="Default"/>
    <w:uiPriority w:val="99"/>
    <w:rsid w:val="00204F99"/>
    <w:pPr>
      <w:spacing w:line="201" w:lineRule="atLeast"/>
    </w:pPr>
    <w:rPr>
      <w:color w:val="auto"/>
    </w:rPr>
  </w:style>
  <w:style w:type="character" w:customStyle="1" w:styleId="corchete-llamada1">
    <w:name w:val="corchete-llamada1"/>
    <w:basedOn w:val="Fuentedeprrafopredeter"/>
    <w:rsid w:val="00204F99"/>
    <w:rPr>
      <w:vanish/>
      <w:webHidden w:val="0"/>
      <w:specVanish w:val="0"/>
    </w:rPr>
  </w:style>
  <w:style w:type="paragraph" w:customStyle="1" w:styleId="xl1">
    <w:name w:val="xl1"/>
    <w:basedOn w:val="Normal"/>
    <w:rsid w:val="00204F99"/>
    <w:pPr>
      <w:spacing w:after="240"/>
      <w:ind w:left="300" w:right="75" w:hanging="225"/>
    </w:pPr>
    <w:rPr>
      <w:sz w:val="24"/>
      <w:szCs w:val="24"/>
      <w:lang w:val="es-ES" w:eastAsia="es-ES"/>
    </w:rPr>
  </w:style>
  <w:style w:type="paragraph" w:customStyle="1" w:styleId="xl2">
    <w:name w:val="xl2"/>
    <w:basedOn w:val="Normal"/>
    <w:rsid w:val="00204F99"/>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204F99"/>
  </w:style>
  <w:style w:type="table" w:styleId="Sombreadoclaro">
    <w:name w:val="Light Shading"/>
    <w:aliases w:val="tabla informe"/>
    <w:basedOn w:val="Tablanormal"/>
    <w:uiPriority w:val="60"/>
    <w:rsid w:val="00204F99"/>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204F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204F99"/>
    <w:rPr>
      <w:rFonts w:ascii="Tahoma" w:hAnsi="Tahoma" w:cs="Tahoma"/>
      <w:sz w:val="16"/>
      <w:szCs w:val="16"/>
      <w:lang w:val="es-ES_tradnl" w:eastAsia="en-US"/>
    </w:rPr>
  </w:style>
  <w:style w:type="character" w:customStyle="1" w:styleId="Ttulo1Car">
    <w:name w:val="Título 1 Car"/>
    <w:basedOn w:val="Fuentedeprrafopredeter"/>
    <w:link w:val="Ttulo1"/>
    <w:uiPriority w:val="99"/>
    <w:rsid w:val="00204F99"/>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204F99"/>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204F99"/>
    <w:rPr>
      <w:rFonts w:ascii="Arial" w:hAnsi="Arial" w:cs="Arial"/>
      <w:b/>
      <w:bCs/>
      <w:szCs w:val="26"/>
      <w:lang w:val="es-ES_tradnl" w:eastAsia="en-US"/>
    </w:rPr>
  </w:style>
  <w:style w:type="character" w:customStyle="1" w:styleId="Ttulo5Car">
    <w:name w:val="Título 5 Car"/>
    <w:basedOn w:val="Fuentedeprrafopredeter"/>
    <w:link w:val="Ttulo5"/>
    <w:uiPriority w:val="99"/>
    <w:rsid w:val="00204F99"/>
    <w:rPr>
      <w:b/>
      <w:sz w:val="28"/>
      <w:lang w:eastAsia="en-US"/>
    </w:rPr>
  </w:style>
  <w:style w:type="paragraph" w:styleId="Ttulo">
    <w:name w:val="Title"/>
    <w:basedOn w:val="Normal"/>
    <w:next w:val="Normal"/>
    <w:link w:val="TtuloCar"/>
    <w:uiPriority w:val="10"/>
    <w:qFormat/>
    <w:rsid w:val="00204F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04F99"/>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204F99"/>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204F99"/>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204F99"/>
    <w:rPr>
      <w:rFonts w:cs="Times New Roman"/>
      <w:b/>
    </w:rPr>
  </w:style>
  <w:style w:type="character" w:styleId="nfasis">
    <w:name w:val="Emphasis"/>
    <w:basedOn w:val="Fuentedeprrafopredeter"/>
    <w:uiPriority w:val="99"/>
    <w:qFormat/>
    <w:rsid w:val="00204F99"/>
    <w:rPr>
      <w:rFonts w:cs="Times New Roman"/>
      <w:i/>
      <w:iCs/>
    </w:rPr>
  </w:style>
  <w:style w:type="paragraph" w:styleId="Cita">
    <w:name w:val="Quote"/>
    <w:basedOn w:val="Normal"/>
    <w:next w:val="Normal"/>
    <w:link w:val="CitaCar"/>
    <w:uiPriority w:val="29"/>
    <w:qFormat/>
    <w:rsid w:val="00204F99"/>
    <w:rPr>
      <w:i/>
      <w:iCs/>
      <w:color w:val="000000" w:themeColor="text1"/>
    </w:rPr>
  </w:style>
  <w:style w:type="character" w:customStyle="1" w:styleId="CitaCar">
    <w:name w:val="Cita Car"/>
    <w:basedOn w:val="Fuentedeprrafopredeter"/>
    <w:link w:val="Cita"/>
    <w:uiPriority w:val="29"/>
    <w:rsid w:val="00204F99"/>
    <w:rPr>
      <w:i/>
      <w:iCs/>
      <w:color w:val="000000" w:themeColor="text1"/>
      <w:lang w:val="es-ES_tradnl" w:eastAsia="en-US"/>
    </w:rPr>
  </w:style>
  <w:style w:type="character" w:styleId="nfasissutil">
    <w:name w:val="Subtle Emphasis"/>
    <w:basedOn w:val="Fuentedeprrafopredeter"/>
    <w:uiPriority w:val="19"/>
    <w:qFormat/>
    <w:rsid w:val="00204F99"/>
    <w:rPr>
      <w:i/>
      <w:iCs/>
      <w:color w:val="808080" w:themeColor="text1" w:themeTint="7F"/>
    </w:rPr>
  </w:style>
  <w:style w:type="character" w:styleId="nfasisintenso">
    <w:name w:val="Intense Emphasis"/>
    <w:basedOn w:val="Fuentedeprrafopredeter"/>
    <w:uiPriority w:val="21"/>
    <w:qFormat/>
    <w:rsid w:val="00204F99"/>
    <w:rPr>
      <w:b/>
      <w:bCs/>
      <w:i/>
      <w:iCs/>
      <w:color w:val="4F81BD" w:themeColor="accent1"/>
    </w:rPr>
  </w:style>
  <w:style w:type="character" w:styleId="Referenciasutil">
    <w:name w:val="Subtle Reference"/>
    <w:basedOn w:val="Fuentedeprrafopredeter"/>
    <w:uiPriority w:val="31"/>
    <w:qFormat/>
    <w:rsid w:val="00204F99"/>
    <w:rPr>
      <w:smallCaps/>
      <w:color w:val="C0504D" w:themeColor="accent2"/>
      <w:u w:val="single"/>
    </w:rPr>
  </w:style>
  <w:style w:type="character" w:styleId="Referenciaintensa">
    <w:name w:val="Intense Reference"/>
    <w:basedOn w:val="Fuentedeprrafopredeter"/>
    <w:uiPriority w:val="32"/>
    <w:qFormat/>
    <w:rsid w:val="00204F99"/>
    <w:rPr>
      <w:b/>
      <w:bCs/>
      <w:smallCaps/>
      <w:color w:val="C0504D" w:themeColor="accent2"/>
      <w:spacing w:val="5"/>
      <w:u w:val="single"/>
    </w:rPr>
  </w:style>
  <w:style w:type="character" w:customStyle="1" w:styleId="EncabezadoCar">
    <w:name w:val="Encabezado Car"/>
    <w:basedOn w:val="Fuentedeprrafopredeter"/>
    <w:link w:val="Encabezado"/>
    <w:rsid w:val="00204F99"/>
    <w:rPr>
      <w:bCs/>
      <w:caps/>
      <w:sz w:val="14"/>
      <w:szCs w:val="12"/>
      <w:lang w:val="es-ES_tradnl" w:eastAsia="en-US"/>
    </w:rPr>
  </w:style>
  <w:style w:type="paragraph" w:styleId="Textonotaalfinal">
    <w:name w:val="endnote text"/>
    <w:basedOn w:val="Normal"/>
    <w:link w:val="TextonotaalfinalCar"/>
    <w:semiHidden/>
    <w:unhideWhenUsed/>
    <w:rsid w:val="00204F99"/>
    <w:pPr>
      <w:spacing w:after="0"/>
    </w:pPr>
  </w:style>
  <w:style w:type="character" w:customStyle="1" w:styleId="TextonotaalfinalCar">
    <w:name w:val="Texto nota al final Car"/>
    <w:basedOn w:val="Fuentedeprrafopredeter"/>
    <w:link w:val="Textonotaalfinal"/>
    <w:semiHidden/>
    <w:rsid w:val="00204F99"/>
    <w:rPr>
      <w:lang w:val="es-ES_tradnl" w:eastAsia="en-US"/>
    </w:rPr>
  </w:style>
  <w:style w:type="character" w:styleId="Refdenotaalfinal">
    <w:name w:val="endnote reference"/>
    <w:basedOn w:val="Fuentedeprrafopredeter"/>
    <w:semiHidden/>
    <w:unhideWhenUsed/>
    <w:rsid w:val="00204F99"/>
    <w:rPr>
      <w:vertAlign w:val="superscript"/>
    </w:rPr>
  </w:style>
  <w:style w:type="character" w:styleId="Hipervnculovisitado">
    <w:name w:val="FollowedHyperlink"/>
    <w:basedOn w:val="Fuentedeprrafopredeter"/>
    <w:semiHidden/>
    <w:unhideWhenUsed/>
    <w:rsid w:val="000E6E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caption" w:uiPriority="9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204F99"/>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204F99"/>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204F99"/>
    <w:rPr>
      <w:b/>
      <w:bCs/>
      <w:sz w:val="28"/>
      <w:szCs w:val="28"/>
      <w:lang w:val="es-ES_tradnl" w:eastAsia="en-US"/>
    </w:rPr>
  </w:style>
  <w:style w:type="character" w:customStyle="1" w:styleId="Ttulo7Car">
    <w:name w:val="Título 7 Car"/>
    <w:basedOn w:val="Fuentedeprrafopredeter"/>
    <w:link w:val="Ttulo7"/>
    <w:uiPriority w:val="99"/>
    <w:rsid w:val="00204F99"/>
    <w:rPr>
      <w:sz w:val="52"/>
    </w:rPr>
  </w:style>
  <w:style w:type="character" w:customStyle="1" w:styleId="atitulo2Car">
    <w:name w:val="atitulo2 Car"/>
    <w:link w:val="atitulo2"/>
    <w:uiPriority w:val="99"/>
    <w:rsid w:val="00204F99"/>
    <w:rPr>
      <w:rFonts w:ascii="Arial" w:hAnsi="Arial"/>
      <w:bCs/>
      <w:iCs/>
      <w:color w:val="000000"/>
      <w:spacing w:val="10"/>
      <w:kern w:val="28"/>
      <w:sz w:val="25"/>
      <w:szCs w:val="26"/>
      <w:lang w:val="es-ES_tradnl" w:eastAsia="en-US"/>
    </w:rPr>
  </w:style>
  <w:style w:type="paragraph" w:customStyle="1" w:styleId="Estndar">
    <w:name w:val="Estándar"/>
    <w:rsid w:val="00204F99"/>
    <w:pPr>
      <w:snapToGrid w:val="0"/>
    </w:pPr>
    <w:rPr>
      <w:rFonts w:ascii="CG Omega" w:hAnsi="CG Omega"/>
      <w:color w:val="000000"/>
      <w:sz w:val="22"/>
    </w:rPr>
  </w:style>
  <w:style w:type="paragraph" w:customStyle="1" w:styleId="tabla10">
    <w:name w:val="tabla10"/>
    <w:rsid w:val="00204F99"/>
    <w:pPr>
      <w:tabs>
        <w:tab w:val="left" w:pos="567"/>
        <w:tab w:val="left" w:pos="1134"/>
      </w:tabs>
      <w:snapToGrid w:val="0"/>
    </w:pPr>
    <w:rPr>
      <w:rFonts w:ascii="CG Times" w:hAnsi="CG Times"/>
      <w:color w:val="000000"/>
    </w:rPr>
  </w:style>
  <w:style w:type="paragraph" w:styleId="NormalWeb">
    <w:name w:val="Normal (Web)"/>
    <w:basedOn w:val="Normal"/>
    <w:uiPriority w:val="99"/>
    <w:rsid w:val="00204F99"/>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semiHidden/>
    <w:rsid w:val="00204F99"/>
  </w:style>
  <w:style w:type="character" w:customStyle="1" w:styleId="TextocomentarioCar">
    <w:name w:val="Texto comentario Car"/>
    <w:basedOn w:val="Fuentedeprrafopredeter"/>
    <w:link w:val="Textocomentario"/>
    <w:semiHidden/>
    <w:rsid w:val="00204F99"/>
    <w:rPr>
      <w:lang w:val="es-ES_tradnl" w:eastAsia="en-US"/>
    </w:rPr>
  </w:style>
  <w:style w:type="paragraph" w:styleId="Asuntodelcomentario">
    <w:name w:val="annotation subject"/>
    <w:basedOn w:val="Textocomentario"/>
    <w:next w:val="Textocomentario"/>
    <w:link w:val="AsuntodelcomentarioCar"/>
    <w:semiHidden/>
    <w:rsid w:val="00204F99"/>
    <w:rPr>
      <w:b/>
      <w:bCs/>
    </w:rPr>
  </w:style>
  <w:style w:type="character" w:customStyle="1" w:styleId="AsuntodelcomentarioCar">
    <w:name w:val="Asunto del comentario Car"/>
    <w:basedOn w:val="TextocomentarioCar"/>
    <w:link w:val="Asuntodelcomentario"/>
    <w:semiHidden/>
    <w:rsid w:val="00204F99"/>
    <w:rPr>
      <w:b/>
      <w:bCs/>
      <w:lang w:val="es-ES_tradnl" w:eastAsia="en-US"/>
    </w:rPr>
  </w:style>
  <w:style w:type="paragraph" w:styleId="Mapadeldocumento">
    <w:name w:val="Document Map"/>
    <w:basedOn w:val="Normal"/>
    <w:link w:val="MapadeldocumentoCar"/>
    <w:semiHidden/>
    <w:rsid w:val="00204F99"/>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204F99"/>
    <w:rPr>
      <w:rFonts w:ascii="Tahoma" w:hAnsi="Tahoma" w:cs="Tahoma"/>
      <w:shd w:val="clear" w:color="auto" w:fill="000080"/>
      <w:lang w:val="es-ES_tradnl" w:eastAsia="en-US"/>
    </w:rPr>
  </w:style>
  <w:style w:type="paragraph" w:styleId="Textonotapie">
    <w:name w:val="footnote text"/>
    <w:basedOn w:val="Normal"/>
    <w:link w:val="TextonotapieCar"/>
    <w:rsid w:val="00204F99"/>
  </w:style>
  <w:style w:type="character" w:customStyle="1" w:styleId="TextonotapieCar">
    <w:name w:val="Texto nota pie Car"/>
    <w:basedOn w:val="Fuentedeprrafopredeter"/>
    <w:link w:val="Textonotapie"/>
    <w:rsid w:val="00204F99"/>
    <w:rPr>
      <w:lang w:val="es-ES_tradnl" w:eastAsia="en-US"/>
    </w:rPr>
  </w:style>
  <w:style w:type="character" w:styleId="Refdenotaalpie">
    <w:name w:val="footnote reference"/>
    <w:rsid w:val="00204F99"/>
    <w:rPr>
      <w:vertAlign w:val="superscript"/>
    </w:rPr>
  </w:style>
  <w:style w:type="paragraph" w:styleId="Prrafodelista">
    <w:name w:val="List Paragraph"/>
    <w:basedOn w:val="Normal"/>
    <w:uiPriority w:val="34"/>
    <w:qFormat/>
    <w:rsid w:val="00204F99"/>
    <w:pPr>
      <w:ind w:left="720"/>
      <w:contextualSpacing/>
    </w:pPr>
  </w:style>
  <w:style w:type="character" w:customStyle="1" w:styleId="PiedepginaCar">
    <w:name w:val="Pie de página Car"/>
    <w:basedOn w:val="Fuentedeprrafopredeter"/>
    <w:link w:val="Piedepgina"/>
    <w:rsid w:val="00204F99"/>
    <w:rPr>
      <w:spacing w:val="6"/>
      <w:lang w:val="es-ES_tradnl" w:eastAsia="en-US"/>
    </w:rPr>
  </w:style>
  <w:style w:type="character" w:customStyle="1" w:styleId="atitulo1Car">
    <w:name w:val="atitulo1 Car"/>
    <w:link w:val="atitulo1"/>
    <w:uiPriority w:val="99"/>
    <w:rsid w:val="00204F99"/>
    <w:rPr>
      <w:rFonts w:ascii="Arial" w:hAnsi="Arial"/>
      <w:b/>
      <w:color w:val="000000"/>
      <w:kern w:val="28"/>
      <w:sz w:val="25"/>
      <w:szCs w:val="26"/>
      <w:lang w:val="es-ES_tradnl" w:eastAsia="en-US"/>
    </w:rPr>
  </w:style>
  <w:style w:type="paragraph" w:customStyle="1" w:styleId="Default">
    <w:name w:val="Default"/>
    <w:rsid w:val="00204F99"/>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204F99"/>
    <w:rPr>
      <w:color w:val="auto"/>
    </w:rPr>
  </w:style>
  <w:style w:type="paragraph" w:styleId="Textoindependiente">
    <w:name w:val="Body Text"/>
    <w:basedOn w:val="Normal"/>
    <w:link w:val="TextoindependienteCar"/>
    <w:rsid w:val="00204F99"/>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204F99"/>
    <w:rPr>
      <w:rFonts w:ascii="Arial" w:hAnsi="Arial"/>
      <w:sz w:val="24"/>
      <w:lang w:val="es-ES_tradnl"/>
    </w:rPr>
  </w:style>
  <w:style w:type="paragraph" w:customStyle="1" w:styleId="Pa7">
    <w:name w:val="Pa7"/>
    <w:basedOn w:val="Default"/>
    <w:next w:val="Default"/>
    <w:uiPriority w:val="99"/>
    <w:rsid w:val="00204F99"/>
    <w:pPr>
      <w:spacing w:line="201" w:lineRule="atLeast"/>
    </w:pPr>
    <w:rPr>
      <w:color w:val="auto"/>
    </w:rPr>
  </w:style>
  <w:style w:type="character" w:customStyle="1" w:styleId="corchete-llamada1">
    <w:name w:val="corchete-llamada1"/>
    <w:basedOn w:val="Fuentedeprrafopredeter"/>
    <w:rsid w:val="00204F99"/>
    <w:rPr>
      <w:vanish/>
      <w:webHidden w:val="0"/>
      <w:specVanish w:val="0"/>
    </w:rPr>
  </w:style>
  <w:style w:type="paragraph" w:customStyle="1" w:styleId="xl1">
    <w:name w:val="xl1"/>
    <w:basedOn w:val="Normal"/>
    <w:rsid w:val="00204F99"/>
    <w:pPr>
      <w:spacing w:after="240"/>
      <w:ind w:left="300" w:right="75" w:hanging="225"/>
    </w:pPr>
    <w:rPr>
      <w:sz w:val="24"/>
      <w:szCs w:val="24"/>
      <w:lang w:val="es-ES" w:eastAsia="es-ES"/>
    </w:rPr>
  </w:style>
  <w:style w:type="paragraph" w:customStyle="1" w:styleId="xl2">
    <w:name w:val="xl2"/>
    <w:basedOn w:val="Normal"/>
    <w:rsid w:val="00204F99"/>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204F99"/>
  </w:style>
  <w:style w:type="table" w:styleId="Sombreadoclaro">
    <w:name w:val="Light Shading"/>
    <w:aliases w:val="tabla informe"/>
    <w:basedOn w:val="Tablanormal"/>
    <w:uiPriority w:val="60"/>
    <w:rsid w:val="00204F99"/>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204F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204F99"/>
    <w:rPr>
      <w:rFonts w:ascii="Tahoma" w:hAnsi="Tahoma" w:cs="Tahoma"/>
      <w:sz w:val="16"/>
      <w:szCs w:val="16"/>
      <w:lang w:val="es-ES_tradnl" w:eastAsia="en-US"/>
    </w:rPr>
  </w:style>
  <w:style w:type="character" w:customStyle="1" w:styleId="Ttulo1Car">
    <w:name w:val="Título 1 Car"/>
    <w:basedOn w:val="Fuentedeprrafopredeter"/>
    <w:link w:val="Ttulo1"/>
    <w:uiPriority w:val="99"/>
    <w:rsid w:val="00204F99"/>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204F99"/>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204F99"/>
    <w:rPr>
      <w:rFonts w:ascii="Arial" w:hAnsi="Arial" w:cs="Arial"/>
      <w:b/>
      <w:bCs/>
      <w:szCs w:val="26"/>
      <w:lang w:val="es-ES_tradnl" w:eastAsia="en-US"/>
    </w:rPr>
  </w:style>
  <w:style w:type="character" w:customStyle="1" w:styleId="Ttulo5Car">
    <w:name w:val="Título 5 Car"/>
    <w:basedOn w:val="Fuentedeprrafopredeter"/>
    <w:link w:val="Ttulo5"/>
    <w:uiPriority w:val="99"/>
    <w:rsid w:val="00204F99"/>
    <w:rPr>
      <w:b/>
      <w:sz w:val="28"/>
      <w:lang w:eastAsia="en-US"/>
    </w:rPr>
  </w:style>
  <w:style w:type="paragraph" w:styleId="Ttulo">
    <w:name w:val="Title"/>
    <w:basedOn w:val="Normal"/>
    <w:next w:val="Normal"/>
    <w:link w:val="TtuloCar"/>
    <w:uiPriority w:val="10"/>
    <w:qFormat/>
    <w:rsid w:val="00204F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04F99"/>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204F99"/>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204F99"/>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99"/>
    <w:qFormat/>
    <w:rsid w:val="00204F99"/>
    <w:rPr>
      <w:rFonts w:cs="Times New Roman"/>
      <w:b/>
    </w:rPr>
  </w:style>
  <w:style w:type="character" w:styleId="nfasis">
    <w:name w:val="Emphasis"/>
    <w:basedOn w:val="Fuentedeprrafopredeter"/>
    <w:uiPriority w:val="99"/>
    <w:qFormat/>
    <w:rsid w:val="00204F99"/>
    <w:rPr>
      <w:rFonts w:cs="Times New Roman"/>
      <w:i/>
      <w:iCs/>
    </w:rPr>
  </w:style>
  <w:style w:type="paragraph" w:styleId="Cita">
    <w:name w:val="Quote"/>
    <w:basedOn w:val="Normal"/>
    <w:next w:val="Normal"/>
    <w:link w:val="CitaCar"/>
    <w:uiPriority w:val="29"/>
    <w:qFormat/>
    <w:rsid w:val="00204F99"/>
    <w:rPr>
      <w:i/>
      <w:iCs/>
      <w:color w:val="000000" w:themeColor="text1"/>
    </w:rPr>
  </w:style>
  <w:style w:type="character" w:customStyle="1" w:styleId="CitaCar">
    <w:name w:val="Cita Car"/>
    <w:basedOn w:val="Fuentedeprrafopredeter"/>
    <w:link w:val="Cita"/>
    <w:uiPriority w:val="29"/>
    <w:rsid w:val="00204F99"/>
    <w:rPr>
      <w:i/>
      <w:iCs/>
      <w:color w:val="000000" w:themeColor="text1"/>
      <w:lang w:val="es-ES_tradnl" w:eastAsia="en-US"/>
    </w:rPr>
  </w:style>
  <w:style w:type="character" w:styleId="nfasissutil">
    <w:name w:val="Subtle Emphasis"/>
    <w:basedOn w:val="Fuentedeprrafopredeter"/>
    <w:uiPriority w:val="19"/>
    <w:qFormat/>
    <w:rsid w:val="00204F99"/>
    <w:rPr>
      <w:i/>
      <w:iCs/>
      <w:color w:val="808080" w:themeColor="text1" w:themeTint="7F"/>
    </w:rPr>
  </w:style>
  <w:style w:type="character" w:styleId="nfasisintenso">
    <w:name w:val="Intense Emphasis"/>
    <w:basedOn w:val="Fuentedeprrafopredeter"/>
    <w:uiPriority w:val="21"/>
    <w:qFormat/>
    <w:rsid w:val="00204F99"/>
    <w:rPr>
      <w:b/>
      <w:bCs/>
      <w:i/>
      <w:iCs/>
      <w:color w:val="4F81BD" w:themeColor="accent1"/>
    </w:rPr>
  </w:style>
  <w:style w:type="character" w:styleId="Referenciasutil">
    <w:name w:val="Subtle Reference"/>
    <w:basedOn w:val="Fuentedeprrafopredeter"/>
    <w:uiPriority w:val="31"/>
    <w:qFormat/>
    <w:rsid w:val="00204F99"/>
    <w:rPr>
      <w:smallCaps/>
      <w:color w:val="C0504D" w:themeColor="accent2"/>
      <w:u w:val="single"/>
    </w:rPr>
  </w:style>
  <w:style w:type="character" w:styleId="Referenciaintensa">
    <w:name w:val="Intense Reference"/>
    <w:basedOn w:val="Fuentedeprrafopredeter"/>
    <w:uiPriority w:val="32"/>
    <w:qFormat/>
    <w:rsid w:val="00204F99"/>
    <w:rPr>
      <w:b/>
      <w:bCs/>
      <w:smallCaps/>
      <w:color w:val="C0504D" w:themeColor="accent2"/>
      <w:spacing w:val="5"/>
      <w:u w:val="single"/>
    </w:rPr>
  </w:style>
  <w:style w:type="character" w:customStyle="1" w:styleId="EncabezadoCar">
    <w:name w:val="Encabezado Car"/>
    <w:basedOn w:val="Fuentedeprrafopredeter"/>
    <w:link w:val="Encabezado"/>
    <w:rsid w:val="00204F99"/>
    <w:rPr>
      <w:bCs/>
      <w:caps/>
      <w:sz w:val="14"/>
      <w:szCs w:val="12"/>
      <w:lang w:val="es-ES_tradnl" w:eastAsia="en-US"/>
    </w:rPr>
  </w:style>
  <w:style w:type="paragraph" w:styleId="Textonotaalfinal">
    <w:name w:val="endnote text"/>
    <w:basedOn w:val="Normal"/>
    <w:link w:val="TextonotaalfinalCar"/>
    <w:semiHidden/>
    <w:unhideWhenUsed/>
    <w:rsid w:val="00204F99"/>
    <w:pPr>
      <w:spacing w:after="0"/>
    </w:pPr>
  </w:style>
  <w:style w:type="character" w:customStyle="1" w:styleId="TextonotaalfinalCar">
    <w:name w:val="Texto nota al final Car"/>
    <w:basedOn w:val="Fuentedeprrafopredeter"/>
    <w:link w:val="Textonotaalfinal"/>
    <w:semiHidden/>
    <w:rsid w:val="00204F99"/>
    <w:rPr>
      <w:lang w:val="es-ES_tradnl" w:eastAsia="en-US"/>
    </w:rPr>
  </w:style>
  <w:style w:type="character" w:styleId="Refdenotaalfinal">
    <w:name w:val="endnote reference"/>
    <w:basedOn w:val="Fuentedeprrafopredeter"/>
    <w:semiHidden/>
    <w:unhideWhenUsed/>
    <w:rsid w:val="00204F99"/>
    <w:rPr>
      <w:vertAlign w:val="superscript"/>
    </w:rPr>
  </w:style>
  <w:style w:type="character" w:styleId="Hipervnculovisitado">
    <w:name w:val="FollowedHyperlink"/>
    <w:basedOn w:val="Fuentedeprrafopredeter"/>
    <w:semiHidden/>
    <w:unhideWhenUsed/>
    <w:rsid w:val="000E6E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90944">
      <w:bodyDiv w:val="1"/>
      <w:marLeft w:val="0"/>
      <w:marRight w:val="0"/>
      <w:marTop w:val="0"/>
      <w:marBottom w:val="0"/>
      <w:divBdr>
        <w:top w:val="none" w:sz="0" w:space="0" w:color="auto"/>
        <w:left w:val="none" w:sz="0" w:space="0" w:color="auto"/>
        <w:bottom w:val="none" w:sz="0" w:space="0" w:color="auto"/>
        <w:right w:val="none" w:sz="0" w:space="0" w:color="auto"/>
      </w:divBdr>
    </w:div>
    <w:div w:id="636450641">
      <w:bodyDiv w:val="1"/>
      <w:marLeft w:val="0"/>
      <w:marRight w:val="0"/>
      <w:marTop w:val="0"/>
      <w:marBottom w:val="0"/>
      <w:divBdr>
        <w:top w:val="none" w:sz="0" w:space="0" w:color="auto"/>
        <w:left w:val="none" w:sz="0" w:space="0" w:color="auto"/>
        <w:bottom w:val="none" w:sz="0" w:space="0" w:color="auto"/>
        <w:right w:val="none" w:sz="0" w:space="0" w:color="auto"/>
      </w:divBdr>
    </w:div>
    <w:div w:id="720597139">
      <w:bodyDiv w:val="1"/>
      <w:marLeft w:val="0"/>
      <w:marRight w:val="0"/>
      <w:marTop w:val="0"/>
      <w:marBottom w:val="0"/>
      <w:divBdr>
        <w:top w:val="none" w:sz="0" w:space="0" w:color="auto"/>
        <w:left w:val="none" w:sz="0" w:space="0" w:color="auto"/>
        <w:bottom w:val="none" w:sz="0" w:space="0" w:color="auto"/>
        <w:right w:val="none" w:sz="0" w:space="0" w:color="auto"/>
      </w:divBdr>
    </w:div>
    <w:div w:id="164050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navarra.es/home_es/Gobierno+de+Navarra/Presupuesto/Plan+Estrategico+Subvenciones/"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5099A-4C6F-4525-A4E8-CDA6A2D5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6685</Words>
  <Characters>36768</Characters>
  <Application>Microsoft Office Word</Application>
  <DocSecurity>4</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43367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d841144</dc:creator>
  <cp:lastModifiedBy>Aranaz, Carlota</cp:lastModifiedBy>
  <cp:revision>2</cp:revision>
  <cp:lastPrinted>2021-09-06T12:23:00Z</cp:lastPrinted>
  <dcterms:created xsi:type="dcterms:W3CDTF">2021-09-15T09:10:00Z</dcterms:created>
  <dcterms:modified xsi:type="dcterms:W3CDTF">2021-09-15T09:10:00Z</dcterms:modified>
</cp:coreProperties>
</file>