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supresión de la copresidencia del presidente del Tribunal Superior de Justicia de Navarra junto con el consejero de Justicia del ejecutivo foral en el Decreto Foral 82/2020, de 11 de noviembre,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al consejero de Políticas Migratorias y Justicia:</w:t>
      </w:r>
    </w:p>
    <w:p>
      <w:pPr>
        <w:pStyle w:val="0"/>
        <w:suppressAutoHyphens w:val="false"/>
        <w:rPr>
          <w:rStyle w:val="1"/>
        </w:rPr>
      </w:pPr>
      <w:r>
        <w:rPr>
          <w:rStyle w:val="1"/>
        </w:rPr>
        <w:t xml:space="preserve">1.- ¿Por qué motivo se suprimió en el Decreto Foral 82/2020, de 11 de noviembre, por el que se crea el Consejo Navarro de Justicia-Nafarroako Justizia Kontseilua, la copresidencia que en el anterior decreto de 2004 ostentaba el presidente del TSJN junto con el consejero de Justicia del ejecutivo foral?</w:t>
      </w:r>
    </w:p>
    <w:p>
      <w:pPr>
        <w:pStyle w:val="0"/>
        <w:suppressAutoHyphens w:val="false"/>
        <w:rPr>
          <w:rStyle w:val="1"/>
        </w:rPr>
      </w:pPr>
      <w:r>
        <w:rPr>
          <w:rStyle w:val="1"/>
        </w:rPr>
        <w:t xml:space="preserve">2.- ¿Considera que formar parte de dicho órgano como vocal otorga una “posición preeminente” mayor que si lo hace como copresidente?</w:t>
      </w:r>
    </w:p>
    <w:p>
      <w:pPr>
        <w:pStyle w:val="0"/>
        <w:suppressAutoHyphens w:val="false"/>
        <w:rPr>
          <w:rStyle w:val="1"/>
        </w:rPr>
      </w:pPr>
      <w:r>
        <w:rPr>
          <w:rStyle w:val="1"/>
        </w:rPr>
        <w:t xml:space="preserve">Pamplona, 14 de mayo de 2021</w:t>
      </w:r>
    </w:p>
    <w:p>
      <w:pPr>
        <w:pStyle w:val="0"/>
        <w:suppressAutoHyphens w:val="false"/>
        <w:rPr>
          <w:rStyle w:val="1"/>
        </w:rPr>
      </w:pPr>
      <w:r>
        <w:rPr>
          <w:rStyle w:val="1"/>
        </w:rPr>
        <w:t xml:space="preserve">El Parlamentario Foral: Jorge Esparza Garrido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