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factura 2 del Contrato de asistencia técnica para el asesoramiento sobre generación de contenidos y elementos necesarios para la configuración, innovación y seguimiento del Servicio de Mediación Intercultural,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consejero de Políticas Migratorias y Justicia: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¿Por qué se pagó la factura 2 del “Contrato de asistencia técnica para el asesoramiento sobre generación de contenidos y elementos necesarios para la configuración, innovación y seguimiento del Servicio de Mediación Intercultural” el día 14 de diciembre de 2020 cuando esta venía vinculada en el propio contrato a la entrega de la “Guía de seguimiento y Evaluación del Servicio de Mediación Intercultural” y esta no fue entregada al Departamento hasta el 15 de febrero de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¿Por qué desde el Departamento no se solicitó esta Guía hasta el 1 de febrero de 2021 cuando el plazo para entregarla finalizaba el 30 de diciembre de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tenido en cuenta este retraso en el plazo de entrega para reducir la cantidad económica inicialmente acordada?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