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“Zigor-betearazpenaren eredu bat ezartzea Nafarroako Foru Komunitatean”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(10-20/PES-00331)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"Zigor-betearazpenaren eredu bat ezartzea Nafarroako Foru Komunitatean"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Justizia Zuzendaritza Nagusiak, Next Generation EU programako funtsen hurrengo deialdiari begira, proiektu bat prestatu du zigor-betearazpenaren eredu bat ezartzeko Nafarroako Foru Komunitatean.</w:t>
      </w:r>
    </w:p>
    <w:p>
      <w:pPr>
        <w:pStyle w:val="0"/>
        <w:suppressAutoHyphens w:val="false"/>
        <w:rPr>
          <w:rStyle w:val="1"/>
        </w:rPr>
      </w:pPr>
      <w:r>
        <w:rPr>
          <w:rStyle w:val="1"/>
        </w:rPr>
        <w:t xml:space="preserve">Proiektu horretarako aurrekontu aurreikuspena 150.000 eurokoa da 2021eko, 2022ko eta 2023ko ekitaldietan, eta diru kopuru horiek osorik Europako funtsetatik jasotzeko eskatuko da.</w:t>
      </w:r>
    </w:p>
    <w:p>
      <w:pPr>
        <w:pStyle w:val="0"/>
        <w:suppressAutoHyphens w:val="false"/>
        <w:rPr>
          <w:rStyle w:val="1"/>
        </w:rPr>
      </w:pPr>
      <w:r>
        <w:rPr>
          <w:rStyle w:val="1"/>
        </w:rPr>
        <w:t xml:space="preserve">Izan ere, uste dugu proiektuak betean erantzuten diela Europar Batasunak gizarteratzearen arloan dituen erronkei, zeinek bultzada erabakigarri bat jaso behar baitute Next Generation EU laguntza programaren bitartez. Horregatik, departamentu honentzat lehentasunezko apustua da proiektu horrek beharrezkotzat jotzen diren funtsak jasotzea Europatik.</w:t>
      </w:r>
    </w:p>
    <w:p>
      <w:pPr>
        <w:pStyle w:val="0"/>
        <w:suppressAutoHyphens w:val="false"/>
        <w:rPr>
          <w:rStyle w:val="1"/>
        </w:rPr>
      </w:pPr>
      <w:r>
        <w:rPr>
          <w:rStyle w:val="1"/>
        </w:rPr>
        <w:t xml:space="preserve">Aurrekoa gorabehera, litekeena da ekintza jakin batzuk txertatzea proiektuan adierazitako lerroetan, hurrengo ekitaldietako gastuen aurrekonturako, betiere departamentu honen baliabideen arabera.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