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ikasturte hasierako baheketan erabiltzen ari diren test azkarrei buruzkoa. Galdera 2020ko irailaren 18ko 97. Nafarroako Parlamentuko Aldizkari Ofizialean argitaratu zen.</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10-20-PES-00191 idatzizko galdera aurkeztu du, zeinaren bidez “informazioa eskatzen baitu test azkarrei buruz”. Hona Nafarroako Gobernuko Osasuneko kontseilariak horri buruz eman beharreko informazioa:</w:t>
      </w:r>
    </w:p>
    <w:p>
      <w:pPr>
        <w:pStyle w:val="0"/>
        <w:suppressAutoHyphens w:val="false"/>
        <w:rPr>
          <w:rStyle w:val="1"/>
        </w:rPr>
      </w:pPr>
      <w:r>
        <w:rPr>
          <w:rStyle w:val="1"/>
        </w:rPr>
        <w:t xml:space="preserve">Zer test azkar erabiltzen ari dira ikasturte hasierako baheketan? Zer markatakoak dira?</w:t>
      </w:r>
    </w:p>
    <w:p>
      <w:pPr>
        <w:pStyle w:val="0"/>
        <w:suppressAutoHyphens w:val="false"/>
        <w:rPr>
          <w:rStyle w:val="1"/>
        </w:rPr>
      </w:pPr>
      <w:r>
        <w:rPr>
          <w:rStyle w:val="1"/>
        </w:rPr>
        <w:t xml:space="preserve">WONDFO, Leading POCT Manufacturer</w:t>
      </w:r>
    </w:p>
    <w:p>
      <w:pPr>
        <w:pStyle w:val="0"/>
        <w:suppressAutoHyphens w:val="false"/>
        <w:rPr>
          <w:rStyle w:val="1"/>
        </w:rPr>
      </w:pPr>
      <w:r>
        <w:rPr>
          <w:rStyle w:val="1"/>
        </w:rPr>
        <w:t xml:space="preserve">SARS-CoV-2 Antibody Test</w:t>
      </w:r>
    </w:p>
    <w:p>
      <w:pPr>
        <w:pStyle w:val="0"/>
        <w:suppressAutoHyphens w:val="false"/>
        <w:rPr>
          <w:rStyle w:val="1"/>
        </w:rPr>
      </w:pPr>
      <w:r>
        <w:rPr>
          <w:rStyle w:val="1"/>
        </w:rPr>
        <w:t xml:space="preserve">(Lateral Flow Method)</w:t>
      </w:r>
    </w:p>
    <w:p>
      <w:pPr>
        <w:pStyle w:val="0"/>
        <w:suppressAutoHyphens w:val="false"/>
        <w:rPr>
          <w:rStyle w:val="1"/>
        </w:rPr>
      </w:pPr>
      <w:r>
        <w:rPr>
          <w:rStyle w:val="1"/>
        </w:rPr>
        <w:t xml:space="preserve">Zer balidazio egin da sintomarik gabeko pertsonetan erabilitako test azkar horiek direla-eta?</w:t>
      </w:r>
    </w:p>
    <w:p>
      <w:pPr>
        <w:pStyle w:val="0"/>
        <w:suppressAutoHyphens w:val="false"/>
        <w:rPr>
          <w:rStyle w:val="1"/>
        </w:rPr>
      </w:pPr>
      <w:r>
        <w:rPr>
          <w:rStyle w:val="1"/>
        </w:rPr>
        <w:t xml:space="preserve">Fabrikatzaileak egiten du balidazioa, merkaturatu aurretik.</w:t>
      </w:r>
    </w:p>
    <w:p>
      <w:pPr>
        <w:pStyle w:val="0"/>
        <w:suppressAutoHyphens w:val="false"/>
        <w:rPr>
          <w:rStyle w:val="1"/>
        </w:rPr>
      </w:pPr>
      <w:r>
        <w:rPr>
          <w:rStyle w:val="1"/>
        </w:rPr>
        <w:t xml:space="preserve">Espainian erabiltzen hasi baino lehen, Mikrobiologia Zentro Nazionalak ere balidatu egin zuen testa.</w:t>
      </w:r>
    </w:p>
    <w:p>
      <w:pPr>
        <w:pStyle w:val="0"/>
        <w:suppressAutoHyphens w:val="false"/>
        <w:rPr>
          <w:rStyle w:val="1"/>
        </w:rPr>
      </w:pPr>
      <w:r>
        <w:rPr>
          <w:rStyle w:val="1"/>
        </w:rPr>
        <w:t xml:space="preserve">Sintomarik gabeko pertsonetan egindako balidazioan zein da test horien sentsibilitatea eta espezifikotasuna?</w:t>
      </w:r>
    </w:p>
    <w:p>
      <w:pPr>
        <w:pStyle w:val="0"/>
        <w:suppressAutoHyphens w:val="false"/>
        <w:rPr>
          <w:rStyle w:val="1"/>
        </w:rPr>
      </w:pPr>
      <w:r>
        <w:rPr>
          <w:rStyle w:val="1"/>
        </w:rPr>
        <w:t xml:space="preserve">Fabrikatzailearen arabera, testak % 86,4ko sentikortasuna du eta % 99,6ko espezifikotasuna.</w:t>
      </w:r>
    </w:p>
    <w:p>
      <w:pPr>
        <w:pStyle w:val="0"/>
        <w:suppressAutoHyphens w:val="false"/>
        <w:rPr>
          <w:rStyle w:val="1"/>
        </w:rPr>
      </w:pPr>
      <w:r>
        <w:rPr>
          <w:rStyle w:val="1"/>
        </w:rPr>
        <w:t xml:space="preserve">Mikrobiologia Zentro Nazionalak egindako balidazio-azterketek emaitza hauek izan dituzte:</w:t>
      </w:r>
    </w:p>
    <w:p>
      <w:pPr>
        <w:pStyle w:val="0"/>
        <w:suppressAutoHyphens w:val="false"/>
        <w:rPr>
          <w:rStyle w:val="1"/>
        </w:rPr>
      </w:pPr>
      <w:r>
        <w:rPr>
          <w:rStyle w:val="1"/>
        </w:rPr>
        <w:t xml:space="preserve">a. Sentikortasuna: % 66,3 (KT: % 95 % 64,8-67,8).</w:t>
      </w:r>
    </w:p>
    <w:p>
      <w:pPr>
        <w:pStyle w:val="0"/>
        <w:suppressAutoHyphens w:val="false"/>
        <w:rPr>
          <w:rStyle w:val="1"/>
        </w:rPr>
      </w:pPr>
      <w:r>
        <w:rPr>
          <w:rStyle w:val="1"/>
        </w:rPr>
        <w:t xml:space="preserve">b. Espezifikotasuna: % 100 (KT: % 95 % 100).</w:t>
      </w:r>
    </w:p>
    <w:p>
      <w:pPr>
        <w:pStyle w:val="0"/>
        <w:suppressAutoHyphens w:val="false"/>
        <w:rPr>
          <w:rStyle w:val="1"/>
        </w:rPr>
      </w:pPr>
      <w:r>
        <w:rPr>
          <w:rStyle w:val="1"/>
        </w:rPr>
        <w:t xml:space="preserve">Sentikortasuna eta espezifikotasuna testaren ezaugarriak dira beti.</w:t>
      </w:r>
    </w:p>
    <w:p>
      <w:pPr>
        <w:pStyle w:val="0"/>
        <w:suppressAutoHyphens w:val="false"/>
        <w:rPr>
          <w:rStyle w:val="1"/>
        </w:rPr>
      </w:pPr>
      <w:r>
        <w:rPr>
          <w:rStyle w:val="1"/>
        </w:rPr>
        <w:t xml:space="preserve">Iragarpen-balio positiboa eta negatiboa dira gaixotasunak populazioan duen prebalentziaren mende daudenak. (Prebalentzia handia pertsona sintomatikoetan eta prebalentzia txikia asintomatikoetan).</w:t>
      </w:r>
    </w:p>
    <w:p>
      <w:pPr>
        <w:pStyle w:val="0"/>
        <w:suppressAutoHyphens w:val="false"/>
        <w:rPr>
          <w:rStyle w:val="1"/>
        </w:rPr>
      </w:pPr>
      <w:r>
        <w:rPr>
          <w:rStyle w:val="1"/>
        </w:rPr>
        <w:t xml:space="preserve">Asintomatikoetan iragarpen-balio negatiboa ia %100ekoa litzateke (asintomatikoen artean test azkarrean negatibo ematen dutenen % 100 birusarekin kontakturik izan gabeak lirateke). Aldiz, asintomatikoetan iragarpen-balio positiboa txikia litzateke (test azkarrean positibo ematen dutenetatik multzo bat bakarrik legoke gaixorik), eta horregatik eskola-baheketan test azkarrean positibo eman dutenei PCRa egin zaie.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