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AE1" w:rsidRPr="00470AE1" w:rsidRDefault="00470AE1" w:rsidP="00470AE1">
      <w:pPr>
        <w:rPr>
          <w:sz w:val="24"/>
          <w:szCs w:val="24"/>
        </w:rPr>
      </w:pPr>
      <w:r w:rsidRPr="00470AE1">
        <w:rPr>
          <w:sz w:val="24"/>
          <w:szCs w:val="24"/>
        </w:rPr>
        <w:t xml:space="preserve">El Consejero de Universidad, Innovación y Transformación Digital del Gobierno de Navarra, en relación con la pregunta para su contestación por escrito formulada por Adolfo </w:t>
      </w:r>
      <w:proofErr w:type="spellStart"/>
      <w:r w:rsidRPr="00470AE1">
        <w:rPr>
          <w:sz w:val="24"/>
          <w:szCs w:val="24"/>
        </w:rPr>
        <w:t>Araiz</w:t>
      </w:r>
      <w:proofErr w:type="spellEnd"/>
      <w:r w:rsidRPr="00470AE1">
        <w:rPr>
          <w:sz w:val="24"/>
          <w:szCs w:val="24"/>
        </w:rPr>
        <w:t xml:space="preserve"> </w:t>
      </w:r>
      <w:proofErr w:type="spellStart"/>
      <w:r w:rsidRPr="00470AE1">
        <w:rPr>
          <w:sz w:val="24"/>
          <w:szCs w:val="24"/>
        </w:rPr>
        <w:t>Flamarique</w:t>
      </w:r>
      <w:proofErr w:type="spellEnd"/>
      <w:r w:rsidRPr="00470AE1">
        <w:rPr>
          <w:sz w:val="24"/>
          <w:szCs w:val="24"/>
        </w:rPr>
        <w:t>, miembro del Grupo Parlamentario E.H. Bildu Nafarroa, sobre las Inejecuciones de gasto que prevé el Departamento de Universidad, Innovación y Transformación Digital en los Presupuestos del año 2020 (10-20/PES-00183), adjunta el siguiente documento.</w:t>
      </w:r>
    </w:p>
    <w:p w:rsidR="00470AE1" w:rsidRPr="00470AE1" w:rsidRDefault="00470AE1" w:rsidP="00470AE1">
      <w:pPr>
        <w:rPr>
          <w:sz w:val="24"/>
          <w:szCs w:val="24"/>
        </w:rPr>
      </w:pPr>
      <w:r w:rsidRPr="00470AE1">
        <w:rPr>
          <w:sz w:val="24"/>
          <w:szCs w:val="24"/>
        </w:rPr>
        <w:t>Es cuanto informo en cumplimiento de lo dispuesto en el artículo 194 del Reglamento del Parlamento de Navarra.</w:t>
      </w:r>
    </w:p>
    <w:p w:rsidR="00470AE1" w:rsidRPr="00470AE1" w:rsidRDefault="00470AE1" w:rsidP="00470AE1">
      <w:pPr>
        <w:rPr>
          <w:sz w:val="24"/>
          <w:szCs w:val="24"/>
        </w:rPr>
      </w:pPr>
      <w:r w:rsidRPr="00470AE1">
        <w:rPr>
          <w:sz w:val="24"/>
          <w:szCs w:val="24"/>
        </w:rPr>
        <w:t>Pamplona-</w:t>
      </w:r>
      <w:proofErr w:type="spellStart"/>
      <w:r w:rsidRPr="00470AE1">
        <w:rPr>
          <w:sz w:val="24"/>
          <w:szCs w:val="24"/>
        </w:rPr>
        <w:t>Iruñea</w:t>
      </w:r>
      <w:proofErr w:type="spellEnd"/>
      <w:r w:rsidRPr="00470AE1">
        <w:rPr>
          <w:sz w:val="24"/>
          <w:szCs w:val="24"/>
        </w:rPr>
        <w:t>, 29 de septiembre de 2020</w:t>
      </w:r>
    </w:p>
    <w:p w:rsidR="0031123D" w:rsidRDefault="00470AE1" w:rsidP="00470AE1">
      <w:pPr>
        <w:rPr>
          <w:sz w:val="24"/>
          <w:szCs w:val="24"/>
        </w:rPr>
      </w:pPr>
      <w:r w:rsidRPr="00470AE1">
        <w:rPr>
          <w:sz w:val="24"/>
          <w:szCs w:val="24"/>
        </w:rPr>
        <w:t>El Consejero de Universidad, Innovación y Transformación Digital</w:t>
      </w:r>
      <w:r>
        <w:rPr>
          <w:sz w:val="24"/>
          <w:szCs w:val="24"/>
        </w:rPr>
        <w:t>:</w:t>
      </w:r>
      <w:r w:rsidRPr="00470AE1">
        <w:rPr>
          <w:sz w:val="24"/>
          <w:szCs w:val="24"/>
        </w:rPr>
        <w:t xml:space="preserve"> Juan Cruz </w:t>
      </w:r>
      <w:proofErr w:type="spellStart"/>
      <w:r w:rsidRPr="00470AE1">
        <w:rPr>
          <w:sz w:val="24"/>
          <w:szCs w:val="24"/>
        </w:rPr>
        <w:t>Cigudosa</w:t>
      </w:r>
      <w:proofErr w:type="spellEnd"/>
    </w:p>
    <w:p w:rsidR="0031123D" w:rsidRDefault="0031123D" w:rsidP="00470AE1">
      <w:pPr>
        <w:rPr>
          <w:sz w:val="24"/>
          <w:szCs w:val="24"/>
        </w:rPr>
        <w:sectPr w:rsidR="0031123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139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871"/>
        <w:gridCol w:w="688"/>
        <w:gridCol w:w="1047"/>
        <w:gridCol w:w="862"/>
        <w:gridCol w:w="3477"/>
        <w:gridCol w:w="1189"/>
        <w:gridCol w:w="1280"/>
        <w:gridCol w:w="1097"/>
        <w:gridCol w:w="1280"/>
      </w:tblGrid>
      <w:tr w:rsidR="0031123D" w:rsidRPr="0031123D" w:rsidTr="0031123D">
        <w:trPr>
          <w:trHeight w:val="28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lastRenderedPageBreak/>
              <w:t>145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145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145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138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138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129.093.796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130.348.440,70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3.935.465,64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126.412.975,06</w:t>
            </w:r>
          </w:p>
        </w:tc>
      </w:tr>
      <w:tr w:rsidR="0031123D" w:rsidRPr="0031123D" w:rsidTr="0031123D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31123D" w:rsidRPr="0031123D" w:rsidTr="0031123D">
        <w:trPr>
          <w:trHeight w:val="900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b/>
                <w:bCs/>
                <w:sz w:val="18"/>
                <w:szCs w:val="18"/>
                <w:lang w:eastAsia="es-ES"/>
              </w:rPr>
              <w:t>POEF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b/>
                <w:bCs/>
                <w:sz w:val="18"/>
                <w:szCs w:val="18"/>
                <w:lang w:eastAsia="es-ES"/>
              </w:rPr>
              <w:t>Programa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b/>
                <w:bCs/>
                <w:sz w:val="18"/>
                <w:szCs w:val="18"/>
                <w:lang w:eastAsia="es-ES"/>
              </w:rPr>
              <w:t>Centro gestor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b/>
                <w:bCs/>
                <w:sz w:val="18"/>
                <w:szCs w:val="18"/>
                <w:lang w:eastAsia="es-ES"/>
              </w:rPr>
              <w:t>Económico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b/>
                <w:bCs/>
                <w:sz w:val="18"/>
                <w:szCs w:val="18"/>
                <w:lang w:eastAsia="es-ES"/>
              </w:rPr>
              <w:t>Funcional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b/>
                <w:bCs/>
                <w:sz w:val="18"/>
                <w:szCs w:val="18"/>
                <w:lang w:eastAsia="es-ES"/>
              </w:rPr>
              <w:t>Denominación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b/>
                <w:bCs/>
                <w:sz w:val="18"/>
                <w:szCs w:val="18"/>
                <w:lang w:eastAsia="es-ES"/>
              </w:rPr>
              <w:t>PPTO INICIAL 2020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b/>
                <w:bCs/>
                <w:sz w:val="18"/>
                <w:szCs w:val="18"/>
                <w:lang w:eastAsia="es-ES"/>
              </w:rPr>
              <w:t>Consolidado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b/>
                <w:bCs/>
                <w:sz w:val="18"/>
                <w:szCs w:val="18"/>
                <w:lang w:eastAsia="es-ES"/>
              </w:rPr>
              <w:t>Inejecución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123D" w:rsidRPr="0031123D" w:rsidRDefault="0031123D" w:rsidP="003112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b/>
                <w:bCs/>
                <w:sz w:val="18"/>
                <w:szCs w:val="18"/>
                <w:lang w:eastAsia="es-ES"/>
              </w:rPr>
              <w:t>PREVISIÓN CIERRE ACTUALIZADA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G00000G00002020921100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G00000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G0000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2020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Arrendamiento de edificios y otras construcciones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506.100,00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506.100,00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36.100,00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470.000,00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G00000G00002190921100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G00000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G0000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2190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Reparación y mantenimiento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2.000,00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2.000,00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-3.000,00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5.000,00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G00000G00002200921100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G00000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G0000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Material de oficina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500,00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G00000G00002261921100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G00000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G0000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2261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Gastos diversos del Sr. Consejero y Gabinete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1.000,00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1.000,00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-1.000,00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2.000,00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G00000G00002269921100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G00000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G0000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2269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Otros gastos diversos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800,00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-700,00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1.500,00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G00000G00002271921100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G00000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G0000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2271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Servicios de limpieza y aseo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10,00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G00000G00002274921100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G00000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G0000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2274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Servicios de seguridad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10,00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G00000G00002279921100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G00000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G0000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2279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Gastos de mantenimiento del edificio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74.332,00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74.332,00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29.332,00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45.000,00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G00000G00002301921100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G00000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G0000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2301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Gastos de viaje del Sr. Consejero y Gabinete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6.000,00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6.000,00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2.500,00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3.500,00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G00000G00004809921100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G00000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G0000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4809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Ejecución de sentencias e indemnizaciones por responsabilidad patrimonial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33.536,49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33.536,49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G00000G00006050921100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G00000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G0000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6050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Mobiliario y equipo de oficina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2.500,00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2.500,00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2.500,00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G10000G11002200322300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G10000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322300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Material de oficina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3.000,00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3.000,00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3.000,00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G10000G11002266322303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G10000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322303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Congresos, conferencias y cursos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15.000,00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15.000,00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12.500,00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2.500,00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G10000G11002268322300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G10000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2268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322300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Premios y certámenes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2.200,00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2.200,00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2.200,00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G10000G11002269322300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G10000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2269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322300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Gastos diversos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4.990,00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4.990,00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4.990,00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G10000G11002276322300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G10000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2276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322300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Estudios y trabajos técnicos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2.000,00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2.000,00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-4.655,00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6.655,00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lastRenderedPageBreak/>
              <w:t>G10000G11002301322300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G10000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2301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322300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Locomoción y gastos de viaje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3.000,00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3.000,00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3.000,00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G10001G11102269322302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G1110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2269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322302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Gastos de evaluación científico-técnica de programas y proyectos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15.000,00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15.000,00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15.000,00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G10001G11102269322303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G1110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2269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322303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Organización cursos de verano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10.000,00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10.000,00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G10001G11103101322304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G1110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3101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322304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Intereses del ME para proyectos de mejora del campus universitario (UPNA 2010)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6.533,00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6.533,00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6.533,00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G10001G11104455322300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G1110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4455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322300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Convenio financiación de la UPNA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66.120.116,00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66.120.116,00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-200.000,00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66.320.116,00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G10001G11104455322303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G1110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4455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322303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Convenio financiación de la UPNA: mejoras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1.368.884,00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1.368.884,00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1.368.884,00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G10001G11104455322304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G1110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4455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322304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Convenio con la UPNA para fomento de vocaciones STEM en mujeres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25.000,00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25.000,00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25.000,00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G10001G11104800322300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G1110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4800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322300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Intercambios con universidades extranjeras: Erasmus y otros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260.000,00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200.000,00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50.000,00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150.000,00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G10001G11104800322302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G1110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4800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322302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Ayudas al Plan de formación y de investigación y desarrollo (I+D)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670.245,00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624.245,00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24.000,00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600.245,00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G10001G11104800323100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G1110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4800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323100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Becas y ayudas para estudios universitarios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3.300.000,00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3.300.000,00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250.000,00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3.050.000,00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G10001G11104800323102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G1110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4800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323102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Aplicación Real Decreto-Ley 14/2012. Compensación a las Universidades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150.000,00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150.000,00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50.000,00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100.000,00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G10001G11104812322300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G1110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4812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322300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UNED: Centros de Pamplona y Tudela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1.958.400,00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1.958.400,00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3.035,55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1.955.364,45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G10001G11104812322302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G1110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4812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322302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COVID-19 Ayudas a las universidades navarras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100.000,00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100.000,00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G10001G11104812322303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G1110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4812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322303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Ayudas a las universidades navarras para el desarrollo de Cátedras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114.000,00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50.000,00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50.000,00 </w:t>
            </w:r>
          </w:p>
        </w:tc>
      </w:tr>
      <w:tr w:rsidR="0031123D" w:rsidRPr="0031123D" w:rsidTr="0031123D">
        <w:trPr>
          <w:trHeight w:val="80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G10001G11104819322300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G1110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4819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322300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Cursos de verano de las universidades navarras y de los centros asociados de la UNED en Navarra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100.000,00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50.000,00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50.000,00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G10001G11104819322302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G1110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4819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322302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(E) Convenio con </w:t>
            </w: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Udako</w:t>
            </w:r>
            <w:proofErr w:type="spellEnd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Euskal</w:t>
            </w:r>
            <w:proofErr w:type="spellEnd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Unibertsitatea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30.000,00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30.000,00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23,88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29.976,12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G10001G11104819322303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G1110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4819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322303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(E) Convenio con </w:t>
            </w: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Jakiunde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40.000,00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40.000,00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6.543,00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33.457,00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G10001G11106001322300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G1110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6001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322300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Expropiaciones para la Universidad Pública de Navarra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lastRenderedPageBreak/>
              <w:t>G10001G11106020322300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G1110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6020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322300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Edificio Medicina UPNA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850.000,00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970.000,00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970.000,00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G10001G11107455322300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G1110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7455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322300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Convenio financiación de la UPNA: inversiones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1.011.000,00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1.011.000,00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1.011.000,00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G10001G11109120322300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G1110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322300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Amortización del MICINN para proyectos de mejora del campus universitario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950.000,00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950.000,00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950.000,00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G10001G11109120322302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G1110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322302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Amortización del ME para proyectos de mejora del campus universitario (UN-2009)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250.000,00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250.000,00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250.000,00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G10001G11109120322304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G1110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322304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Amortización del ME para proyectos de mejora del campus universitario (UPNA 2010)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74.314,00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74.314,00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74.314,00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G20000G20002261421100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G20000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G2000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2261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421100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Gastos de representación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5.000,00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2.500,00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2.500,00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G20000G20002269421100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G20000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2269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421100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Otros gastos diversos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5.000,00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2.500,00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2.500,00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G20000G20002301421100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G20000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2301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421100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Locomoción y gastos de viaje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5.000,00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5.000,00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G20002G20102266421100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G20002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G2010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421100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Reuniones, conferencias y cursos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5.000,00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5.000,00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G20002G20102276421100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G20002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G2010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2276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421100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Estudios y trabajos técnicos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40.000,00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50.000,00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G20001G21002200467300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467300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Material de oficina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6.000,00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6.000,00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3.000,00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3.000,00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G20001G21002262467300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2262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467300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Acciones de divulgación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5.000,00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5.000,00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G20001G21002266467300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467300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Reuniones, conferencias y cursos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6.000,00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6.000,00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3.000,00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3.000,00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G20001G21002269467300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2269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467300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Otros gastos diversos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3.000,00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3.000,00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1.500,00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1.500,00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G20001G21002273467300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467300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Servicios informáticos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9.000,00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G20001G21002276467300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2276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467300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Estudios y trabajos técnicos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210.000,00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169.421,00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40.579,00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G20001G21002276467302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2276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467302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Encargo a CEIN. Gestión de ayudas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130.000,00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130.000,00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130.000,00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G20001G21002301467300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2301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467300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Locomoción y gastos de viaje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9.000,00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G20001G21004309467300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4309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467300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Fundación </w:t>
            </w: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Aditech</w:t>
            </w:r>
            <w:proofErr w:type="spellEnd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. Difusión y coordinación actividades agentes SINAI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170.000,00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170.000,00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170.000,00 </w:t>
            </w:r>
          </w:p>
        </w:tc>
      </w:tr>
      <w:tr w:rsidR="0031123D" w:rsidRPr="0031123D" w:rsidTr="0031123D">
        <w:trPr>
          <w:trHeight w:val="80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lastRenderedPageBreak/>
              <w:t>G20001G21004400467300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4400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467300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Transferencias a CEIN. Dinamización de la innovación empresarial </w:t>
            </w: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Spinoff</w:t>
            </w:r>
            <w:proofErr w:type="spellEnd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Universidades y Centros FP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175.000,00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175.000,00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175.000,00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G20001G21004400467302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4400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467302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Transferencias a NICDO. Promoción estudios científicos y técnicos (STEM)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170.000,00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170.000,00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170.000,00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G20001G21004400467303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4400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467303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Transferencia a NASERTIC. Medicina personalizada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100.000,00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100.000,00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100.000,00 </w:t>
            </w:r>
          </w:p>
        </w:tc>
      </w:tr>
      <w:tr w:rsidR="0031123D" w:rsidRPr="0031123D" w:rsidTr="0031123D">
        <w:trPr>
          <w:trHeight w:val="80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G20001G21004701467300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4701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467300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Ayudas contratación personal investigador y tecnológico, doctorados industriales, movilidad investigadores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610.000,00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706.059,70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58.066,70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647.993,00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G20001G21004819467300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4819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467300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I+D+i</w:t>
            </w:r>
            <w:proofErr w:type="spellEnd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Salud. Fundación FIMA. Líneas de investigación IDISNA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2.000.000,00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2.000.000,00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2.000.000,00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G20001G21004819467303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4819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467303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I+D+i</w:t>
            </w:r>
            <w:proofErr w:type="spellEnd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Cadena alimentaria. CNTA para la implantación del plan estratégico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300.000,00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500.000,00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500.000,00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G20001G21004819467304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4819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467304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I+D+i</w:t>
            </w:r>
            <w:proofErr w:type="spellEnd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Automoción y Mecatrónica. NAITEC. Consolidación del centro de excelencia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450.000,00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450.000,00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450.000,00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G20001G21004819467305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4819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467305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I+D+i</w:t>
            </w:r>
            <w:proofErr w:type="spellEnd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Automoción y Mecatrónica. AIN. Fomento capacidad investigadora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150.000,00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150.000,00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150.000,00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G20001G21004819467306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4819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467306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Ayudas a la presentación de propuestas a convocatorias de excelencia suprarregionales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120.000,00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120.000,00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120.000,00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G20001G21004819467307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4819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467307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I+D+i</w:t>
            </w:r>
            <w:proofErr w:type="spellEnd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Automoción y Mecatrónica. LUREDERRA. Fomento capacidad investigadora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150.000,00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150.000,00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150.000,00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G20001G21006090467300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6090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467300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Aplicaciones informáticas para el desarrollo de la Ley de Ciencia y Tecnología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150.000,00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150.000,00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140.000,00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10.000,00 </w:t>
            </w:r>
          </w:p>
        </w:tc>
      </w:tr>
      <w:tr w:rsidR="0031123D" w:rsidRPr="0031123D" w:rsidTr="0031123D">
        <w:trPr>
          <w:trHeight w:val="80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G20001G21007309467300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7309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467300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I+D+i</w:t>
            </w:r>
            <w:proofErr w:type="spellEnd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Energía. Aportación de fondos a la Fundación CENER para la amortización de préstamos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4.000.000,00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4.000.000,00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4.000.000,00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G20001G21007701467300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7701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467300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Subvenciones a proyectos y actuaciones en cooperación suprarregional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250.000,00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216.473,51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37.959,83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178.513,68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G20001G21007819467300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7819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467300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Ayudas a proyectos de I+D de Centros tecnológicos y Organismos de Investigación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9.000.000,00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7.901.085,00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2.716.085,00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5.185.000,00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G20001G21007819467302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7819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467302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Equipamiento de centros y organismos de investigación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1.900.000,00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1.900.000,00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-150.000,00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2.050.000,00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G20001G21007819467303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7819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467303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COVID-19 Ayudas a la investigación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1.100.000,00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99.778,45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1.000.221,55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lastRenderedPageBreak/>
              <w:t>G20001G21009120467300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G2100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467300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Amortización del préstamo del MICINN para el fomento de parques científicos y tecnológicos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227.488,00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227.488,00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227.488,00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G30000G30002090921C00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G30000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2090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921C00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Cuotas a asociaciones técnicas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7.400,00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7.400,00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7.400,00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G30000G30002200921C00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G30000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921C00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Material de oficina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18.000,00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18.000,00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18.000,00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G30000G30002269921C00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G30000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2269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921C00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Otros gastos diversos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32.865,00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32.865,00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32.865,00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G30000G30002279921300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G30000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2279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Organización de congresos y cursos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3.000,00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3.000,00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3.000,00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G30000G30002301921C00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G30000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2301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921C00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Gastos de desplazamiento y viaje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30.000,00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30.000,00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30.000,00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G30001G31002061921C00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2061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921C00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Licencias y mantenimiento del software corporativo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100.000,00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100.000,00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100.000,00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G30001G31002276921C00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2276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921C00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Dinamizar </w:t>
            </w: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cluster</w:t>
            </w:r>
            <w:proofErr w:type="spellEnd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Navarra Digital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25.000,00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25.000,00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25.000,00 </w:t>
            </w:r>
          </w:p>
        </w:tc>
      </w:tr>
      <w:tr w:rsidR="0031123D" w:rsidRPr="0031123D" w:rsidTr="0031123D">
        <w:trPr>
          <w:trHeight w:val="80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G30001G31002276921C02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2276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921C02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Evolución Business as usual a Transformación Digital: Asistencia Técnica Gestores y Formación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190.000,00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190.000,00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190.000,00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G30001G31002276921C03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2276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921C03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Asistencia técnica proyectos portal - integración continua - diseño  - formación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380.000,00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380.000,00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380.000,00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G30001G31002276921C04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2276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921C04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Mantenimiento y asistencia a varias aplicaciones corporativas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252.595,00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252.595,00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252.595,00 </w:t>
            </w:r>
          </w:p>
        </w:tc>
      </w:tr>
      <w:tr w:rsidR="0031123D" w:rsidRPr="0031123D" w:rsidTr="0031123D">
        <w:trPr>
          <w:trHeight w:val="80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G30001G31002276921C05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2276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921C05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Encargo a TRACASA Instrumental. Asistencia técnica para la gestión de los proyectos Ingeniería de datos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190.000,00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190.000,00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100.000,00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90.000,00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G30001G31006090921C00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6090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921C00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Observatorio de transformación digital del sector público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75.000,00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75.000,00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75.000,00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G30001G31006090921C02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6090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921C02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Lucha contra el fraude con IA  - HTN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72.000,00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72.000,00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72.000,00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G30001G31006090921C03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6090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921C03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Gasto farmacéutico - otros salud - análisis con IA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66.000,00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66.000,00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66.000,00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G30001G31006090921C04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6090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921C04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Plataforma BI  y licencias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95.000,00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95.000,00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95.000,00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G30001G31006090921C05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6090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921C05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Otros proyectos </w:t>
            </w: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big</w:t>
            </w:r>
            <w:proofErr w:type="spellEnd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data Navarra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50.000,00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4.956,00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-45.044,00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50.000,00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lastRenderedPageBreak/>
              <w:t>G30001G31006090921C06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6090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921C06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Pilotos Business </w:t>
            </w: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Intelligence</w:t>
            </w:r>
            <w:proofErr w:type="spellEnd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-Machine </w:t>
            </w: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Learning</w:t>
            </w:r>
            <w:proofErr w:type="spellEnd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- Block </w:t>
            </w: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Chain</w:t>
            </w:r>
            <w:proofErr w:type="spellEnd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- </w:t>
            </w: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quick</w:t>
            </w:r>
            <w:proofErr w:type="spellEnd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wins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115.000,00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115.000,00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115.000,00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G30001G31006090921C07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6090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921C07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COVID-19 Herramienta de Inteligencia Artificial </w:t>
            </w: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v0.1</w:t>
            </w:r>
            <w:proofErr w:type="spellEnd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para diagnóstico complementario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45.044,00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45.044,00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G30001G31006091469100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6091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469100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Brecha digital: diagnóstico, plan de acción y acciones derivadas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145.000,00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145.000,00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145.000,00 </w:t>
            </w:r>
          </w:p>
        </w:tc>
      </w:tr>
      <w:tr w:rsidR="0031123D" w:rsidRPr="0031123D" w:rsidTr="0031123D">
        <w:trPr>
          <w:trHeight w:val="80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G30001G31006091469102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G30001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G3100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6091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469102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Evolución Business as usual a Transformación Digital: Plan de Transformación Digital, Hoja de ruta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90.000,00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90.000,00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G30002G32002061921C00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G30002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G3200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2061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921C00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Licencias y mantenimiento del software corporativo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651.198,00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651.198,00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-14.406,31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665.604,31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G30002G32002061921C02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G30002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G3200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2061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921C02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COVID-19 Licencias y mantenimiento del software corporativo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15.000,00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15.000,00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G30002G32002273921C00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G30002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G3200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921C00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Operación y nivel de servicio RRHH, GE21, GPI y otros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1.519.070,00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1.519.070,00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-54.528,57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1.573.598,57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G30002G32002273921C02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G30002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G3200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921C02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Encargo a TRACASA Instrumental. Operación y nivel de servicio RRHH, GE21, GPI y otros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157.500,00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157.500,00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157.500,00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G30002G32002273921C03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G30002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G3200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921C03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Encargo a TRACASA Instrumental. Mantenimiento y gestión SITNA/IDENA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288.750,00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288.750,00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288.750,00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G30002G32002273921C04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G30002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G3200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921C04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Encargo a TRACASA Instrumental. Mantenimiento y soporte </w:t>
            </w: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AdEle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808.500,00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808.500,00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808.500,00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G30002G32002273921C05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G30002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G3200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921C05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Encargo a TRACASA Instrumental. Operación y gestión del nivel de servicio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313.182,00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313.182,00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0,40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313.181,60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G30002G32002273921C06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G30002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G3200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921C06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COVID-19 Operación y nivel de servicio RRHH, GE21, GPI y otros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30.000,00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30.000,00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G30002G32002276921C02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G30002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G3200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2276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921C02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Plan de acción para la administración electrónica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134.176,00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134.176,00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134.176,00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G30002G32002276921C03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G30002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G3200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2276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921C03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Evolución tecnológica (Software libre, movilidad, seguridad)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162.000,00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162.000,00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-90.012,22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252.012,22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G30002G32002276921C04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G30002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G3200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2276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921C04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Evolución tecnológica plataforma SIT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G30002G32006091921C00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G30002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G3200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6091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921C00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Encargo a TRACASA Instrumental. Gestión corporativa de expedientes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411.661,00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411.661,00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411.661,00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G30002G32006094921C00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G30002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G3200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6094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921C00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Evolución de sistemas de RRHH, GE21, GPI y otros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275.000,00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275.000,00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57.954,00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217.046,00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lastRenderedPageBreak/>
              <w:t>G30002G32006094921C02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G30002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G3200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6094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921C02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Encargo a TRACASA Instrumental. Evolución de sistemas RRHH, GE21, GPI y otros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-72.966,56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72.966,56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G30003G33002276921C00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G30003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G3300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2276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921C00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Soporte ofimático para Gobierno de Navarra y gestión de proyectos departamentales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1.044.038,00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1.044.038,00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1,09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1.044.036,91 </w:t>
            </w:r>
          </w:p>
        </w:tc>
      </w:tr>
      <w:tr w:rsidR="0031123D" w:rsidRPr="0031123D" w:rsidTr="0031123D">
        <w:trPr>
          <w:trHeight w:val="80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G30003G33002276921C02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G30003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G3300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2276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921C02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COVID-19 Soporte ofimático para Gobierno de Navarra y gestión de proyectos departamentales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30.000,00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30.000,00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G30003G33006094921C00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G30003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G3300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6094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921C00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Evolución de la arquitectura de desarrollo y mantenimiento evolutivo de aplicaciones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294.693,00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294.693,00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72.966,56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221.726,44 </w:t>
            </w:r>
          </w:p>
        </w:tc>
      </w:tr>
      <w:tr w:rsidR="0031123D" w:rsidRPr="0031123D" w:rsidTr="0031123D">
        <w:trPr>
          <w:trHeight w:val="80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G30003G33006094921C02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G30003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G3300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6094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921C02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COVID-19 Evolución de la arquitectura de desarrollo y mantenimiento evolutivo de aplicaciones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40.000,00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G30005G35002061921C00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G3500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2061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921C00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Licencias de software de uso general e infraestructuras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1.476.407,00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1.410.407,00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-104.034,05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1.514.441,05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G30005G35002061921C02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G3500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2061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921C02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COVID-19 Licencias de software de uso general e infraestructuras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101.000,00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2.122,53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98.877,47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G30005G35002160921C00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G3500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2160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921C00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Mantenimiento de equipos informáticos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455.000,00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455.000,00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24.537,66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430.462,34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G30005G35002190491100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G3500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2190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491100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Encargo a NASERTIC. Mantenimiento y gestión de la red corporativa de voz y datos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1.673.343,00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1.673.343,00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-33.965,91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1.707.308,91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G30005G35002190491102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G3500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2190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491102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COVID-19 Encargo a NASERTIC. Mantenimiento y gestión de la red corporativa de voz y datos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141.000,00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141.000,00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G30005G35002202921C00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G3500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921C00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Licencias de acceso a bases documentales de nuevas tecnologías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-219.990,00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220.000,00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G30005G35002220491300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G3500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491300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Servicio de telecomunicaciones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2.223.854,00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1.848.854,00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281.213,25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1.567.640,75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G30005G35002220491302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G3500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491302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Red de radiotelefonía </w:t>
            </w: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trunking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980.000,00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980.000,00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98.000,00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882.000,00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G30005G35002220491303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G3500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491303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COVID-19 Servicio de telecomunicaciones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122.000,00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122.000,00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G30005G35002273921C00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G3500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921C00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Encargo a NASERTIC. Gestión del centro de informática y servicios del ordenador central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5.015.000,00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5.015.000,00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5.015.000,00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G30005G35002273921C02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G3500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921C02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Soporte de primer nivel a usuarios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1.985.000,00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1.985.000,00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1.985.000,00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G30005G35002273921C03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G3500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921C03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Asistencia 2º nivel y otros trabajos con terceros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4.374.138,00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4.224.138,00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-36.298,79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4.260.436,79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bookmarkStart w:id="0" w:name="_GoBack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lastRenderedPageBreak/>
              <w:t>G30005G35002273921C04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G3500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921C04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Convenio con la Fábrica Nacional de Moneda y Timbre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165.000,00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165.000,00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5.000,00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160.000,00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G30005G35002273921C05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G3500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921C05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Encargo a NASERTIC. Soporte de primer nivel a usuarios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152.095,00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152.095,00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152.094,99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G30005G35002273921C06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G3500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921C06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Encargo a NASERTIC. Oficina Técnica para la gestión de proyectos estratégicos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185.996,00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185.996,00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-88.986,47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274.982,47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G30005G35002273921C07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G3500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921C07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COVID-19 Asistencia 2º nivel y otros trabajos con terceros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448.000,00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222,77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447.777,23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G30005G35002279491100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G3500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2279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491100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Servicios de seguridad gestionada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515.971,00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515.971,00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0,50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515.970,50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G30005G35002279491102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G3500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2279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491102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COVID-19 Servicios de seguridad gestionada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39.000,00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39.000,00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G30005G35002279491400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G3500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2279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491400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Servicio de difusión de la televisión en Navarra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2.011.000,00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1.685.000,00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1.685.000,00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G30005G35002279491402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G3500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2279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491402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Encargo a NASERTIC. Servicio de difusión de la televisión en Navarra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-1.651.069,14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1.651.069,14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G30005G35002279921300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G3500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2279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Promoción </w:t>
            </w: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5G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25.000,00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25.000,00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25.000,00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G30005G35002279921C00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G3500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2279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921C00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Servicios externos </w:t>
            </w: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PyrennEOS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56.826,00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56.826,00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24.204,40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32.621,60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G30005G35006013467902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G3500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6013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467902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Encargo a NASERTIC. Plan de banda ancha de Navarra: corporativa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500.000,00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1.201.000,00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72.185,31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1.128.814,69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G30005G35006031491300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G3500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6031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491300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Instalaciones fijas y cableado de edificios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15.000,00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15.000,00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2.226,29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12.773,71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G30005G35006059491100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G3500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6059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491100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Equipamiento de telecomunicaciones y terminales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15.000,00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15.000,00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3.148,13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11.851,87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G30005G35006059491102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G3500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6059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491102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COVID-19 Equipamiento de telecomunicaciones y terminales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33.000,00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25.727,90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7.272,10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G30005G35006060921C00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G3500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6060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921C00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Equipamiento informático e infraestructuras tecnológicas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648.076,00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648.076,00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869,19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647.206,81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G30005G35006060921C02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G30005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G3500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6060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921C02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COVID-19 Equipamiento informático e infraestructuras tecnológicas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107.000,00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8.447,26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98.552,74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G30006G36002276311102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G30006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G3600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2276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311102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Arquitectura software para Salud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270.000,00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270.000,00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270.000,00 </w:t>
            </w:r>
          </w:p>
        </w:tc>
      </w:tr>
      <w:tr w:rsidR="0031123D" w:rsidRPr="0031123D" w:rsidTr="0031123D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G30006G36002276311103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G30006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G3600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2276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311103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COVID-19 Arquitectura software para Salud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67.500,00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23D" w:rsidRPr="0031123D" w:rsidRDefault="0031123D" w:rsidP="003112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31123D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67.500,00 </w:t>
            </w:r>
          </w:p>
        </w:tc>
      </w:tr>
      <w:bookmarkEnd w:id="0"/>
    </w:tbl>
    <w:p w:rsidR="0031123D" w:rsidRPr="00470AE1" w:rsidRDefault="0031123D" w:rsidP="00470AE1">
      <w:pPr>
        <w:rPr>
          <w:sz w:val="24"/>
          <w:szCs w:val="24"/>
        </w:rPr>
      </w:pPr>
    </w:p>
    <w:sectPr w:rsidR="0031123D" w:rsidRPr="00470AE1" w:rsidSect="0031123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ejaVu Serif">
    <w:altName w:val="Deja Vu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E1"/>
    <w:rsid w:val="000F2190"/>
    <w:rsid w:val="0031123D"/>
    <w:rsid w:val="00470AE1"/>
    <w:rsid w:val="004B52D5"/>
    <w:rsid w:val="005E7DBF"/>
    <w:rsid w:val="007862B2"/>
    <w:rsid w:val="00B1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70AE1"/>
    <w:pPr>
      <w:autoSpaceDE w:val="0"/>
      <w:autoSpaceDN w:val="0"/>
      <w:adjustRightInd w:val="0"/>
      <w:spacing w:after="0" w:line="240" w:lineRule="auto"/>
    </w:pPr>
    <w:rPr>
      <w:rFonts w:ascii="DejaVu Serif" w:hAnsi="DejaVu Serif" w:cs="DejaVu Serif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31123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1123D"/>
    <w:rPr>
      <w:color w:val="954F72"/>
      <w:u w:val="single"/>
    </w:rPr>
  </w:style>
  <w:style w:type="paragraph" w:customStyle="1" w:styleId="xl69">
    <w:name w:val="xl69"/>
    <w:basedOn w:val="Normal"/>
    <w:rsid w:val="0031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0">
    <w:name w:val="xl70"/>
    <w:basedOn w:val="Normal"/>
    <w:rsid w:val="0031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1">
    <w:name w:val="xl71"/>
    <w:basedOn w:val="Normal"/>
    <w:rsid w:val="0031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2">
    <w:name w:val="xl72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3">
    <w:name w:val="xl73"/>
    <w:basedOn w:val="Normal"/>
    <w:rsid w:val="003112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4">
    <w:name w:val="xl74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5">
    <w:name w:val="xl75"/>
    <w:basedOn w:val="Normal"/>
    <w:rsid w:val="0031123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6">
    <w:name w:val="xl76"/>
    <w:basedOn w:val="Normal"/>
    <w:rsid w:val="003112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7">
    <w:name w:val="xl77"/>
    <w:basedOn w:val="Normal"/>
    <w:rsid w:val="003112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8">
    <w:name w:val="xl78"/>
    <w:basedOn w:val="Normal"/>
    <w:rsid w:val="0031123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9">
    <w:name w:val="xl79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0">
    <w:name w:val="xl80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1">
    <w:name w:val="xl81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2">
    <w:name w:val="xl82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3">
    <w:name w:val="xl83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4">
    <w:name w:val="xl84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5">
    <w:name w:val="xl85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6">
    <w:name w:val="xl86"/>
    <w:basedOn w:val="Normal"/>
    <w:rsid w:val="003112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7">
    <w:name w:val="xl87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8">
    <w:name w:val="xl88"/>
    <w:basedOn w:val="Normal"/>
    <w:rsid w:val="00311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9">
    <w:name w:val="xl89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0">
    <w:name w:val="xl90"/>
    <w:basedOn w:val="Normal"/>
    <w:rsid w:val="00311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1">
    <w:name w:val="xl91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2">
    <w:name w:val="xl92"/>
    <w:basedOn w:val="Normal"/>
    <w:rsid w:val="0031123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3">
    <w:name w:val="xl93"/>
    <w:basedOn w:val="Normal"/>
    <w:rsid w:val="003112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4">
    <w:name w:val="xl94"/>
    <w:basedOn w:val="Normal"/>
    <w:rsid w:val="003112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5">
    <w:name w:val="xl95"/>
    <w:basedOn w:val="Normal"/>
    <w:rsid w:val="003112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6">
    <w:name w:val="xl96"/>
    <w:basedOn w:val="Normal"/>
    <w:rsid w:val="003112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7">
    <w:name w:val="xl97"/>
    <w:basedOn w:val="Normal"/>
    <w:rsid w:val="003112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8">
    <w:name w:val="xl98"/>
    <w:basedOn w:val="Normal"/>
    <w:rsid w:val="003112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9">
    <w:name w:val="xl99"/>
    <w:basedOn w:val="Normal"/>
    <w:rsid w:val="0031123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70AE1"/>
    <w:pPr>
      <w:autoSpaceDE w:val="0"/>
      <w:autoSpaceDN w:val="0"/>
      <w:adjustRightInd w:val="0"/>
      <w:spacing w:after="0" w:line="240" w:lineRule="auto"/>
    </w:pPr>
    <w:rPr>
      <w:rFonts w:ascii="DejaVu Serif" w:hAnsi="DejaVu Serif" w:cs="DejaVu Serif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31123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1123D"/>
    <w:rPr>
      <w:color w:val="954F72"/>
      <w:u w:val="single"/>
    </w:rPr>
  </w:style>
  <w:style w:type="paragraph" w:customStyle="1" w:styleId="xl69">
    <w:name w:val="xl69"/>
    <w:basedOn w:val="Normal"/>
    <w:rsid w:val="0031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0">
    <w:name w:val="xl70"/>
    <w:basedOn w:val="Normal"/>
    <w:rsid w:val="0031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1">
    <w:name w:val="xl71"/>
    <w:basedOn w:val="Normal"/>
    <w:rsid w:val="0031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2">
    <w:name w:val="xl72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3">
    <w:name w:val="xl73"/>
    <w:basedOn w:val="Normal"/>
    <w:rsid w:val="003112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4">
    <w:name w:val="xl74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5">
    <w:name w:val="xl75"/>
    <w:basedOn w:val="Normal"/>
    <w:rsid w:val="0031123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6">
    <w:name w:val="xl76"/>
    <w:basedOn w:val="Normal"/>
    <w:rsid w:val="003112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7">
    <w:name w:val="xl77"/>
    <w:basedOn w:val="Normal"/>
    <w:rsid w:val="003112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8">
    <w:name w:val="xl78"/>
    <w:basedOn w:val="Normal"/>
    <w:rsid w:val="0031123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9">
    <w:name w:val="xl79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0">
    <w:name w:val="xl80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1">
    <w:name w:val="xl81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2">
    <w:name w:val="xl82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3">
    <w:name w:val="xl83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4">
    <w:name w:val="xl84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5">
    <w:name w:val="xl85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6">
    <w:name w:val="xl86"/>
    <w:basedOn w:val="Normal"/>
    <w:rsid w:val="003112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7">
    <w:name w:val="xl87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8">
    <w:name w:val="xl88"/>
    <w:basedOn w:val="Normal"/>
    <w:rsid w:val="00311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9">
    <w:name w:val="xl89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0">
    <w:name w:val="xl90"/>
    <w:basedOn w:val="Normal"/>
    <w:rsid w:val="00311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1">
    <w:name w:val="xl91"/>
    <w:basedOn w:val="Normal"/>
    <w:rsid w:val="003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2">
    <w:name w:val="xl92"/>
    <w:basedOn w:val="Normal"/>
    <w:rsid w:val="0031123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3">
    <w:name w:val="xl93"/>
    <w:basedOn w:val="Normal"/>
    <w:rsid w:val="003112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4">
    <w:name w:val="xl94"/>
    <w:basedOn w:val="Normal"/>
    <w:rsid w:val="003112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5">
    <w:name w:val="xl95"/>
    <w:basedOn w:val="Normal"/>
    <w:rsid w:val="003112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6">
    <w:name w:val="xl96"/>
    <w:basedOn w:val="Normal"/>
    <w:rsid w:val="003112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7">
    <w:name w:val="xl97"/>
    <w:basedOn w:val="Normal"/>
    <w:rsid w:val="003112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8">
    <w:name w:val="xl98"/>
    <w:basedOn w:val="Normal"/>
    <w:rsid w:val="003112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9">
    <w:name w:val="xl99"/>
    <w:basedOn w:val="Normal"/>
    <w:rsid w:val="0031123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1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3138</Words>
  <Characters>17263</Characters>
  <Application>Microsoft Office Word</Application>
  <DocSecurity>0</DocSecurity>
  <Lines>143</Lines>
  <Paragraphs>40</Paragraphs>
  <ScaleCrop>false</ScaleCrop>
  <Company>Hewlett-Packard Company</Company>
  <LinksUpToDate>false</LinksUpToDate>
  <CharactersWithSpaces>20361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6</cp:revision>
  <dcterms:created xsi:type="dcterms:W3CDTF">2020-10-09T10:21:00Z</dcterms:created>
  <dcterms:modified xsi:type="dcterms:W3CDTF">2020-11-16T10:21:00Z</dcterms:modified>
</cp:coreProperties>
</file>