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4C" w:rsidRDefault="0094264C" w:rsidP="007D7BBA">
      <w:pPr>
        <w:tabs>
          <w:tab w:val="left" w:pos="3780"/>
        </w:tabs>
        <w:spacing w:line="288" w:lineRule="auto"/>
        <w:rPr>
          <w:sz w:val="24"/>
          <w:szCs w:val="24"/>
          <w:rFonts w:ascii="Century Gothic" w:hAnsi="Century Gothic"/>
        </w:rPr>
      </w:pPr>
      <w:r>
        <w:rPr>
          <w:sz w:val="24"/>
          <w:szCs w:val="24"/>
          <w:rFonts w:ascii="Century Gothic" w:hAnsi="Century Gothic"/>
        </w:rPr>
        <w:t xml:space="preserve">Uztailak 3</w:t>
      </w:r>
    </w:p>
    <w:p w:rsidR="0094264C" w:rsidRDefault="007D7BBA" w:rsidP="007D7BBA">
      <w:pPr>
        <w:tabs>
          <w:tab w:val="left" w:pos="3780"/>
        </w:tabs>
        <w:spacing w:line="288" w:lineRule="auto"/>
        <w:rPr>
          <w:sz w:val="24"/>
          <w:szCs w:val="24"/>
          <w:rFonts w:ascii="Century Gothic" w:hAnsi="Century Gothic"/>
        </w:rPr>
      </w:pPr>
      <w:r>
        <w:rPr>
          <w:sz w:val="24"/>
          <w:szCs w:val="24"/>
          <w:rFonts w:ascii="Century Gothic" w:hAnsi="Century Gothic"/>
        </w:rPr>
        <w:t xml:space="preserve">EH Bildu Nafarroa talde parlamentarioari atxikitako foru parlamentari Bakartxo Ruiz Jaso andreak idatzizko galdera egin du (10-20-PES-00113), zeinean informazioa eskatzen baitu “COVID-19ak eragindako egoerari buruz adikzioen esparruan, zehazki joko patologikoan, online ludopatian edo pantailekin lotutako jarrera eta jokabide mendetasun-sortzaileen kasuan”. Honako hau da Nafarroako Gobernuko Osasuneko kontseilariak horri buruz ematen dion informazioa:</w:t>
      </w:r>
    </w:p>
    <w:p w:rsidR="0094264C" w:rsidRDefault="00D5439F" w:rsidP="007D7BBA">
      <w:pPr>
        <w:spacing w:after="0" w:line="288" w:lineRule="auto"/>
        <w:rPr>
          <w:caps/>
          <w:color w:val="9BBB59"/>
          <w:sz w:val="24"/>
          <w:szCs w:val="24"/>
          <w:rFonts w:ascii="Century Gothic" w:hAnsi="Century Gothic"/>
        </w:rPr>
      </w:pPr>
      <w:r>
        <w:rPr>
          <w:sz w:val="24"/>
          <w:szCs w:val="24"/>
          <w:b/>
          <w:rFonts w:ascii="Century Gothic" w:hAnsi="Century Gothic"/>
        </w:rPr>
        <w:t xml:space="preserve">1.</w:t>
      </w:r>
      <w:r>
        <w:rPr>
          <w:sz w:val="24"/>
          <w:szCs w:val="24"/>
          <w:b/>
          <w:rFonts w:ascii="Century Gothic" w:hAnsi="Century Gothic"/>
        </w:rPr>
        <w:t xml:space="preserve"> </w:t>
      </w:r>
      <w:r>
        <w:rPr>
          <w:sz w:val="24"/>
          <w:szCs w:val="24"/>
          <w:rFonts w:ascii="Century Gothic" w:hAnsi="Century Gothic"/>
        </w:rPr>
        <w:t xml:space="preserve">Nafarroako Gobernuak ba al dauka daturik, informaziorik edo inolako azterlanik zeinaren bidez ezagutu ahal izanen baita zer eragin izan duen edo izaten ari den COVID-19ak eragindako egoerak adikzioen esparruan, zehazki joko patologikoan, online ludopatian edo pantailekin lotutako jarrera eta jokabide mendetasun-sortzaileen kasuan?</w:t>
      </w:r>
    </w:p>
    <w:p w:rsidR="00D5439F" w:rsidRPr="007D7BBA" w:rsidRDefault="00D5439F" w:rsidP="007D7BBA">
      <w:pPr>
        <w:spacing w:after="120" w:line="288" w:lineRule="auto"/>
        <w:rPr>
          <w:sz w:val="24"/>
          <w:szCs w:val="24"/>
          <w:rFonts w:ascii="Century Gothic" w:hAnsi="Century Gothic" w:cs="Tahoma"/>
        </w:rPr>
      </w:pPr>
      <w:r>
        <w:rPr>
          <w:sz w:val="24"/>
          <w:szCs w:val="24"/>
          <w:i/>
          <w:iCs/>
          <w:rFonts w:ascii="Century Gothic" w:hAnsi="Century Gothic"/>
        </w:rPr>
        <w:t xml:space="preserve">Drogei eta Adikzioei Aurrea Hartzeko III. Planak,</w:t>
      </w:r>
      <w:r>
        <w:rPr>
          <w:sz w:val="24"/>
          <w:szCs w:val="24"/>
          <w:rFonts w:ascii="Century Gothic" w:hAnsi="Century Gothic"/>
        </w:rPr>
        <w:t xml:space="preserve"> aurrekoak egin zuen bezala, alkoholarekin, tabakoarekin eta kalamuarekin lotutako kontsumoak prebenitzeko eta horietan eragiteko ekintzen esparruan, baita substantziarik gabeko adikzioak prebenitzeko ekintzen esparruan ere, adikzioen fenomenoaren "ezagutzaren, prestakuntzaren eta ikerketaren sozializazioa" jasotzen du.</w:t>
      </w:r>
      <w:r>
        <w:rPr>
          <w:sz w:val="24"/>
          <w:szCs w:val="24"/>
          <w:rFonts w:ascii="Century Gothic" w:hAnsi="Century Gothic"/>
        </w:rPr>
        <w:t xml:space="preserve"> </w:t>
      </w:r>
      <w:r>
        <w:rPr>
          <w:sz w:val="24"/>
          <w:szCs w:val="24"/>
          <w:rFonts w:ascii="Century Gothic" w:hAnsi="Century Gothic"/>
        </w:rPr>
        <w:t xml:space="preserve">NOPLOIrako eta Osasun Komunitarioa Sustatzeko Zerbitzurako, gainera, ikerketa etengabeko ekintza gisa planteatzen da, eta konfinamendu-aldian bi azterlan egin dira herritarren ongizatean eta osasunean eragina duten bizimoduekin lotutako jokabideetan konfinamenduak izandako eraginari buruz:</w:t>
      </w:r>
      <w:r>
        <w:rPr>
          <w:sz w:val="24"/>
          <w:szCs w:val="24"/>
          <w:rFonts w:ascii="Century Gothic" w:hAnsi="Century Gothic"/>
        </w:rPr>
        <w:t xml:space="preserve"> </w:t>
      </w:r>
    </w:p>
    <w:p w:rsidR="00D5439F" w:rsidRPr="007D7BBA" w:rsidRDefault="00D5439F" w:rsidP="007D7BBA">
      <w:pPr>
        <w:pStyle w:val="Prrafodelista"/>
        <w:numPr>
          <w:ilvl w:val="0"/>
          <w:numId w:val="6"/>
        </w:numPr>
        <w:spacing w:after="120" w:line="288" w:lineRule="auto"/>
        <w:jc w:val="both"/>
        <w:rPr>
          <w:b/>
          <w:sz w:val="24"/>
          <w:szCs w:val="24"/>
          <w:rFonts w:ascii="Century Gothic" w:hAnsi="Century Gothic" w:cs="Tahoma"/>
        </w:rPr>
      </w:pPr>
      <w:r>
        <w:rPr>
          <w:sz w:val="24"/>
          <w:szCs w:val="24"/>
          <w:b/>
          <w:rFonts w:ascii="Century Gothic" w:hAnsi="Century Gothic"/>
        </w:rPr>
        <w:t xml:space="preserve">Nafarroako populazio helduak konfinamenduan izan duen osasun-egoerari buruzko azterlana.</w:t>
      </w:r>
      <w:r>
        <w:rPr>
          <w:sz w:val="24"/>
          <w:szCs w:val="24"/>
          <w:b/>
          <w:rFonts w:ascii="Century Gothic" w:hAnsi="Century Gothic"/>
        </w:rPr>
        <w:t xml:space="preserve"> </w:t>
      </w:r>
      <w:r>
        <w:rPr>
          <w:sz w:val="24"/>
          <w:szCs w:val="24"/>
          <w:rFonts w:ascii="Century Gothic" w:hAnsi="Century Gothic"/>
        </w:rPr>
        <w:t xml:space="preserve">18 urte edo gehiagoko herritarrak.</w:t>
      </w:r>
      <w:r>
        <w:rPr>
          <w:sz w:val="24"/>
          <w:szCs w:val="24"/>
          <w:rFonts w:ascii="Century Gothic" w:hAnsi="Century Gothic"/>
        </w:rPr>
        <w:t xml:space="preserve"> </w:t>
      </w:r>
    </w:p>
    <w:p w:rsidR="00D5439F" w:rsidRPr="007D7BBA" w:rsidRDefault="00D5439F" w:rsidP="007D7BBA">
      <w:pPr>
        <w:pStyle w:val="Prrafodelista"/>
        <w:numPr>
          <w:ilvl w:val="0"/>
          <w:numId w:val="6"/>
        </w:numPr>
        <w:spacing w:after="120" w:line="288" w:lineRule="auto"/>
        <w:jc w:val="both"/>
        <w:rPr>
          <w:sz w:val="24"/>
          <w:szCs w:val="24"/>
          <w:rFonts w:ascii="Century Gothic" w:hAnsi="Century Gothic" w:cs="Tahoma"/>
        </w:rPr>
      </w:pPr>
      <w:r>
        <w:rPr>
          <w:sz w:val="24"/>
          <w:szCs w:val="24"/>
          <w:b/>
          <w:rFonts w:ascii="Century Gothic" w:hAnsi="Century Gothic"/>
        </w:rPr>
        <w:t xml:space="preserve">Larrialdietako Adierazlea jasotzea</w:t>
      </w:r>
      <w:r>
        <w:rPr>
          <w:sz w:val="24"/>
          <w:szCs w:val="24"/>
          <w:rFonts w:ascii="Century Gothic" w:hAnsi="Century Gothic"/>
        </w:rPr>
        <w:t xml:space="preserve">.</w:t>
      </w:r>
      <w:r>
        <w:rPr>
          <w:sz w:val="24"/>
          <w:szCs w:val="24"/>
          <w:rFonts w:ascii="Century Gothic" w:hAnsi="Century Gothic"/>
        </w:rPr>
        <w:t xml:space="preserve"> </w:t>
      </w:r>
      <w:r>
        <w:rPr>
          <w:sz w:val="24"/>
          <w:szCs w:val="24"/>
          <w:rFonts w:ascii="Century Gothic" w:hAnsi="Century Gothic"/>
        </w:rPr>
        <w:t xml:space="preserve">Drogen ondoriozko "intoxikazioekin" lotutako Nafarroako ospitale-larrialdietako arreta kopurua.</w:t>
      </w:r>
    </w:p>
    <w:p w:rsidR="00D5439F" w:rsidRPr="007D7BBA" w:rsidRDefault="00D5439F" w:rsidP="007D7BBA">
      <w:pPr>
        <w:spacing w:after="120" w:line="288" w:lineRule="auto"/>
        <w:ind w:left="360"/>
        <w:rPr>
          <w:sz w:val="24"/>
          <w:szCs w:val="24"/>
          <w:rFonts w:ascii="Century Gothic" w:hAnsi="Century Gothic" w:cs="Tahoma"/>
        </w:rPr>
      </w:pPr>
      <w:r>
        <w:rPr>
          <w:sz w:val="24"/>
          <w:szCs w:val="24"/>
          <w:rFonts w:ascii="Century Gothic" w:hAnsi="Century Gothic"/>
        </w:rPr>
        <w:t xml:space="preserve">Nafarroako Gazteriaren Institutuak ere azterlan bat egin du:</w:t>
      </w:r>
      <w:r>
        <w:rPr>
          <w:sz w:val="24"/>
          <w:szCs w:val="24"/>
          <w:rFonts w:ascii="Century Gothic" w:hAnsi="Century Gothic"/>
        </w:rPr>
        <w:t xml:space="preserve"> </w:t>
      </w:r>
    </w:p>
    <w:p w:rsidR="0094264C" w:rsidRDefault="00D5439F" w:rsidP="007D7BBA">
      <w:pPr>
        <w:pStyle w:val="Prrafodelista"/>
        <w:spacing w:after="120" w:line="288" w:lineRule="auto"/>
        <w:jc w:val="both"/>
        <w:rPr>
          <w:sz w:val="24"/>
          <w:szCs w:val="24"/>
          <w:rFonts w:ascii="Century Gothic" w:hAnsi="Century Gothic" w:cs="Tahoma"/>
        </w:rPr>
      </w:pPr>
      <w:r>
        <w:rPr>
          <w:sz w:val="24"/>
          <w:szCs w:val="24"/>
          <w:b/>
          <w:rFonts w:ascii="Century Gothic" w:hAnsi="Century Gothic"/>
        </w:rPr>
        <w:t xml:space="preserve">Zure iritzia jakin nahi dugu.</w:t>
      </w:r>
      <w:r>
        <w:rPr>
          <w:sz w:val="24"/>
          <w:szCs w:val="24"/>
          <w:b/>
          <w:rFonts w:ascii="Century Gothic" w:hAnsi="Century Gothic"/>
        </w:rPr>
        <w:t xml:space="preserve"> </w:t>
      </w:r>
      <w:r>
        <w:rPr>
          <w:sz w:val="24"/>
          <w:szCs w:val="24"/>
          <w:b/>
          <w:rFonts w:ascii="Century Gothic" w:hAnsi="Century Gothic"/>
        </w:rPr>
        <w:t xml:space="preserve">Zer moduz konfinamendu-egun hauetan? Zertan ematen duzu denbora?</w:t>
      </w:r>
      <w:r>
        <w:rPr>
          <w:sz w:val="24"/>
          <w:szCs w:val="24"/>
          <w:b/>
          <w:rFonts w:ascii="Century Gothic" w:hAnsi="Century Gothic"/>
        </w:rPr>
        <w:t xml:space="preserve"> </w:t>
      </w:r>
      <w:r>
        <w:rPr>
          <w:sz w:val="24"/>
          <w:szCs w:val="24"/>
          <w:rFonts w:ascii="Century Gothic" w:hAnsi="Century Gothic"/>
        </w:rPr>
        <w:t xml:space="preserve">14 eta 30 urte bitarteko gazteei zuzendutako inkesta.</w:t>
      </w:r>
    </w:p>
    <w:p w:rsidR="0094264C" w:rsidRDefault="00D5439F" w:rsidP="007D7BBA">
      <w:pPr>
        <w:pStyle w:val="Prrafodelista"/>
        <w:numPr>
          <w:ilvl w:val="0"/>
          <w:numId w:val="7"/>
        </w:numPr>
        <w:spacing w:after="0" w:line="288" w:lineRule="auto"/>
        <w:jc w:val="both"/>
        <w:rPr>
          <w:b/>
          <w:color w:val="943634"/>
          <w:sz w:val="24"/>
          <w:szCs w:val="24"/>
          <w:rFonts w:ascii="Century Gothic" w:eastAsia="MS Mincho" w:hAnsi="Century Gothic" w:cs="Tahoma"/>
        </w:rPr>
      </w:pPr>
      <w:r>
        <w:rPr>
          <w:b/>
          <w:color w:val="943634"/>
          <w:sz w:val="24"/>
          <w:szCs w:val="24"/>
          <w:rFonts w:ascii="Century Gothic" w:hAnsi="Century Gothic"/>
        </w:rPr>
        <w:t xml:space="preserve">NAFARROAKO POPULAZIO HELDUAK KONFINAMENDUAN IZAN DUEN OSASUN-EGOERARI BURUZKO AZTERLANA</w:t>
      </w:r>
    </w:p>
    <w:p w:rsidR="0094264C" w:rsidRDefault="00D5439F" w:rsidP="007D7BBA">
      <w:pPr>
        <w:spacing w:after="0" w:line="288" w:lineRule="auto"/>
        <w:rPr>
          <w:sz w:val="24"/>
          <w:szCs w:val="24"/>
          <w:rFonts w:ascii="Century Gothic" w:eastAsia="MS Mincho" w:hAnsi="Century Gothic" w:cs="Tahoma"/>
        </w:rPr>
      </w:pPr>
      <w:r>
        <w:rPr>
          <w:sz w:val="24"/>
          <w:szCs w:val="24"/>
          <w:rFonts w:ascii="Century Gothic" w:hAnsi="Century Gothic"/>
        </w:rPr>
        <w:t xml:space="preserve">Telefono bidezko elkarrizketa bat zen, 25 galderako galdetegi batean oinarritua, eta funtsezko 3 atal zituen; besteak beste, bizi-estiloak, hala nola elikadura, ariketa fisikoa, alkohol-kontsumoa, tabakoa eta online jokoa.</w:t>
      </w:r>
    </w:p>
    <w:p w:rsidR="0094264C" w:rsidRDefault="00D5439F" w:rsidP="007D7BBA">
      <w:pPr>
        <w:spacing w:after="0" w:line="288" w:lineRule="auto"/>
        <w:rPr>
          <w:sz w:val="24"/>
          <w:szCs w:val="24"/>
          <w:rFonts w:ascii="Century Gothic" w:eastAsia="MS Mincho" w:hAnsi="Century Gothic" w:cs="Tahoma"/>
        </w:rPr>
      </w:pPr>
      <w:r>
        <w:rPr>
          <w:sz w:val="24"/>
          <w:szCs w:val="24"/>
          <w:rFonts w:ascii="Century Gothic" w:hAnsi="Century Gothic"/>
        </w:rPr>
        <w:t xml:space="preserve">METODOLOGIAk 18 urtetik gorako biztanleriaren lagin adierazgarri bat jasotzen du, sexuaren, adinaren, Nafarroako zonaldeen eta udalerriaren tamainaren arabera; 1200 pertsona guztira, apirileko aste bakoitzean 300 elkarrizketako 4 multzotan.</w:t>
      </w:r>
      <w:r>
        <w:rPr>
          <w:sz w:val="24"/>
          <w:szCs w:val="24"/>
          <w:rFonts w:ascii="Century Gothic" w:hAnsi="Century Gothic"/>
        </w:rPr>
        <w:t xml:space="preserve"> </w:t>
      </w:r>
      <w:r>
        <w:rPr>
          <w:sz w:val="24"/>
          <w:szCs w:val="24"/>
          <w:rFonts w:ascii="Century Gothic" w:hAnsi="Century Gothic"/>
        </w:rPr>
        <w:t xml:space="preserve">Telefono bidezko inkesta.</w:t>
      </w:r>
    </w:p>
    <w:p w:rsidR="00D5439F" w:rsidRPr="007D7BBA" w:rsidRDefault="00D5439F" w:rsidP="007D7BBA">
      <w:pPr>
        <w:spacing w:after="120" w:line="288" w:lineRule="auto"/>
        <w:rPr>
          <w:b/>
          <w:sz w:val="24"/>
          <w:szCs w:val="24"/>
          <w:rFonts w:ascii="Century Gothic" w:hAnsi="Century Gothic" w:cs="Tahoma"/>
        </w:rPr>
      </w:pPr>
      <w:r>
        <w:rPr>
          <w:b/>
          <w:sz w:val="24"/>
          <w:szCs w:val="24"/>
          <w:rFonts w:ascii="Century Gothic" w:hAnsi="Century Gothic"/>
        </w:rPr>
        <w:t xml:space="preserve">Galdera parlamentarioarekin lotura duen galdetegiko galdera.</w:t>
      </w:r>
    </w:p>
    <w:p w:rsidR="00D5439F" w:rsidRPr="007D7BBA" w:rsidRDefault="00D5439F" w:rsidP="007D7BBA">
      <w:pPr>
        <w:spacing w:after="120" w:line="288" w:lineRule="auto"/>
        <w:rPr>
          <w:sz w:val="24"/>
          <w:szCs w:val="24"/>
          <w:rFonts w:ascii="Century Gothic" w:hAnsi="Century Gothic" w:cs="Tahoma"/>
        </w:rPr>
      </w:pPr>
      <w:r>
        <w:rPr>
          <w:sz w:val="24"/>
          <w:szCs w:val="24"/>
          <w:rFonts w:ascii="Century Gothic" w:hAnsi="Century Gothic"/>
        </w:rPr>
        <w:t xml:space="preserve">P12</w:t>
      </w:r>
      <w:r>
        <w:rPr>
          <w:sz w:val="24"/>
          <w:szCs w:val="24"/>
          <w:rFonts w:ascii="Century Gothic" w:hAnsi="Century Gothic"/>
        </w:rPr>
        <w:t xml:space="preserve"> </w:t>
      </w:r>
      <w:r>
        <w:rPr>
          <w:sz w:val="24"/>
          <w:szCs w:val="24"/>
          <w:rFonts w:ascii="Century Gothic" w:hAnsi="Century Gothic"/>
        </w:rPr>
        <w:t xml:space="preserve">Esango zenidake nola izan den konfinamendu egun hauetan, duela hilabete bat baino </w:t>
      </w:r>
      <w:r>
        <w:rPr>
          <w:sz w:val="24"/>
          <w:szCs w:val="24"/>
          <w:b/>
          <w:bCs/>
          <w:rFonts w:ascii="Century Gothic" w:hAnsi="Century Gothic"/>
        </w:rPr>
        <w:t xml:space="preserve">gehiago, berdin edo gutxiago</w:t>
      </w:r>
      <w:r>
        <w:rPr>
          <w:sz w:val="24"/>
          <w:szCs w:val="24"/>
          <w:rFonts w:ascii="Century Gothic" w:hAnsi="Century Gothic"/>
        </w:rPr>
        <w:t xml:space="preserve"> egin duzun?</w:t>
      </w:r>
      <w:r>
        <w:rPr>
          <w:sz w:val="24"/>
          <w:szCs w:val="24"/>
          <w:rFonts w:ascii="Century Gothic" w:hAnsi="Century Gothic"/>
        </w:rPr>
        <w:t xml:space="preserve"> </w:t>
      </w:r>
      <w:r>
        <w:rPr>
          <w:sz w:val="24"/>
          <w:szCs w:val="24"/>
          <w:rFonts w:ascii="Century Gothic" w:hAnsi="Century Gothic"/>
        </w:rPr>
        <w:t xml:space="preserve">Itemen artean, hauek daude:</w:t>
      </w:r>
      <w:r>
        <w:rPr>
          <w:sz w:val="24"/>
          <w:szCs w:val="24"/>
          <w:rFonts w:ascii="Century Gothic" w:hAnsi="Century Gothic"/>
        </w:rPr>
        <w:t xml:space="preserve"> </w:t>
      </w:r>
      <w:r>
        <w:rPr>
          <w:sz w:val="24"/>
          <w:szCs w:val="24"/>
          <w:b/>
          <w:bCs/>
          <w:rFonts w:ascii="Century Gothic" w:hAnsi="Century Gothic"/>
        </w:rPr>
        <w:t xml:space="preserve">tabakoa, alkohola eta online jokoa.</w:t>
      </w:r>
    </w:p>
    <w:p w:rsidR="00D5439F" w:rsidRPr="007D7BBA" w:rsidRDefault="00D5439F" w:rsidP="007D7BBA">
      <w:pPr>
        <w:spacing w:after="120" w:line="288" w:lineRule="auto"/>
        <w:rPr>
          <w:sz w:val="24"/>
          <w:szCs w:val="24"/>
          <w:rFonts w:ascii="Century Gothic" w:hAnsi="Century Gothic" w:cs="Tahoma"/>
        </w:rPr>
      </w:pPr>
      <w:r>
        <w:rPr>
          <w:sz w:val="24"/>
          <w:szCs w:val="24"/>
          <w:rFonts w:ascii="Century Gothic" w:hAnsi="Century Gothic"/>
        </w:rPr>
        <w:t xml:space="preserve">(Online jokoaren definizioa oso zabala da, PC, mugikor edo kontsolen bidez egin daitekeen apustudun edo apusturik gabeko jokotzat har daiteke, eta lagunekin edo bakarka egin daitezkeen bideo-jokoak ere har ditzake, besteak beste.</w:t>
      </w:r>
    </w:p>
    <w:p w:rsidR="00D5439F" w:rsidRPr="007D7BBA" w:rsidRDefault="00D5439F" w:rsidP="007D7BBA">
      <w:pPr>
        <w:spacing w:after="0" w:line="288" w:lineRule="auto"/>
        <w:rPr>
          <w:sz w:val="24"/>
          <w:szCs w:val="24"/>
          <w:rFonts w:ascii="Century Gothic" w:hAnsi="Century Gothic" w:cs="Tahoma"/>
        </w:rPr>
      </w:pPr>
      <w:r>
        <w:rPr>
          <w:sz w:val="24"/>
          <w:szCs w:val="24"/>
          <w:rFonts w:ascii="Century Gothic" w:hAnsi="Century Gothic"/>
        </w:rPr>
        <w:t xml:space="preserve">Pertsonen % 15ek diote konfinamendu-aldian areagotu egin dutela </w:t>
      </w:r>
      <w:r>
        <w:rPr>
          <w:sz w:val="24"/>
          <w:szCs w:val="24"/>
          <w:b/>
          <w:bCs/>
          <w:rFonts w:ascii="Century Gothic" w:hAnsi="Century Gothic"/>
        </w:rPr>
        <w:t xml:space="preserve">online jokoa</w:t>
      </w:r>
      <w:r>
        <w:rPr>
          <w:sz w:val="24"/>
          <w:szCs w:val="24"/>
          <w:rFonts w:ascii="Century Gothic" w:hAnsi="Century Gothic"/>
        </w:rPr>
        <w:t xml:space="preserve">ren jokabidea, aurreko hilabetearekin alderatuta; inkestatuen % 63k, ordea, ez du horrelako jokabiderik izan.</w:t>
      </w:r>
      <w:r>
        <w:rPr>
          <w:sz w:val="24"/>
          <w:szCs w:val="24"/>
          <w:rFonts w:ascii="Century Gothic" w:hAnsi="Century Gothic"/>
        </w:rPr>
        <w:t xml:space="preserve"> </w:t>
      </w:r>
      <w:r>
        <w:rPr>
          <w:sz w:val="24"/>
          <w:szCs w:val="24"/>
          <w:rFonts w:ascii="Century Gothic" w:hAnsi="Century Gothic"/>
        </w:rPr>
        <w:t xml:space="preserve">Bestalde, online jokoari dagokionez, % 20k ez du jarrera aldatu.</w:t>
      </w:r>
      <w:r>
        <w:rPr>
          <w:sz w:val="24"/>
          <w:szCs w:val="24"/>
          <w:rFonts w:ascii="Century Gothic" w:hAnsi="Century Gothic"/>
        </w:rPr>
        <w:t xml:space="preserve"> </w:t>
      </w:r>
      <w:r>
        <w:rPr>
          <w:sz w:val="24"/>
          <w:szCs w:val="24"/>
          <w:rFonts w:ascii="Century Gothic" w:hAnsi="Century Gothic"/>
        </w:rPr>
        <w:t xml:space="preserve">Horrek esan nahi du inkestatutako biztanle gehienentzat konfinamenduak ez duela ekarri jokabide berri bati ekitea, baizik eta daudenak aldatzen lagundu duela, batez ere konfinamenduaren lehen asteetan, eta ez online jokoren bat egiten duten pertsona guztien kasuan.</w:t>
      </w:r>
      <w:r>
        <w:rPr>
          <w:sz w:val="24"/>
          <w:szCs w:val="24"/>
          <w:rFonts w:ascii="Century Gothic" w:hAnsi="Century Gothic"/>
        </w:rPr>
        <w:t xml:space="preserve"> </w:t>
      </w:r>
    </w:p>
    <w:p w:rsidR="00D5439F" w:rsidRPr="007D7BBA" w:rsidRDefault="00D5439F" w:rsidP="007D7BBA">
      <w:pPr>
        <w:tabs>
          <w:tab w:val="left" w:pos="1965"/>
        </w:tabs>
        <w:spacing w:line="288" w:lineRule="auto"/>
        <w:rPr>
          <w:sz w:val="24"/>
          <w:szCs w:val="24"/>
          <w:rFonts w:ascii="Century Gothic" w:hAnsi="Century Gothic" w:cs="Tahoma"/>
        </w:rPr>
      </w:pPr>
      <w:r>
        <w:rPr>
          <w:sz w:val="24"/>
          <w:szCs w:val="24"/>
          <w:rFonts w:ascii="Century Gothic" w:hAnsi="Century Gothic"/>
        </w:rPr>
        <w:t xml:space="preserve">Online jokoaren gorakada handienak 18 eta 30 urte bitarteko gazteen artean gertatu ziren (horien % 47,4), eta igoera hori egonkor mantendu da apirilean adin-talde horretan.</w:t>
      </w:r>
      <w:r>
        <w:rPr>
          <w:sz w:val="24"/>
          <w:szCs w:val="24"/>
          <w:rFonts w:ascii="Century Gothic" w:hAnsi="Century Gothic"/>
        </w:rPr>
        <w:t xml:space="preserve"> </w:t>
      </w:r>
    </w:p>
    <w:p w:rsidR="0094264C" w:rsidRDefault="00D5439F" w:rsidP="007D7BBA">
      <w:pPr>
        <w:spacing w:after="0" w:line="288" w:lineRule="auto"/>
        <w:rPr>
          <w:sz w:val="24"/>
          <w:szCs w:val="24"/>
          <w:rFonts w:ascii="Century Gothic" w:hAnsi="Century Gothic" w:cs="Tahoma"/>
        </w:rPr>
      </w:pPr>
      <w:r>
        <w:rPr>
          <w:sz w:val="24"/>
          <w:szCs w:val="24"/>
          <w:b/>
          <w:bCs/>
          <w:rFonts w:ascii="Century Gothic" w:hAnsi="Century Gothic"/>
        </w:rPr>
        <w:t xml:space="preserve">Alkohola</w:t>
      </w:r>
      <w:r>
        <w:rPr>
          <w:sz w:val="24"/>
          <w:szCs w:val="24"/>
          <w:rFonts w:ascii="Century Gothic" w:hAnsi="Century Gothic"/>
        </w:rPr>
        <w:t xml:space="preserve">ri dagokionez, konfinamenduak beherakada nabarmena ekarri du oro har, eta beherakada hori bolada guztietan ikusten da.</w:t>
      </w:r>
      <w:r>
        <w:rPr>
          <w:sz w:val="24"/>
          <w:szCs w:val="24"/>
          <w:rFonts w:ascii="Century Gothic" w:hAnsi="Century Gothic"/>
        </w:rPr>
        <w:t xml:space="preserve"> </w:t>
      </w:r>
      <w:r>
        <w:rPr>
          <w:sz w:val="24"/>
          <w:szCs w:val="24"/>
          <w:rFonts w:ascii="Century Gothic" w:hAnsi="Century Gothic"/>
        </w:rPr>
        <w:t xml:space="preserve">Bestalde, alkohol gehiago kontsumitu dutela diotenen proportzioa 30-45 urteko gazte helduen, familia-loturarik gabeko familien eta guraso bakarreko familien artean biltzen da.</w:t>
      </w:r>
      <w:r>
        <w:rPr>
          <w:sz w:val="24"/>
          <w:szCs w:val="24"/>
          <w:rFonts w:ascii="Century Gothic" w:hAnsi="Century Gothic"/>
        </w:rPr>
        <w:t xml:space="preserve"> </w:t>
      </w:r>
    </w:p>
    <w:p w:rsidR="00D5439F" w:rsidRPr="007D7BBA" w:rsidRDefault="00D5439F" w:rsidP="007D7BBA">
      <w:pPr>
        <w:spacing w:line="288" w:lineRule="auto"/>
        <w:rPr>
          <w:sz w:val="24"/>
          <w:szCs w:val="24"/>
          <w:rFonts w:ascii="Century Gothic" w:hAnsi="Century Gothic" w:cs="Tahoma"/>
        </w:rPr>
      </w:pPr>
      <w:r>
        <w:rPr>
          <w:sz w:val="24"/>
          <w:szCs w:val="24"/>
          <w:b/>
          <w:bCs/>
          <w:rFonts w:ascii="Century Gothic" w:hAnsi="Century Gothic"/>
        </w:rPr>
        <w:t xml:space="preserve">Tabakoa</w:t>
      </w:r>
      <w:r>
        <w:rPr>
          <w:sz w:val="24"/>
          <w:szCs w:val="24"/>
          <w:rFonts w:ascii="Century Gothic" w:hAnsi="Century Gothic"/>
        </w:rPr>
        <w:t xml:space="preserve">ren kontsumoari dagokionez, inkestatuen % 7,5ek adierazi du tabako gehiago kontsumitu duela. Igoera hori 30-45 urtekoen taldean kontzentratzen da, eta 18 eta 29 urte bitarteko gazteen artean kontsumoa murrizteko proportzio aipagarriagoak aurki daitezke.</w:t>
      </w:r>
    </w:p>
    <w:p w:rsidR="00D5439F" w:rsidRPr="007D7BBA" w:rsidRDefault="00D5439F" w:rsidP="007D7BBA">
      <w:pPr>
        <w:pStyle w:val="Prrafodelista"/>
        <w:numPr>
          <w:ilvl w:val="0"/>
          <w:numId w:val="7"/>
        </w:numPr>
        <w:spacing w:after="0" w:line="288" w:lineRule="auto"/>
        <w:jc w:val="both"/>
        <w:rPr>
          <w:b/>
          <w:color w:val="943634"/>
          <w:sz w:val="24"/>
          <w:szCs w:val="24"/>
          <w:rFonts w:ascii="Century Gothic" w:eastAsia="MS Mincho" w:hAnsi="Century Gothic" w:cs="Tahoma"/>
        </w:rPr>
      </w:pPr>
      <w:r>
        <w:rPr>
          <w:b/>
          <w:color w:val="943634"/>
          <w:sz w:val="24"/>
          <w:szCs w:val="24"/>
          <w:rFonts w:ascii="Century Gothic" w:hAnsi="Century Gothic"/>
        </w:rPr>
        <w:t xml:space="preserve">LARRIALDIETAKO ADIERAZLEA</w:t>
      </w:r>
    </w:p>
    <w:p w:rsidR="00D5439F" w:rsidRPr="007D7BBA" w:rsidRDefault="00D5439F" w:rsidP="007D7BBA">
      <w:pPr>
        <w:spacing w:line="288" w:lineRule="auto"/>
        <w:rPr>
          <w:sz w:val="24"/>
          <w:szCs w:val="24"/>
          <w:rFonts w:ascii="Century Gothic" w:hAnsi="Century Gothic" w:cs="Tahoma"/>
        </w:rPr>
      </w:pPr>
      <w:r>
        <w:rPr>
          <w:sz w:val="24"/>
          <w:szCs w:val="24"/>
          <w:rFonts w:ascii="Century Gothic" w:hAnsi="Century Gothic"/>
        </w:rPr>
        <w:t xml:space="preserve">Adierazleak substantziek eragindako intoxikazioen ondorioz ospitaleetako larrialdi-zerbitzuetan emandako arreta jasotzen du.</w:t>
      </w:r>
      <w:r>
        <w:rPr>
          <w:sz w:val="24"/>
          <w:szCs w:val="24"/>
          <w:rFonts w:ascii="Century Gothic" w:hAnsi="Century Gothic"/>
        </w:rPr>
        <w:t xml:space="preserve"> </w:t>
      </w:r>
      <w:r>
        <w:rPr>
          <w:sz w:val="24"/>
          <w:szCs w:val="24"/>
          <w:rFonts w:ascii="Century Gothic" w:hAnsi="Century Gothic"/>
        </w:rPr>
        <w:t xml:space="preserve">Protokoloa eta hilabete bakoitzeko larrialdietako asteak ausaz ezartzen ditu Drogei buruzko Plan Nazionalak autonomia-erkidego guztientzat (1987tik abian da, eta Nafarroa 2012an hasi da adierazle hori biltzen).</w:t>
      </w:r>
    </w:p>
    <w:p w:rsidR="0094264C" w:rsidRDefault="00D5439F" w:rsidP="007D7BBA">
      <w:pPr>
        <w:spacing w:line="288" w:lineRule="auto"/>
        <w:rPr>
          <w:sz w:val="24"/>
          <w:szCs w:val="24"/>
          <w:rFonts w:ascii="Century Gothic" w:hAnsi="Century Gothic" w:cs="Tahoma"/>
        </w:rPr>
      </w:pPr>
      <w:r>
        <w:rPr>
          <w:sz w:val="24"/>
          <w:szCs w:val="24"/>
          <w:rFonts w:ascii="Century Gothic" w:hAnsi="Century Gothic"/>
        </w:rPr>
        <w:t xml:space="preserve">2019ko apirileko astea eta 2020koa alderatuz gero, larrialdietako arreta nabarmen murriztu dela ikus daiteke: ospitaleetako larrialdi-zerbitzuetan 25 pertsona artatu ziren 2019ko apirilaren 13tik 19ra bitarteko astean, eta 2020ko apirilaren 15etik 21era bitarteko astean, berriz, 4 pertsona artatu dira guztira.</w:t>
      </w:r>
      <w:r>
        <w:rPr>
          <w:sz w:val="24"/>
          <w:szCs w:val="24"/>
          <w:rFonts w:ascii="Century Gothic" w:hAnsi="Century Gothic"/>
        </w:rPr>
        <w:t xml:space="preserve"> </w:t>
      </w:r>
    </w:p>
    <w:p w:rsidR="00D5439F" w:rsidRPr="007D7BBA" w:rsidRDefault="00D5439F" w:rsidP="007D7BBA">
      <w:pPr>
        <w:pStyle w:val="Prrafodelista"/>
        <w:numPr>
          <w:ilvl w:val="0"/>
          <w:numId w:val="7"/>
        </w:numPr>
        <w:spacing w:after="0" w:line="288" w:lineRule="auto"/>
        <w:jc w:val="both"/>
        <w:rPr>
          <w:b/>
          <w:color w:val="943634"/>
          <w:sz w:val="24"/>
          <w:szCs w:val="24"/>
          <w:rFonts w:ascii="Century Gothic" w:eastAsia="MS Mincho" w:hAnsi="Century Gothic" w:cs="Tahoma"/>
        </w:rPr>
      </w:pPr>
      <w:r>
        <w:rPr>
          <w:b/>
          <w:color w:val="943634"/>
          <w:sz w:val="24"/>
          <w:szCs w:val="24"/>
          <w:rFonts w:ascii="Century Gothic" w:hAnsi="Century Gothic"/>
        </w:rPr>
        <w:t xml:space="preserve">NAFARROAKO GAZTERIAREN INSTITUTUAREN KONFINAMENDUARI BURUZKO AZTERLANA</w:t>
      </w:r>
    </w:p>
    <w:p w:rsidR="00D5439F" w:rsidRPr="007D7BBA" w:rsidRDefault="00D5439F" w:rsidP="007D7BBA">
      <w:pPr>
        <w:spacing w:line="288" w:lineRule="auto"/>
        <w:rPr>
          <w:sz w:val="24"/>
          <w:szCs w:val="24"/>
          <w:rFonts w:ascii="Century Gothic" w:hAnsi="Century Gothic" w:cs="Tahoma"/>
        </w:rPr>
      </w:pPr>
      <w:r>
        <w:rPr>
          <w:sz w:val="24"/>
          <w:szCs w:val="24"/>
          <w:rFonts w:ascii="Century Gothic" w:hAnsi="Century Gothic"/>
        </w:rPr>
        <w:t xml:space="preserve">Azterlan horretan aisiarekin lotutako zenbait jardueraren inguruan galdetu zen, horien maiztasuna handitu egin baita, eta gazte gehienek diote horrelako jarduera gehiago egiten dituztela konfinamenduaren aurretik baino.</w:t>
      </w:r>
      <w:r>
        <w:rPr>
          <w:sz w:val="24"/>
          <w:szCs w:val="24"/>
          <w:rFonts w:ascii="Century Gothic" w:hAnsi="Century Gothic"/>
        </w:rPr>
        <w:t xml:space="preserve"> </w:t>
      </w:r>
      <w:r>
        <w:rPr>
          <w:sz w:val="24"/>
          <w:szCs w:val="24"/>
          <w:rFonts w:ascii="Century Gothic" w:hAnsi="Century Gothic"/>
        </w:rPr>
        <w:t xml:space="preserve">Filmak edo telesailak ikustea, lagunekin edo senideekin hitz egitea edo txateatzea, musika entzutea eta bideojokoekin jolastea dira jarduera horiek.</w:t>
      </w:r>
      <w:r>
        <w:rPr>
          <w:sz w:val="24"/>
          <w:szCs w:val="24"/>
          <w:rFonts w:ascii="Century Gothic" w:hAnsi="Century Gothic"/>
        </w:rPr>
        <w:t xml:space="preserve"> </w:t>
      </w:r>
      <w:r>
        <w:rPr>
          <w:sz w:val="24"/>
          <w:szCs w:val="24"/>
          <w:rFonts w:ascii="Century Gothic" w:hAnsi="Century Gothic"/>
        </w:rPr>
        <w:t xml:space="preserve">Gainerako aisialdi-jardueretan, ia eutsi egin zaio konfinamenduaren aurreko jarduera-mailari.</w:t>
      </w:r>
    </w:p>
    <w:p w:rsidR="0094264C" w:rsidRDefault="00D5439F" w:rsidP="007D7BBA">
      <w:pPr>
        <w:autoSpaceDE w:val="0"/>
        <w:autoSpaceDN w:val="0"/>
        <w:adjustRightInd w:val="0"/>
        <w:spacing w:after="0" w:line="288" w:lineRule="auto"/>
        <w:rPr>
          <w:sz w:val="24"/>
          <w:szCs w:val="24"/>
          <w:rFonts w:ascii="Century Gothic" w:hAnsi="Century Gothic" w:cs="Tahoma"/>
        </w:rPr>
      </w:pPr>
      <w:r>
        <w:rPr>
          <w:sz w:val="24"/>
          <w:szCs w:val="24"/>
          <w:rFonts w:ascii="Century Gothic" w:hAnsi="Century Gothic"/>
        </w:rPr>
        <w:t xml:space="preserve">"Ordenagailuarekin, kontsolekin edo mugikorrarekin jolastea": mutilen % 70ek eta nesken % 56,5ek gehiago jokatu dute (% 61,8 bi sexuetan).</w:t>
      </w:r>
      <w:r>
        <w:rPr>
          <w:sz w:val="24"/>
          <w:szCs w:val="24"/>
          <w:rFonts w:ascii="Century Gothic" w:hAnsi="Century Gothic"/>
        </w:rPr>
        <w:t xml:space="preserve"> </w:t>
      </w:r>
    </w:p>
    <w:p w:rsidR="00D5439F" w:rsidRPr="007D7BBA" w:rsidRDefault="00D5439F" w:rsidP="007D7BBA">
      <w:pPr>
        <w:pStyle w:val="Prrafodelista"/>
        <w:numPr>
          <w:ilvl w:val="0"/>
          <w:numId w:val="7"/>
        </w:numPr>
        <w:spacing w:line="288" w:lineRule="auto"/>
        <w:jc w:val="both"/>
        <w:rPr>
          <w:b/>
          <w:color w:val="943634"/>
          <w:sz w:val="24"/>
          <w:szCs w:val="24"/>
          <w:rFonts w:ascii="Century Gothic" w:eastAsia="MS Mincho" w:hAnsi="Century Gothic" w:cs="Tahoma"/>
        </w:rPr>
      </w:pPr>
      <w:r>
        <w:rPr>
          <w:b/>
          <w:color w:val="943634"/>
          <w:sz w:val="24"/>
          <w:szCs w:val="24"/>
          <w:rFonts w:ascii="Century Gothic" w:hAnsi="Century Gothic"/>
        </w:rPr>
        <w:t xml:space="preserve">Konfinamendu-aldian azterlanen eta ikerketen jarraipena egitea</w:t>
      </w:r>
    </w:p>
    <w:p w:rsidR="00D5439F" w:rsidRPr="007D7BBA" w:rsidRDefault="00D5439F" w:rsidP="007D7BBA">
      <w:pPr>
        <w:spacing w:line="288" w:lineRule="auto"/>
        <w:rPr>
          <w:sz w:val="24"/>
          <w:szCs w:val="24"/>
          <w:rFonts w:ascii="Century Gothic" w:hAnsi="Century Gothic" w:cs="Tahoma"/>
        </w:rPr>
      </w:pPr>
      <w:r>
        <w:rPr>
          <w:sz w:val="24"/>
          <w:szCs w:val="24"/>
          <w:rFonts w:ascii="Century Gothic" w:hAnsi="Century Gothic"/>
        </w:rPr>
        <w:t xml:space="preserve">Azkenik, esan behar da konfinamenduaren hasieratik beste erakunde batzuk estatu eta Europa mailan hasitako azterlanen jarraipena egiten ari dela:</w:t>
      </w:r>
    </w:p>
    <w:p w:rsidR="00D5439F" w:rsidRPr="007D7BBA" w:rsidRDefault="00D5439F" w:rsidP="007D7BBA">
      <w:pPr>
        <w:spacing w:line="288" w:lineRule="auto"/>
        <w:rPr>
          <w:sz w:val="24"/>
          <w:szCs w:val="24"/>
          <w:rFonts w:ascii="Century Gothic" w:hAnsi="Century Gothic" w:cs="Tahoma"/>
        </w:rPr>
      </w:pPr>
      <w:r>
        <w:rPr>
          <w:sz w:val="24"/>
          <w:szCs w:val="24"/>
          <w:color w:val="943634"/>
          <w:b/>
          <w:rFonts w:ascii="Century Gothic" w:hAnsi="Century Gothic"/>
        </w:rPr>
        <w:t xml:space="preserve">Drogen eta Toxikomanien Europako Behatokiak (DTEB)</w:t>
      </w:r>
      <w:r>
        <w:rPr>
          <w:sz w:val="24"/>
          <w:szCs w:val="24"/>
          <w:rFonts w:ascii="Century Gothic" w:hAnsi="Century Gothic"/>
        </w:rPr>
        <w:t xml:space="preserve"> gune berri bat sortu du bere webgunean, COVID-19aren hasieratik berariazko datuak argitaratzeko.</w:t>
      </w:r>
      <w:r>
        <w:rPr>
          <w:sz w:val="24"/>
          <w:szCs w:val="24"/>
          <w:rFonts w:ascii="Century Gothic" w:hAnsi="Century Gothic"/>
        </w:rPr>
        <w:t xml:space="preserve">  </w:t>
      </w:r>
      <w:r>
        <w:rPr>
          <w:sz w:val="24"/>
          <w:szCs w:val="24"/>
          <w:rFonts w:ascii="Century Gothic" w:hAnsi="Century Gothic"/>
        </w:rPr>
        <w:t xml:space="preserve">DTEBk egungo egoera ikertzeko metodo mistoen joeren azterketa bultzatu zuen.</w:t>
      </w:r>
      <w:r>
        <w:rPr>
          <w:sz w:val="24"/>
          <w:szCs w:val="24"/>
          <w:rFonts w:ascii="Century Gothic" w:hAnsi="Century Gothic"/>
        </w:rPr>
        <w:t xml:space="preserve"> </w:t>
      </w:r>
      <w:r>
        <w:rPr>
          <w:sz w:val="24"/>
          <w:szCs w:val="24"/>
          <w:rFonts w:ascii="Century Gothic" w:hAnsi="Century Gothic"/>
        </w:rPr>
        <w:t xml:space="preserve">18 urte edo gehiagoko biztanleen 10.000 inkesta/erantzun jaso zituen.</w:t>
      </w:r>
      <w:r>
        <w:rPr>
          <w:sz w:val="24"/>
          <w:szCs w:val="24"/>
          <w:rFonts w:ascii="Century Gothic" w:hAnsi="Century Gothic"/>
        </w:rPr>
        <w:t xml:space="preserve"> </w:t>
      </w:r>
    </w:p>
    <w:p w:rsidR="00D5439F" w:rsidRPr="007D7BBA" w:rsidRDefault="00D5439F" w:rsidP="007D7BBA">
      <w:pPr>
        <w:spacing w:line="288" w:lineRule="auto"/>
        <w:rPr>
          <w:sz w:val="24"/>
          <w:szCs w:val="24"/>
          <w:rFonts w:ascii="Century Gothic" w:hAnsi="Century Gothic" w:cs="Tahoma"/>
        </w:rPr>
      </w:pPr>
      <w:r>
        <w:rPr>
          <w:sz w:val="24"/>
          <w:szCs w:val="24"/>
          <w:rFonts w:ascii="Century Gothic" w:hAnsi="Century Gothic"/>
        </w:rPr>
        <w:t xml:space="preserve">Atariko emaitzek iradokitzen dute pandemiaren lehen hiru hilabeteetan Europan oro har behera egin dutela drogen erabilerak edo drogen erabilera mota batzuek.</w:t>
      </w:r>
      <w:r>
        <w:rPr>
          <w:sz w:val="24"/>
          <w:szCs w:val="24"/>
          <w:rFonts w:ascii="Century Gothic" w:hAnsi="Century Gothic"/>
        </w:rPr>
        <w:t xml:space="preserve"> </w:t>
      </w:r>
      <w:r>
        <w:rPr>
          <w:sz w:val="24"/>
          <w:szCs w:val="24"/>
          <w:rFonts w:ascii="Century Gothic" w:hAnsi="Century Gothic"/>
        </w:rPr>
        <w:t xml:space="preserve">Hori azal lezakeen faktoreen artean honako hauek daude: konfinamendurako neurri nazionalak, ingurune sozialetan drogak kontsumitzeko aukerak murriztu dituztenak, eta droga-merkatuak etetea.</w:t>
      </w:r>
    </w:p>
    <w:p w:rsidR="0094264C" w:rsidRDefault="00D5439F" w:rsidP="007D7BBA">
      <w:pPr>
        <w:spacing w:after="0" w:line="288" w:lineRule="auto"/>
        <w:rPr>
          <w:sz w:val="24"/>
          <w:szCs w:val="24"/>
          <w:rFonts w:ascii="Century Gothic" w:hAnsi="Century Gothic" w:cs="Tahoma"/>
        </w:rPr>
      </w:pPr>
      <w:r>
        <w:rPr>
          <w:sz w:val="24"/>
          <w:szCs w:val="24"/>
          <w:b/>
          <w:color w:val="943634"/>
          <w:rFonts w:ascii="Century Gothic" w:hAnsi="Century Gothic"/>
        </w:rPr>
        <w:t xml:space="preserve">Beste azterlan eta informazio batzuk:</w:t>
      </w:r>
      <w:r>
        <w:rPr>
          <w:sz w:val="24"/>
          <w:szCs w:val="24"/>
          <w:rFonts w:ascii="Century Gothic" w:hAnsi="Century Gothic"/>
        </w:rPr>
        <w:t xml:space="preserve"> konfinamenduan zehar egindako inkesten eta/edo ikerketen bilketa jarraitua, osasunari eta ongizateari buruzko ikuspegi zabalagoarekin (argitaratuta edo argitaratzeke).</w:t>
      </w:r>
    </w:p>
    <w:p w:rsidR="00D5439F" w:rsidRPr="007D7BBA" w:rsidRDefault="00D5439F" w:rsidP="007D7BBA">
      <w:pPr>
        <w:spacing w:line="288" w:lineRule="auto"/>
        <w:rPr>
          <w:sz w:val="24"/>
          <w:szCs w:val="24"/>
          <w:rFonts w:ascii="Century Gothic" w:hAnsi="Century Gothic" w:cs="Tahoma"/>
        </w:rPr>
      </w:pPr>
      <w:r>
        <w:rPr>
          <w:sz w:val="24"/>
          <w:szCs w:val="24"/>
          <w:b/>
          <w:rFonts w:ascii="Century Gothic" w:hAnsi="Century Gothic"/>
        </w:rPr>
        <w:t xml:space="preserve">2.</w:t>
      </w:r>
      <w:r>
        <w:rPr>
          <w:sz w:val="24"/>
          <w:szCs w:val="24"/>
          <w:b/>
          <w:rFonts w:ascii="Century Gothic" w:hAnsi="Century Gothic"/>
        </w:rPr>
        <w:t xml:space="preserve"> </w:t>
      </w:r>
      <w:r>
        <w:rPr>
          <w:sz w:val="24"/>
          <w:szCs w:val="24"/>
          <w:rFonts w:ascii="Century Gothic" w:hAnsi="Century Gothic"/>
        </w:rPr>
        <w:t xml:space="preserve">Halakorik ez badauka, ba al du asmorik azterlanik egiteko?</w:t>
      </w:r>
    </w:p>
    <w:p w:rsidR="00D5439F" w:rsidRPr="007D7BBA" w:rsidRDefault="00D5439F" w:rsidP="007D7BBA">
      <w:pPr>
        <w:spacing w:line="288" w:lineRule="auto"/>
        <w:rPr>
          <w:sz w:val="24"/>
          <w:szCs w:val="24"/>
          <w:rFonts w:ascii="Century Gothic" w:hAnsi="Century Gothic" w:cs="Tahoma"/>
        </w:rPr>
      </w:pPr>
      <w:r>
        <w:rPr>
          <w:sz w:val="24"/>
          <w:szCs w:val="24"/>
          <w:i/>
          <w:iCs/>
          <w:rFonts w:ascii="Century Gothic" w:hAnsi="Century Gothic"/>
        </w:rPr>
        <w:t xml:space="preserve">Drogei eta Adikzioei Aurrea Hartzeko III. Plan</w:t>
      </w:r>
      <w:r>
        <w:rPr>
          <w:sz w:val="24"/>
          <w:szCs w:val="24"/>
          <w:rFonts w:ascii="Century Gothic" w:hAnsi="Century Gothic"/>
        </w:rPr>
        <w:t xml:space="preserve">aren printzipioetako bat da gomendioak eta esku-hartzeak ebidentzian eta egindako ikerketen emaitzetan oinarritzea.</w:t>
      </w:r>
      <w:r>
        <w:rPr>
          <w:sz w:val="24"/>
          <w:szCs w:val="24"/>
          <w:rFonts w:ascii="Century Gothic" w:hAnsi="Century Gothic"/>
        </w:rPr>
        <w:t xml:space="preserve"> </w:t>
      </w:r>
      <w:r>
        <w:rPr>
          <w:sz w:val="24"/>
          <w:szCs w:val="24"/>
          <w:rFonts w:ascii="Century Gothic" w:hAnsi="Century Gothic"/>
        </w:rPr>
        <w:t xml:space="preserve">Gure errealitatea ezagutzeko eta adingabeekin, nerabeekin eta gazteekin lan egiten duten profesionalen beharrei erantzuteko ikerketak.</w:t>
      </w:r>
      <w:r>
        <w:rPr>
          <w:sz w:val="24"/>
          <w:szCs w:val="24"/>
          <w:rFonts w:ascii="Century Gothic" w:hAnsi="Century Gothic"/>
        </w:rPr>
        <w:t xml:space="preserve"> </w:t>
      </w:r>
      <w:r>
        <w:rPr>
          <w:sz w:val="24"/>
          <w:szCs w:val="24"/>
          <w:rFonts w:ascii="Century Gothic" w:hAnsi="Century Gothic"/>
        </w:rPr>
        <w:t xml:space="preserve">Horien bidez eskuratutako ezagutza berriari esker, substantziadun eta substantziarik gabeko adikzioen prebentzioan aritzen diren profesionalak gaitu ahal izanen dira.</w:t>
      </w:r>
      <w:r>
        <w:rPr>
          <w:sz w:val="24"/>
          <w:szCs w:val="24"/>
          <w:rFonts w:ascii="Century Gothic" w:hAnsi="Century Gothic"/>
        </w:rPr>
        <w:t xml:space="preserve"> </w:t>
      </w:r>
    </w:p>
    <w:p w:rsidR="0094264C" w:rsidRDefault="00D5439F" w:rsidP="007D7BBA">
      <w:pPr>
        <w:pStyle w:val="Prrafodelista"/>
        <w:spacing w:after="0" w:line="288" w:lineRule="auto"/>
        <w:ind w:left="0"/>
        <w:jc w:val="both"/>
        <w:rPr>
          <w:sz w:val="24"/>
          <w:szCs w:val="24"/>
          <w:rFonts w:ascii="Century Gothic" w:hAnsi="Century Gothic" w:cs="Tahoma"/>
        </w:rPr>
      </w:pPr>
      <w:r>
        <w:rPr>
          <w:sz w:val="24"/>
          <w:szCs w:val="24"/>
          <w:rFonts w:ascii="Century Gothic" w:hAnsi="Century Gothic"/>
        </w:rPr>
        <w:t xml:space="preserve">Ildo horretan, 2018. urtean, </w:t>
      </w:r>
      <w:r>
        <w:rPr>
          <w:sz w:val="24"/>
          <w:szCs w:val="24"/>
          <w:b/>
          <w:bCs/>
          <w:color w:val="963634"/>
          <w:rFonts w:ascii="Century Gothic" w:hAnsi="Century Gothic"/>
        </w:rPr>
        <w:t xml:space="preserve">Drogei eta Adikzioei buruzko Plan Nazionalak nazio-mailan egindako inkestetan</w:t>
      </w:r>
      <w:r>
        <w:rPr>
          <w:sz w:val="24"/>
          <w:szCs w:val="24"/>
          <w:rFonts w:ascii="Century Gothic" w:hAnsi="Century Gothic"/>
        </w:rPr>
        <w:t xml:space="preserve"> laginen kopurua handitzen hasi zen, eta horrek aukera eman zuen, alde batetik, emaitzen estatistika- eta fidagarritasun-indar handiagoa izateko, eta, bestetik, bi urtetik behin</w:t>
      </w:r>
      <w:r w:rsidRPr="007D7BBA">
        <w:rPr>
          <w:rStyle w:val="Refdenotaalpie"/>
          <w:rFonts w:ascii="Century Gothic" w:hAnsi="Century Gothic" w:cs="Tahoma"/>
          <w:sz w:val="24"/>
          <w:szCs w:val="24"/>
          <w:lang w:eastAsia="ja-JP"/>
        </w:rPr>
        <w:footnoteReference w:id="1"/>
      </w:r>
      <w:r>
        <w:rPr>
          <w:sz w:val="24"/>
          <w:szCs w:val="24"/>
          <w:rFonts w:ascii="Century Gothic" w:hAnsi="Century Gothic"/>
        </w:rPr>
        <w:t xml:space="preserve">, gehikuntzen bilakaerari buruzko aldizkako informazioa edukitzeko: </w:t>
      </w:r>
      <w:r>
        <w:rPr>
          <w:sz w:val="24"/>
          <w:szCs w:val="24"/>
          <w:rFonts w:ascii="Century Gothic" w:hAnsi="Century Gothic"/>
        </w:rPr>
        <w:t xml:space="preserve"> </w:t>
      </w:r>
    </w:p>
    <w:p w:rsidR="0094264C" w:rsidRDefault="00D5439F" w:rsidP="007D7BBA">
      <w:pPr>
        <w:pStyle w:val="Prrafodelista"/>
        <w:numPr>
          <w:ilvl w:val="0"/>
          <w:numId w:val="10"/>
        </w:numPr>
        <w:spacing w:after="0" w:line="288" w:lineRule="auto"/>
        <w:jc w:val="both"/>
        <w:rPr>
          <w:sz w:val="24"/>
          <w:szCs w:val="24"/>
          <w:rFonts w:ascii="Century Gothic" w:hAnsi="Century Gothic"/>
        </w:rPr>
      </w:pPr>
      <w:r>
        <w:rPr>
          <w:sz w:val="24"/>
          <w:szCs w:val="24"/>
          <w:rFonts w:ascii="Century Gothic" w:hAnsi="Century Gothic"/>
        </w:rPr>
        <w:t xml:space="preserve">Espainiako Bigarren Hezkuntzako Drogen Erabilerari buruzko Inkestak (ESTUDES), 14 eta 18 urte bitarteko biztanleei zuzendutakoak, honako alderdi hauekin lotutako galderak biltzen ditu: a) tabakoaren, alkoholaren, kalamuaren eta beste substantzia batzuen kontsumoak; tabakoaren kasuan kontsumitzeko modu berriak (zigarro elektronikoak) eta b) IKTen erabilera/abusua, diruarekin egindako jokoaren prebalentzia (online eta aurrez aurrekoa), bideojokoen-eSporten eta Interneten prebalentzia (edukiak).</w:t>
      </w:r>
      <w:r>
        <w:rPr>
          <w:sz w:val="24"/>
          <w:szCs w:val="24"/>
          <w:rFonts w:ascii="Century Gothic" w:hAnsi="Century Gothic"/>
        </w:rPr>
        <w:t xml:space="preserve"> </w:t>
      </w:r>
    </w:p>
    <w:p w:rsidR="00D5439F" w:rsidRPr="007D7BBA" w:rsidRDefault="00D5439F" w:rsidP="007D7BBA">
      <w:pPr>
        <w:pStyle w:val="Prrafodelista"/>
        <w:spacing w:after="0" w:line="288" w:lineRule="auto"/>
        <w:jc w:val="both"/>
        <w:rPr>
          <w:color w:val="943634"/>
          <w:sz w:val="24"/>
          <w:szCs w:val="24"/>
          <w:rFonts w:ascii="Century Gothic" w:hAnsi="Century Gothic"/>
        </w:rPr>
      </w:pPr>
      <w:r>
        <w:rPr>
          <w:sz w:val="24"/>
          <w:szCs w:val="24"/>
          <w:rFonts w:ascii="Century Gothic" w:hAnsi="Century Gothic"/>
        </w:rPr>
        <w:t xml:space="preserve">1. taula</w:t>
      </w:r>
      <w:r>
        <w:rPr>
          <w:sz w:val="24"/>
          <w:szCs w:val="24"/>
          <w:rFonts w:ascii="Century Gothic" w:hAnsi="Century Gothic"/>
        </w:rPr>
        <w:t xml:space="preserve"> </w:t>
      </w:r>
      <w:r>
        <w:rPr>
          <w:sz w:val="24"/>
          <w:szCs w:val="24"/>
          <w:color w:val="943634"/>
          <w:rFonts w:ascii="Century Gothic" w:hAnsi="Century Gothic"/>
        </w:rPr>
        <w:t xml:space="preserve">ESTUDES lagina handituz/handitu gabe dagoen aldea, 2018. urtea</w:t>
      </w:r>
      <w:r>
        <w:rPr>
          <w:sz w:val="24"/>
          <w:szCs w:val="24"/>
          <w:color w:val="943634"/>
          <w:rFonts w:ascii="Century Gothic" w:hAnsi="Century Gothic"/>
        </w:rPr>
        <w:t xml:space="preserve"> </w:t>
      </w:r>
    </w:p>
    <w:tbl>
      <w:tblPr>
        <w:tblpPr w:leftFromText="141" w:rightFromText="141" w:vertAnchor="text" w:horzAnchor="margin" w:tblpXSpec="center" w:tblpY="34"/>
        <w:tblW w:w="7283" w:type="dxa"/>
        <w:tblInd w:w="708" w:type="dxa"/>
        <w:tblCellMar>
          <w:left w:w="70" w:type="dxa"/>
          <w:right w:w="70" w:type="dxa"/>
        </w:tblCellMar>
        <w:tblLook w:val="00A0" w:firstRow="1" w:lastRow="0" w:firstColumn="1" w:lastColumn="0" w:noHBand="0" w:noVBand="0"/>
      </w:tblPr>
      <w:tblGrid>
        <w:gridCol w:w="1709"/>
        <w:gridCol w:w="2324"/>
        <w:gridCol w:w="1639"/>
        <w:gridCol w:w="1611"/>
      </w:tblGrid>
      <w:tr w:rsidR="00D5439F" w:rsidRPr="007D7BBA" w:rsidTr="00BC628A">
        <w:trPr>
          <w:trHeight w:val="300"/>
        </w:trPr>
        <w:tc>
          <w:tcPr>
            <w:tcW w:w="170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Lagina...</w:t>
            </w:r>
          </w:p>
        </w:tc>
        <w:tc>
          <w:tcPr>
            <w:tcW w:w="2324"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Handitu gabe</w:t>
            </w:r>
          </w:p>
        </w:tc>
        <w:tc>
          <w:tcPr>
            <w:tcW w:w="163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Handituta</w:t>
            </w:r>
          </w:p>
        </w:tc>
        <w:tc>
          <w:tcPr>
            <w:tcW w:w="1611"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Guztira</w:t>
            </w:r>
          </w:p>
        </w:tc>
      </w:tr>
      <w:tr w:rsidR="00D5439F" w:rsidRPr="007D7BBA" w:rsidTr="00BC628A">
        <w:trPr>
          <w:trHeight w:val="315"/>
        </w:trPr>
        <w:tc>
          <w:tcPr>
            <w:tcW w:w="1709"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Elkarrizketak</w:t>
            </w:r>
          </w:p>
        </w:tc>
        <w:tc>
          <w:tcPr>
            <w:tcW w:w="2324"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680 (% 3,8ko akatsa)</w:t>
            </w:r>
          </w:p>
        </w:tc>
        <w:tc>
          <w:tcPr>
            <w:tcW w:w="1639"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1360</w:t>
            </w:r>
          </w:p>
        </w:tc>
        <w:tc>
          <w:tcPr>
            <w:tcW w:w="1611" w:type="dxa"/>
            <w:tcBorders>
              <w:top w:val="single" w:sz="4" w:space="0" w:color="C0504D"/>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2040</w:t>
            </w:r>
            <w:r>
              <w:rPr>
                <w:color w:val="963634"/>
                <w:sz w:val="24"/>
                <w:szCs w:val="24"/>
                <w:rFonts w:ascii="Century Gothic" w:hAnsi="Century Gothic"/>
              </w:rPr>
              <w:t xml:space="preserve"> </w:t>
            </w:r>
          </w:p>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 2,1eko akatsa)</w:t>
            </w:r>
          </w:p>
        </w:tc>
      </w:tr>
      <w:tr w:rsidR="00D5439F" w:rsidRPr="007D7BBA" w:rsidTr="00BC628A">
        <w:trPr>
          <w:trHeight w:val="300"/>
        </w:trPr>
        <w:tc>
          <w:tcPr>
            <w:tcW w:w="1709"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Puntuazioa</w:t>
            </w:r>
          </w:p>
        </w:tc>
        <w:tc>
          <w:tcPr>
            <w:tcW w:w="2324"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17</w:t>
            </w:r>
          </w:p>
        </w:tc>
        <w:tc>
          <w:tcPr>
            <w:tcW w:w="1639"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34</w:t>
            </w:r>
          </w:p>
        </w:tc>
        <w:tc>
          <w:tcPr>
            <w:tcW w:w="1611" w:type="dxa"/>
            <w:tcBorders>
              <w:top w:val="single" w:sz="4" w:space="0" w:color="auto"/>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51</w:t>
            </w:r>
          </w:p>
        </w:tc>
      </w:tr>
    </w:tbl>
    <w:p w:rsidR="00D5439F" w:rsidRPr="007D7BBA" w:rsidRDefault="00D5439F" w:rsidP="007D7BBA">
      <w:pPr>
        <w:pStyle w:val="Prrafodelista"/>
        <w:spacing w:line="288" w:lineRule="auto"/>
        <w:jc w:val="both"/>
        <w:rPr>
          <w:rFonts w:ascii="Century Gothic" w:hAnsi="Century Gothic" w:cs="Tahoma"/>
          <w:noProof/>
          <w:sz w:val="24"/>
          <w:szCs w:val="24"/>
          <w:lang w:val="es-ES_tradnl" w:eastAsia="es-ES"/>
        </w:rPr>
      </w:pPr>
    </w:p>
    <w:p w:rsidR="0094264C" w:rsidRDefault="00D5439F" w:rsidP="007D7BBA">
      <w:pPr>
        <w:pStyle w:val="Prrafodelista"/>
        <w:numPr>
          <w:ilvl w:val="0"/>
          <w:numId w:val="10"/>
        </w:numPr>
        <w:spacing w:line="288" w:lineRule="auto"/>
        <w:jc w:val="both"/>
        <w:rPr>
          <w:noProof/>
          <w:sz w:val="24"/>
          <w:szCs w:val="24"/>
          <w:rFonts w:ascii="Century Gothic" w:hAnsi="Century Gothic" w:cs="Tahoma"/>
        </w:rPr>
      </w:pPr>
      <w:r>
        <w:rPr>
          <w:sz w:val="24"/>
          <w:szCs w:val="24"/>
          <w:rFonts w:ascii="Century Gothic" w:hAnsi="Century Gothic"/>
        </w:rPr>
        <w:t xml:space="preserve">Alkoholari eta beste droga batzuei buruzko Espainiako Inkesta (EDADES), 15 eta 64 urte bitartekoei egina.</w:t>
      </w:r>
      <w:r>
        <w:rPr>
          <w:sz w:val="24"/>
          <w:szCs w:val="24"/>
          <w:rFonts w:ascii="Century Gothic" w:hAnsi="Century Gothic"/>
        </w:rPr>
        <w:t xml:space="preserve"> </w:t>
      </w:r>
      <w:r>
        <w:rPr>
          <w:sz w:val="24"/>
          <w:szCs w:val="24"/>
          <w:rFonts w:ascii="Century Gothic" w:hAnsi="Century Gothic"/>
        </w:rPr>
        <w:t xml:space="preserve">Honako hauek detektatzeko aukera ematen du: joko problematikoa, online eta aurrez aurreko diruarekin egindako jokoaren prebalentziak, kalamu-kontsumoaren kontsumitzaile problematikoen profila, Interneten erabilera konpultsiboa.</w:t>
      </w:r>
      <w:r>
        <w:rPr>
          <w:sz w:val="24"/>
          <w:szCs w:val="24"/>
          <w:rFonts w:ascii="Century Gothic" w:hAnsi="Century Gothic"/>
        </w:rPr>
        <w:t xml:space="preserve"> </w:t>
      </w:r>
    </w:p>
    <w:p w:rsidR="00D5439F" w:rsidRPr="007D7BBA" w:rsidRDefault="00D5439F" w:rsidP="007D7BBA">
      <w:pPr>
        <w:pStyle w:val="Prrafodelista"/>
        <w:spacing w:after="0" w:line="288" w:lineRule="auto"/>
        <w:jc w:val="both"/>
        <w:rPr>
          <w:color w:val="943634"/>
          <w:sz w:val="24"/>
          <w:szCs w:val="24"/>
          <w:rFonts w:ascii="Century Gothic" w:hAnsi="Century Gothic"/>
        </w:rPr>
      </w:pPr>
      <w:r>
        <w:rPr>
          <w:sz w:val="24"/>
          <w:szCs w:val="24"/>
          <w:rFonts w:ascii="Century Gothic" w:hAnsi="Century Gothic"/>
        </w:rPr>
        <w:t xml:space="preserve">2. taula</w:t>
      </w:r>
      <w:r>
        <w:rPr>
          <w:sz w:val="24"/>
          <w:szCs w:val="24"/>
          <w:rFonts w:ascii="Century Gothic" w:hAnsi="Century Gothic"/>
        </w:rPr>
        <w:t xml:space="preserve"> </w:t>
      </w:r>
      <w:r>
        <w:rPr>
          <w:sz w:val="24"/>
          <w:szCs w:val="24"/>
          <w:color w:val="943634"/>
          <w:rFonts w:ascii="Century Gothic" w:hAnsi="Century Gothic"/>
        </w:rPr>
        <w:t xml:space="preserve">EDADES NAFARROA lagina handituz/handitu gabe dagoen aldea, 2019. urtea</w:t>
      </w:r>
      <w:r>
        <w:rPr>
          <w:sz w:val="24"/>
          <w:szCs w:val="24"/>
          <w:color w:val="943634"/>
          <w:rFonts w:ascii="Century Gothic" w:hAnsi="Century Gothic"/>
        </w:rPr>
        <w:t xml:space="preserve"> </w:t>
      </w:r>
    </w:p>
    <w:tbl>
      <w:tblPr>
        <w:tblW w:w="6300" w:type="dxa"/>
        <w:jc w:val="center"/>
        <w:tblInd w:w="708" w:type="dxa"/>
        <w:tblCellMar>
          <w:left w:w="70" w:type="dxa"/>
          <w:right w:w="70" w:type="dxa"/>
        </w:tblCellMar>
        <w:tblLook w:val="00A0" w:firstRow="1" w:lastRow="0" w:firstColumn="1" w:lastColumn="0" w:noHBand="0" w:noVBand="0"/>
      </w:tblPr>
      <w:tblGrid>
        <w:gridCol w:w="1600"/>
        <w:gridCol w:w="1639"/>
        <w:gridCol w:w="1465"/>
        <w:gridCol w:w="1600"/>
      </w:tblGrid>
      <w:tr w:rsidR="00D5439F" w:rsidRPr="007D7BBA" w:rsidTr="00AF085E">
        <w:trPr>
          <w:trHeight w:val="300"/>
          <w:jc w:val="center"/>
        </w:trPr>
        <w:tc>
          <w:tcPr>
            <w:tcW w:w="1600"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 </w:t>
            </w:r>
            <w:r>
              <w:rPr>
                <w:b/>
                <w:bCs/>
                <w:color w:val="963634"/>
                <w:sz w:val="24"/>
                <w:szCs w:val="24"/>
                <w:rFonts w:ascii="Century Gothic" w:hAnsi="Century Gothic"/>
              </w:rPr>
              <w:t xml:space="preserve">Lagina</w:t>
            </w:r>
          </w:p>
        </w:tc>
        <w:tc>
          <w:tcPr>
            <w:tcW w:w="1639"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Handituta</w:t>
            </w:r>
          </w:p>
        </w:tc>
        <w:tc>
          <w:tcPr>
            <w:tcW w:w="1461"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Zabalpenik gabe</w:t>
            </w:r>
          </w:p>
        </w:tc>
        <w:tc>
          <w:tcPr>
            <w:tcW w:w="1600" w:type="dxa"/>
            <w:tcBorders>
              <w:top w:val="single" w:sz="4" w:space="0" w:color="C0504D"/>
              <w:left w:val="nil"/>
              <w:bottom w:val="single" w:sz="4" w:space="0" w:color="C0504D"/>
              <w:right w:val="nil"/>
            </w:tcBorders>
            <w:shd w:val="clear" w:color="000000" w:fill="FFFFFF"/>
            <w:noWrap/>
            <w:vAlign w:val="bottom"/>
          </w:tcPr>
          <w:p w:rsidR="00D5439F" w:rsidRPr="007D7BBA" w:rsidRDefault="00D5439F" w:rsidP="007D7BBA">
            <w:pPr>
              <w:spacing w:after="0" w:line="288" w:lineRule="auto"/>
              <w:rPr>
                <w:b/>
                <w:bCs/>
                <w:color w:val="963634"/>
                <w:sz w:val="24"/>
                <w:szCs w:val="24"/>
                <w:rFonts w:ascii="Century Gothic" w:hAnsi="Century Gothic" w:cs="Tahoma"/>
              </w:rPr>
            </w:pPr>
            <w:r>
              <w:rPr>
                <w:b/>
                <w:bCs/>
                <w:color w:val="963634"/>
                <w:sz w:val="24"/>
                <w:szCs w:val="24"/>
                <w:rFonts w:ascii="Century Gothic" w:hAnsi="Century Gothic"/>
              </w:rPr>
              <w:t xml:space="preserve">Guztira</w:t>
            </w:r>
          </w:p>
        </w:tc>
      </w:tr>
      <w:tr w:rsidR="00D5439F" w:rsidRPr="007D7BBA" w:rsidTr="00AF085E">
        <w:trPr>
          <w:trHeight w:val="300"/>
          <w:jc w:val="center"/>
        </w:trPr>
        <w:tc>
          <w:tcPr>
            <w:tcW w:w="1600" w:type="dxa"/>
            <w:tcBorders>
              <w:top w:val="nil"/>
              <w:left w:val="nil"/>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Elkarrizketak</w:t>
            </w:r>
          </w:p>
        </w:tc>
        <w:tc>
          <w:tcPr>
            <w:tcW w:w="1639" w:type="dxa"/>
            <w:tcBorders>
              <w:top w:val="nil"/>
              <w:left w:val="nil"/>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610</w:t>
            </w:r>
          </w:p>
        </w:tc>
        <w:tc>
          <w:tcPr>
            <w:tcW w:w="1461" w:type="dxa"/>
            <w:tcBorders>
              <w:top w:val="nil"/>
              <w:left w:val="nil"/>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390</w:t>
            </w:r>
          </w:p>
        </w:tc>
        <w:tc>
          <w:tcPr>
            <w:tcW w:w="1600" w:type="dxa"/>
            <w:tcBorders>
              <w:top w:val="nil"/>
              <w:left w:val="nil"/>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1000 (% 3,2ko akatsa)</w:t>
            </w:r>
          </w:p>
        </w:tc>
      </w:tr>
      <w:tr w:rsidR="00D5439F" w:rsidRPr="007D7BBA" w:rsidTr="00AF085E">
        <w:trPr>
          <w:trHeight w:val="300"/>
          <w:jc w:val="center"/>
        </w:trPr>
        <w:tc>
          <w:tcPr>
            <w:tcW w:w="1600"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Puntuazioa</w:t>
            </w:r>
          </w:p>
        </w:tc>
        <w:tc>
          <w:tcPr>
            <w:tcW w:w="1639"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61</w:t>
            </w:r>
          </w:p>
        </w:tc>
        <w:tc>
          <w:tcPr>
            <w:tcW w:w="1461"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39</w:t>
            </w:r>
          </w:p>
        </w:tc>
        <w:tc>
          <w:tcPr>
            <w:tcW w:w="1600" w:type="dxa"/>
            <w:tcBorders>
              <w:top w:val="nil"/>
              <w:left w:val="nil"/>
              <w:bottom w:val="single" w:sz="4" w:space="0" w:color="auto"/>
              <w:right w:val="nil"/>
            </w:tcBorders>
            <w:shd w:val="clear" w:color="000000" w:fill="FFFFFF"/>
            <w:noWrap/>
            <w:vAlign w:val="bottom"/>
          </w:tcPr>
          <w:p w:rsidR="00D5439F" w:rsidRPr="007D7BBA" w:rsidRDefault="00D5439F" w:rsidP="007D7BBA">
            <w:pPr>
              <w:spacing w:after="0" w:line="288" w:lineRule="auto"/>
              <w:rPr>
                <w:color w:val="963634"/>
                <w:sz w:val="24"/>
                <w:szCs w:val="24"/>
                <w:rFonts w:ascii="Century Gothic" w:hAnsi="Century Gothic" w:cs="Tahoma"/>
              </w:rPr>
            </w:pPr>
            <w:r>
              <w:rPr>
                <w:color w:val="963634"/>
                <w:sz w:val="24"/>
                <w:szCs w:val="24"/>
                <w:rFonts w:ascii="Century Gothic" w:hAnsi="Century Gothic"/>
              </w:rPr>
              <w:t xml:space="preserve">100</w:t>
            </w:r>
          </w:p>
        </w:tc>
      </w:tr>
    </w:tbl>
    <w:p w:rsidR="00D5439F" w:rsidRPr="007D7BBA" w:rsidRDefault="00D5439F" w:rsidP="007D7BBA">
      <w:pPr>
        <w:spacing w:line="288" w:lineRule="auto"/>
        <w:rPr>
          <w:rFonts w:ascii="Century Gothic" w:hAnsi="Century Gothic" w:cs="Tahoma"/>
          <w:b/>
          <w:color w:val="943634"/>
          <w:sz w:val="24"/>
          <w:szCs w:val="24"/>
          <w:lang w:eastAsia="ja-JP"/>
        </w:rPr>
      </w:pPr>
    </w:p>
    <w:p w:rsidR="00D5439F" w:rsidRPr="007D7BBA" w:rsidRDefault="00D5439F" w:rsidP="007D7BBA">
      <w:pPr>
        <w:spacing w:line="288" w:lineRule="auto"/>
        <w:rPr>
          <w:sz w:val="24"/>
          <w:szCs w:val="24"/>
          <w:rFonts w:ascii="Century Gothic" w:hAnsi="Century Gothic" w:cs="Tahoma"/>
        </w:rPr>
      </w:pPr>
      <w:r>
        <w:rPr>
          <w:sz w:val="24"/>
          <w:szCs w:val="24"/>
          <w:b/>
          <w:color w:val="943634"/>
          <w:rFonts w:ascii="Century Gothic" w:hAnsi="Century Gothic"/>
        </w:rPr>
        <w:t xml:space="preserve">Larrialdietako adierazlea</w:t>
      </w:r>
      <w:r>
        <w:rPr>
          <w:sz w:val="24"/>
          <w:szCs w:val="24"/>
          <w:rFonts w:ascii="Century Gothic" w:hAnsi="Century Gothic"/>
        </w:rPr>
        <w:t xml:space="preserve">.</w:t>
      </w:r>
      <w:r>
        <w:rPr>
          <w:sz w:val="24"/>
          <w:szCs w:val="24"/>
          <w:rFonts w:ascii="Century Gothic" w:hAnsi="Century Gothic"/>
        </w:rPr>
        <w:t xml:space="preserve"> </w:t>
      </w:r>
      <w:r>
        <w:rPr>
          <w:sz w:val="24"/>
          <w:szCs w:val="24"/>
          <w:rFonts w:ascii="Century Gothic" w:hAnsi="Century Gothic"/>
        </w:rPr>
        <w:t xml:space="preserve">Adierazle hori 2012. urteaz geroztik jasotzen da, eta horri esker, Nafarroako ospitaleetako arreten bilakaera urteka eta hilabeteka alderatu daiteke.</w:t>
      </w:r>
      <w:r>
        <w:rPr>
          <w:sz w:val="24"/>
          <w:szCs w:val="24"/>
          <w:rFonts w:ascii="Century Gothic" w:hAnsi="Century Gothic"/>
        </w:rPr>
        <w:t xml:space="preserve"> </w:t>
      </w:r>
      <w:r>
        <w:rPr>
          <w:sz w:val="24"/>
          <w:szCs w:val="24"/>
          <w:rFonts w:ascii="Century Gothic" w:hAnsi="Century Gothic"/>
        </w:rPr>
        <w:t xml:space="preserve">Hainbat urtetako konparazioa ikusita, egiaztatu ahal izango ditugu konfinamenduaren hilabeteek intoxikazioetan duten eragina eta zerbitzu horiek ematen duten arreta.</w:t>
      </w:r>
      <w:r>
        <w:rPr>
          <w:sz w:val="24"/>
          <w:szCs w:val="24"/>
          <w:rFonts w:ascii="Century Gothic" w:hAnsi="Century Gothic"/>
        </w:rPr>
        <w:t xml:space="preserve"> </w:t>
      </w:r>
    </w:p>
    <w:p w:rsidR="0094264C" w:rsidRDefault="00D5439F" w:rsidP="007D7BBA">
      <w:pPr>
        <w:spacing w:line="288" w:lineRule="auto"/>
        <w:rPr>
          <w:b/>
          <w:sz w:val="24"/>
          <w:szCs w:val="24"/>
          <w:rFonts w:ascii="Century Gothic" w:hAnsi="Century Gothic" w:cs="Tahoma"/>
        </w:rPr>
      </w:pPr>
      <w:r>
        <w:rPr>
          <w:sz w:val="24"/>
          <w:szCs w:val="24"/>
          <w:rFonts w:ascii="Century Gothic" w:hAnsi="Century Gothic"/>
        </w:rPr>
        <w:t xml:space="preserve">Ez dago Nafarroan azterketa berririk egiteko asmorik; izan ere, martxan daudenek aukera ematen dute pandemiarekin lotutako egoerak etengabe zaintzeko eta aipatutako kontsumoetan eragiteko.</w:t>
      </w:r>
      <w:r>
        <w:rPr>
          <w:sz w:val="24"/>
          <w:szCs w:val="24"/>
          <w:rFonts w:ascii="Century Gothic" w:hAnsi="Century Gothic"/>
        </w:rPr>
        <w:t xml:space="preserve"> </w:t>
      </w:r>
    </w:p>
    <w:p w:rsidR="0094264C" w:rsidRDefault="00D5439F" w:rsidP="007D7BBA">
      <w:pPr>
        <w:spacing w:after="0" w:line="288" w:lineRule="auto"/>
        <w:rPr>
          <w:caps/>
          <w:color w:val="943634"/>
          <w:sz w:val="24"/>
          <w:szCs w:val="24"/>
          <w:rFonts w:ascii="Century Gothic" w:hAnsi="Century Gothic"/>
        </w:rPr>
      </w:pPr>
      <w:r>
        <w:rPr>
          <w:sz w:val="24"/>
          <w:szCs w:val="24"/>
          <w:b/>
          <w:rFonts w:ascii="Century Gothic" w:hAnsi="Century Gothic"/>
        </w:rPr>
        <w:t xml:space="preserve">3.</w:t>
      </w:r>
      <w:r>
        <w:rPr>
          <w:sz w:val="24"/>
          <w:szCs w:val="24"/>
          <w:b/>
          <w:rFonts w:ascii="Century Gothic" w:hAnsi="Century Gothic"/>
        </w:rPr>
        <w:t xml:space="preserve"> </w:t>
      </w:r>
      <w:r>
        <w:rPr>
          <w:sz w:val="24"/>
          <w:szCs w:val="24"/>
          <w:rFonts w:ascii="Century Gothic" w:hAnsi="Century Gothic"/>
        </w:rPr>
        <w:t xml:space="preserve">Nafarroako Gobernuak ba al du asmorik Drogei eta Adikzioei Aurrea Hartzeko III. Plana (2018-2023) gaurko egoerara egokitzeko eta konfinamenduak nahiz tarte fisikoa gorde beharrak, bai eta pantailen erabilera areagotzekoak ere, esparru horri dagokionez dakartzaten arrisku gehigarriak baloratzeko?</w:t>
      </w:r>
      <w:r>
        <w:rPr>
          <w:sz w:val="24"/>
          <w:szCs w:val="24"/>
          <w:rFonts w:ascii="Century Gothic" w:hAnsi="Century Gothic"/>
        </w:rPr>
        <w:t xml:space="preserve"> </w:t>
      </w:r>
    </w:p>
    <w:p w:rsidR="00D5439F" w:rsidRPr="007D7BBA" w:rsidRDefault="00D5439F" w:rsidP="007D7BBA">
      <w:pPr>
        <w:spacing w:line="288" w:lineRule="auto"/>
        <w:rPr>
          <w:noProof/>
          <w:sz w:val="24"/>
          <w:szCs w:val="24"/>
          <w:rFonts w:ascii="Century Gothic" w:hAnsi="Century Gothic" w:cs="Tahoma"/>
        </w:rPr>
      </w:pPr>
      <w:r>
        <w:rPr>
          <w:sz w:val="24"/>
          <w:szCs w:val="24"/>
          <w:rFonts w:ascii="Century Gothic" w:hAnsi="Century Gothic"/>
        </w:rPr>
        <w:t xml:space="preserve">Drogei eta Adikzioei aurrea Hartzeko III. Planak garatzen jarraituko diren lehentasunezko jarduera-ildoen artean honako hauek jasotzen ditu, zeinak, beharrezkoa bada, indartu eginen baitira:</w:t>
      </w:r>
    </w:p>
    <w:p w:rsidR="00D5439F" w:rsidRPr="007D7BBA" w:rsidRDefault="00D5439F" w:rsidP="007D7BBA">
      <w:pPr>
        <w:pStyle w:val="Prrafodelista"/>
        <w:numPr>
          <w:ilvl w:val="0"/>
          <w:numId w:val="12"/>
        </w:numPr>
        <w:spacing w:line="288" w:lineRule="auto"/>
        <w:jc w:val="both"/>
        <w:rPr>
          <w:noProof/>
          <w:sz w:val="24"/>
          <w:szCs w:val="24"/>
          <w:rFonts w:ascii="Century Gothic" w:hAnsi="Century Gothic" w:cs="Tahoma"/>
        </w:rPr>
      </w:pPr>
      <w:r>
        <w:rPr>
          <w:sz w:val="24"/>
          <w:szCs w:val="24"/>
          <w:color w:val="943634"/>
          <w:b/>
          <w:bCs/>
          <w:rFonts w:ascii="Century Gothic" w:hAnsi="Century Gothic"/>
        </w:rPr>
        <w:t xml:space="preserve">Prestakuntza:</w:t>
      </w:r>
      <w:r>
        <w:rPr>
          <w:sz w:val="24"/>
          <w:szCs w:val="24"/>
          <w:color w:val="943634"/>
          <w:rFonts w:ascii="Century Gothic" w:hAnsi="Century Gothic"/>
        </w:rPr>
        <w:t xml:space="preserve"> </w:t>
      </w:r>
      <w:r>
        <w:rPr>
          <w:sz w:val="24"/>
          <w:szCs w:val="24"/>
          <w:rFonts w:ascii="Century Gothic" w:hAnsi="Century Gothic"/>
        </w:rPr>
        <w:t xml:space="preserve">2017. urteaz geroztik, hainbat prestakuntza-ekintza egin dira osasun-arloko profesionalentzat, gizarte-zerbitzuentzat eta gazteriarentzat, joko patologikoaren prebentzioari eta pantailen abusuaren prebentzioari buruz, hainbat gizarte-erakunderekin lankidetzan.</w:t>
      </w:r>
      <w:r>
        <w:rPr>
          <w:sz w:val="24"/>
          <w:szCs w:val="24"/>
          <w:rFonts w:ascii="Century Gothic" w:hAnsi="Century Gothic"/>
        </w:rPr>
        <w:t xml:space="preserve"> </w:t>
      </w:r>
    </w:p>
    <w:p w:rsidR="00D5439F" w:rsidRPr="007D7BBA" w:rsidRDefault="00D5439F" w:rsidP="007D7BBA">
      <w:pPr>
        <w:pStyle w:val="Prrafodelista"/>
        <w:numPr>
          <w:ilvl w:val="0"/>
          <w:numId w:val="12"/>
        </w:numPr>
        <w:spacing w:line="288" w:lineRule="auto"/>
        <w:ind w:left="708"/>
        <w:jc w:val="both"/>
        <w:rPr>
          <w:noProof/>
          <w:sz w:val="24"/>
          <w:szCs w:val="24"/>
          <w:rFonts w:ascii="Century Gothic" w:hAnsi="Century Gothic" w:cs="Tahoma"/>
        </w:rPr>
      </w:pPr>
      <w:r>
        <w:rPr>
          <w:sz w:val="24"/>
          <w:szCs w:val="24"/>
          <w:rFonts w:ascii="Century Gothic" w:hAnsi="Century Gothic"/>
        </w:rPr>
        <w:t xml:space="preserve">Pantailen erabilerari buruzko </w:t>
      </w:r>
      <w:r>
        <w:rPr>
          <w:sz w:val="24"/>
          <w:szCs w:val="24"/>
          <w:color w:val="943634"/>
          <w:b/>
          <w:rFonts w:ascii="Century Gothic" w:hAnsi="Century Gothic"/>
        </w:rPr>
        <w:t xml:space="preserve">informazioa:</w:t>
      </w:r>
      <w:r>
        <w:rPr>
          <w:sz w:val="24"/>
          <w:szCs w:val="24"/>
          <w:color w:val="943634"/>
          <w:rFonts w:ascii="Century Gothic" w:hAnsi="Century Gothic"/>
        </w:rPr>
        <w:t xml:space="preserve"> </w:t>
      </w:r>
      <w:r>
        <w:rPr>
          <w:sz w:val="24"/>
          <w:szCs w:val="24"/>
          <w:rFonts w:ascii="Century Gothic" w:hAnsi="Century Gothic"/>
        </w:rPr>
        <w:t xml:space="preserve">2019an diseinua egin zen eta orduz geroztik “haurtzaroan eta nerabezaroan pantailen erabilera segurua eta osasungarria sustatzeko dekalogoa” banatu izan da. </w:t>
      </w:r>
      <w:r>
        <w:rPr>
          <w:sz w:val="24"/>
          <w:szCs w:val="24"/>
          <w:rFonts w:ascii="Century Gothic" w:hAnsi="Century Gothic"/>
        </w:rPr>
        <w:t xml:space="preserve">  </w:t>
      </w:r>
    </w:p>
    <w:p w:rsidR="00D5439F" w:rsidRPr="007D7BBA" w:rsidRDefault="00D5439F" w:rsidP="007D7BBA">
      <w:pPr>
        <w:pStyle w:val="Prrafodelista"/>
        <w:numPr>
          <w:ilvl w:val="0"/>
          <w:numId w:val="12"/>
        </w:numPr>
        <w:spacing w:line="288" w:lineRule="auto"/>
        <w:ind w:left="708"/>
        <w:jc w:val="both"/>
        <w:rPr>
          <w:noProof/>
          <w:sz w:val="24"/>
          <w:szCs w:val="24"/>
          <w:rFonts w:ascii="Century Gothic" w:hAnsi="Century Gothic" w:cs="Tahoma"/>
        </w:rPr>
      </w:pPr>
      <w:r>
        <w:rPr>
          <w:sz w:val="24"/>
          <w:szCs w:val="24"/>
          <w:b/>
          <w:color w:val="943634"/>
          <w:rFonts w:ascii="Century Gothic" w:hAnsi="Century Gothic"/>
        </w:rPr>
        <w:t xml:space="preserve">Ikerkuntza:</w:t>
      </w:r>
      <w:r>
        <w:rPr>
          <w:sz w:val="24"/>
          <w:szCs w:val="24"/>
          <w:b/>
          <w:color w:val="943634"/>
          <w:rFonts w:ascii="Century Gothic" w:hAnsi="Century Gothic"/>
        </w:rPr>
        <w:t xml:space="preserve"> </w:t>
      </w:r>
      <w:r>
        <w:rPr>
          <w:sz w:val="24"/>
          <w:szCs w:val="24"/>
          <w:rFonts w:ascii="Century Gothic" w:hAnsi="Century Gothic"/>
        </w:rPr>
        <w:t xml:space="preserve">ESTUDES, EDADES, Gazteriari eta Osasunari buruzko Nafarroako Inkesta eta Larrialdietako Adierazlea, zeinak III. Planaren agendan jada agertzen baitira.</w:t>
      </w:r>
      <w:r>
        <w:rPr>
          <w:sz w:val="24"/>
          <w:szCs w:val="24"/>
          <w:rFonts w:ascii="Century Gothic" w:hAnsi="Century Gothic"/>
        </w:rPr>
        <w:t xml:space="preserve"> </w:t>
      </w:r>
    </w:p>
    <w:p w:rsidR="0094264C" w:rsidRDefault="00D5439F" w:rsidP="007D7BBA">
      <w:pPr>
        <w:pStyle w:val="Prrafodelista"/>
        <w:numPr>
          <w:ilvl w:val="0"/>
          <w:numId w:val="12"/>
        </w:numPr>
        <w:spacing w:line="288" w:lineRule="auto"/>
        <w:ind w:left="708"/>
        <w:jc w:val="both"/>
        <w:rPr>
          <w:noProof/>
          <w:sz w:val="24"/>
          <w:szCs w:val="24"/>
          <w:rFonts w:ascii="Century Gothic" w:hAnsi="Century Gothic" w:cs="Tahoma"/>
        </w:rPr>
      </w:pPr>
      <w:r>
        <w:rPr>
          <w:sz w:val="24"/>
          <w:szCs w:val="24"/>
          <w:b/>
          <w:color w:val="943634"/>
          <w:rFonts w:ascii="Century Gothic" w:hAnsi="Century Gothic"/>
        </w:rPr>
        <w:t xml:space="preserve">Droga-mendekotasunen eta gizarte-erakundeen udal-programei laguntzea.</w:t>
      </w:r>
      <w:r>
        <w:rPr>
          <w:sz w:val="24"/>
          <w:szCs w:val="24"/>
          <w:b/>
          <w:color w:val="943634"/>
          <w:rFonts w:ascii="Century Gothic" w:hAnsi="Century Gothic"/>
        </w:rPr>
        <w:t xml:space="preserve"> </w:t>
      </w:r>
      <w:r>
        <w:rPr>
          <w:sz w:val="24"/>
          <w:szCs w:val="24"/>
          <w:rFonts w:ascii="Century Gothic" w:hAnsi="Century Gothic"/>
        </w:rPr>
        <w:t xml:space="preserve">Diru-laguntzen lerroen bidez, substantziadun eta substantziarik gabeko adikzioak prebenitzeko ekintzak finantzatzen dira.</w:t>
      </w:r>
      <w:r>
        <w:rPr>
          <w:sz w:val="24"/>
          <w:szCs w:val="24"/>
          <w:rFonts w:ascii="Century Gothic" w:hAnsi="Century Gothic"/>
        </w:rPr>
        <w:t xml:space="preserve"> </w:t>
      </w:r>
      <w:r>
        <w:rPr>
          <w:sz w:val="24"/>
          <w:szCs w:val="24"/>
          <w:rFonts w:ascii="Century Gothic" w:hAnsi="Century Gothic"/>
        </w:rPr>
        <w:t xml:space="preserve">IKTen ludopatia eta gehiegizko erabilera aurreikusten duten gizarte-erakundeei zuzendutako diru-laguntzen linearekin finantzatutako ekintzek gora egin dute azken urteetan.</w:t>
      </w:r>
      <w:r>
        <w:rPr>
          <w:sz w:val="24"/>
          <w:szCs w:val="24"/>
          <w:rFonts w:ascii="Century Gothic" w:hAnsi="Century Gothic"/>
        </w:rPr>
        <w:t xml:space="preserve"> </w:t>
      </w:r>
    </w:p>
    <w:p w:rsidR="00D5439F" w:rsidRPr="007D7BBA" w:rsidRDefault="00D5439F" w:rsidP="007D7BBA">
      <w:pPr>
        <w:pStyle w:val="Prrafodelista"/>
        <w:spacing w:after="0" w:line="288" w:lineRule="auto"/>
        <w:jc w:val="both"/>
        <w:rPr>
          <w:sz w:val="24"/>
          <w:szCs w:val="24"/>
          <w:rFonts w:ascii="Century Gothic" w:hAnsi="Century Gothic"/>
        </w:rPr>
      </w:pPr>
      <w:r>
        <w:rPr>
          <w:sz w:val="24"/>
          <w:szCs w:val="24"/>
          <w:rFonts w:ascii="Century Gothic" w:hAnsi="Century Gothic"/>
        </w:rPr>
        <w:t xml:space="preserve">5. taula</w:t>
      </w:r>
      <w:r>
        <w:rPr>
          <w:sz w:val="24"/>
          <w:szCs w:val="24"/>
          <w:rFonts w:ascii="Century Gothic" w:hAnsi="Century Gothic"/>
        </w:rPr>
        <w:t xml:space="preserve"> </w:t>
      </w:r>
      <w:r>
        <w:rPr>
          <w:sz w:val="24"/>
          <w:szCs w:val="24"/>
          <w:color w:val="943634"/>
          <w:rFonts w:ascii="Century Gothic" w:hAnsi="Century Gothic"/>
        </w:rPr>
        <w:t xml:space="preserve">Substantziadun eta substantziarik gabeko adikzioak prebenitzeko jardueretarako gizarte entitateentzako laguntzen bilakaera (€)</w:t>
      </w:r>
    </w:p>
    <w:tbl>
      <w:tblPr>
        <w:tblW w:w="7896" w:type="dxa"/>
        <w:jc w:val="center"/>
        <w:tblInd w:w="-1313" w:type="dxa"/>
        <w:tblCellMar>
          <w:left w:w="70" w:type="dxa"/>
          <w:right w:w="70" w:type="dxa"/>
        </w:tblCellMar>
        <w:tblLook w:val="00A0" w:firstRow="1" w:lastRow="0" w:firstColumn="1" w:lastColumn="0" w:noHBand="0" w:noVBand="0"/>
      </w:tblPr>
      <w:tblGrid>
        <w:gridCol w:w="3021"/>
        <w:gridCol w:w="1005"/>
        <w:gridCol w:w="1005"/>
        <w:gridCol w:w="1005"/>
        <w:gridCol w:w="1107"/>
        <w:gridCol w:w="1209"/>
      </w:tblGrid>
      <w:tr w:rsidR="00D5439F" w:rsidRPr="007D7BBA" w:rsidTr="00E8048E">
        <w:trPr>
          <w:trHeight w:val="300"/>
          <w:jc w:val="center"/>
        </w:trPr>
        <w:tc>
          <w:tcPr>
            <w:tcW w:w="3021"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rFonts w:ascii="Century Gothic" w:hAnsi="Century Gothic"/>
                <w:b/>
                <w:bCs/>
                <w:color w:val="963634"/>
                <w:sz w:val="24"/>
                <w:szCs w:val="24"/>
                <w:lang w:eastAsia="es-ES"/>
              </w:rPr>
            </w:pP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2016</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2017</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2018</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2019</w:t>
            </w:r>
          </w:p>
        </w:tc>
        <w:tc>
          <w:tcPr>
            <w:tcW w:w="975" w:type="dxa"/>
            <w:tcBorders>
              <w:top w:val="single" w:sz="4" w:space="0" w:color="C0504D"/>
              <w:left w:val="nil"/>
              <w:bottom w:val="single" w:sz="4" w:space="0" w:color="C0504D"/>
              <w:right w:val="nil"/>
            </w:tcBorders>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2020</w:t>
            </w:r>
          </w:p>
        </w:tc>
      </w:tr>
      <w:tr w:rsidR="00D5439F" w:rsidRPr="007D7BBA" w:rsidTr="004A0317">
        <w:trPr>
          <w:trHeight w:val="348"/>
          <w:jc w:val="center"/>
        </w:trPr>
        <w:tc>
          <w:tcPr>
            <w:tcW w:w="3021"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b/>
                <w:bCs/>
                <w:color w:val="963634"/>
                <w:sz w:val="24"/>
                <w:szCs w:val="24"/>
                <w:rFonts w:ascii="Century Gothic" w:hAnsi="Century Gothic"/>
              </w:rPr>
            </w:pPr>
            <w:r>
              <w:rPr>
                <w:b/>
                <w:bCs/>
                <w:color w:val="963634"/>
                <w:sz w:val="24"/>
                <w:szCs w:val="24"/>
                <w:rFonts w:ascii="Century Gothic" w:hAnsi="Century Gothic"/>
              </w:rPr>
              <w:t xml:space="preserve">Gizarte entitateentzako laguntzak</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color w:val="963634"/>
                <w:sz w:val="24"/>
                <w:szCs w:val="24"/>
                <w:rFonts w:ascii="Century Gothic" w:hAnsi="Century Gothic"/>
              </w:rPr>
            </w:pPr>
            <w:r>
              <w:rPr>
                <w:color w:val="963634"/>
                <w:sz w:val="24"/>
                <w:szCs w:val="24"/>
                <w:rFonts w:ascii="Century Gothic" w:hAnsi="Century Gothic"/>
              </w:rPr>
              <w:t xml:space="preserve">185.000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color w:val="963634"/>
                <w:sz w:val="24"/>
                <w:szCs w:val="24"/>
                <w:rFonts w:ascii="Century Gothic" w:hAnsi="Century Gothic"/>
              </w:rPr>
            </w:pPr>
            <w:r>
              <w:rPr>
                <w:color w:val="963634"/>
                <w:sz w:val="24"/>
                <w:szCs w:val="24"/>
                <w:rFonts w:ascii="Century Gothic" w:hAnsi="Century Gothic"/>
              </w:rPr>
              <w:t xml:space="preserve">235.000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color w:val="963634"/>
                <w:sz w:val="24"/>
                <w:szCs w:val="24"/>
                <w:rFonts w:ascii="Century Gothic" w:hAnsi="Century Gothic"/>
              </w:rPr>
            </w:pPr>
            <w:r>
              <w:rPr>
                <w:color w:val="963634"/>
                <w:sz w:val="24"/>
                <w:szCs w:val="24"/>
                <w:rFonts w:ascii="Century Gothic" w:hAnsi="Century Gothic"/>
              </w:rPr>
              <w:t xml:space="preserve">235.000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color w:val="963634"/>
                <w:sz w:val="24"/>
                <w:szCs w:val="24"/>
                <w:rFonts w:ascii="Century Gothic" w:hAnsi="Century Gothic"/>
              </w:rPr>
            </w:pPr>
            <w:r>
              <w:rPr>
                <w:color w:val="963634"/>
                <w:sz w:val="24"/>
                <w:szCs w:val="24"/>
                <w:rFonts w:ascii="Century Gothic" w:hAnsi="Century Gothic"/>
              </w:rPr>
              <w:t xml:space="preserve">318.000*</w:t>
            </w:r>
          </w:p>
        </w:tc>
        <w:tc>
          <w:tcPr>
            <w:tcW w:w="975" w:type="dxa"/>
            <w:tcBorders>
              <w:top w:val="nil"/>
              <w:left w:val="nil"/>
              <w:bottom w:val="single" w:sz="4" w:space="0" w:color="C0504D"/>
              <w:right w:val="nil"/>
            </w:tcBorders>
            <w:shd w:val="clear" w:color="F2DCDB" w:fill="F2DCDB"/>
            <w:noWrap/>
            <w:vAlign w:val="center"/>
          </w:tcPr>
          <w:p w:rsidR="00D5439F" w:rsidRPr="007D7BBA" w:rsidRDefault="00D5439F" w:rsidP="007D7BBA">
            <w:pPr>
              <w:spacing w:after="0" w:line="288" w:lineRule="auto"/>
              <w:rPr>
                <w:color w:val="963634"/>
                <w:sz w:val="24"/>
                <w:szCs w:val="24"/>
                <w:rFonts w:ascii="Century Gothic" w:hAnsi="Century Gothic"/>
              </w:rPr>
            </w:pPr>
            <w:r>
              <w:rPr>
                <w:color w:val="963634"/>
                <w:sz w:val="24"/>
                <w:szCs w:val="24"/>
                <w:rFonts w:ascii="Century Gothic" w:hAnsi="Century Gothic"/>
              </w:rPr>
              <w:t xml:space="preserve">343.000**</w:t>
            </w:r>
          </w:p>
        </w:tc>
      </w:tr>
    </w:tbl>
    <w:p w:rsidR="00D5439F" w:rsidRPr="007D7BBA" w:rsidRDefault="00D5439F" w:rsidP="007D7BBA">
      <w:pPr>
        <w:spacing w:after="0" w:line="288" w:lineRule="auto"/>
        <w:rPr>
          <w:noProof/>
          <w:sz w:val="24"/>
          <w:szCs w:val="24"/>
          <w:rFonts w:ascii="Century Gothic" w:hAnsi="Century Gothic" w:cs="Tahoma"/>
        </w:rPr>
      </w:pPr>
      <w:r>
        <w:rPr>
          <w:sz w:val="24"/>
          <w:szCs w:val="24"/>
          <w:rFonts w:ascii="Century Gothic" w:hAnsi="Century Gothic"/>
        </w:rPr>
        <w:t xml:space="preserve">*Dirulaguntza izendun bat barne</w:t>
      </w:r>
    </w:p>
    <w:p w:rsidR="0094264C" w:rsidRDefault="00D5439F" w:rsidP="007D7BBA">
      <w:pPr>
        <w:spacing w:after="0" w:line="288" w:lineRule="auto"/>
        <w:rPr>
          <w:noProof/>
          <w:sz w:val="24"/>
          <w:szCs w:val="24"/>
          <w:rFonts w:ascii="Century Gothic" w:hAnsi="Century Gothic" w:cs="Tahoma"/>
        </w:rPr>
      </w:pPr>
      <w:r>
        <w:rPr>
          <w:sz w:val="24"/>
          <w:szCs w:val="24"/>
          <w:rFonts w:ascii="Century Gothic" w:hAnsi="Century Gothic"/>
        </w:rPr>
        <w:t xml:space="preserve">**Bi dirulaguntza izendun barne</w:t>
      </w:r>
    </w:p>
    <w:p w:rsidR="00D5439F" w:rsidRPr="007D7BBA" w:rsidRDefault="00D5439F" w:rsidP="007D7BBA">
      <w:pPr>
        <w:spacing w:line="288" w:lineRule="auto"/>
        <w:rPr>
          <w:sz w:val="24"/>
          <w:szCs w:val="24"/>
          <w:rFonts w:ascii="Century Gothic" w:hAnsi="Century Gothic"/>
        </w:rPr>
      </w:pPr>
      <w:r>
        <w:rPr>
          <w:sz w:val="24"/>
          <w:szCs w:val="24"/>
          <w:b/>
          <w:rFonts w:ascii="Century Gothic" w:hAnsi="Century Gothic"/>
        </w:rPr>
        <w:t xml:space="preserve">4.</w:t>
      </w:r>
      <w:r>
        <w:rPr>
          <w:sz w:val="24"/>
          <w:szCs w:val="24"/>
          <w:b/>
          <w:rFonts w:ascii="Century Gothic" w:hAnsi="Century Gothic"/>
        </w:rPr>
        <w:t xml:space="preserve"> </w:t>
      </w:r>
      <w:r>
        <w:rPr>
          <w:sz w:val="24"/>
          <w:szCs w:val="24"/>
          <w:rFonts w:ascii="Century Gothic" w:hAnsi="Century Gothic"/>
        </w:rPr>
        <w:t xml:space="preserve">Hala baldin bada, zer lan-ildo edo neurri zehatz ari zarete aztertzen?</w:t>
      </w:r>
    </w:p>
    <w:p w:rsidR="00D5439F" w:rsidRPr="007D7BBA" w:rsidRDefault="00D5439F" w:rsidP="007D7BBA">
      <w:pPr>
        <w:spacing w:line="288" w:lineRule="auto"/>
        <w:rPr>
          <w:noProof/>
          <w:sz w:val="24"/>
          <w:szCs w:val="24"/>
          <w:rFonts w:ascii="Century Gothic" w:hAnsi="Century Gothic" w:cs="Tahoma"/>
        </w:rPr>
      </w:pPr>
      <w:r>
        <w:rPr>
          <w:sz w:val="24"/>
          <w:szCs w:val="24"/>
          <w:rFonts w:ascii="Century Gothic" w:hAnsi="Century Gothic"/>
        </w:rPr>
        <w:t xml:space="preserve">Garatu beharreko ildo berrien artean III. Planean jasotakoak daude, egoera berrirako egokiak direnak eta, behar izanez gero, areagotu eginen direnak:</w:t>
      </w:r>
      <w:r>
        <w:rPr>
          <w:sz w:val="24"/>
          <w:szCs w:val="24"/>
          <w:rFonts w:ascii="Century Gothic" w:hAnsi="Century Gothic"/>
        </w:rPr>
        <w:t xml:space="preserve"> </w:t>
      </w:r>
    </w:p>
    <w:p w:rsidR="00D5439F" w:rsidRPr="007D7BBA" w:rsidRDefault="00D5439F" w:rsidP="007D7BBA">
      <w:pPr>
        <w:pStyle w:val="Prrafodelista"/>
        <w:numPr>
          <w:ilvl w:val="0"/>
          <w:numId w:val="13"/>
        </w:numPr>
        <w:spacing w:line="288" w:lineRule="auto"/>
        <w:jc w:val="both"/>
        <w:rPr>
          <w:noProof/>
          <w:sz w:val="24"/>
          <w:szCs w:val="24"/>
          <w:rFonts w:ascii="Century Gothic" w:hAnsi="Century Gothic" w:cs="Tahoma"/>
        </w:rPr>
      </w:pPr>
      <w:r>
        <w:rPr>
          <w:sz w:val="24"/>
          <w:szCs w:val="24"/>
          <w:b/>
          <w:color w:val="943634"/>
          <w:rFonts w:ascii="Century Gothic" w:hAnsi="Century Gothic"/>
        </w:rPr>
        <w:t xml:space="preserve">Planaren komunikazio-gaitasuna garatzea</w:t>
      </w:r>
      <w:r>
        <w:rPr>
          <w:sz w:val="24"/>
          <w:szCs w:val="24"/>
          <w:rFonts w:ascii="Century Gothic" w:hAnsi="Century Gothic"/>
        </w:rPr>
        <w:t xml:space="preserve">, teknologia berriak txertatuz (plana egiteko prozesu parte-hartzailean eskatzen dena).</w:t>
      </w:r>
    </w:p>
    <w:p w:rsidR="00D5439F" w:rsidRPr="007D7BBA" w:rsidRDefault="00D5439F" w:rsidP="007D7BBA">
      <w:pPr>
        <w:spacing w:line="288" w:lineRule="auto"/>
        <w:ind w:left="360"/>
        <w:rPr>
          <w:noProof/>
          <w:sz w:val="24"/>
          <w:szCs w:val="24"/>
          <w:rFonts w:ascii="Century Gothic" w:hAnsi="Century Gothic" w:cs="Tahoma"/>
        </w:rPr>
      </w:pPr>
      <w:r>
        <w:rPr>
          <w:sz w:val="24"/>
          <w:szCs w:val="24"/>
          <w:rFonts w:ascii="Century Gothic" w:hAnsi="Century Gothic"/>
        </w:rPr>
        <w:t xml:space="preserve">Hainbat gairi buruzko urteko kanpaina nagusiak, hala nola hasita daudenak eta indartzen jarraitzen direnak, online bitartekoak erabiliz: alkohola, kalamua eta beste berri batzuk; esate baterako, substantziarik gabeko adikzioak edo tabakoa —kontsumitzeko modu berriak— ( III. Planaren 33 art.)</w:t>
      </w:r>
    </w:p>
    <w:p w:rsidR="00D5439F" w:rsidRPr="007D7BBA" w:rsidRDefault="00D5439F" w:rsidP="007D7BBA">
      <w:pPr>
        <w:spacing w:line="288" w:lineRule="auto"/>
        <w:ind w:left="360"/>
        <w:rPr>
          <w:noProof/>
          <w:sz w:val="24"/>
          <w:szCs w:val="24"/>
          <w:rFonts w:ascii="Century Gothic" w:hAnsi="Century Gothic" w:cs="Tahoma"/>
        </w:rPr>
      </w:pPr>
      <w:hyperlink r:id="rId8" w:history="1">
        <w:r>
          <w:rPr>
            <w:rStyle w:val="Hipervnculo"/>
            <w:sz w:val="24"/>
            <w:szCs w:val="24"/>
            <w:rFonts w:ascii="Century Gothic" w:hAnsi="Century Gothic"/>
          </w:rPr>
          <w:t xml:space="preserve">www.saludjovennavarra.es/eu</w:t>
        </w:r>
      </w:hyperlink>
      <w:r>
        <w:rPr>
          <w:sz w:val="24"/>
          <w:szCs w:val="24"/>
          <w:rFonts w:ascii="Century Gothic" w:hAnsi="Century Gothic"/>
        </w:rPr>
        <w:t xml:space="preserve"> web-orria, Nafarroako Gazteriaren Institutuak eta Osasuna Sustatzeko Atalak egina, ongizate emozionalari, drogei eta jokoari eta sexualitateari buruzko berariazko edukiak dituena. </w:t>
      </w:r>
      <w:r>
        <w:rPr>
          <w:sz w:val="24"/>
          <w:szCs w:val="24"/>
          <w:rFonts w:ascii="Century Gothic" w:hAnsi="Century Gothic"/>
        </w:rPr>
        <w:t xml:space="preserve"> </w:t>
      </w:r>
    </w:p>
    <w:p w:rsidR="00D5439F" w:rsidRPr="007D7BBA" w:rsidRDefault="00D5439F" w:rsidP="007D7BBA">
      <w:pPr>
        <w:pStyle w:val="Prrafodelista"/>
        <w:numPr>
          <w:ilvl w:val="0"/>
          <w:numId w:val="13"/>
        </w:numPr>
        <w:spacing w:line="288" w:lineRule="auto"/>
        <w:jc w:val="both"/>
        <w:rPr>
          <w:noProof/>
          <w:sz w:val="24"/>
          <w:szCs w:val="24"/>
          <w:rFonts w:ascii="Century Gothic" w:hAnsi="Century Gothic" w:cs="Tahoma"/>
        </w:rPr>
      </w:pPr>
      <w:r>
        <w:rPr>
          <w:sz w:val="24"/>
          <w:szCs w:val="24"/>
          <w:b/>
          <w:color w:val="943634"/>
          <w:rFonts w:ascii="Century Gothic" w:hAnsi="Century Gothic"/>
        </w:rPr>
        <w:t xml:space="preserve">NUPeko ikerketa-zerbitzuekin harremanetarako guneak sortzea,</w:t>
      </w:r>
      <w:r>
        <w:rPr>
          <w:sz w:val="24"/>
          <w:szCs w:val="24"/>
          <w:rFonts w:ascii="Century Gothic" w:hAnsi="Century Gothic"/>
        </w:rPr>
        <w:t xml:space="preserve"> ezagutza berria sortzea eta aplikazio praktikoa egitea (III. Planaren 34. or.).</w:t>
      </w:r>
    </w:p>
    <w:p w:rsidR="00D5439F" w:rsidRPr="007D7BBA" w:rsidRDefault="00D5439F" w:rsidP="007D7BBA">
      <w:pPr>
        <w:pStyle w:val="Prrafodelista"/>
        <w:numPr>
          <w:ilvl w:val="0"/>
          <w:numId w:val="13"/>
        </w:numPr>
        <w:spacing w:line="288" w:lineRule="auto"/>
        <w:jc w:val="both"/>
        <w:rPr>
          <w:noProof/>
          <w:sz w:val="24"/>
          <w:szCs w:val="24"/>
          <w:rFonts w:ascii="Century Gothic" w:hAnsi="Century Gothic" w:cs="Tahoma"/>
        </w:rPr>
      </w:pPr>
      <w:r>
        <w:rPr>
          <w:sz w:val="24"/>
          <w:szCs w:val="24"/>
          <w:rFonts w:ascii="Century Gothic" w:hAnsi="Century Gothic"/>
        </w:rPr>
        <w:t xml:space="preserve">Planeko </w:t>
      </w:r>
      <w:r>
        <w:rPr>
          <w:sz w:val="24"/>
          <w:szCs w:val="24"/>
          <w:b/>
          <w:color w:val="943634"/>
          <w:rFonts w:ascii="Century Gothic" w:hAnsi="Century Gothic"/>
        </w:rPr>
        <w:t xml:space="preserve">Haurrak eta Nerabeak </w:t>
      </w:r>
      <w:r>
        <w:rPr>
          <w:sz w:val="24"/>
          <w:szCs w:val="24"/>
          <w:rFonts w:ascii="Century Gothic" w:hAnsi="Century Gothic"/>
        </w:rPr>
        <w:t xml:space="preserve">izeneko 6.2.1 lineak pantailen erabileraren inguruko kezka jasotzen du (III. Planaren 37. or.)</w:t>
      </w:r>
    </w:p>
    <w:p w:rsidR="0094264C" w:rsidRDefault="00D5439F" w:rsidP="007D7BBA">
      <w:pPr>
        <w:spacing w:after="0" w:line="288" w:lineRule="auto"/>
        <w:ind w:left="360"/>
        <w:rPr>
          <w:noProof/>
          <w:sz w:val="24"/>
          <w:szCs w:val="24"/>
          <w:rFonts w:ascii="Century Gothic" w:hAnsi="Century Gothic" w:cs="Tahoma"/>
        </w:rPr>
      </w:pPr>
      <w:r>
        <w:rPr>
          <w:sz w:val="24"/>
          <w:szCs w:val="24"/>
          <w:rFonts w:ascii="Century Gothic" w:hAnsi="Century Gothic"/>
        </w:rPr>
        <w:t xml:space="preserve">Hezkuntzaren arloan, kontuan hartuta curriculum-tratamenduak eskatzen dituela hezkuntza-etapa desberdinetarako (haur hezkuntza, lehen hezkuntza eta bigarren hezkuntza) eta taldearen egoeretarako egokiak diren eduki espezifikoak eta ikasleei, zeharka, bizimodu eta portaera seguru eta osasungarriak babesteko beharrezkoak diren baliabideak eta gaitasunak garatzen saiatzea, </w:t>
      </w:r>
      <w:r>
        <w:rPr>
          <w:sz w:val="24"/>
          <w:szCs w:val="24"/>
          <w:b/>
          <w:bCs/>
          <w:rFonts w:ascii="Century Gothic" w:hAnsi="Century Gothic"/>
        </w:rPr>
        <w:t xml:space="preserve">Hezkuntza Departamentuarekin batera gida</w:t>
      </w:r>
      <w:r>
        <w:rPr>
          <w:sz w:val="24"/>
          <w:szCs w:val="24"/>
          <w:rFonts w:ascii="Century Gothic" w:hAnsi="Century Gothic"/>
        </w:rPr>
        <w:t xml:space="preserve"> bat egitea aurreikusten da,</w:t>
      </w:r>
      <w:r>
        <w:rPr>
          <w:sz w:val="24"/>
          <w:szCs w:val="24"/>
          <w:b/>
          <w:rFonts w:ascii="Century Gothic" w:hAnsi="Century Gothic"/>
        </w:rPr>
        <w:t xml:space="preserve"> </w:t>
      </w:r>
      <w:r>
        <w:rPr>
          <w:sz w:val="24"/>
          <w:szCs w:val="24"/>
          <w:rFonts w:ascii="Century Gothic" w:hAnsi="Century Gothic"/>
        </w:rPr>
        <w:t xml:space="preserve">zeinak lagunduko baitu Osasunerako Hezkuntzako eta </w:t>
      </w:r>
      <w:r>
        <w:rPr>
          <w:sz w:val="24"/>
          <w:szCs w:val="24"/>
          <w:b/>
          <w:rFonts w:ascii="Century Gothic" w:hAnsi="Century Gothic"/>
        </w:rPr>
        <w:t xml:space="preserve">Adikzioen Prebentzioko </w:t>
      </w:r>
      <w:r>
        <w:rPr>
          <w:sz w:val="24"/>
          <w:szCs w:val="24"/>
          <w:rFonts w:ascii="Century Gothic" w:hAnsi="Century Gothic"/>
        </w:rPr>
        <w:t xml:space="preserve">hezkuntza-prozesu formalean</w:t>
      </w:r>
      <w:r>
        <w:rPr>
          <w:sz w:val="24"/>
          <w:szCs w:val="24"/>
          <w:b/>
          <w:rFonts w:ascii="Century Gothic" w:hAnsi="Century Gothic"/>
        </w:rPr>
        <w:t xml:space="preserve">, derrigorrezko hezkuntzako curriculum-etapa guztietan.</w:t>
      </w:r>
      <w:r>
        <w:rPr>
          <w:sz w:val="24"/>
          <w:szCs w:val="24"/>
          <w:rFonts w:ascii="Century Gothic" w:hAnsi="Century Gothic"/>
        </w:rPr>
        <w:t xml:space="preserve"> </w:t>
      </w:r>
    </w:p>
    <w:p w:rsidR="00D5439F" w:rsidRPr="007D7BBA" w:rsidRDefault="00D5439F" w:rsidP="007D7BBA">
      <w:pPr>
        <w:spacing w:line="288" w:lineRule="auto"/>
        <w:rPr>
          <w:noProof/>
          <w:sz w:val="24"/>
          <w:szCs w:val="24"/>
          <w:rFonts w:ascii="Century Gothic" w:hAnsi="Century Gothic" w:cs="Tahoma"/>
        </w:rPr>
      </w:pPr>
      <w:r>
        <w:rPr>
          <w:sz w:val="24"/>
          <w:szCs w:val="24"/>
          <w:rFonts w:ascii="Century Gothic" w:hAnsi="Century Gothic"/>
        </w:rPr>
        <w:t xml:space="preserve">Azkenik, gogorarazi behar da Droga-mendekotasunak eta Adikzioak Prebenitzeko III. Planak koordinazioari eta lankidetzari eusten diela, aipatutako egiturekin ez ezik, gai honetan inplikatuta dauden Nafarroako Gobernuaren beste egitura batzuekin ere, bereziki Nafarroako Osasun Zerbitzuko Osasun Mentaleko Zuzendariordetzarekin eta Barne Zuzendaritza Nagusiarekin.</w:t>
      </w:r>
    </w:p>
    <w:p w:rsidR="0094264C" w:rsidRDefault="007D7BBA" w:rsidP="007D7BBA">
      <w:pPr>
        <w:tabs>
          <w:tab w:val="left" w:pos="720"/>
        </w:tabs>
        <w:spacing w:line="288" w:lineRule="auto"/>
        <w:rPr>
          <w:sz w:val="24"/>
          <w:szCs w:val="24"/>
          <w:rFonts w:ascii="Century Gothic" w:hAnsi="Century Gothic"/>
        </w:rPr>
      </w:pPr>
      <w:r>
        <w:rPr>
          <w:sz w:val="24"/>
          <w:szCs w:val="24"/>
          <w:rFonts w:ascii="Century Gothic" w:hAnsi="Century Gothic"/>
        </w:rPr>
        <w:t xml:space="preserve">Hori guztia jakinarazten dizut, Nafarroako Parlamentuko Erregelamenduaren 194. artikulua betez.</w:t>
      </w:r>
    </w:p>
    <w:p w:rsidR="0094264C" w:rsidRDefault="007D7BBA" w:rsidP="007D7BBA">
      <w:pPr>
        <w:tabs>
          <w:tab w:val="left" w:pos="3780"/>
        </w:tabs>
        <w:spacing w:line="288" w:lineRule="auto"/>
        <w:jc w:val="center"/>
        <w:rPr>
          <w:sz w:val="24"/>
          <w:szCs w:val="24"/>
          <w:rFonts w:ascii="Century Gothic" w:hAnsi="Century Gothic"/>
        </w:rPr>
      </w:pPr>
      <w:r>
        <w:rPr>
          <w:sz w:val="24"/>
          <w:szCs w:val="24"/>
          <w:rFonts w:ascii="Century Gothic" w:hAnsi="Century Gothic"/>
        </w:rPr>
        <w:t xml:space="preserve">Iruñean, 2020ko uztailaren 2an</w:t>
      </w:r>
    </w:p>
    <w:p w:rsidR="0094264C" w:rsidRDefault="0094264C" w:rsidP="007D7BBA">
      <w:pPr>
        <w:spacing w:line="288" w:lineRule="auto"/>
        <w:ind w:left="567" w:right="567"/>
        <w:jc w:val="center"/>
        <w:rPr>
          <w:sz w:val="24"/>
          <w:szCs w:val="24"/>
          <w:rFonts w:ascii="Century Gothic" w:hAnsi="Century Gothic"/>
        </w:rPr>
      </w:pPr>
      <w:r>
        <w:rPr>
          <w:sz w:val="24"/>
          <w:szCs w:val="24"/>
          <w:rFonts w:ascii="Century Gothic" w:hAnsi="Century Gothic"/>
        </w:rPr>
        <w:t xml:space="preserve">Osasuneko kontseilaria:</w:t>
      </w:r>
      <w:r>
        <w:rPr>
          <w:sz w:val="24"/>
          <w:szCs w:val="24"/>
          <w:rFonts w:ascii="Century Gothic" w:hAnsi="Century Gothic"/>
        </w:rPr>
        <w:t xml:space="preserve"> </w:t>
      </w:r>
      <w:r>
        <w:rPr>
          <w:sz w:val="24"/>
          <w:szCs w:val="24"/>
          <w:rFonts w:ascii="Century Gothic" w:hAnsi="Century Gothic"/>
        </w:rPr>
        <w:t xml:space="preserve">Santos Induráin Orduna</w:t>
      </w:r>
    </w:p>
    <w:p w:rsidR="00D5439F" w:rsidRPr="007D7BBA" w:rsidRDefault="00D5439F" w:rsidP="007D7BBA">
      <w:pPr>
        <w:spacing w:after="0" w:line="288" w:lineRule="auto"/>
        <w:rPr>
          <w:rFonts w:ascii="Century Gothic" w:hAnsi="Century Gothic"/>
          <w:sz w:val="24"/>
          <w:szCs w:val="24"/>
        </w:rPr>
      </w:pPr>
    </w:p>
    <w:sectPr w:rsidR="00D5439F" w:rsidRPr="007D7BBA" w:rsidSect="00E410D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9F" w:rsidRDefault="00D5439F" w:rsidP="00E410D4">
      <w:pPr>
        <w:spacing w:after="0"/>
      </w:pPr>
      <w:r>
        <w:separator/>
      </w:r>
    </w:p>
  </w:endnote>
  <w:endnote w:type="continuationSeparator" w:id="0">
    <w:p w:rsidR="00D5439F" w:rsidRDefault="00D5439F" w:rsidP="00E410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9F" w:rsidRDefault="00D5439F" w:rsidP="00E410D4">
      <w:pPr>
        <w:spacing w:after="0"/>
      </w:pPr>
      <w:r>
        <w:separator/>
      </w:r>
    </w:p>
  </w:footnote>
  <w:footnote w:type="continuationSeparator" w:id="0">
    <w:p w:rsidR="00D5439F" w:rsidRDefault="00D5439F" w:rsidP="00E410D4">
      <w:pPr>
        <w:spacing w:after="0"/>
      </w:pPr>
      <w:r>
        <w:continuationSeparator/>
      </w:r>
    </w:p>
  </w:footnote>
  <w:footnote w:id="1">
    <w:p w:rsidR="00D5439F" w:rsidRDefault="00D5439F" w:rsidP="00BC628A">
      <w:pPr>
        <w:tabs>
          <w:tab w:val="left" w:pos="1965"/>
        </w:tabs>
        <w:rPr>
          <w:rFonts w:ascii="Tahoma" w:hAnsi="Tahoma" w:cs="Tahoma"/>
        </w:rPr>
      </w:pPr>
      <w:r>
        <w:rPr>
          <w:rStyle w:val="Refdenotaalpie"/>
        </w:rPr>
        <w:footnoteRef/>
      </w:r>
      <w:r>
        <w:t xml:space="preserve"> </w:t>
      </w:r>
      <w:r>
        <w:rPr>
          <w:sz w:val="18"/>
          <w:szCs w:val="18"/>
          <w:rFonts w:ascii="Tahoma" w:hAnsi="Tahoma"/>
        </w:rPr>
        <w:t xml:space="preserve">Inkestak bi urtez behin egiten dira, txandaka, eta horrek bidea ematen digu etengabe behatzeko zer bilakaera izan duten substantzien kontsumoek eta IKT/Internet/bideojokoen erabilerek.</w:t>
      </w:r>
      <w:r>
        <w:rPr>
          <w:rFonts w:ascii="Tahoma" w:hAnsi="Tahoma"/>
        </w:rPr>
        <w:t xml:space="preserve"> </w:t>
      </w:r>
    </w:p>
    <w:p w:rsidR="00D5439F" w:rsidRDefault="00D5439F" w:rsidP="00BC628A">
      <w:pPr>
        <w:tabs>
          <w:tab w:val="left" w:pos="1965"/>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33"/>
    <w:multiLevelType w:val="hybridMultilevel"/>
    <w:tmpl w:val="CC36D44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AF8793B"/>
    <w:multiLevelType w:val="hybridMultilevel"/>
    <w:tmpl w:val="5B625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FC4B0B"/>
    <w:multiLevelType w:val="hybridMultilevel"/>
    <w:tmpl w:val="F3D60C0A"/>
    <w:lvl w:ilvl="0" w:tplc="FD36AFA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B9009C8"/>
    <w:multiLevelType w:val="multilevel"/>
    <w:tmpl w:val="5DDEA028"/>
    <w:lvl w:ilvl="0">
      <w:start w:val="6"/>
      <w:numFmt w:val="decimal"/>
      <w:lvlText w:val="%1."/>
      <w:lvlJc w:val="left"/>
      <w:pPr>
        <w:tabs>
          <w:tab w:val="num" w:pos="825"/>
        </w:tabs>
        <w:ind w:left="825" w:hanging="465"/>
      </w:pPr>
      <w:rPr>
        <w:rFonts w:cs="Times New Roman" w:hint="default"/>
        <w:b/>
      </w:rPr>
    </w:lvl>
    <w:lvl w:ilvl="1">
      <w:start w:val="1"/>
      <w:numFmt w:val="decimal"/>
      <w:pStyle w:val="Ttulo2"/>
      <w:lvlText w:val="%1.%2."/>
      <w:lvlJc w:val="left"/>
      <w:pPr>
        <w:tabs>
          <w:tab w:val="num" w:pos="1530"/>
        </w:tabs>
        <w:ind w:left="1530" w:hanging="465"/>
      </w:pPr>
      <w:rPr>
        <w:rFonts w:cs="Times New Roman" w:hint="default"/>
        <w:b/>
      </w:rPr>
    </w:lvl>
    <w:lvl w:ilvl="2">
      <w:start w:val="1"/>
      <w:numFmt w:val="decimal"/>
      <w:lvlText w:val="%1.%2.%3."/>
      <w:lvlJc w:val="left"/>
      <w:pPr>
        <w:tabs>
          <w:tab w:val="num" w:pos="2490"/>
        </w:tabs>
        <w:ind w:left="2490" w:hanging="720"/>
      </w:pPr>
      <w:rPr>
        <w:rFonts w:cs="Times New Roman" w:hint="default"/>
        <w:b/>
      </w:rPr>
    </w:lvl>
    <w:lvl w:ilvl="3">
      <w:start w:val="1"/>
      <w:numFmt w:val="decimal"/>
      <w:lvlText w:val="%1.%2.%3.%4."/>
      <w:lvlJc w:val="left"/>
      <w:pPr>
        <w:tabs>
          <w:tab w:val="num" w:pos="3195"/>
        </w:tabs>
        <w:ind w:left="3195" w:hanging="720"/>
      </w:pPr>
      <w:rPr>
        <w:rFonts w:cs="Times New Roman" w:hint="default"/>
        <w:b/>
      </w:rPr>
    </w:lvl>
    <w:lvl w:ilvl="4">
      <w:start w:val="1"/>
      <w:numFmt w:val="decimal"/>
      <w:lvlText w:val="%1.%2.%3.%4.%5."/>
      <w:lvlJc w:val="left"/>
      <w:pPr>
        <w:tabs>
          <w:tab w:val="num" w:pos="4260"/>
        </w:tabs>
        <w:ind w:left="4260" w:hanging="1080"/>
      </w:pPr>
      <w:rPr>
        <w:rFonts w:cs="Times New Roman" w:hint="default"/>
        <w:b/>
      </w:rPr>
    </w:lvl>
    <w:lvl w:ilvl="5">
      <w:start w:val="1"/>
      <w:numFmt w:val="decimal"/>
      <w:lvlText w:val="%1.%2.%3.%4.%5.%6."/>
      <w:lvlJc w:val="left"/>
      <w:pPr>
        <w:tabs>
          <w:tab w:val="num" w:pos="4965"/>
        </w:tabs>
        <w:ind w:left="4965" w:hanging="1080"/>
      </w:pPr>
      <w:rPr>
        <w:rFonts w:cs="Times New Roman" w:hint="default"/>
        <w:b/>
      </w:rPr>
    </w:lvl>
    <w:lvl w:ilvl="6">
      <w:start w:val="1"/>
      <w:numFmt w:val="decimal"/>
      <w:lvlText w:val="%1.%2.%3.%4.%5.%6.%7."/>
      <w:lvlJc w:val="left"/>
      <w:pPr>
        <w:tabs>
          <w:tab w:val="num" w:pos="6030"/>
        </w:tabs>
        <w:ind w:left="6030" w:hanging="1440"/>
      </w:pPr>
      <w:rPr>
        <w:rFonts w:cs="Times New Roman" w:hint="default"/>
        <w:b/>
      </w:rPr>
    </w:lvl>
    <w:lvl w:ilvl="7">
      <w:start w:val="1"/>
      <w:numFmt w:val="decimal"/>
      <w:lvlText w:val="%1.%2.%3.%4.%5.%6.%7.%8."/>
      <w:lvlJc w:val="left"/>
      <w:pPr>
        <w:tabs>
          <w:tab w:val="num" w:pos="6735"/>
        </w:tabs>
        <w:ind w:left="6735" w:hanging="1440"/>
      </w:pPr>
      <w:rPr>
        <w:rFonts w:cs="Times New Roman" w:hint="default"/>
        <w:b/>
      </w:rPr>
    </w:lvl>
    <w:lvl w:ilvl="8">
      <w:start w:val="1"/>
      <w:numFmt w:val="decimal"/>
      <w:lvlText w:val="%1.%2.%3.%4.%5.%6.%7.%8.%9."/>
      <w:lvlJc w:val="left"/>
      <w:pPr>
        <w:tabs>
          <w:tab w:val="num" w:pos="7800"/>
        </w:tabs>
        <w:ind w:left="7800" w:hanging="1800"/>
      </w:pPr>
      <w:rPr>
        <w:rFonts w:cs="Times New Roman" w:hint="default"/>
        <w:b/>
      </w:rPr>
    </w:lvl>
  </w:abstractNum>
  <w:abstractNum w:abstractNumId="4">
    <w:nsid w:val="58B6144B"/>
    <w:multiLevelType w:val="hybridMultilevel"/>
    <w:tmpl w:val="F55C6C4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5E2C7D21"/>
    <w:multiLevelType w:val="hybridMultilevel"/>
    <w:tmpl w:val="5BC618B4"/>
    <w:lvl w:ilvl="0" w:tplc="9CC6E76A">
      <w:start w:val="1"/>
      <w:numFmt w:val="decimal"/>
      <w:pStyle w:val="Ttul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5E8D03E7"/>
    <w:multiLevelType w:val="hybridMultilevel"/>
    <w:tmpl w:val="E21ABFE2"/>
    <w:lvl w:ilvl="0" w:tplc="94FC090E">
      <w:start w:val="1"/>
      <w:numFmt w:val="decimal"/>
      <w:lvlText w:val="%1."/>
      <w:lvlJc w:val="left"/>
      <w:pPr>
        <w:ind w:left="720" w:hanging="360"/>
      </w:pPr>
      <w:rPr>
        <w:rFonts w:ascii="Tahoma" w:hAnsi="Tahoma" w:cs="Tahoma" w:hint="default"/>
        <w:sz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F673417"/>
    <w:multiLevelType w:val="hybridMultilevel"/>
    <w:tmpl w:val="8C4A846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61611F94"/>
    <w:multiLevelType w:val="hybridMultilevel"/>
    <w:tmpl w:val="3F3AEF2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6C055468"/>
    <w:multiLevelType w:val="hybridMultilevel"/>
    <w:tmpl w:val="CC36D44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61E37ED"/>
    <w:multiLevelType w:val="hybridMultilevel"/>
    <w:tmpl w:val="5C720C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3"/>
  </w:num>
  <w:num w:numId="4">
    <w:abstractNumId w:val="10"/>
  </w:num>
  <w:num w:numId="5">
    <w:abstractNumId w:val="2"/>
  </w:num>
  <w:num w:numId="6">
    <w:abstractNumId w:val="0"/>
  </w:num>
  <w:num w:numId="7">
    <w:abstractNumId w:val="7"/>
  </w:num>
  <w:num w:numId="8">
    <w:abstractNumId w:val="2"/>
  </w:num>
  <w:num w:numId="9">
    <w:abstractNumId w:val="9"/>
  </w:num>
  <w:num w:numId="10">
    <w:abstractNumId w:val="6"/>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CB"/>
    <w:rsid w:val="00002315"/>
    <w:rsid w:val="00027843"/>
    <w:rsid w:val="00037129"/>
    <w:rsid w:val="00046A2B"/>
    <w:rsid w:val="00093EF5"/>
    <w:rsid w:val="000A51C1"/>
    <w:rsid w:val="000E6D80"/>
    <w:rsid w:val="000F1FD3"/>
    <w:rsid w:val="00127002"/>
    <w:rsid w:val="00133296"/>
    <w:rsid w:val="00157931"/>
    <w:rsid w:val="0016502A"/>
    <w:rsid w:val="00174321"/>
    <w:rsid w:val="001C1A95"/>
    <w:rsid w:val="00205EFE"/>
    <w:rsid w:val="00216411"/>
    <w:rsid w:val="002171A8"/>
    <w:rsid w:val="002509CB"/>
    <w:rsid w:val="002561C8"/>
    <w:rsid w:val="00270EE2"/>
    <w:rsid w:val="002800EC"/>
    <w:rsid w:val="002922A2"/>
    <w:rsid w:val="00324EB2"/>
    <w:rsid w:val="0035554F"/>
    <w:rsid w:val="00382ED5"/>
    <w:rsid w:val="003942A0"/>
    <w:rsid w:val="003A3615"/>
    <w:rsid w:val="003E69F4"/>
    <w:rsid w:val="00457DD5"/>
    <w:rsid w:val="004639E3"/>
    <w:rsid w:val="00483697"/>
    <w:rsid w:val="004A0317"/>
    <w:rsid w:val="004A148F"/>
    <w:rsid w:val="004A4138"/>
    <w:rsid w:val="004F6207"/>
    <w:rsid w:val="00501B3D"/>
    <w:rsid w:val="00555933"/>
    <w:rsid w:val="005762D9"/>
    <w:rsid w:val="00581610"/>
    <w:rsid w:val="005A7A40"/>
    <w:rsid w:val="005B501E"/>
    <w:rsid w:val="005D36AA"/>
    <w:rsid w:val="005D68E6"/>
    <w:rsid w:val="0060029A"/>
    <w:rsid w:val="00612D68"/>
    <w:rsid w:val="0063250C"/>
    <w:rsid w:val="00661A8E"/>
    <w:rsid w:val="006841B2"/>
    <w:rsid w:val="006B02A5"/>
    <w:rsid w:val="006B3540"/>
    <w:rsid w:val="00705519"/>
    <w:rsid w:val="007933D0"/>
    <w:rsid w:val="007947CA"/>
    <w:rsid w:val="007A17B8"/>
    <w:rsid w:val="007A6CC4"/>
    <w:rsid w:val="007B6F34"/>
    <w:rsid w:val="007D7BBA"/>
    <w:rsid w:val="007F6AB1"/>
    <w:rsid w:val="00812F42"/>
    <w:rsid w:val="00855B25"/>
    <w:rsid w:val="00865634"/>
    <w:rsid w:val="00877CCC"/>
    <w:rsid w:val="00896DC7"/>
    <w:rsid w:val="00902725"/>
    <w:rsid w:val="00925A2C"/>
    <w:rsid w:val="00933E89"/>
    <w:rsid w:val="0094264C"/>
    <w:rsid w:val="00950179"/>
    <w:rsid w:val="00954331"/>
    <w:rsid w:val="00957CCD"/>
    <w:rsid w:val="00996438"/>
    <w:rsid w:val="009B23B8"/>
    <w:rsid w:val="009B4C38"/>
    <w:rsid w:val="00A15674"/>
    <w:rsid w:val="00A16D29"/>
    <w:rsid w:val="00A42064"/>
    <w:rsid w:val="00A42DC6"/>
    <w:rsid w:val="00A757AA"/>
    <w:rsid w:val="00A84CAE"/>
    <w:rsid w:val="00A94DB5"/>
    <w:rsid w:val="00A954EF"/>
    <w:rsid w:val="00AA59E3"/>
    <w:rsid w:val="00AB605D"/>
    <w:rsid w:val="00AC47CB"/>
    <w:rsid w:val="00AE2F0E"/>
    <w:rsid w:val="00AF085E"/>
    <w:rsid w:val="00AF4A60"/>
    <w:rsid w:val="00B14276"/>
    <w:rsid w:val="00B2281A"/>
    <w:rsid w:val="00B33C65"/>
    <w:rsid w:val="00B47508"/>
    <w:rsid w:val="00B47A34"/>
    <w:rsid w:val="00B50142"/>
    <w:rsid w:val="00B503EE"/>
    <w:rsid w:val="00B9076F"/>
    <w:rsid w:val="00B9248E"/>
    <w:rsid w:val="00B93692"/>
    <w:rsid w:val="00B96B28"/>
    <w:rsid w:val="00BB252B"/>
    <w:rsid w:val="00BB6451"/>
    <w:rsid w:val="00BC628A"/>
    <w:rsid w:val="00BF5358"/>
    <w:rsid w:val="00BF537D"/>
    <w:rsid w:val="00BF799F"/>
    <w:rsid w:val="00C65719"/>
    <w:rsid w:val="00C91FF8"/>
    <w:rsid w:val="00C973DC"/>
    <w:rsid w:val="00CA126E"/>
    <w:rsid w:val="00CA3507"/>
    <w:rsid w:val="00CB40C2"/>
    <w:rsid w:val="00CB45D8"/>
    <w:rsid w:val="00CB5AF8"/>
    <w:rsid w:val="00CE21AD"/>
    <w:rsid w:val="00CE3FFF"/>
    <w:rsid w:val="00CF0C39"/>
    <w:rsid w:val="00D02B95"/>
    <w:rsid w:val="00D17680"/>
    <w:rsid w:val="00D40CB3"/>
    <w:rsid w:val="00D5439F"/>
    <w:rsid w:val="00D6032E"/>
    <w:rsid w:val="00DE05B8"/>
    <w:rsid w:val="00DF6BB6"/>
    <w:rsid w:val="00E410D4"/>
    <w:rsid w:val="00E477CD"/>
    <w:rsid w:val="00E5753E"/>
    <w:rsid w:val="00E6578C"/>
    <w:rsid w:val="00E8048E"/>
    <w:rsid w:val="00EA0658"/>
    <w:rsid w:val="00EA0999"/>
    <w:rsid w:val="00EB3105"/>
    <w:rsid w:val="00ED434D"/>
    <w:rsid w:val="00F0316B"/>
    <w:rsid w:val="00F21BDE"/>
    <w:rsid w:val="00F5726B"/>
    <w:rsid w:val="00F62C86"/>
    <w:rsid w:val="00F6304C"/>
    <w:rsid w:val="00F82560"/>
    <w:rsid w:val="00FA0E5F"/>
    <w:rsid w:val="00FE0371"/>
    <w:rsid w:val="00FE3C10"/>
    <w:rsid w:val="00FF5C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5"/>
    <w:pPr>
      <w:spacing w:after="180"/>
      <w:jc w:val="both"/>
    </w:pPr>
    <w:rPr>
      <w:rFonts w:ascii="Calibri" w:hAnsi="Calibri"/>
      <w:lang w:eastAsia="en-US"/>
    </w:rPr>
  </w:style>
  <w:style w:type="paragraph" w:styleId="Ttulo1">
    <w:name w:val="heading 1"/>
    <w:aliases w:val="Capítulo"/>
    <w:basedOn w:val="Normal"/>
    <w:next w:val="Normal"/>
    <w:link w:val="Ttulo1Car"/>
    <w:autoRedefine/>
    <w:uiPriority w:val="99"/>
    <w:qFormat/>
    <w:rsid w:val="007F6AB1"/>
    <w:pPr>
      <w:numPr>
        <w:numId w:val="1"/>
      </w:numPr>
      <w:spacing w:line="288" w:lineRule="auto"/>
      <w:outlineLvl w:val="0"/>
    </w:pPr>
    <w:rPr>
      <w:rFonts w:ascii="Century Gothic" w:hAnsi="Century Gothic" w:cs="Segoe UI"/>
      <w:b/>
      <w:color w:val="993300"/>
      <w:sz w:val="28"/>
      <w:szCs w:val="20"/>
      <w:u w:color="993300"/>
    </w:rPr>
  </w:style>
  <w:style w:type="paragraph" w:styleId="Ttulo2">
    <w:name w:val="heading 2"/>
    <w:aliases w:val="Título 1.1"/>
    <w:basedOn w:val="Normal"/>
    <w:next w:val="Normal"/>
    <w:link w:val="Ttulo2Car"/>
    <w:uiPriority w:val="99"/>
    <w:qFormat/>
    <w:rsid w:val="00933E89"/>
    <w:pPr>
      <w:keepNext/>
      <w:numPr>
        <w:ilvl w:val="1"/>
        <w:numId w:val="3"/>
      </w:numPr>
      <w:spacing w:before="240" w:after="60" w:line="288" w:lineRule="auto"/>
      <w:outlineLvl w:val="1"/>
    </w:pPr>
    <w:rPr>
      <w:rFonts w:ascii="Century Gothic" w:hAnsi="Century Gothic" w:cs="Segoe UI"/>
      <w:bCs/>
      <w:iCs/>
      <w:color w:val="993300"/>
      <w:sz w:val="28"/>
      <w:szCs w:val="28"/>
    </w:rPr>
  </w:style>
  <w:style w:type="paragraph" w:styleId="Ttulo3">
    <w:name w:val="heading 3"/>
    <w:basedOn w:val="Normal"/>
    <w:next w:val="Normal"/>
    <w:link w:val="Ttulo3Car"/>
    <w:autoRedefine/>
    <w:uiPriority w:val="99"/>
    <w:qFormat/>
    <w:rsid w:val="007F6AB1"/>
    <w:pPr>
      <w:keepNext/>
      <w:spacing w:before="100" w:beforeAutospacing="1"/>
      <w:outlineLvl w:val="2"/>
    </w:pPr>
    <w:rPr>
      <w:b/>
      <w:color w:val="333333"/>
      <w:sz w:val="28"/>
      <w:szCs w:val="20"/>
      <w:lang w:eastAsia="es-ES"/>
    </w:rPr>
  </w:style>
  <w:style w:type="paragraph" w:styleId="Ttulo4">
    <w:name w:val="heading 4"/>
    <w:basedOn w:val="Normal"/>
    <w:next w:val="Normal"/>
    <w:link w:val="Ttulo4Car"/>
    <w:uiPriority w:val="99"/>
    <w:qFormat/>
    <w:rsid w:val="00896DC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locked/>
    <w:rsid w:val="00B93692"/>
    <w:rPr>
      <w:rFonts w:ascii="Century Gothic" w:hAnsi="Century Gothic" w:cs="Segoe UI"/>
      <w:b/>
      <w:color w:val="993300"/>
      <w:sz w:val="28"/>
      <w:u w:color="993300"/>
      <w:lang w:eastAsia="en-US"/>
    </w:rPr>
  </w:style>
  <w:style w:type="character" w:customStyle="1" w:styleId="Ttulo2Car">
    <w:name w:val="Título 2 Car"/>
    <w:aliases w:val="Título 1.1 Car"/>
    <w:basedOn w:val="Fuentedeprrafopredeter"/>
    <w:link w:val="Ttulo2"/>
    <w:uiPriority w:val="99"/>
    <w:semiHidden/>
    <w:locked/>
    <w:rsid w:val="00957CCD"/>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9"/>
    <w:locked/>
    <w:rsid w:val="003E69F4"/>
    <w:rPr>
      <w:rFonts w:ascii="Calibri" w:hAnsi="Calibri" w:cs="Times New Roman"/>
      <w:b/>
      <w:color w:val="333333"/>
      <w:sz w:val="28"/>
    </w:rPr>
  </w:style>
  <w:style w:type="character" w:customStyle="1" w:styleId="Ttulo4Car">
    <w:name w:val="Título 4 Car"/>
    <w:basedOn w:val="Fuentedeprrafopredeter"/>
    <w:link w:val="Ttulo4"/>
    <w:uiPriority w:val="99"/>
    <w:semiHidden/>
    <w:locked/>
    <w:rsid w:val="00896DC7"/>
    <w:rPr>
      <w:rFonts w:ascii="Cambria" w:hAnsi="Cambria" w:cs="Times New Roman"/>
      <w:b/>
      <w:bCs/>
      <w:i/>
      <w:iCs/>
      <w:color w:val="4F81BD"/>
      <w:sz w:val="22"/>
      <w:szCs w:val="22"/>
      <w:lang w:eastAsia="en-US"/>
    </w:rPr>
  </w:style>
  <w:style w:type="paragraph" w:customStyle="1" w:styleId="CitaCualitativo">
    <w:name w:val="Cita Cualitativo"/>
    <w:basedOn w:val="Normal"/>
    <w:uiPriority w:val="99"/>
    <w:rsid w:val="005D36AA"/>
    <w:pPr>
      <w:spacing w:line="288" w:lineRule="auto"/>
    </w:pPr>
    <w:rPr>
      <w:rFonts w:ascii="Century Gothic" w:hAnsi="Century Gothic" w:cs="Segoe UI"/>
      <w:b/>
      <w:sz w:val="18"/>
      <w:szCs w:val="20"/>
    </w:rPr>
  </w:style>
  <w:style w:type="paragraph" w:customStyle="1" w:styleId="CitaTriangulares">
    <w:name w:val="Cita Triangulares"/>
    <w:basedOn w:val="Normal"/>
    <w:uiPriority w:val="99"/>
    <w:rsid w:val="00CB40C2"/>
    <w:pPr>
      <w:spacing w:line="288" w:lineRule="auto"/>
      <w:jc w:val="right"/>
    </w:pPr>
    <w:rPr>
      <w:rFonts w:ascii="Century Gothic" w:hAnsi="Century Gothic" w:cs="Segoe UI"/>
      <w:i/>
      <w:sz w:val="16"/>
      <w:szCs w:val="20"/>
    </w:rPr>
  </w:style>
  <w:style w:type="paragraph" w:styleId="Textodeglobo">
    <w:name w:val="Balloon Text"/>
    <w:basedOn w:val="Normal"/>
    <w:link w:val="TextodegloboCar"/>
    <w:uiPriority w:val="99"/>
    <w:rsid w:val="00AC47C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C47CB"/>
    <w:rPr>
      <w:rFonts w:ascii="Tahoma" w:hAnsi="Tahoma" w:cs="Tahoma"/>
      <w:sz w:val="16"/>
      <w:szCs w:val="16"/>
      <w:lang w:eastAsia="en-US"/>
    </w:rPr>
  </w:style>
  <w:style w:type="paragraph" w:styleId="Encabezado">
    <w:name w:val="header"/>
    <w:basedOn w:val="Normal"/>
    <w:link w:val="EncabezadoCar"/>
    <w:uiPriority w:val="99"/>
    <w:rsid w:val="00E410D4"/>
    <w:pPr>
      <w:tabs>
        <w:tab w:val="center" w:pos="4252"/>
        <w:tab w:val="right" w:pos="8504"/>
      </w:tabs>
      <w:spacing w:after="0"/>
    </w:pPr>
  </w:style>
  <w:style w:type="character" w:customStyle="1" w:styleId="EncabezadoCar">
    <w:name w:val="Encabezado Car"/>
    <w:basedOn w:val="Fuentedeprrafopredeter"/>
    <w:link w:val="Encabezado"/>
    <w:uiPriority w:val="99"/>
    <w:locked/>
    <w:rsid w:val="00E410D4"/>
    <w:rPr>
      <w:rFonts w:ascii="Calibri" w:hAnsi="Calibri" w:cs="Times New Roman"/>
      <w:sz w:val="22"/>
      <w:szCs w:val="22"/>
      <w:lang w:eastAsia="en-US"/>
    </w:rPr>
  </w:style>
  <w:style w:type="paragraph" w:styleId="Piedepgina">
    <w:name w:val="footer"/>
    <w:basedOn w:val="Normal"/>
    <w:link w:val="PiedepginaCar"/>
    <w:uiPriority w:val="99"/>
    <w:rsid w:val="00E410D4"/>
    <w:pPr>
      <w:tabs>
        <w:tab w:val="center" w:pos="4252"/>
        <w:tab w:val="right" w:pos="8504"/>
      </w:tabs>
      <w:spacing w:after="0"/>
    </w:pPr>
  </w:style>
  <w:style w:type="character" w:customStyle="1" w:styleId="PiedepginaCar">
    <w:name w:val="Pie de página Car"/>
    <w:basedOn w:val="Fuentedeprrafopredeter"/>
    <w:link w:val="Piedepgina"/>
    <w:uiPriority w:val="99"/>
    <w:locked/>
    <w:rsid w:val="00E410D4"/>
    <w:rPr>
      <w:rFonts w:ascii="Calibri" w:hAnsi="Calibri" w:cs="Times New Roman"/>
      <w:sz w:val="22"/>
      <w:szCs w:val="22"/>
      <w:lang w:eastAsia="en-US"/>
    </w:rPr>
  </w:style>
  <w:style w:type="paragraph" w:styleId="Prrafodelista">
    <w:name w:val="List Paragraph"/>
    <w:basedOn w:val="Normal"/>
    <w:uiPriority w:val="99"/>
    <w:qFormat/>
    <w:rsid w:val="005D68E6"/>
    <w:pPr>
      <w:spacing w:after="200" w:line="276" w:lineRule="auto"/>
      <w:ind w:left="720"/>
      <w:contextualSpacing/>
      <w:jc w:val="left"/>
    </w:pPr>
  </w:style>
  <w:style w:type="character" w:styleId="Hipervnculo">
    <w:name w:val="Hyperlink"/>
    <w:basedOn w:val="Fuentedeprrafopredeter"/>
    <w:uiPriority w:val="99"/>
    <w:rsid w:val="00B93692"/>
    <w:rPr>
      <w:rFonts w:cs="Times New Roman"/>
      <w:color w:val="0000FF"/>
      <w:u w:val="single"/>
    </w:rPr>
  </w:style>
  <w:style w:type="character" w:styleId="Hipervnculovisitado">
    <w:name w:val="FollowedHyperlink"/>
    <w:basedOn w:val="Fuentedeprrafopredeter"/>
    <w:uiPriority w:val="99"/>
    <w:rsid w:val="00CA126E"/>
    <w:rPr>
      <w:rFonts w:cs="Times New Roman"/>
      <w:color w:val="800080"/>
      <w:u w:val="single"/>
    </w:rPr>
  </w:style>
  <w:style w:type="character" w:styleId="Refdecomentario">
    <w:name w:val="annotation reference"/>
    <w:basedOn w:val="Fuentedeprrafopredeter"/>
    <w:uiPriority w:val="99"/>
    <w:rsid w:val="00CB45D8"/>
    <w:rPr>
      <w:rFonts w:cs="Times New Roman"/>
      <w:sz w:val="16"/>
      <w:szCs w:val="16"/>
    </w:rPr>
  </w:style>
  <w:style w:type="paragraph" w:styleId="Textocomentario">
    <w:name w:val="annotation text"/>
    <w:basedOn w:val="Normal"/>
    <w:link w:val="TextocomentarioCar"/>
    <w:uiPriority w:val="99"/>
    <w:rsid w:val="00CB45D8"/>
    <w:rPr>
      <w:sz w:val="20"/>
      <w:szCs w:val="20"/>
    </w:rPr>
  </w:style>
  <w:style w:type="character" w:customStyle="1" w:styleId="TextocomentarioCar">
    <w:name w:val="Texto comentario Car"/>
    <w:basedOn w:val="Fuentedeprrafopredeter"/>
    <w:link w:val="Textocomentario"/>
    <w:uiPriority w:val="99"/>
    <w:locked/>
    <w:rsid w:val="00CB45D8"/>
    <w:rPr>
      <w:rFonts w:ascii="Calibri" w:hAnsi="Calibri" w:cs="Times New Roman"/>
      <w:lang w:eastAsia="en-US"/>
    </w:rPr>
  </w:style>
  <w:style w:type="paragraph" w:styleId="Asuntodelcomentario">
    <w:name w:val="annotation subject"/>
    <w:basedOn w:val="Textocomentario"/>
    <w:next w:val="Textocomentario"/>
    <w:link w:val="AsuntodelcomentarioCar"/>
    <w:uiPriority w:val="99"/>
    <w:rsid w:val="00CB45D8"/>
    <w:rPr>
      <w:b/>
      <w:bCs/>
    </w:rPr>
  </w:style>
  <w:style w:type="character" w:customStyle="1" w:styleId="AsuntodelcomentarioCar">
    <w:name w:val="Asunto del comentario Car"/>
    <w:basedOn w:val="TextocomentarioCar"/>
    <w:link w:val="Asuntodelcomentario"/>
    <w:uiPriority w:val="99"/>
    <w:locked/>
    <w:rsid w:val="00CB45D8"/>
    <w:rPr>
      <w:rFonts w:ascii="Calibri" w:hAnsi="Calibri" w:cs="Times New Roman"/>
      <w:b/>
      <w:bCs/>
      <w:lang w:eastAsia="en-US"/>
    </w:rPr>
  </w:style>
  <w:style w:type="paragraph" w:styleId="Textonotapie">
    <w:name w:val="footnote text"/>
    <w:basedOn w:val="Normal"/>
    <w:link w:val="TextonotapieCar"/>
    <w:uiPriority w:val="99"/>
    <w:rsid w:val="00F6304C"/>
    <w:pPr>
      <w:spacing w:after="0"/>
    </w:pPr>
    <w:rPr>
      <w:sz w:val="20"/>
      <w:szCs w:val="20"/>
    </w:rPr>
  </w:style>
  <w:style w:type="character" w:customStyle="1" w:styleId="TextonotapieCar">
    <w:name w:val="Texto nota pie Car"/>
    <w:basedOn w:val="Fuentedeprrafopredeter"/>
    <w:link w:val="Textonotapie"/>
    <w:uiPriority w:val="99"/>
    <w:locked/>
    <w:rsid w:val="00F6304C"/>
    <w:rPr>
      <w:rFonts w:ascii="Calibri" w:hAnsi="Calibri" w:cs="Times New Roman"/>
      <w:lang w:eastAsia="en-US"/>
    </w:rPr>
  </w:style>
  <w:style w:type="character" w:styleId="Refdenotaalpie">
    <w:name w:val="footnote reference"/>
    <w:basedOn w:val="Fuentedeprrafopredeter"/>
    <w:uiPriority w:val="99"/>
    <w:rsid w:val="00F6304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A5"/>
    <w:pPr>
      <w:spacing w:after="180"/>
      <w:jc w:val="both"/>
    </w:pPr>
    <w:rPr>
      <w:rFonts w:ascii="Calibri" w:hAnsi="Calibri"/>
      <w:lang w:eastAsia="en-US"/>
    </w:rPr>
  </w:style>
  <w:style w:type="paragraph" w:styleId="Ttulo1">
    <w:name w:val="heading 1"/>
    <w:aliases w:val="Capítulo"/>
    <w:basedOn w:val="Normal"/>
    <w:next w:val="Normal"/>
    <w:link w:val="Ttulo1Car"/>
    <w:autoRedefine/>
    <w:uiPriority w:val="99"/>
    <w:qFormat/>
    <w:rsid w:val="007F6AB1"/>
    <w:pPr>
      <w:numPr>
        <w:numId w:val="1"/>
      </w:numPr>
      <w:spacing w:line="288" w:lineRule="auto"/>
      <w:outlineLvl w:val="0"/>
    </w:pPr>
    <w:rPr>
      <w:rFonts w:ascii="Century Gothic" w:hAnsi="Century Gothic" w:cs="Segoe UI"/>
      <w:b/>
      <w:color w:val="993300"/>
      <w:sz w:val="28"/>
      <w:szCs w:val="20"/>
      <w:u w:color="993300"/>
    </w:rPr>
  </w:style>
  <w:style w:type="paragraph" w:styleId="Ttulo2">
    <w:name w:val="heading 2"/>
    <w:aliases w:val="Título 1.1"/>
    <w:basedOn w:val="Normal"/>
    <w:next w:val="Normal"/>
    <w:link w:val="Ttulo2Car"/>
    <w:uiPriority w:val="99"/>
    <w:qFormat/>
    <w:rsid w:val="00933E89"/>
    <w:pPr>
      <w:keepNext/>
      <w:numPr>
        <w:ilvl w:val="1"/>
        <w:numId w:val="3"/>
      </w:numPr>
      <w:spacing w:before="240" w:after="60" w:line="288" w:lineRule="auto"/>
      <w:outlineLvl w:val="1"/>
    </w:pPr>
    <w:rPr>
      <w:rFonts w:ascii="Century Gothic" w:hAnsi="Century Gothic" w:cs="Segoe UI"/>
      <w:bCs/>
      <w:iCs/>
      <w:color w:val="993300"/>
      <w:sz w:val="28"/>
      <w:szCs w:val="28"/>
    </w:rPr>
  </w:style>
  <w:style w:type="paragraph" w:styleId="Ttulo3">
    <w:name w:val="heading 3"/>
    <w:basedOn w:val="Normal"/>
    <w:next w:val="Normal"/>
    <w:link w:val="Ttulo3Car"/>
    <w:autoRedefine/>
    <w:uiPriority w:val="99"/>
    <w:qFormat/>
    <w:rsid w:val="007F6AB1"/>
    <w:pPr>
      <w:keepNext/>
      <w:spacing w:before="100" w:beforeAutospacing="1"/>
      <w:outlineLvl w:val="2"/>
    </w:pPr>
    <w:rPr>
      <w:b/>
      <w:color w:val="333333"/>
      <w:sz w:val="28"/>
      <w:szCs w:val="20"/>
      <w:lang w:eastAsia="es-ES"/>
    </w:rPr>
  </w:style>
  <w:style w:type="paragraph" w:styleId="Ttulo4">
    <w:name w:val="heading 4"/>
    <w:basedOn w:val="Normal"/>
    <w:next w:val="Normal"/>
    <w:link w:val="Ttulo4Car"/>
    <w:uiPriority w:val="99"/>
    <w:qFormat/>
    <w:rsid w:val="00896DC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9"/>
    <w:locked/>
    <w:rsid w:val="00B93692"/>
    <w:rPr>
      <w:rFonts w:ascii="Century Gothic" w:hAnsi="Century Gothic" w:cs="Segoe UI"/>
      <w:b/>
      <w:color w:val="993300"/>
      <w:sz w:val="28"/>
      <w:u w:color="993300"/>
      <w:lang w:eastAsia="en-US"/>
    </w:rPr>
  </w:style>
  <w:style w:type="character" w:customStyle="1" w:styleId="Ttulo2Car">
    <w:name w:val="Título 2 Car"/>
    <w:aliases w:val="Título 1.1 Car"/>
    <w:basedOn w:val="Fuentedeprrafopredeter"/>
    <w:link w:val="Ttulo2"/>
    <w:uiPriority w:val="99"/>
    <w:semiHidden/>
    <w:locked/>
    <w:rsid w:val="00957CCD"/>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9"/>
    <w:locked/>
    <w:rsid w:val="003E69F4"/>
    <w:rPr>
      <w:rFonts w:ascii="Calibri" w:hAnsi="Calibri" w:cs="Times New Roman"/>
      <w:b/>
      <w:color w:val="333333"/>
      <w:sz w:val="28"/>
    </w:rPr>
  </w:style>
  <w:style w:type="character" w:customStyle="1" w:styleId="Ttulo4Car">
    <w:name w:val="Título 4 Car"/>
    <w:basedOn w:val="Fuentedeprrafopredeter"/>
    <w:link w:val="Ttulo4"/>
    <w:uiPriority w:val="99"/>
    <w:semiHidden/>
    <w:locked/>
    <w:rsid w:val="00896DC7"/>
    <w:rPr>
      <w:rFonts w:ascii="Cambria" w:hAnsi="Cambria" w:cs="Times New Roman"/>
      <w:b/>
      <w:bCs/>
      <w:i/>
      <w:iCs/>
      <w:color w:val="4F81BD"/>
      <w:sz w:val="22"/>
      <w:szCs w:val="22"/>
      <w:lang w:eastAsia="en-US"/>
    </w:rPr>
  </w:style>
  <w:style w:type="paragraph" w:customStyle="1" w:styleId="CitaCualitativo">
    <w:name w:val="Cita Cualitativo"/>
    <w:basedOn w:val="Normal"/>
    <w:uiPriority w:val="99"/>
    <w:rsid w:val="005D36AA"/>
    <w:pPr>
      <w:spacing w:line="288" w:lineRule="auto"/>
    </w:pPr>
    <w:rPr>
      <w:rFonts w:ascii="Century Gothic" w:hAnsi="Century Gothic" w:cs="Segoe UI"/>
      <w:b/>
      <w:sz w:val="18"/>
      <w:szCs w:val="20"/>
    </w:rPr>
  </w:style>
  <w:style w:type="paragraph" w:customStyle="1" w:styleId="CitaTriangulares">
    <w:name w:val="Cita Triangulares"/>
    <w:basedOn w:val="Normal"/>
    <w:uiPriority w:val="99"/>
    <w:rsid w:val="00CB40C2"/>
    <w:pPr>
      <w:spacing w:line="288" w:lineRule="auto"/>
      <w:jc w:val="right"/>
    </w:pPr>
    <w:rPr>
      <w:rFonts w:ascii="Century Gothic" w:hAnsi="Century Gothic" w:cs="Segoe UI"/>
      <w:i/>
      <w:sz w:val="16"/>
      <w:szCs w:val="20"/>
    </w:rPr>
  </w:style>
  <w:style w:type="paragraph" w:styleId="Textodeglobo">
    <w:name w:val="Balloon Text"/>
    <w:basedOn w:val="Normal"/>
    <w:link w:val="TextodegloboCar"/>
    <w:uiPriority w:val="99"/>
    <w:rsid w:val="00AC47C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AC47CB"/>
    <w:rPr>
      <w:rFonts w:ascii="Tahoma" w:hAnsi="Tahoma" w:cs="Tahoma"/>
      <w:sz w:val="16"/>
      <w:szCs w:val="16"/>
      <w:lang w:eastAsia="en-US"/>
    </w:rPr>
  </w:style>
  <w:style w:type="paragraph" w:styleId="Encabezado">
    <w:name w:val="header"/>
    <w:basedOn w:val="Normal"/>
    <w:link w:val="EncabezadoCar"/>
    <w:uiPriority w:val="99"/>
    <w:rsid w:val="00E410D4"/>
    <w:pPr>
      <w:tabs>
        <w:tab w:val="center" w:pos="4252"/>
        <w:tab w:val="right" w:pos="8504"/>
      </w:tabs>
      <w:spacing w:after="0"/>
    </w:pPr>
  </w:style>
  <w:style w:type="character" w:customStyle="1" w:styleId="EncabezadoCar">
    <w:name w:val="Encabezado Car"/>
    <w:basedOn w:val="Fuentedeprrafopredeter"/>
    <w:link w:val="Encabezado"/>
    <w:uiPriority w:val="99"/>
    <w:locked/>
    <w:rsid w:val="00E410D4"/>
    <w:rPr>
      <w:rFonts w:ascii="Calibri" w:hAnsi="Calibri" w:cs="Times New Roman"/>
      <w:sz w:val="22"/>
      <w:szCs w:val="22"/>
      <w:lang w:eastAsia="en-US"/>
    </w:rPr>
  </w:style>
  <w:style w:type="paragraph" w:styleId="Piedepgina">
    <w:name w:val="footer"/>
    <w:basedOn w:val="Normal"/>
    <w:link w:val="PiedepginaCar"/>
    <w:uiPriority w:val="99"/>
    <w:rsid w:val="00E410D4"/>
    <w:pPr>
      <w:tabs>
        <w:tab w:val="center" w:pos="4252"/>
        <w:tab w:val="right" w:pos="8504"/>
      </w:tabs>
      <w:spacing w:after="0"/>
    </w:pPr>
  </w:style>
  <w:style w:type="character" w:customStyle="1" w:styleId="PiedepginaCar">
    <w:name w:val="Pie de página Car"/>
    <w:basedOn w:val="Fuentedeprrafopredeter"/>
    <w:link w:val="Piedepgina"/>
    <w:uiPriority w:val="99"/>
    <w:locked/>
    <w:rsid w:val="00E410D4"/>
    <w:rPr>
      <w:rFonts w:ascii="Calibri" w:hAnsi="Calibri" w:cs="Times New Roman"/>
      <w:sz w:val="22"/>
      <w:szCs w:val="22"/>
      <w:lang w:eastAsia="en-US"/>
    </w:rPr>
  </w:style>
  <w:style w:type="paragraph" w:styleId="Prrafodelista">
    <w:name w:val="List Paragraph"/>
    <w:basedOn w:val="Normal"/>
    <w:uiPriority w:val="99"/>
    <w:qFormat/>
    <w:rsid w:val="005D68E6"/>
    <w:pPr>
      <w:spacing w:after="200" w:line="276" w:lineRule="auto"/>
      <w:ind w:left="720"/>
      <w:contextualSpacing/>
      <w:jc w:val="left"/>
    </w:pPr>
  </w:style>
  <w:style w:type="character" w:styleId="Hipervnculo">
    <w:name w:val="Hyperlink"/>
    <w:basedOn w:val="Fuentedeprrafopredeter"/>
    <w:uiPriority w:val="99"/>
    <w:rsid w:val="00B93692"/>
    <w:rPr>
      <w:rFonts w:cs="Times New Roman"/>
      <w:color w:val="0000FF"/>
      <w:u w:val="single"/>
    </w:rPr>
  </w:style>
  <w:style w:type="character" w:styleId="Hipervnculovisitado">
    <w:name w:val="FollowedHyperlink"/>
    <w:basedOn w:val="Fuentedeprrafopredeter"/>
    <w:uiPriority w:val="99"/>
    <w:rsid w:val="00CA126E"/>
    <w:rPr>
      <w:rFonts w:cs="Times New Roman"/>
      <w:color w:val="800080"/>
      <w:u w:val="single"/>
    </w:rPr>
  </w:style>
  <w:style w:type="character" w:styleId="Refdecomentario">
    <w:name w:val="annotation reference"/>
    <w:basedOn w:val="Fuentedeprrafopredeter"/>
    <w:uiPriority w:val="99"/>
    <w:rsid w:val="00CB45D8"/>
    <w:rPr>
      <w:rFonts w:cs="Times New Roman"/>
      <w:sz w:val="16"/>
      <w:szCs w:val="16"/>
    </w:rPr>
  </w:style>
  <w:style w:type="paragraph" w:styleId="Textocomentario">
    <w:name w:val="annotation text"/>
    <w:basedOn w:val="Normal"/>
    <w:link w:val="TextocomentarioCar"/>
    <w:uiPriority w:val="99"/>
    <w:rsid w:val="00CB45D8"/>
    <w:rPr>
      <w:sz w:val="20"/>
      <w:szCs w:val="20"/>
    </w:rPr>
  </w:style>
  <w:style w:type="character" w:customStyle="1" w:styleId="TextocomentarioCar">
    <w:name w:val="Texto comentario Car"/>
    <w:basedOn w:val="Fuentedeprrafopredeter"/>
    <w:link w:val="Textocomentario"/>
    <w:uiPriority w:val="99"/>
    <w:locked/>
    <w:rsid w:val="00CB45D8"/>
    <w:rPr>
      <w:rFonts w:ascii="Calibri" w:hAnsi="Calibri" w:cs="Times New Roman"/>
      <w:lang w:eastAsia="en-US"/>
    </w:rPr>
  </w:style>
  <w:style w:type="paragraph" w:styleId="Asuntodelcomentario">
    <w:name w:val="annotation subject"/>
    <w:basedOn w:val="Textocomentario"/>
    <w:next w:val="Textocomentario"/>
    <w:link w:val="AsuntodelcomentarioCar"/>
    <w:uiPriority w:val="99"/>
    <w:rsid w:val="00CB45D8"/>
    <w:rPr>
      <w:b/>
      <w:bCs/>
    </w:rPr>
  </w:style>
  <w:style w:type="character" w:customStyle="1" w:styleId="AsuntodelcomentarioCar">
    <w:name w:val="Asunto del comentario Car"/>
    <w:basedOn w:val="TextocomentarioCar"/>
    <w:link w:val="Asuntodelcomentario"/>
    <w:uiPriority w:val="99"/>
    <w:locked/>
    <w:rsid w:val="00CB45D8"/>
    <w:rPr>
      <w:rFonts w:ascii="Calibri" w:hAnsi="Calibri" w:cs="Times New Roman"/>
      <w:b/>
      <w:bCs/>
      <w:lang w:eastAsia="en-US"/>
    </w:rPr>
  </w:style>
  <w:style w:type="paragraph" w:styleId="Textonotapie">
    <w:name w:val="footnote text"/>
    <w:basedOn w:val="Normal"/>
    <w:link w:val="TextonotapieCar"/>
    <w:uiPriority w:val="99"/>
    <w:rsid w:val="00F6304C"/>
    <w:pPr>
      <w:spacing w:after="0"/>
    </w:pPr>
    <w:rPr>
      <w:sz w:val="20"/>
      <w:szCs w:val="20"/>
    </w:rPr>
  </w:style>
  <w:style w:type="character" w:customStyle="1" w:styleId="TextonotapieCar">
    <w:name w:val="Texto nota pie Car"/>
    <w:basedOn w:val="Fuentedeprrafopredeter"/>
    <w:link w:val="Textonotapie"/>
    <w:uiPriority w:val="99"/>
    <w:locked/>
    <w:rsid w:val="00F6304C"/>
    <w:rPr>
      <w:rFonts w:ascii="Calibri" w:hAnsi="Calibri" w:cs="Times New Roman"/>
      <w:lang w:eastAsia="en-US"/>
    </w:rPr>
  </w:style>
  <w:style w:type="character" w:styleId="Refdenotaalpie">
    <w:name w:val="footnote reference"/>
    <w:basedOn w:val="Fuentedeprrafopredeter"/>
    <w:uiPriority w:val="99"/>
    <w:rsid w:val="00F630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80263">
      <w:marLeft w:val="0"/>
      <w:marRight w:val="0"/>
      <w:marTop w:val="0"/>
      <w:marBottom w:val="0"/>
      <w:divBdr>
        <w:top w:val="none" w:sz="0" w:space="0" w:color="auto"/>
        <w:left w:val="none" w:sz="0" w:space="0" w:color="auto"/>
        <w:bottom w:val="none" w:sz="0" w:space="0" w:color="auto"/>
        <w:right w:val="none" w:sz="0" w:space="0" w:color="auto"/>
      </w:divBdr>
    </w:div>
    <w:div w:id="903880264">
      <w:marLeft w:val="0"/>
      <w:marRight w:val="0"/>
      <w:marTop w:val="0"/>
      <w:marBottom w:val="0"/>
      <w:divBdr>
        <w:top w:val="none" w:sz="0" w:space="0" w:color="auto"/>
        <w:left w:val="none" w:sz="0" w:space="0" w:color="auto"/>
        <w:bottom w:val="none" w:sz="0" w:space="0" w:color="auto"/>
        <w:right w:val="none" w:sz="0" w:space="0" w:color="auto"/>
      </w:divBdr>
    </w:div>
    <w:div w:id="903880265">
      <w:marLeft w:val="0"/>
      <w:marRight w:val="0"/>
      <w:marTop w:val="0"/>
      <w:marBottom w:val="0"/>
      <w:divBdr>
        <w:top w:val="none" w:sz="0" w:space="0" w:color="auto"/>
        <w:left w:val="none" w:sz="0" w:space="0" w:color="auto"/>
        <w:bottom w:val="none" w:sz="0" w:space="0" w:color="auto"/>
        <w:right w:val="none" w:sz="0" w:space="0" w:color="auto"/>
      </w:divBdr>
    </w:div>
    <w:div w:id="903880266">
      <w:marLeft w:val="0"/>
      <w:marRight w:val="0"/>
      <w:marTop w:val="0"/>
      <w:marBottom w:val="0"/>
      <w:divBdr>
        <w:top w:val="none" w:sz="0" w:space="0" w:color="auto"/>
        <w:left w:val="none" w:sz="0" w:space="0" w:color="auto"/>
        <w:bottom w:val="none" w:sz="0" w:space="0" w:color="auto"/>
        <w:right w:val="none" w:sz="0" w:space="0" w:color="auto"/>
      </w:divBdr>
    </w:div>
    <w:div w:id="903880268">
      <w:marLeft w:val="0"/>
      <w:marRight w:val="0"/>
      <w:marTop w:val="0"/>
      <w:marBottom w:val="0"/>
      <w:divBdr>
        <w:top w:val="none" w:sz="0" w:space="0" w:color="auto"/>
        <w:left w:val="none" w:sz="0" w:space="0" w:color="auto"/>
        <w:bottom w:val="none" w:sz="0" w:space="0" w:color="auto"/>
        <w:right w:val="none" w:sz="0" w:space="0" w:color="auto"/>
      </w:divBdr>
      <w:divsChild>
        <w:div w:id="903880269">
          <w:marLeft w:val="0"/>
          <w:marRight w:val="0"/>
          <w:marTop w:val="0"/>
          <w:marBottom w:val="0"/>
          <w:divBdr>
            <w:top w:val="none" w:sz="0" w:space="0" w:color="auto"/>
            <w:left w:val="none" w:sz="0" w:space="0" w:color="auto"/>
            <w:bottom w:val="none" w:sz="0" w:space="0" w:color="auto"/>
            <w:right w:val="none" w:sz="0" w:space="0" w:color="auto"/>
          </w:divBdr>
        </w:div>
        <w:div w:id="903880271">
          <w:marLeft w:val="0"/>
          <w:marRight w:val="0"/>
          <w:marTop w:val="0"/>
          <w:marBottom w:val="0"/>
          <w:divBdr>
            <w:top w:val="none" w:sz="0" w:space="0" w:color="auto"/>
            <w:left w:val="none" w:sz="0" w:space="0" w:color="auto"/>
            <w:bottom w:val="none" w:sz="0" w:space="0" w:color="auto"/>
            <w:right w:val="none" w:sz="0" w:space="0" w:color="auto"/>
          </w:divBdr>
        </w:div>
        <w:div w:id="903880277">
          <w:marLeft w:val="0"/>
          <w:marRight w:val="0"/>
          <w:marTop w:val="0"/>
          <w:marBottom w:val="0"/>
          <w:divBdr>
            <w:top w:val="none" w:sz="0" w:space="0" w:color="auto"/>
            <w:left w:val="none" w:sz="0" w:space="0" w:color="auto"/>
            <w:bottom w:val="none" w:sz="0" w:space="0" w:color="auto"/>
            <w:right w:val="none" w:sz="0" w:space="0" w:color="auto"/>
          </w:divBdr>
        </w:div>
        <w:div w:id="903880278">
          <w:marLeft w:val="0"/>
          <w:marRight w:val="0"/>
          <w:marTop w:val="0"/>
          <w:marBottom w:val="0"/>
          <w:divBdr>
            <w:top w:val="none" w:sz="0" w:space="0" w:color="auto"/>
            <w:left w:val="none" w:sz="0" w:space="0" w:color="auto"/>
            <w:bottom w:val="none" w:sz="0" w:space="0" w:color="auto"/>
            <w:right w:val="none" w:sz="0" w:space="0" w:color="auto"/>
          </w:divBdr>
        </w:div>
      </w:divsChild>
    </w:div>
    <w:div w:id="903880270">
      <w:marLeft w:val="0"/>
      <w:marRight w:val="0"/>
      <w:marTop w:val="0"/>
      <w:marBottom w:val="0"/>
      <w:divBdr>
        <w:top w:val="none" w:sz="0" w:space="0" w:color="auto"/>
        <w:left w:val="none" w:sz="0" w:space="0" w:color="auto"/>
        <w:bottom w:val="none" w:sz="0" w:space="0" w:color="auto"/>
        <w:right w:val="none" w:sz="0" w:space="0" w:color="auto"/>
      </w:divBdr>
    </w:div>
    <w:div w:id="903880272">
      <w:marLeft w:val="0"/>
      <w:marRight w:val="0"/>
      <w:marTop w:val="0"/>
      <w:marBottom w:val="0"/>
      <w:divBdr>
        <w:top w:val="none" w:sz="0" w:space="0" w:color="auto"/>
        <w:left w:val="none" w:sz="0" w:space="0" w:color="auto"/>
        <w:bottom w:val="none" w:sz="0" w:space="0" w:color="auto"/>
        <w:right w:val="none" w:sz="0" w:space="0" w:color="auto"/>
      </w:divBdr>
    </w:div>
    <w:div w:id="903880273">
      <w:marLeft w:val="0"/>
      <w:marRight w:val="0"/>
      <w:marTop w:val="0"/>
      <w:marBottom w:val="0"/>
      <w:divBdr>
        <w:top w:val="none" w:sz="0" w:space="0" w:color="auto"/>
        <w:left w:val="none" w:sz="0" w:space="0" w:color="auto"/>
        <w:bottom w:val="none" w:sz="0" w:space="0" w:color="auto"/>
        <w:right w:val="none" w:sz="0" w:space="0" w:color="auto"/>
      </w:divBdr>
    </w:div>
    <w:div w:id="903880281">
      <w:marLeft w:val="0"/>
      <w:marRight w:val="0"/>
      <w:marTop w:val="0"/>
      <w:marBottom w:val="0"/>
      <w:divBdr>
        <w:top w:val="none" w:sz="0" w:space="0" w:color="auto"/>
        <w:left w:val="none" w:sz="0" w:space="0" w:color="auto"/>
        <w:bottom w:val="none" w:sz="0" w:space="0" w:color="auto"/>
        <w:right w:val="none" w:sz="0" w:space="0" w:color="auto"/>
      </w:divBdr>
    </w:div>
    <w:div w:id="903880282">
      <w:marLeft w:val="0"/>
      <w:marRight w:val="0"/>
      <w:marTop w:val="0"/>
      <w:marBottom w:val="0"/>
      <w:divBdr>
        <w:top w:val="none" w:sz="0" w:space="0" w:color="auto"/>
        <w:left w:val="none" w:sz="0" w:space="0" w:color="auto"/>
        <w:bottom w:val="none" w:sz="0" w:space="0" w:color="auto"/>
        <w:right w:val="none" w:sz="0" w:space="0" w:color="auto"/>
      </w:divBdr>
    </w:div>
    <w:div w:id="903880283">
      <w:marLeft w:val="0"/>
      <w:marRight w:val="0"/>
      <w:marTop w:val="0"/>
      <w:marBottom w:val="0"/>
      <w:divBdr>
        <w:top w:val="none" w:sz="0" w:space="0" w:color="auto"/>
        <w:left w:val="none" w:sz="0" w:space="0" w:color="auto"/>
        <w:bottom w:val="none" w:sz="0" w:space="0" w:color="auto"/>
        <w:right w:val="none" w:sz="0" w:space="0" w:color="auto"/>
      </w:divBdr>
      <w:divsChild>
        <w:div w:id="903880274">
          <w:marLeft w:val="0"/>
          <w:marRight w:val="0"/>
          <w:marTop w:val="0"/>
          <w:marBottom w:val="0"/>
          <w:divBdr>
            <w:top w:val="none" w:sz="0" w:space="0" w:color="auto"/>
            <w:left w:val="none" w:sz="0" w:space="0" w:color="auto"/>
            <w:bottom w:val="none" w:sz="0" w:space="0" w:color="auto"/>
            <w:right w:val="none" w:sz="0" w:space="0" w:color="auto"/>
          </w:divBdr>
        </w:div>
        <w:div w:id="903880275">
          <w:marLeft w:val="0"/>
          <w:marRight w:val="0"/>
          <w:marTop w:val="0"/>
          <w:marBottom w:val="0"/>
          <w:divBdr>
            <w:top w:val="none" w:sz="0" w:space="0" w:color="auto"/>
            <w:left w:val="none" w:sz="0" w:space="0" w:color="auto"/>
            <w:bottom w:val="none" w:sz="0" w:space="0" w:color="auto"/>
            <w:right w:val="none" w:sz="0" w:space="0" w:color="auto"/>
          </w:divBdr>
        </w:div>
        <w:div w:id="903880279">
          <w:marLeft w:val="0"/>
          <w:marRight w:val="0"/>
          <w:marTop w:val="0"/>
          <w:marBottom w:val="0"/>
          <w:divBdr>
            <w:top w:val="none" w:sz="0" w:space="0" w:color="auto"/>
            <w:left w:val="none" w:sz="0" w:space="0" w:color="auto"/>
            <w:bottom w:val="none" w:sz="0" w:space="0" w:color="auto"/>
            <w:right w:val="none" w:sz="0" w:space="0" w:color="auto"/>
          </w:divBdr>
        </w:div>
        <w:div w:id="903880280">
          <w:marLeft w:val="0"/>
          <w:marRight w:val="0"/>
          <w:marTop w:val="0"/>
          <w:marBottom w:val="0"/>
          <w:divBdr>
            <w:top w:val="none" w:sz="0" w:space="0" w:color="auto"/>
            <w:left w:val="none" w:sz="0" w:space="0" w:color="auto"/>
            <w:bottom w:val="none" w:sz="0" w:space="0" w:color="auto"/>
            <w:right w:val="none" w:sz="0" w:space="0" w:color="auto"/>
          </w:divBdr>
        </w:div>
        <w:div w:id="903880284">
          <w:marLeft w:val="0"/>
          <w:marRight w:val="0"/>
          <w:marTop w:val="0"/>
          <w:marBottom w:val="0"/>
          <w:divBdr>
            <w:top w:val="none" w:sz="0" w:space="0" w:color="auto"/>
            <w:left w:val="none" w:sz="0" w:space="0" w:color="auto"/>
            <w:bottom w:val="none" w:sz="0" w:space="0" w:color="auto"/>
            <w:right w:val="none" w:sz="0" w:space="0" w:color="auto"/>
          </w:divBdr>
        </w:div>
        <w:div w:id="903880288">
          <w:marLeft w:val="0"/>
          <w:marRight w:val="0"/>
          <w:marTop w:val="0"/>
          <w:marBottom w:val="0"/>
          <w:divBdr>
            <w:top w:val="none" w:sz="0" w:space="0" w:color="auto"/>
            <w:left w:val="none" w:sz="0" w:space="0" w:color="auto"/>
            <w:bottom w:val="none" w:sz="0" w:space="0" w:color="auto"/>
            <w:right w:val="none" w:sz="0" w:space="0" w:color="auto"/>
          </w:divBdr>
        </w:div>
        <w:div w:id="903880290">
          <w:marLeft w:val="0"/>
          <w:marRight w:val="0"/>
          <w:marTop w:val="0"/>
          <w:marBottom w:val="0"/>
          <w:divBdr>
            <w:top w:val="none" w:sz="0" w:space="0" w:color="auto"/>
            <w:left w:val="none" w:sz="0" w:space="0" w:color="auto"/>
            <w:bottom w:val="none" w:sz="0" w:space="0" w:color="auto"/>
            <w:right w:val="none" w:sz="0" w:space="0" w:color="auto"/>
          </w:divBdr>
        </w:div>
        <w:div w:id="903880291">
          <w:marLeft w:val="0"/>
          <w:marRight w:val="0"/>
          <w:marTop w:val="0"/>
          <w:marBottom w:val="0"/>
          <w:divBdr>
            <w:top w:val="none" w:sz="0" w:space="0" w:color="auto"/>
            <w:left w:val="none" w:sz="0" w:space="0" w:color="auto"/>
            <w:bottom w:val="none" w:sz="0" w:space="0" w:color="auto"/>
            <w:right w:val="none" w:sz="0" w:space="0" w:color="auto"/>
          </w:divBdr>
        </w:div>
        <w:div w:id="903880293">
          <w:marLeft w:val="0"/>
          <w:marRight w:val="0"/>
          <w:marTop w:val="0"/>
          <w:marBottom w:val="0"/>
          <w:divBdr>
            <w:top w:val="none" w:sz="0" w:space="0" w:color="auto"/>
            <w:left w:val="none" w:sz="0" w:space="0" w:color="auto"/>
            <w:bottom w:val="none" w:sz="0" w:space="0" w:color="auto"/>
            <w:right w:val="none" w:sz="0" w:space="0" w:color="auto"/>
          </w:divBdr>
        </w:div>
        <w:div w:id="903880296">
          <w:marLeft w:val="0"/>
          <w:marRight w:val="0"/>
          <w:marTop w:val="0"/>
          <w:marBottom w:val="0"/>
          <w:divBdr>
            <w:top w:val="none" w:sz="0" w:space="0" w:color="auto"/>
            <w:left w:val="none" w:sz="0" w:space="0" w:color="auto"/>
            <w:bottom w:val="none" w:sz="0" w:space="0" w:color="auto"/>
            <w:right w:val="none" w:sz="0" w:space="0" w:color="auto"/>
          </w:divBdr>
        </w:div>
        <w:div w:id="903880297">
          <w:marLeft w:val="0"/>
          <w:marRight w:val="0"/>
          <w:marTop w:val="0"/>
          <w:marBottom w:val="0"/>
          <w:divBdr>
            <w:top w:val="none" w:sz="0" w:space="0" w:color="auto"/>
            <w:left w:val="none" w:sz="0" w:space="0" w:color="auto"/>
            <w:bottom w:val="none" w:sz="0" w:space="0" w:color="auto"/>
            <w:right w:val="none" w:sz="0" w:space="0" w:color="auto"/>
          </w:divBdr>
        </w:div>
        <w:div w:id="903880298">
          <w:marLeft w:val="0"/>
          <w:marRight w:val="0"/>
          <w:marTop w:val="0"/>
          <w:marBottom w:val="0"/>
          <w:divBdr>
            <w:top w:val="none" w:sz="0" w:space="0" w:color="auto"/>
            <w:left w:val="none" w:sz="0" w:space="0" w:color="auto"/>
            <w:bottom w:val="none" w:sz="0" w:space="0" w:color="auto"/>
            <w:right w:val="none" w:sz="0" w:space="0" w:color="auto"/>
          </w:divBdr>
        </w:div>
        <w:div w:id="903880301">
          <w:marLeft w:val="0"/>
          <w:marRight w:val="0"/>
          <w:marTop w:val="0"/>
          <w:marBottom w:val="0"/>
          <w:divBdr>
            <w:top w:val="none" w:sz="0" w:space="0" w:color="auto"/>
            <w:left w:val="none" w:sz="0" w:space="0" w:color="auto"/>
            <w:bottom w:val="none" w:sz="0" w:space="0" w:color="auto"/>
            <w:right w:val="none" w:sz="0" w:space="0" w:color="auto"/>
          </w:divBdr>
        </w:div>
        <w:div w:id="903880306">
          <w:marLeft w:val="0"/>
          <w:marRight w:val="0"/>
          <w:marTop w:val="0"/>
          <w:marBottom w:val="0"/>
          <w:divBdr>
            <w:top w:val="none" w:sz="0" w:space="0" w:color="auto"/>
            <w:left w:val="none" w:sz="0" w:space="0" w:color="auto"/>
            <w:bottom w:val="none" w:sz="0" w:space="0" w:color="auto"/>
            <w:right w:val="none" w:sz="0" w:space="0" w:color="auto"/>
          </w:divBdr>
        </w:div>
        <w:div w:id="903880307">
          <w:marLeft w:val="0"/>
          <w:marRight w:val="0"/>
          <w:marTop w:val="0"/>
          <w:marBottom w:val="0"/>
          <w:divBdr>
            <w:top w:val="none" w:sz="0" w:space="0" w:color="auto"/>
            <w:left w:val="none" w:sz="0" w:space="0" w:color="auto"/>
            <w:bottom w:val="none" w:sz="0" w:space="0" w:color="auto"/>
            <w:right w:val="none" w:sz="0" w:space="0" w:color="auto"/>
          </w:divBdr>
        </w:div>
      </w:divsChild>
    </w:div>
    <w:div w:id="903880285">
      <w:marLeft w:val="0"/>
      <w:marRight w:val="0"/>
      <w:marTop w:val="0"/>
      <w:marBottom w:val="0"/>
      <w:divBdr>
        <w:top w:val="none" w:sz="0" w:space="0" w:color="auto"/>
        <w:left w:val="none" w:sz="0" w:space="0" w:color="auto"/>
        <w:bottom w:val="none" w:sz="0" w:space="0" w:color="auto"/>
        <w:right w:val="none" w:sz="0" w:space="0" w:color="auto"/>
      </w:divBdr>
    </w:div>
    <w:div w:id="903880286">
      <w:marLeft w:val="0"/>
      <w:marRight w:val="0"/>
      <w:marTop w:val="0"/>
      <w:marBottom w:val="0"/>
      <w:divBdr>
        <w:top w:val="none" w:sz="0" w:space="0" w:color="auto"/>
        <w:left w:val="none" w:sz="0" w:space="0" w:color="auto"/>
        <w:bottom w:val="none" w:sz="0" w:space="0" w:color="auto"/>
        <w:right w:val="none" w:sz="0" w:space="0" w:color="auto"/>
      </w:divBdr>
    </w:div>
    <w:div w:id="903880289">
      <w:marLeft w:val="0"/>
      <w:marRight w:val="0"/>
      <w:marTop w:val="0"/>
      <w:marBottom w:val="0"/>
      <w:divBdr>
        <w:top w:val="none" w:sz="0" w:space="0" w:color="auto"/>
        <w:left w:val="none" w:sz="0" w:space="0" w:color="auto"/>
        <w:bottom w:val="none" w:sz="0" w:space="0" w:color="auto"/>
        <w:right w:val="none" w:sz="0" w:space="0" w:color="auto"/>
      </w:divBdr>
    </w:div>
    <w:div w:id="903880292">
      <w:marLeft w:val="0"/>
      <w:marRight w:val="0"/>
      <w:marTop w:val="0"/>
      <w:marBottom w:val="0"/>
      <w:divBdr>
        <w:top w:val="none" w:sz="0" w:space="0" w:color="auto"/>
        <w:left w:val="none" w:sz="0" w:space="0" w:color="auto"/>
        <w:bottom w:val="none" w:sz="0" w:space="0" w:color="auto"/>
        <w:right w:val="none" w:sz="0" w:space="0" w:color="auto"/>
      </w:divBdr>
      <w:divsChild>
        <w:div w:id="903880276">
          <w:marLeft w:val="0"/>
          <w:marRight w:val="0"/>
          <w:marTop w:val="0"/>
          <w:marBottom w:val="0"/>
          <w:divBdr>
            <w:top w:val="none" w:sz="0" w:space="0" w:color="auto"/>
            <w:left w:val="none" w:sz="0" w:space="0" w:color="auto"/>
            <w:bottom w:val="none" w:sz="0" w:space="0" w:color="auto"/>
            <w:right w:val="none" w:sz="0" w:space="0" w:color="auto"/>
          </w:divBdr>
        </w:div>
        <w:div w:id="903880287">
          <w:marLeft w:val="0"/>
          <w:marRight w:val="0"/>
          <w:marTop w:val="0"/>
          <w:marBottom w:val="0"/>
          <w:divBdr>
            <w:top w:val="none" w:sz="0" w:space="0" w:color="auto"/>
            <w:left w:val="none" w:sz="0" w:space="0" w:color="auto"/>
            <w:bottom w:val="none" w:sz="0" w:space="0" w:color="auto"/>
            <w:right w:val="none" w:sz="0" w:space="0" w:color="auto"/>
          </w:divBdr>
          <w:divsChild>
            <w:div w:id="9038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294">
      <w:marLeft w:val="0"/>
      <w:marRight w:val="0"/>
      <w:marTop w:val="0"/>
      <w:marBottom w:val="0"/>
      <w:divBdr>
        <w:top w:val="none" w:sz="0" w:space="0" w:color="auto"/>
        <w:left w:val="none" w:sz="0" w:space="0" w:color="auto"/>
        <w:bottom w:val="none" w:sz="0" w:space="0" w:color="auto"/>
        <w:right w:val="none" w:sz="0" w:space="0" w:color="auto"/>
      </w:divBdr>
    </w:div>
    <w:div w:id="903880295">
      <w:marLeft w:val="0"/>
      <w:marRight w:val="0"/>
      <w:marTop w:val="0"/>
      <w:marBottom w:val="0"/>
      <w:divBdr>
        <w:top w:val="none" w:sz="0" w:space="0" w:color="auto"/>
        <w:left w:val="none" w:sz="0" w:space="0" w:color="auto"/>
        <w:bottom w:val="none" w:sz="0" w:space="0" w:color="auto"/>
        <w:right w:val="none" w:sz="0" w:space="0" w:color="auto"/>
      </w:divBdr>
    </w:div>
    <w:div w:id="903880299">
      <w:marLeft w:val="0"/>
      <w:marRight w:val="0"/>
      <w:marTop w:val="0"/>
      <w:marBottom w:val="0"/>
      <w:divBdr>
        <w:top w:val="none" w:sz="0" w:space="0" w:color="auto"/>
        <w:left w:val="none" w:sz="0" w:space="0" w:color="auto"/>
        <w:bottom w:val="none" w:sz="0" w:space="0" w:color="auto"/>
        <w:right w:val="none" w:sz="0" w:space="0" w:color="auto"/>
      </w:divBdr>
    </w:div>
    <w:div w:id="903880300">
      <w:marLeft w:val="0"/>
      <w:marRight w:val="0"/>
      <w:marTop w:val="0"/>
      <w:marBottom w:val="0"/>
      <w:divBdr>
        <w:top w:val="none" w:sz="0" w:space="0" w:color="auto"/>
        <w:left w:val="none" w:sz="0" w:space="0" w:color="auto"/>
        <w:bottom w:val="none" w:sz="0" w:space="0" w:color="auto"/>
        <w:right w:val="none" w:sz="0" w:space="0" w:color="auto"/>
      </w:divBdr>
    </w:div>
    <w:div w:id="903880302">
      <w:marLeft w:val="0"/>
      <w:marRight w:val="0"/>
      <w:marTop w:val="0"/>
      <w:marBottom w:val="0"/>
      <w:divBdr>
        <w:top w:val="none" w:sz="0" w:space="0" w:color="auto"/>
        <w:left w:val="none" w:sz="0" w:space="0" w:color="auto"/>
        <w:bottom w:val="none" w:sz="0" w:space="0" w:color="auto"/>
        <w:right w:val="none" w:sz="0" w:space="0" w:color="auto"/>
      </w:divBdr>
    </w:div>
    <w:div w:id="903880303">
      <w:marLeft w:val="0"/>
      <w:marRight w:val="0"/>
      <w:marTop w:val="0"/>
      <w:marBottom w:val="0"/>
      <w:divBdr>
        <w:top w:val="none" w:sz="0" w:space="0" w:color="auto"/>
        <w:left w:val="none" w:sz="0" w:space="0" w:color="auto"/>
        <w:bottom w:val="none" w:sz="0" w:space="0" w:color="auto"/>
        <w:right w:val="none" w:sz="0" w:space="0" w:color="auto"/>
      </w:divBdr>
    </w:div>
    <w:div w:id="903880304">
      <w:marLeft w:val="0"/>
      <w:marRight w:val="0"/>
      <w:marTop w:val="0"/>
      <w:marBottom w:val="0"/>
      <w:divBdr>
        <w:top w:val="none" w:sz="0" w:space="0" w:color="auto"/>
        <w:left w:val="none" w:sz="0" w:space="0" w:color="auto"/>
        <w:bottom w:val="none" w:sz="0" w:space="0" w:color="auto"/>
        <w:right w:val="none" w:sz="0" w:space="0" w:color="auto"/>
      </w:divBdr>
    </w:div>
    <w:div w:id="90388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www.saludjovennavarra.es/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2198</Words>
  <Characters>11615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Eransus, Raquel (ISPLN)</dc:creator>
  <cp:lastModifiedBy>Aranaz, Carlota</cp:lastModifiedBy>
  <cp:revision>5</cp:revision>
  <cp:lastPrinted>2020-07-01T16:13:00Z</cp:lastPrinted>
  <dcterms:created xsi:type="dcterms:W3CDTF">2020-07-01T16:15:00Z</dcterms:created>
  <dcterms:modified xsi:type="dcterms:W3CDTF">2020-07-16T06:38:00Z</dcterms:modified>
</cp:coreProperties>
</file>