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gasto que prevé el Departamento de Cohesión Territorial en los Presupuestos del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Cohesión Territorial para su respuesta escrita:</w:t>
      </w:r>
    </w:p>
    <w:p>
      <w:pPr>
        <w:pStyle w:val="0"/>
        <w:suppressAutoHyphens w:val="false"/>
        <w:rPr>
          <w:rStyle w:val="1"/>
        </w:rPr>
      </w:pPr>
      <w:r>
        <w:rPr>
          <w:rStyle w:val="1"/>
        </w:rPr>
        <w:t xml:space="preserve">¿Qué inejecuciones de gasto prevé el Departamento de Cohesión Territorial, con expresión de la partida y del importe en cada una de ellas, en los Presupuestos del año 2020?</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