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'Estrategia Biodiversidad en el horizonte 2030' y la 'Estrategia de la Granja a la Mesa', formulada por la Ilma. Sra. D.ª Uxue Barcos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para que sea respondida en el Pleno del próximo 11 de junio por la Consejera de Desarrollo Rural y Medio Ambiente del Gobierno de Navarra.</w:t>
      </w:r>
    </w:p>
    <w:p>
      <w:pPr>
        <w:pStyle w:val="0"/>
        <w:suppressAutoHyphens w:val="false"/>
        <w:rPr>
          <w:rStyle w:val="1"/>
        </w:rPr>
      </w:pPr>
      <w:r>
        <w:rPr>
          <w:rStyle w:val="1"/>
        </w:rPr>
        <w:t xml:space="preserve">La Comisión Europea ha presentado la semana pasada las estrategias “Biodiversidad en el horizonte 2030” y “Estrategia de la Granja a la Mesa”, que a su importancia intrínseca adquieren especial relevancia en la situación de crisis generada por el covid-2019.</w:t>
      </w:r>
    </w:p>
    <w:p>
      <w:pPr>
        <w:pStyle w:val="0"/>
        <w:suppressAutoHyphens w:val="false"/>
        <w:rPr>
          <w:rStyle w:val="1"/>
        </w:rPr>
      </w:pPr>
      <w:r>
        <w:rPr>
          <w:rStyle w:val="1"/>
        </w:rPr>
        <w:t xml:space="preserve">A este respecto se pregunta a la Consejera de Desarrollo Rural y Medio Ambiente: ¿cómo se valoran ambas estrategias y cómo se prevé la aplicación de las mismas en la Comunidad Foral?</w:t>
      </w:r>
    </w:p>
    <w:p>
      <w:pPr>
        <w:pStyle w:val="0"/>
        <w:suppressAutoHyphens w:val="false"/>
        <w:rPr>
          <w:rStyle w:val="1"/>
        </w:rPr>
      </w:pPr>
      <w:r>
        <w:rPr>
          <w:rStyle w:val="1"/>
        </w:rPr>
        <w:t xml:space="preserve">Pamplona-lruña a 4 de junio de 2020</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