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cumplimiento de la Agenda de Desarrollo de Economía Circular,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Podemos-Ahal Dugu Navarra, al amparo de lo dispuesto en el Reglamento de esta Cámara presenta la siguiente pregunta oral, a fin de que sea respondida en el próximo Pleno de la Cámara por parte de la Sra. Consejera de Desarrollo Rural y Medio Ambiente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el último eurobarómetro, el cambio climático es la primera o segunda preocupación de la mayoría de la ciudadanía europea, incluyéndose también otras preocupaciones de índole medioambiental como la contaminación o la deforestación. Y según el informe "Actitudes frente a la basuraleza" del proyecto Libera, desarrollado por las entidades ambientales SEO/Birdlife y Ecoembe hace un año, el abandono de basura en espacios naturales preocupaba al 57% de la población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Dadas estas preocupaciones, la Unión Europea ha decidido invertir un billón de euros durante los próximos diez años en frenar el cambio climático.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Sabemos que en la pasada legislatura el Gobierno de Navarra, a instancias de este Parlamento, decidió llevar un seguimiento de las políticas relacionadas con los Objetivos de Desarrollo Sostenible en nuestra Comunidad y que en abril del año pasado se aprobó la Agenda de Desarrollo de Economía Circular de Navarra.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Queremos saber: ¿qué acciones concretas está realizando el Gobierno de Navarra para cumplir con la Agenda de Desarrollo de Economía Circular?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6 de febrero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