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Rubén Velasko Fraile jaunak aurkeztutako gaurkotasun handiko galdera, errenta bermatuaren jasotzaileen eta nekazaritzako laneskuaren faltaren arteko harremanari buruz UAGN sindikatuak egindako adierazpenei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Rubén Velasco Fraile andreak, Legebiltzarreko Erregelamenduan ezarritakoaren babesean, gaurkotasun handiko honako galdera hau egiten du, Nafarroako Gobernuko Ogasuneko eta Finantza Politikako kontseilariak ahoz erantzun dezan 2018ko urriaren 11ko Osoko Bilkuran:</w:t>
      </w:r>
    </w:p>
    <w:p>
      <w:pPr>
        <w:pStyle w:val="0"/>
        <w:suppressAutoHyphens w:val="false"/>
        <w:rPr>
          <w:rStyle w:val="1"/>
        </w:rPr>
      </w:pPr>
      <w:r>
        <w:rPr>
          <w:rStyle w:val="1"/>
        </w:rPr>
        <w:t xml:space="preserve">Eduki xenofoboko errankizunen aurkako borrokaren ikuspuntutik, departamentuak zer deritze errenta bermatuaren jasotzaileen eta nekazaritzako laneskuaren faltaren arteko harremanari buruz UAGN sindikatuak egindako adierazpenei?</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Foru parlamentaria: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