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3A32" w:rsidRDefault="00E97702" w:rsidP="00C22AD3">
      <w:pPr>
        <w:pStyle w:val="EstiloPortada"/>
        <w:ind w:left="3686" w:right="-58"/>
        <w:rPr>
          <w:rFonts w:ascii="GillSans" w:hAnsi="GillSans"/>
          <w:color w:val="808080"/>
          <w:sz w:val="40"/>
        </w:rPr>
      </w:pPr>
      <w:r>
        <w:rPr>
          <w:rFonts w:ascii="GillSans" w:hAnsi="GillSans"/>
          <w:noProof/>
          <w:color w:val="808080"/>
          <w:sz w:val="40"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-819150</wp:posOffset>
                </wp:positionV>
                <wp:extent cx="1105535" cy="93726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5B6" w:rsidRPr="003A7956" w:rsidRDefault="008705B6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CAMARA DE</w:t>
                            </w:r>
                          </w:p>
                          <w:p w:rsidR="008705B6" w:rsidRPr="003A7956" w:rsidRDefault="008705B6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COMPTOS</w:t>
                            </w:r>
                          </w:p>
                          <w:p w:rsidR="008705B6" w:rsidRPr="003A7956" w:rsidRDefault="008705B6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sz w:val="18"/>
                                <w:szCs w:val="18"/>
                                <w:lang w:val="es-ES"/>
                              </w:rPr>
                              <w:t>DE NAVARRA</w:t>
                            </w:r>
                          </w:p>
                          <w:p w:rsidR="008705B6" w:rsidRPr="003A7956" w:rsidRDefault="008705B6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NAFARROAKO</w:t>
                            </w:r>
                          </w:p>
                          <w:p w:rsidR="008705B6" w:rsidRPr="003A7956" w:rsidRDefault="008705B6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KONTUEN</w:t>
                            </w:r>
                          </w:p>
                          <w:p w:rsidR="008705B6" w:rsidRPr="003A7956" w:rsidRDefault="008705B6" w:rsidP="002C7026">
                            <w:pPr>
                              <w:spacing w:after="0"/>
                              <w:ind w:firstLine="0"/>
                              <w:jc w:val="center"/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3A7956">
                              <w:rPr>
                                <w:color w:val="808080"/>
                                <w:sz w:val="18"/>
                                <w:szCs w:val="18"/>
                                <w:lang w:val="es-ES"/>
                              </w:rPr>
                              <w:t>GANBERA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pt;margin-top:-64.5pt;width:87.05pt;height: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" stroked="f" strokecolor="white">
                <v:textbox>
                  <w:txbxContent>
                    <w:p w:rsidR="008705B6" w:rsidRPr="003A7956" w:rsidRDefault="008705B6" w:rsidP="002C7026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CAMARA DE</w:t>
                      </w:r>
                    </w:p>
                    <w:p w:rsidR="008705B6" w:rsidRPr="003A7956" w:rsidRDefault="008705B6" w:rsidP="002C7026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COMPTOS</w:t>
                      </w:r>
                    </w:p>
                    <w:p w:rsidR="008705B6" w:rsidRPr="003A7956" w:rsidRDefault="008705B6" w:rsidP="002C7026">
                      <w:pPr>
                        <w:spacing w:after="0"/>
                        <w:ind w:firstLine="0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sz w:val="18"/>
                          <w:szCs w:val="18"/>
                          <w:lang w:val="es-ES"/>
                        </w:rPr>
                        <w:t>DE NAVARRA</w:t>
                      </w:r>
                    </w:p>
                    <w:p w:rsidR="008705B6" w:rsidRPr="003A7956" w:rsidRDefault="008705B6" w:rsidP="002C7026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NAFARROAKO</w:t>
                      </w:r>
                    </w:p>
                    <w:p w:rsidR="008705B6" w:rsidRPr="003A7956" w:rsidRDefault="008705B6" w:rsidP="002C7026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KONTUEN</w:t>
                      </w:r>
                    </w:p>
                    <w:p w:rsidR="008705B6" w:rsidRPr="003A7956" w:rsidRDefault="008705B6" w:rsidP="002C7026">
                      <w:pPr>
                        <w:spacing w:after="0"/>
                        <w:ind w:firstLine="0"/>
                        <w:jc w:val="center"/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</w:pPr>
                      <w:r w:rsidRPr="003A7956">
                        <w:rPr>
                          <w:color w:val="808080"/>
                          <w:sz w:val="18"/>
                          <w:szCs w:val="18"/>
                          <w:lang w:val="es-ES"/>
                        </w:rPr>
                        <w:t>GANBERA</w:t>
                      </w:r>
                    </w:p>
                  </w:txbxContent>
                </v:textbox>
              </v:shape>
            </w:pict>
          </mc:Fallback>
        </mc:AlternateContent>
      </w:r>
    </w:p>
    <w:p w:rsidR="00CB68B8" w:rsidRDefault="00CB68B8" w:rsidP="00C22AD3">
      <w:pPr>
        <w:pStyle w:val="EstiloPortada"/>
        <w:ind w:left="3686" w:right="-58"/>
        <w:rPr>
          <w:rFonts w:ascii="GillSans" w:hAnsi="GillSans"/>
          <w:color w:val="808080"/>
          <w:sz w:val="40"/>
        </w:rPr>
      </w:pPr>
    </w:p>
    <w:p w:rsidR="00CB68B8" w:rsidRPr="000E5471" w:rsidRDefault="00CB68B8" w:rsidP="00E712AB">
      <w:pPr>
        <w:pStyle w:val="EstiloPortada"/>
        <w:tabs>
          <w:tab w:val="left" w:pos="4253"/>
        </w:tabs>
        <w:ind w:left="4253" w:right="-58"/>
        <w:rPr>
          <w:rFonts w:ascii="Arial" w:hAnsi="Arial" w:cs="Arial"/>
          <w:color w:val="808080" w:themeColor="background1" w:themeShade="80"/>
          <w:sz w:val="36"/>
          <w:szCs w:val="36"/>
        </w:rPr>
      </w:pPr>
    </w:p>
    <w:p w:rsidR="00E712AB" w:rsidRPr="008705B6" w:rsidRDefault="003C777E" w:rsidP="008705B6">
      <w:pPr>
        <w:pStyle w:val="EstiloPortada"/>
        <w:ind w:left="3261"/>
        <w:rPr>
          <w:sz w:val="52"/>
          <w:szCs w:val="52"/>
        </w:rPr>
      </w:pPr>
      <w:r w:rsidRPr="008705B6">
        <w:rPr>
          <w:sz w:val="52"/>
          <w:szCs w:val="52"/>
        </w:rPr>
        <w:t>Reparos</w:t>
      </w:r>
      <w:r w:rsidR="008E6B5A" w:rsidRPr="008705B6">
        <w:rPr>
          <w:sz w:val="52"/>
          <w:szCs w:val="52"/>
        </w:rPr>
        <w:t xml:space="preserve"> emitidos por los</w:t>
      </w:r>
    </w:p>
    <w:p w:rsidR="001C3A32" w:rsidRPr="008705B6" w:rsidRDefault="001473F3" w:rsidP="008705B6">
      <w:pPr>
        <w:pStyle w:val="EstiloPortada"/>
        <w:ind w:left="3261"/>
        <w:rPr>
          <w:sz w:val="52"/>
          <w:szCs w:val="52"/>
        </w:rPr>
      </w:pPr>
      <w:r w:rsidRPr="008705B6">
        <w:rPr>
          <w:sz w:val="52"/>
          <w:szCs w:val="52"/>
        </w:rPr>
        <w:t>interventores</w:t>
      </w:r>
      <w:r w:rsidR="008E6B5A" w:rsidRPr="008705B6">
        <w:rPr>
          <w:sz w:val="52"/>
          <w:szCs w:val="52"/>
        </w:rPr>
        <w:t xml:space="preserve"> de las</w:t>
      </w:r>
      <w:r w:rsidR="00E712AB" w:rsidRPr="008705B6">
        <w:rPr>
          <w:sz w:val="52"/>
          <w:szCs w:val="52"/>
        </w:rPr>
        <w:t xml:space="preserve"> e</w:t>
      </w:r>
      <w:r w:rsidR="008E6B5A" w:rsidRPr="008705B6">
        <w:rPr>
          <w:sz w:val="52"/>
          <w:szCs w:val="52"/>
        </w:rPr>
        <w:t xml:space="preserve">ntidades </w:t>
      </w:r>
      <w:r w:rsidR="00E712AB" w:rsidRPr="008705B6">
        <w:rPr>
          <w:sz w:val="52"/>
          <w:szCs w:val="52"/>
        </w:rPr>
        <w:t>l</w:t>
      </w:r>
      <w:r w:rsidR="008E6B5A" w:rsidRPr="008705B6">
        <w:rPr>
          <w:sz w:val="52"/>
          <w:szCs w:val="52"/>
        </w:rPr>
        <w:t>ocales de Navarra, 2014</w:t>
      </w:r>
    </w:p>
    <w:p w:rsidR="001C3A32" w:rsidRPr="008705B6" w:rsidRDefault="001C3A32" w:rsidP="008705B6">
      <w:pPr>
        <w:pStyle w:val="texto"/>
        <w:tabs>
          <w:tab w:val="clear" w:pos="3969"/>
          <w:tab w:val="left" w:pos="3402"/>
        </w:tabs>
        <w:ind w:left="3261" w:firstLine="0"/>
        <w:rPr>
          <w:sz w:val="52"/>
          <w:szCs w:val="52"/>
        </w:rPr>
      </w:pPr>
    </w:p>
    <w:p w:rsidR="001C3A32" w:rsidRPr="009301C8" w:rsidRDefault="001C3A32" w:rsidP="00E712AB">
      <w:pPr>
        <w:pStyle w:val="texto"/>
        <w:tabs>
          <w:tab w:val="left" w:pos="3828"/>
        </w:tabs>
        <w:ind w:left="3969"/>
      </w:pPr>
    </w:p>
    <w:p w:rsidR="002F2530" w:rsidRPr="009301C8" w:rsidRDefault="002F2530" w:rsidP="00891D73">
      <w:pPr>
        <w:pStyle w:val="texto"/>
      </w:pPr>
    </w:p>
    <w:p w:rsidR="002F2530" w:rsidRPr="009301C8" w:rsidRDefault="002F2530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1C3A32" w:rsidRPr="00204979" w:rsidRDefault="001C3A32" w:rsidP="00891D73">
      <w:pPr>
        <w:pStyle w:val="texto"/>
      </w:pPr>
    </w:p>
    <w:p w:rsidR="00844F74" w:rsidRDefault="00844F74" w:rsidP="00891D73">
      <w:pPr>
        <w:pStyle w:val="texto"/>
      </w:pPr>
    </w:p>
    <w:p w:rsidR="00C66D91" w:rsidRDefault="00C66D91" w:rsidP="00891D73">
      <w:pPr>
        <w:pStyle w:val="texto"/>
      </w:pPr>
    </w:p>
    <w:p w:rsidR="00C66D91" w:rsidRDefault="00C66D91" w:rsidP="00891D73">
      <w:pPr>
        <w:pStyle w:val="texto"/>
      </w:pPr>
    </w:p>
    <w:p w:rsidR="00C66D91" w:rsidRDefault="00C66D91" w:rsidP="00891D73">
      <w:pPr>
        <w:pStyle w:val="texto"/>
      </w:pPr>
    </w:p>
    <w:p w:rsidR="00844F74" w:rsidRPr="00204979" w:rsidRDefault="00844F74" w:rsidP="00891D73">
      <w:pPr>
        <w:pStyle w:val="texto"/>
      </w:pPr>
    </w:p>
    <w:p w:rsidR="00716463" w:rsidRPr="001D4F09" w:rsidRDefault="00A140E6" w:rsidP="009936FC">
      <w:pPr>
        <w:pStyle w:val="Fechaportada"/>
      </w:pPr>
      <w:r>
        <w:t>Septiembre</w:t>
      </w:r>
      <w:r w:rsidR="00253E78" w:rsidRPr="001D4F09">
        <w:t xml:space="preserve"> de 20</w:t>
      </w:r>
      <w:r w:rsidR="003C777E">
        <w:t>15</w:t>
      </w:r>
    </w:p>
    <w:p w:rsidR="008E3FFE" w:rsidRPr="001D4F09" w:rsidRDefault="008E3FFE" w:rsidP="00891D73">
      <w:pPr>
        <w:pStyle w:val="ndice"/>
        <w:rPr>
          <w:rFonts w:ascii="Times New Roman" w:hAnsi="Times New Roman"/>
        </w:rPr>
        <w:sectPr w:rsidR="008E3FFE" w:rsidRPr="001D4F09" w:rsidSect="0019660E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2835" w:right="1559" w:bottom="1644" w:left="1559" w:header="369" w:footer="136" w:gutter="0"/>
          <w:pgNumType w:start="1"/>
          <w:cols w:space="720"/>
          <w:titlePg/>
          <w:docGrid w:linePitch="360"/>
        </w:sectPr>
      </w:pPr>
    </w:p>
    <w:p w:rsidR="001C3A32" w:rsidRDefault="00891D73" w:rsidP="00891D73">
      <w:pPr>
        <w:pStyle w:val="ndice"/>
      </w:pPr>
      <w:r w:rsidRPr="00891D73">
        <w:lastRenderedPageBreak/>
        <w:t>Índice</w:t>
      </w:r>
    </w:p>
    <w:p w:rsidR="0014728F" w:rsidRPr="00CB68B8" w:rsidRDefault="00CB68B8" w:rsidP="00CB68B8">
      <w:pPr>
        <w:pStyle w:val="texto"/>
        <w:ind w:right="-142"/>
        <w:jc w:val="right"/>
        <w:rPr>
          <w:rFonts w:ascii="Arial Narrow" w:hAnsi="Arial Narrow"/>
          <w:sz w:val="18"/>
          <w:szCs w:val="18"/>
        </w:rPr>
      </w:pPr>
      <w:r w:rsidRPr="00CB68B8">
        <w:rPr>
          <w:rFonts w:ascii="Arial Narrow" w:hAnsi="Arial Narrow"/>
          <w:sz w:val="18"/>
          <w:szCs w:val="18"/>
        </w:rPr>
        <w:t>PÁG.</w:t>
      </w:r>
    </w:p>
    <w:p w:rsidR="00EF2F88" w:rsidRDefault="0014728F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r>
        <w:fldChar w:fldCharType="begin"/>
      </w:r>
      <w:r>
        <w:instrText xml:space="preserve"> TOC \o "1-3" \h \z \t "atitulo1;1;atitulo2;2" </w:instrText>
      </w:r>
      <w:r>
        <w:fldChar w:fldCharType="separate"/>
      </w:r>
      <w:hyperlink w:anchor="_Toc429728666" w:history="1">
        <w:r w:rsidR="00EF2F88" w:rsidRPr="007E2C10">
          <w:rPr>
            <w:rStyle w:val="Hipervnculo"/>
            <w:noProof/>
          </w:rPr>
          <w:t>I. Introducción</w:t>
        </w:r>
        <w:r w:rsidR="00EF2F88">
          <w:rPr>
            <w:noProof/>
            <w:webHidden/>
          </w:rPr>
          <w:tab/>
        </w:r>
        <w:r w:rsidR="00EF2F88">
          <w:rPr>
            <w:noProof/>
            <w:webHidden/>
          </w:rPr>
          <w:fldChar w:fldCharType="begin"/>
        </w:r>
        <w:r w:rsidR="00EF2F88">
          <w:rPr>
            <w:noProof/>
            <w:webHidden/>
          </w:rPr>
          <w:instrText xml:space="preserve"> PAGEREF _Toc429728666 \h </w:instrText>
        </w:r>
        <w:r w:rsidR="00EF2F88">
          <w:rPr>
            <w:noProof/>
            <w:webHidden/>
          </w:rPr>
        </w:r>
        <w:r w:rsidR="00EF2F88">
          <w:rPr>
            <w:noProof/>
            <w:webHidden/>
          </w:rPr>
          <w:fldChar w:fldCharType="separate"/>
        </w:r>
        <w:r w:rsidR="007A3DD2">
          <w:rPr>
            <w:noProof/>
            <w:webHidden/>
          </w:rPr>
          <w:t>3</w:t>
        </w:r>
        <w:r w:rsidR="00EF2F88">
          <w:rPr>
            <w:noProof/>
            <w:webHidden/>
          </w:rPr>
          <w:fldChar w:fldCharType="end"/>
        </w:r>
      </w:hyperlink>
    </w:p>
    <w:p w:rsidR="00EF2F88" w:rsidRDefault="00CB7317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29728667" w:history="1">
        <w:r w:rsidR="00EF2F88" w:rsidRPr="007E2C10">
          <w:rPr>
            <w:rStyle w:val="Hipervnculo"/>
            <w:noProof/>
          </w:rPr>
          <w:t>II. Los reparos</w:t>
        </w:r>
        <w:r w:rsidR="00EF2F88">
          <w:rPr>
            <w:noProof/>
            <w:webHidden/>
          </w:rPr>
          <w:tab/>
        </w:r>
        <w:r w:rsidR="00EF2F88">
          <w:rPr>
            <w:noProof/>
            <w:webHidden/>
          </w:rPr>
          <w:fldChar w:fldCharType="begin"/>
        </w:r>
        <w:r w:rsidR="00EF2F88">
          <w:rPr>
            <w:noProof/>
            <w:webHidden/>
          </w:rPr>
          <w:instrText xml:space="preserve"> PAGEREF _Toc429728667 \h </w:instrText>
        </w:r>
        <w:r w:rsidR="00EF2F88">
          <w:rPr>
            <w:noProof/>
            <w:webHidden/>
          </w:rPr>
        </w:r>
        <w:r w:rsidR="00EF2F88">
          <w:rPr>
            <w:noProof/>
            <w:webHidden/>
          </w:rPr>
          <w:fldChar w:fldCharType="separate"/>
        </w:r>
        <w:r w:rsidR="007A3DD2">
          <w:rPr>
            <w:noProof/>
            <w:webHidden/>
          </w:rPr>
          <w:t>4</w:t>
        </w:r>
        <w:r w:rsidR="00EF2F88">
          <w:rPr>
            <w:noProof/>
            <w:webHidden/>
          </w:rPr>
          <w:fldChar w:fldCharType="end"/>
        </w:r>
      </w:hyperlink>
    </w:p>
    <w:p w:rsidR="00EF2F88" w:rsidRDefault="00CB7317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29728668" w:history="1">
        <w:r w:rsidR="00EF2F88" w:rsidRPr="007E2C10">
          <w:rPr>
            <w:rStyle w:val="Hipervnculo"/>
            <w:noProof/>
          </w:rPr>
          <w:t xml:space="preserve">III. </w:t>
        </w:r>
        <w:r w:rsidR="00EF2F88" w:rsidRPr="007E2C10">
          <w:rPr>
            <w:rStyle w:val="Hipervnculo"/>
            <w:rFonts w:eastAsiaTheme="minorHAnsi"/>
            <w:noProof/>
          </w:rPr>
          <w:t>Objetivo, alcance y limitaciones</w:t>
        </w:r>
        <w:r w:rsidR="00EF2F88">
          <w:rPr>
            <w:noProof/>
            <w:webHidden/>
          </w:rPr>
          <w:tab/>
        </w:r>
        <w:r w:rsidR="00EF2F88">
          <w:rPr>
            <w:noProof/>
            <w:webHidden/>
          </w:rPr>
          <w:fldChar w:fldCharType="begin"/>
        </w:r>
        <w:r w:rsidR="00EF2F88">
          <w:rPr>
            <w:noProof/>
            <w:webHidden/>
          </w:rPr>
          <w:instrText xml:space="preserve"> PAGEREF _Toc429728668 \h </w:instrText>
        </w:r>
        <w:r w:rsidR="00EF2F88">
          <w:rPr>
            <w:noProof/>
            <w:webHidden/>
          </w:rPr>
        </w:r>
        <w:r w:rsidR="00EF2F88">
          <w:rPr>
            <w:noProof/>
            <w:webHidden/>
          </w:rPr>
          <w:fldChar w:fldCharType="separate"/>
        </w:r>
        <w:r w:rsidR="007A3DD2">
          <w:rPr>
            <w:noProof/>
            <w:webHidden/>
          </w:rPr>
          <w:t>5</w:t>
        </w:r>
        <w:r w:rsidR="00EF2F88">
          <w:rPr>
            <w:noProof/>
            <w:webHidden/>
          </w:rPr>
          <w:fldChar w:fldCharType="end"/>
        </w:r>
      </w:hyperlink>
    </w:p>
    <w:p w:rsidR="00EF2F88" w:rsidRDefault="00CB7317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29728669" w:history="1">
        <w:r w:rsidR="00EF2F88" w:rsidRPr="007E2C10">
          <w:rPr>
            <w:rStyle w:val="Hipervnculo"/>
            <w:rFonts w:eastAsiaTheme="minorHAnsi"/>
            <w:noProof/>
            <w:lang w:val="es-ES"/>
          </w:rPr>
          <w:t>IV Conclusiones y Recomendaciones</w:t>
        </w:r>
        <w:r w:rsidR="00EF2F88">
          <w:rPr>
            <w:noProof/>
            <w:webHidden/>
          </w:rPr>
          <w:tab/>
        </w:r>
        <w:r w:rsidR="00EF2F88">
          <w:rPr>
            <w:noProof/>
            <w:webHidden/>
          </w:rPr>
          <w:fldChar w:fldCharType="begin"/>
        </w:r>
        <w:r w:rsidR="00EF2F88">
          <w:rPr>
            <w:noProof/>
            <w:webHidden/>
          </w:rPr>
          <w:instrText xml:space="preserve"> PAGEREF _Toc429728669 \h </w:instrText>
        </w:r>
        <w:r w:rsidR="00EF2F88">
          <w:rPr>
            <w:noProof/>
            <w:webHidden/>
          </w:rPr>
        </w:r>
        <w:r w:rsidR="00EF2F88">
          <w:rPr>
            <w:noProof/>
            <w:webHidden/>
          </w:rPr>
          <w:fldChar w:fldCharType="separate"/>
        </w:r>
        <w:r w:rsidR="007A3DD2">
          <w:rPr>
            <w:noProof/>
            <w:webHidden/>
          </w:rPr>
          <w:t>6</w:t>
        </w:r>
        <w:r w:rsidR="00EF2F88">
          <w:rPr>
            <w:noProof/>
            <w:webHidden/>
          </w:rPr>
          <w:fldChar w:fldCharType="end"/>
        </w:r>
      </w:hyperlink>
    </w:p>
    <w:p w:rsidR="00EF2F88" w:rsidRDefault="00EF2F88">
      <w:pPr>
        <w:pStyle w:val="TDC1"/>
        <w:rPr>
          <w:rStyle w:val="Hipervnculo"/>
          <w:noProof/>
        </w:rPr>
      </w:pPr>
    </w:p>
    <w:p w:rsidR="00EF2F88" w:rsidRDefault="00CB7317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29728670" w:history="1">
        <w:r w:rsidR="00EF2F88" w:rsidRPr="007E2C10">
          <w:rPr>
            <w:rStyle w:val="Hipervnculo"/>
            <w:rFonts w:eastAsiaTheme="minorHAnsi"/>
            <w:noProof/>
            <w:lang w:val="es-ES"/>
          </w:rPr>
          <w:t>Anexo 1 Relación de mancomunidades que no han contestado a nuestra petición:</w:t>
        </w:r>
        <w:r w:rsidR="00EF2F88">
          <w:rPr>
            <w:noProof/>
            <w:webHidden/>
          </w:rPr>
          <w:tab/>
        </w:r>
        <w:r w:rsidR="00EF2F88">
          <w:rPr>
            <w:noProof/>
            <w:webHidden/>
          </w:rPr>
          <w:fldChar w:fldCharType="begin"/>
        </w:r>
        <w:r w:rsidR="00EF2F88">
          <w:rPr>
            <w:noProof/>
            <w:webHidden/>
          </w:rPr>
          <w:instrText xml:space="preserve"> PAGEREF _Toc429728670 \h </w:instrText>
        </w:r>
        <w:r w:rsidR="00EF2F88">
          <w:rPr>
            <w:noProof/>
            <w:webHidden/>
          </w:rPr>
        </w:r>
        <w:r w:rsidR="00EF2F88">
          <w:rPr>
            <w:noProof/>
            <w:webHidden/>
          </w:rPr>
          <w:fldChar w:fldCharType="separate"/>
        </w:r>
        <w:r w:rsidR="007A3DD2">
          <w:rPr>
            <w:noProof/>
            <w:webHidden/>
          </w:rPr>
          <w:t>10</w:t>
        </w:r>
        <w:r w:rsidR="00EF2F88">
          <w:rPr>
            <w:noProof/>
            <w:webHidden/>
          </w:rPr>
          <w:fldChar w:fldCharType="end"/>
        </w:r>
      </w:hyperlink>
    </w:p>
    <w:p w:rsidR="00EF2F88" w:rsidRDefault="00CB7317">
      <w:pPr>
        <w:pStyle w:val="TDC1"/>
        <w:rPr>
          <w:rFonts w:asciiTheme="minorHAnsi" w:eastAsiaTheme="minorEastAsia" w:hAnsiTheme="minorHAnsi" w:cstheme="minorBidi"/>
          <w:smallCaps w:val="0"/>
          <w:noProof/>
          <w:szCs w:val="22"/>
          <w:lang w:val="es-ES" w:eastAsia="es-ES"/>
        </w:rPr>
      </w:pPr>
      <w:hyperlink w:anchor="_Toc429728671" w:history="1">
        <w:r w:rsidR="00EF2F88" w:rsidRPr="007E2C10">
          <w:rPr>
            <w:rStyle w:val="Hipervnculo"/>
            <w:rFonts w:eastAsiaTheme="minorHAnsi"/>
            <w:noProof/>
            <w:lang w:val="es-ES"/>
          </w:rPr>
          <w:t>Anexo 2 Relación de ayuntamientos que no han contestado a nuestra petición:</w:t>
        </w:r>
        <w:r w:rsidR="00EF2F88">
          <w:rPr>
            <w:noProof/>
            <w:webHidden/>
          </w:rPr>
          <w:tab/>
        </w:r>
        <w:r w:rsidR="00EF2F88">
          <w:rPr>
            <w:noProof/>
            <w:webHidden/>
          </w:rPr>
          <w:fldChar w:fldCharType="begin"/>
        </w:r>
        <w:r w:rsidR="00EF2F88">
          <w:rPr>
            <w:noProof/>
            <w:webHidden/>
          </w:rPr>
          <w:instrText xml:space="preserve"> PAGEREF _Toc429728671 \h </w:instrText>
        </w:r>
        <w:r w:rsidR="00EF2F88">
          <w:rPr>
            <w:noProof/>
            <w:webHidden/>
          </w:rPr>
        </w:r>
        <w:r w:rsidR="00EF2F88">
          <w:rPr>
            <w:noProof/>
            <w:webHidden/>
          </w:rPr>
          <w:fldChar w:fldCharType="separate"/>
        </w:r>
        <w:r w:rsidR="007A3DD2">
          <w:rPr>
            <w:noProof/>
            <w:webHidden/>
          </w:rPr>
          <w:t>11</w:t>
        </w:r>
        <w:r w:rsidR="00EF2F88">
          <w:rPr>
            <w:noProof/>
            <w:webHidden/>
          </w:rPr>
          <w:fldChar w:fldCharType="end"/>
        </w:r>
      </w:hyperlink>
    </w:p>
    <w:p w:rsidR="00891D73" w:rsidRDefault="0014728F" w:rsidP="003C6E1D">
      <w:pPr>
        <w:pStyle w:val="texto"/>
      </w:pPr>
      <w:r>
        <w:fldChar w:fldCharType="end"/>
      </w:r>
    </w:p>
    <w:p w:rsidR="00891D73" w:rsidRDefault="00891D73" w:rsidP="00891D73">
      <w:pPr>
        <w:pStyle w:val="texto"/>
      </w:pPr>
    </w:p>
    <w:p w:rsidR="00891D73" w:rsidRPr="00E703B6" w:rsidRDefault="00891D73" w:rsidP="00E703B6"/>
    <w:p w:rsidR="008E3FFE" w:rsidRDefault="008E3FFE" w:rsidP="00C22AD3">
      <w:pPr>
        <w:pStyle w:val="texto"/>
        <w:ind w:firstLine="0"/>
        <w:sectPr w:rsidR="008E3FFE" w:rsidSect="00160F66">
          <w:type w:val="oddPage"/>
          <w:pgSz w:w="11907" w:h="16840" w:code="9"/>
          <w:pgMar w:top="2109" w:right="1559" w:bottom="1644" w:left="1559" w:header="369" w:footer="402" w:gutter="0"/>
          <w:pgNumType w:start="3"/>
          <w:cols w:space="720"/>
          <w:docGrid w:linePitch="360"/>
        </w:sectPr>
      </w:pPr>
    </w:p>
    <w:p w:rsidR="00C22AD3" w:rsidRDefault="00C22AD3" w:rsidP="00C22AD3">
      <w:pPr>
        <w:pStyle w:val="atitulo1"/>
      </w:pPr>
      <w:bookmarkStart w:id="1" w:name="_Toc429728666"/>
      <w:r>
        <w:lastRenderedPageBreak/>
        <w:t>I. Introducción</w:t>
      </w:r>
      <w:bookmarkEnd w:id="1"/>
    </w:p>
    <w:p w:rsidR="00C22AD3" w:rsidRPr="00C22AD3" w:rsidRDefault="00C22AD3" w:rsidP="00C22AD3">
      <w:pPr>
        <w:pStyle w:val="texto"/>
      </w:pPr>
      <w:r w:rsidRPr="00C22AD3">
        <w:t>En el marco de la normativa sobre estabilidad presupuestaria, con el fin de reforzar el grado de coordinación entre el control interno y el externo, y de co</w:t>
      </w:r>
      <w:r w:rsidRPr="00C22AD3">
        <w:t>n</w:t>
      </w:r>
      <w:r w:rsidRPr="00C22AD3">
        <w:t>formidad con las competencias fiscalizadoras de la Cámara de Comptos de N</w:t>
      </w:r>
      <w:r w:rsidRPr="00C22AD3">
        <w:t>a</w:t>
      </w:r>
      <w:r w:rsidRPr="00C22AD3">
        <w:t xml:space="preserve">varra, se incluyó en el plan de fiscalización para el año 2015 la emisión de un informe sobre los reparos emitidos por los interventores de los ayuntamientos y mancomunidades en el año 2014. </w:t>
      </w:r>
    </w:p>
    <w:p w:rsidR="00C22AD3" w:rsidRPr="00C22AD3" w:rsidRDefault="00C22AD3" w:rsidP="00C22AD3">
      <w:pPr>
        <w:pStyle w:val="texto"/>
      </w:pPr>
      <w:r w:rsidRPr="00C22AD3">
        <w:t>El informe se estructura en tres epígrafes, además de esta introducción. En el segundo se comenta brevemente la normativa sobre los reparos. En el tercero se indican los objetivos, alcance y limitaciones del informe y, en el cuarto</w:t>
      </w:r>
      <w:r w:rsidR="00B465BC">
        <w:t>,</w:t>
      </w:r>
      <w:r w:rsidRPr="00C22AD3">
        <w:t xml:space="preserve"> se pr</w:t>
      </w:r>
      <w:r w:rsidRPr="00C22AD3">
        <w:t>e</w:t>
      </w:r>
      <w:r w:rsidRPr="00C22AD3">
        <w:t>sentan las conclusiones y recomendaciones que se derivan del trabajo realizado.</w:t>
      </w:r>
    </w:p>
    <w:p w:rsidR="00A140E6" w:rsidRDefault="00A140E6" w:rsidP="00C22AD3">
      <w:pPr>
        <w:pStyle w:val="texto"/>
      </w:pPr>
      <w:r>
        <w:t xml:space="preserve">El trabajo </w:t>
      </w:r>
      <w:r w:rsidR="00005026">
        <w:t xml:space="preserve">se ha basado en las respuestas a la información solicitada y </w:t>
      </w:r>
      <w:r>
        <w:t>lo ha ejecutado un equipo integrado por una administrativa, una técnica de auditoría y un auditor con la colaboración de los servicios jurídicos, informáticos y a</w:t>
      </w:r>
      <w:r>
        <w:t>d</w:t>
      </w:r>
      <w:r>
        <w:t>ministrativos de la Cámara de Comptos.</w:t>
      </w:r>
    </w:p>
    <w:p w:rsidR="00C22AD3" w:rsidRDefault="00C22AD3" w:rsidP="00C22AD3">
      <w:pPr>
        <w:pStyle w:val="texto"/>
      </w:pPr>
      <w:r w:rsidRPr="00C22AD3">
        <w:t>Agradecemos a los secretarios e interventores de las entidades locales la c</w:t>
      </w:r>
      <w:r w:rsidRPr="00C22AD3">
        <w:t>o</w:t>
      </w:r>
      <w:r w:rsidRPr="00C22AD3">
        <w:t>laboración prestada en la realización de este trabajo.</w:t>
      </w:r>
    </w:p>
    <w:p w:rsidR="00E87C8A" w:rsidRDefault="00E87C8A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C22AD3" w:rsidRPr="00C22AD3" w:rsidRDefault="00C22AD3" w:rsidP="00C22AD3">
      <w:pPr>
        <w:pStyle w:val="atitulo1"/>
      </w:pPr>
      <w:bookmarkStart w:id="2" w:name="_Toc429728667"/>
      <w:r w:rsidRPr="00C22AD3">
        <w:lastRenderedPageBreak/>
        <w:t>II</w:t>
      </w:r>
      <w:r>
        <w:t>.</w:t>
      </w:r>
      <w:r w:rsidRPr="00C22AD3">
        <w:t xml:space="preserve"> Los reparos</w:t>
      </w:r>
      <w:bookmarkEnd w:id="2"/>
    </w:p>
    <w:p w:rsidR="00C22AD3" w:rsidRPr="00C22AD3" w:rsidRDefault="00C22AD3" w:rsidP="00C22AD3">
      <w:pPr>
        <w:pStyle w:val="texto"/>
      </w:pPr>
      <w:r w:rsidRPr="00C22AD3">
        <w:t xml:space="preserve">La normativa foral regula los reparos en </w:t>
      </w:r>
      <w:r w:rsidR="00E37A38" w:rsidRPr="00C22AD3">
        <w:t>la Ley Foral 2/1995, de 10 de ma</w:t>
      </w:r>
      <w:r w:rsidR="00E37A38" w:rsidRPr="00C22AD3">
        <w:t>r</w:t>
      </w:r>
      <w:r w:rsidR="00E37A38" w:rsidRPr="00C22AD3">
        <w:t>zo, de Haci</w:t>
      </w:r>
      <w:r w:rsidR="00E37A38">
        <w:t>endas Locales d</w:t>
      </w:r>
      <w:r w:rsidR="00E37A38" w:rsidRPr="00C22AD3">
        <w:t>e Navarra</w:t>
      </w:r>
      <w:r w:rsidRPr="00C22AD3">
        <w:t>, que  dispone:</w:t>
      </w:r>
    </w:p>
    <w:p w:rsidR="00C22AD3" w:rsidRDefault="00084128" w:rsidP="00C22AD3">
      <w:pPr>
        <w:pStyle w:val="texto"/>
        <w:rPr>
          <w:sz w:val="22"/>
          <w:szCs w:val="22"/>
        </w:rPr>
      </w:pPr>
      <w:bookmarkStart w:id="3" w:name="Ar.245"/>
      <w:bookmarkEnd w:id="3"/>
      <w:r>
        <w:rPr>
          <w:sz w:val="22"/>
          <w:szCs w:val="22"/>
        </w:rPr>
        <w:t>“</w:t>
      </w:r>
      <w:r w:rsidR="00C22AD3" w:rsidRPr="0094482E">
        <w:rPr>
          <w:sz w:val="22"/>
          <w:szCs w:val="22"/>
        </w:rPr>
        <w:t>Artículo 245</w:t>
      </w:r>
    </w:p>
    <w:p w:rsidR="00C22AD3" w:rsidRPr="0087738A" w:rsidRDefault="00C22AD3" w:rsidP="0087738A">
      <w:pPr>
        <w:pStyle w:val="texto"/>
        <w:numPr>
          <w:ilvl w:val="0"/>
          <w:numId w:val="36"/>
        </w:numPr>
        <w:tabs>
          <w:tab w:val="clear" w:pos="2835"/>
          <w:tab w:val="center" w:pos="567"/>
        </w:tabs>
        <w:ind w:left="0" w:firstLine="284"/>
        <w:rPr>
          <w:i/>
          <w:sz w:val="22"/>
          <w:szCs w:val="22"/>
        </w:rPr>
      </w:pPr>
      <w:r w:rsidRPr="0087738A">
        <w:rPr>
          <w:i/>
          <w:sz w:val="22"/>
          <w:szCs w:val="22"/>
        </w:rPr>
        <w:t>Si en el ejercicio de su función interventora el órgano interventor se manifestase en desacuerdo con el fondo o con la forma de los actos, documentos o expedientes examinados, deberá formular sus reparos por escrito antes de la adopción del acuerdo o resolución.</w:t>
      </w:r>
    </w:p>
    <w:p w:rsidR="00C22AD3" w:rsidRPr="00E37A38" w:rsidRDefault="00C22AD3" w:rsidP="0087738A">
      <w:pPr>
        <w:pStyle w:val="texto"/>
        <w:numPr>
          <w:ilvl w:val="0"/>
          <w:numId w:val="36"/>
        </w:numPr>
        <w:tabs>
          <w:tab w:val="clear" w:pos="2835"/>
          <w:tab w:val="center" w:pos="567"/>
        </w:tabs>
        <w:ind w:left="0" w:firstLine="284"/>
        <w:rPr>
          <w:i/>
          <w:sz w:val="22"/>
          <w:szCs w:val="22"/>
        </w:rPr>
      </w:pPr>
      <w:r w:rsidRPr="00E37A38">
        <w:rPr>
          <w:i/>
          <w:sz w:val="22"/>
          <w:szCs w:val="22"/>
        </w:rPr>
        <w:t>Cuando la disconformidad se refiera al reconocimiento o liquidación de derechos a favor de las entidades locales o sus organismos autónomos, la oposición se formalizará en nota de reparo que, en ningún caso, suspenderá la tramitación del expediente.</w:t>
      </w:r>
    </w:p>
    <w:p w:rsidR="00C22AD3" w:rsidRPr="00E37A38" w:rsidRDefault="00C22AD3" w:rsidP="0087738A">
      <w:pPr>
        <w:pStyle w:val="texto"/>
        <w:numPr>
          <w:ilvl w:val="0"/>
          <w:numId w:val="36"/>
        </w:numPr>
        <w:tabs>
          <w:tab w:val="clear" w:pos="2835"/>
          <w:tab w:val="center" w:pos="567"/>
        </w:tabs>
        <w:ind w:left="0" w:firstLine="284"/>
        <w:rPr>
          <w:i/>
          <w:sz w:val="22"/>
          <w:szCs w:val="22"/>
        </w:rPr>
      </w:pPr>
      <w:r w:rsidRPr="00E37A38">
        <w:rPr>
          <w:i/>
          <w:sz w:val="22"/>
          <w:szCs w:val="22"/>
        </w:rPr>
        <w:t>Si el reparo afecta a la disposición de gastos, reconocimiento de obligaciones u ord</w:t>
      </w:r>
      <w:r w:rsidRPr="00E37A38">
        <w:rPr>
          <w:i/>
          <w:sz w:val="22"/>
          <w:szCs w:val="22"/>
        </w:rPr>
        <w:t>e</w:t>
      </w:r>
      <w:r w:rsidRPr="00E37A38">
        <w:rPr>
          <w:i/>
          <w:sz w:val="22"/>
          <w:szCs w:val="22"/>
        </w:rPr>
        <w:t>nación de pagos, se suspenderá la tramitación del expediente hasta que aquél sea solventado en los siguientes casos:</w:t>
      </w:r>
    </w:p>
    <w:p w:rsidR="00C22AD3" w:rsidRPr="00E37A38" w:rsidRDefault="00C22AD3" w:rsidP="0094482E">
      <w:pPr>
        <w:pStyle w:val="texto"/>
        <w:numPr>
          <w:ilvl w:val="0"/>
          <w:numId w:val="29"/>
        </w:numPr>
        <w:tabs>
          <w:tab w:val="clear" w:pos="2835"/>
          <w:tab w:val="clear" w:pos="3969"/>
          <w:tab w:val="clear" w:pos="5103"/>
          <w:tab w:val="clear" w:pos="6237"/>
          <w:tab w:val="clear" w:pos="7371"/>
        </w:tabs>
        <w:ind w:left="709" w:hanging="283"/>
        <w:rPr>
          <w:i/>
          <w:sz w:val="22"/>
          <w:szCs w:val="22"/>
        </w:rPr>
      </w:pPr>
      <w:r w:rsidRPr="00E37A38">
        <w:rPr>
          <w:i/>
          <w:sz w:val="22"/>
          <w:szCs w:val="22"/>
        </w:rPr>
        <w:t>Cuando se base en la insuficiencia de crédito o el propuesto no sea adecuado.</w:t>
      </w:r>
    </w:p>
    <w:p w:rsidR="00C22AD3" w:rsidRPr="00E37A38" w:rsidRDefault="00C22AD3" w:rsidP="00E87C8A">
      <w:pPr>
        <w:pStyle w:val="texto"/>
        <w:numPr>
          <w:ilvl w:val="0"/>
          <w:numId w:val="29"/>
        </w:numPr>
        <w:tabs>
          <w:tab w:val="clear" w:pos="2835"/>
          <w:tab w:val="clear" w:pos="3969"/>
          <w:tab w:val="clear" w:pos="5103"/>
          <w:tab w:val="clear" w:pos="6237"/>
          <w:tab w:val="clear" w:pos="7371"/>
        </w:tabs>
        <w:ind w:left="0" w:firstLine="426"/>
        <w:rPr>
          <w:i/>
          <w:sz w:val="22"/>
          <w:szCs w:val="22"/>
        </w:rPr>
      </w:pPr>
      <w:r w:rsidRPr="00E37A38">
        <w:rPr>
          <w:i/>
          <w:sz w:val="22"/>
          <w:szCs w:val="22"/>
        </w:rPr>
        <w:t>Cuando se aprecien graves irregularidades en la documentación justificativa de las órdenes de pago o no hubieran sido fiscalizados los actos que dieron origen a las mismas.</w:t>
      </w:r>
    </w:p>
    <w:p w:rsidR="00C22AD3" w:rsidRPr="00E37A38" w:rsidRDefault="00C22AD3" w:rsidP="00E87C8A">
      <w:pPr>
        <w:pStyle w:val="texto"/>
        <w:numPr>
          <w:ilvl w:val="0"/>
          <w:numId w:val="29"/>
        </w:numPr>
        <w:tabs>
          <w:tab w:val="clear" w:pos="2835"/>
          <w:tab w:val="clear" w:pos="3969"/>
          <w:tab w:val="clear" w:pos="5103"/>
          <w:tab w:val="clear" w:pos="6237"/>
          <w:tab w:val="clear" w:pos="7371"/>
        </w:tabs>
        <w:ind w:left="0" w:firstLine="426"/>
        <w:rPr>
          <w:i/>
          <w:sz w:val="22"/>
          <w:szCs w:val="22"/>
        </w:rPr>
      </w:pPr>
      <w:r w:rsidRPr="00E37A38">
        <w:rPr>
          <w:i/>
          <w:sz w:val="22"/>
          <w:szCs w:val="22"/>
        </w:rPr>
        <w:t>En los casos de omisión en el expediente de requisitos o trámites esenciales del e</w:t>
      </w:r>
      <w:r w:rsidRPr="00E37A38">
        <w:rPr>
          <w:i/>
          <w:sz w:val="22"/>
          <w:szCs w:val="22"/>
        </w:rPr>
        <w:t>x</w:t>
      </w:r>
      <w:r w:rsidRPr="00E37A38">
        <w:rPr>
          <w:i/>
          <w:sz w:val="22"/>
          <w:szCs w:val="22"/>
        </w:rPr>
        <w:t>pediente.</w:t>
      </w:r>
    </w:p>
    <w:p w:rsidR="00C22AD3" w:rsidRPr="00E37A38" w:rsidRDefault="00C22AD3" w:rsidP="00EF2F88">
      <w:pPr>
        <w:pStyle w:val="texto"/>
        <w:numPr>
          <w:ilvl w:val="0"/>
          <w:numId w:val="29"/>
        </w:numPr>
        <w:tabs>
          <w:tab w:val="clear" w:pos="2835"/>
          <w:tab w:val="clear" w:pos="3969"/>
          <w:tab w:val="clear" w:pos="5103"/>
          <w:tab w:val="clear" w:pos="6237"/>
          <w:tab w:val="clear" w:pos="7371"/>
        </w:tabs>
        <w:ind w:left="0" w:firstLine="426"/>
        <w:rPr>
          <w:i/>
          <w:sz w:val="22"/>
          <w:szCs w:val="22"/>
        </w:rPr>
      </w:pPr>
      <w:r w:rsidRPr="00E37A38">
        <w:rPr>
          <w:i/>
          <w:sz w:val="22"/>
          <w:szCs w:val="22"/>
        </w:rPr>
        <w:t>Cuando el reparo derive de comprobaciones materiales de obras, suministros, adqu</w:t>
      </w:r>
      <w:r w:rsidRPr="00E37A38">
        <w:rPr>
          <w:i/>
          <w:sz w:val="22"/>
          <w:szCs w:val="22"/>
        </w:rPr>
        <w:t>i</w:t>
      </w:r>
      <w:r w:rsidRPr="00E37A38">
        <w:rPr>
          <w:i/>
          <w:sz w:val="22"/>
          <w:szCs w:val="22"/>
        </w:rPr>
        <w:t>siciones y servicios.</w:t>
      </w:r>
    </w:p>
    <w:p w:rsidR="00C22AD3" w:rsidRPr="0094482E" w:rsidRDefault="00C22AD3" w:rsidP="0094482E">
      <w:pPr>
        <w:pStyle w:val="texto"/>
        <w:rPr>
          <w:sz w:val="22"/>
          <w:szCs w:val="22"/>
        </w:rPr>
      </w:pPr>
      <w:bookmarkStart w:id="4" w:name="Ar.246"/>
      <w:bookmarkEnd w:id="4"/>
      <w:r w:rsidRPr="0094482E">
        <w:rPr>
          <w:sz w:val="22"/>
          <w:szCs w:val="22"/>
        </w:rPr>
        <w:t>Artículo 246 </w:t>
      </w:r>
    </w:p>
    <w:p w:rsidR="00C22AD3" w:rsidRPr="00E37A38" w:rsidRDefault="00C22AD3" w:rsidP="0087738A">
      <w:pPr>
        <w:pStyle w:val="texto"/>
        <w:numPr>
          <w:ilvl w:val="0"/>
          <w:numId w:val="37"/>
        </w:numPr>
        <w:tabs>
          <w:tab w:val="clear" w:pos="2835"/>
          <w:tab w:val="clear" w:pos="3969"/>
          <w:tab w:val="center" w:pos="567"/>
          <w:tab w:val="center" w:pos="709"/>
        </w:tabs>
        <w:ind w:left="0" w:firstLine="284"/>
        <w:rPr>
          <w:i/>
          <w:sz w:val="22"/>
          <w:szCs w:val="22"/>
        </w:rPr>
      </w:pPr>
      <w:r w:rsidRPr="00E37A38">
        <w:rPr>
          <w:i/>
          <w:sz w:val="22"/>
          <w:szCs w:val="22"/>
        </w:rPr>
        <w:t>Cuando el órgano a que afecte el reparo no esté de a</w:t>
      </w:r>
      <w:r w:rsidRPr="004E2138">
        <w:rPr>
          <w:i/>
          <w:sz w:val="22"/>
          <w:szCs w:val="22"/>
        </w:rPr>
        <w:t xml:space="preserve">cuerdo con el mismo, </w:t>
      </w:r>
      <w:r w:rsidRPr="00E37A38">
        <w:rPr>
          <w:i/>
          <w:sz w:val="22"/>
          <w:szCs w:val="22"/>
        </w:rPr>
        <w:t>correspo</w:t>
      </w:r>
      <w:r w:rsidRPr="00E37A38">
        <w:rPr>
          <w:i/>
          <w:sz w:val="22"/>
          <w:szCs w:val="22"/>
        </w:rPr>
        <w:t>n</w:t>
      </w:r>
      <w:r w:rsidRPr="00E37A38">
        <w:rPr>
          <w:i/>
          <w:sz w:val="22"/>
          <w:szCs w:val="22"/>
        </w:rPr>
        <w:t>derá al Presidente de la entidad local resolver la discrepancia, siendo su resolución ejecut</w:t>
      </w:r>
      <w:r w:rsidRPr="00E37A38">
        <w:rPr>
          <w:i/>
          <w:sz w:val="22"/>
          <w:szCs w:val="22"/>
        </w:rPr>
        <w:t>i</w:t>
      </w:r>
      <w:r w:rsidRPr="00E37A38">
        <w:rPr>
          <w:i/>
          <w:sz w:val="22"/>
          <w:szCs w:val="22"/>
        </w:rPr>
        <w:t>va. Esta facultad no será delegable en ningún caso.</w:t>
      </w:r>
    </w:p>
    <w:p w:rsidR="00C22AD3" w:rsidRPr="00E37A38" w:rsidRDefault="00C22AD3" w:rsidP="0087738A">
      <w:pPr>
        <w:pStyle w:val="texto"/>
        <w:numPr>
          <w:ilvl w:val="0"/>
          <w:numId w:val="37"/>
        </w:numPr>
        <w:tabs>
          <w:tab w:val="clear" w:pos="2835"/>
          <w:tab w:val="clear" w:pos="3969"/>
          <w:tab w:val="center" w:pos="567"/>
          <w:tab w:val="center" w:pos="709"/>
        </w:tabs>
        <w:ind w:left="0" w:firstLine="284"/>
        <w:rPr>
          <w:i/>
          <w:sz w:val="22"/>
          <w:szCs w:val="22"/>
        </w:rPr>
      </w:pPr>
      <w:r w:rsidRPr="00E37A38">
        <w:rPr>
          <w:i/>
          <w:sz w:val="22"/>
          <w:szCs w:val="22"/>
        </w:rPr>
        <w:t>No obstante, lo dispuesto en el número anterior, corresponderá al Pleno la resolución de la discrepancia cuando los reparos:</w:t>
      </w:r>
    </w:p>
    <w:p w:rsidR="00C22AD3" w:rsidRPr="00E37A38" w:rsidRDefault="00C22AD3" w:rsidP="0094482E">
      <w:pPr>
        <w:pStyle w:val="texto"/>
        <w:numPr>
          <w:ilvl w:val="0"/>
          <w:numId w:val="30"/>
        </w:numPr>
        <w:tabs>
          <w:tab w:val="clear" w:pos="2835"/>
          <w:tab w:val="clear" w:pos="3969"/>
          <w:tab w:val="clear" w:pos="5103"/>
          <w:tab w:val="clear" w:pos="6237"/>
          <w:tab w:val="clear" w:pos="7371"/>
        </w:tabs>
        <w:ind w:left="709" w:hanging="283"/>
        <w:rPr>
          <w:i/>
          <w:sz w:val="22"/>
          <w:szCs w:val="22"/>
        </w:rPr>
      </w:pPr>
      <w:r w:rsidRPr="00E37A38">
        <w:rPr>
          <w:i/>
          <w:sz w:val="22"/>
          <w:szCs w:val="22"/>
        </w:rPr>
        <w:t xml:space="preserve"> Se basen en insuficiencia o inadecuación de crédito.</w:t>
      </w:r>
    </w:p>
    <w:p w:rsidR="00C22AD3" w:rsidRPr="00E37A38" w:rsidRDefault="00C22AD3" w:rsidP="0094482E">
      <w:pPr>
        <w:pStyle w:val="texto"/>
        <w:numPr>
          <w:ilvl w:val="0"/>
          <w:numId w:val="30"/>
        </w:numPr>
        <w:tabs>
          <w:tab w:val="clear" w:pos="2835"/>
          <w:tab w:val="clear" w:pos="3969"/>
          <w:tab w:val="clear" w:pos="5103"/>
          <w:tab w:val="clear" w:pos="6237"/>
          <w:tab w:val="clear" w:pos="7371"/>
        </w:tabs>
        <w:ind w:left="709" w:hanging="283"/>
        <w:rPr>
          <w:i/>
          <w:sz w:val="22"/>
          <w:szCs w:val="22"/>
        </w:rPr>
      </w:pPr>
      <w:r w:rsidRPr="00E37A38">
        <w:rPr>
          <w:i/>
          <w:sz w:val="22"/>
          <w:szCs w:val="22"/>
        </w:rPr>
        <w:t xml:space="preserve"> Se refieran a obligaciones o gastos cuya aprobación sea de su competencia.</w:t>
      </w:r>
    </w:p>
    <w:p w:rsidR="00C22AD3" w:rsidRPr="00E37A38" w:rsidRDefault="00C22AD3" w:rsidP="0087738A">
      <w:pPr>
        <w:pStyle w:val="texto"/>
        <w:numPr>
          <w:ilvl w:val="0"/>
          <w:numId w:val="37"/>
        </w:numPr>
        <w:tabs>
          <w:tab w:val="clear" w:pos="2835"/>
          <w:tab w:val="clear" w:pos="3969"/>
          <w:tab w:val="center" w:pos="567"/>
          <w:tab w:val="center" w:pos="709"/>
        </w:tabs>
        <w:ind w:left="0" w:firstLine="284"/>
        <w:rPr>
          <w:i/>
          <w:sz w:val="22"/>
          <w:szCs w:val="22"/>
        </w:rPr>
      </w:pPr>
      <w:r w:rsidRPr="00E37A38">
        <w:rPr>
          <w:i/>
          <w:sz w:val="22"/>
          <w:szCs w:val="22"/>
        </w:rPr>
        <w:t xml:space="preserve"> El órgano interventor elevará informe al Pleno de todas las resoluciones adoptadas por el Presidente de la entidad local contrarias a los reparos efectuados, así como un res</w:t>
      </w:r>
      <w:r w:rsidRPr="00E37A38">
        <w:rPr>
          <w:i/>
          <w:sz w:val="22"/>
          <w:szCs w:val="22"/>
        </w:rPr>
        <w:t>u</w:t>
      </w:r>
      <w:r w:rsidRPr="00E37A38">
        <w:rPr>
          <w:i/>
          <w:sz w:val="22"/>
          <w:szCs w:val="22"/>
        </w:rPr>
        <w:t>men de las principales anomalías detectadas en materia de ingresos.</w:t>
      </w:r>
    </w:p>
    <w:p w:rsidR="00477C53" w:rsidRDefault="00C22AD3" w:rsidP="0087738A">
      <w:pPr>
        <w:pStyle w:val="texto"/>
        <w:numPr>
          <w:ilvl w:val="0"/>
          <w:numId w:val="37"/>
        </w:numPr>
        <w:tabs>
          <w:tab w:val="clear" w:pos="2835"/>
          <w:tab w:val="clear" w:pos="3969"/>
          <w:tab w:val="center" w:pos="567"/>
          <w:tab w:val="center" w:pos="709"/>
        </w:tabs>
        <w:ind w:left="0" w:firstLine="284"/>
        <w:rPr>
          <w:i/>
          <w:sz w:val="22"/>
          <w:szCs w:val="22"/>
        </w:rPr>
      </w:pPr>
      <w:r w:rsidRPr="00E37A38">
        <w:rPr>
          <w:i/>
          <w:sz w:val="22"/>
          <w:szCs w:val="22"/>
        </w:rPr>
        <w:t xml:space="preserve"> En las bases de ejecución o, a falta de éstas, en el acuerdo del Pleno que se adoptará en el momento de aprobación del Presupuesto, se establecerá el procedimiento de present</w:t>
      </w:r>
      <w:r w:rsidRPr="00E37A38">
        <w:rPr>
          <w:i/>
          <w:sz w:val="22"/>
          <w:szCs w:val="22"/>
        </w:rPr>
        <w:t>a</w:t>
      </w:r>
      <w:r w:rsidRPr="00E37A38">
        <w:rPr>
          <w:i/>
          <w:sz w:val="22"/>
          <w:szCs w:val="22"/>
        </w:rPr>
        <w:t>ción al pleno de los informes de reparos señalados en los</w:t>
      </w:r>
      <w:r w:rsidR="00084128">
        <w:rPr>
          <w:i/>
          <w:sz w:val="22"/>
          <w:szCs w:val="22"/>
        </w:rPr>
        <w:t xml:space="preserve"> números 2 y 3 de este artículo.”</w:t>
      </w:r>
    </w:p>
    <w:p w:rsidR="00AA49CA" w:rsidRDefault="00AA49CA">
      <w:pPr>
        <w:spacing w:after="0"/>
        <w:ind w:firstLine="0"/>
        <w:jc w:val="left"/>
        <w:rPr>
          <w:i/>
          <w:spacing w:val="6"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:rsidR="00564F2D" w:rsidRPr="00E37A38" w:rsidRDefault="00C22AD3" w:rsidP="00E37A38">
      <w:pPr>
        <w:pStyle w:val="atitulo1"/>
        <w:rPr>
          <w:rFonts w:eastAsiaTheme="minorHAnsi"/>
        </w:rPr>
      </w:pPr>
      <w:bookmarkStart w:id="5" w:name="_Toc429728668"/>
      <w:r w:rsidRPr="00E37A38">
        <w:lastRenderedPageBreak/>
        <w:t>I</w:t>
      </w:r>
      <w:r w:rsidR="00BF45A9" w:rsidRPr="00E37A38">
        <w:t>II</w:t>
      </w:r>
      <w:r w:rsidRPr="00E37A38">
        <w:t xml:space="preserve">. </w:t>
      </w:r>
      <w:r w:rsidRPr="00E37A38">
        <w:rPr>
          <w:rFonts w:eastAsiaTheme="minorHAnsi"/>
        </w:rPr>
        <w:t>Objetivo, alcance y limitaciones</w:t>
      </w:r>
      <w:bookmarkEnd w:id="5"/>
    </w:p>
    <w:p w:rsidR="00C22AD3" w:rsidRDefault="00B465BC" w:rsidP="00E37A38">
      <w:pPr>
        <w:pStyle w:val="texto"/>
      </w:pPr>
      <w:r>
        <w:t xml:space="preserve">Los </w:t>
      </w:r>
      <w:r w:rsidR="005456E4">
        <w:t>objetivo</w:t>
      </w:r>
      <w:r>
        <w:t>s</w:t>
      </w:r>
      <w:r w:rsidR="005456E4">
        <w:t xml:space="preserve"> del presente informe</w:t>
      </w:r>
      <w:r w:rsidR="00C22AD3" w:rsidRPr="00E37A38">
        <w:t>, a partir de las respuestas a la solicitud rea</w:t>
      </w:r>
      <w:r w:rsidR="005456E4">
        <w:t xml:space="preserve">lizada, </w:t>
      </w:r>
      <w:r>
        <w:t>son</w:t>
      </w:r>
      <w:r w:rsidR="005456E4">
        <w:t>:</w:t>
      </w:r>
    </w:p>
    <w:p w:rsidR="00C22AD3" w:rsidRPr="00027EF6" w:rsidRDefault="00C22AD3" w:rsidP="00EF2F88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</w:pPr>
      <w:r w:rsidRPr="00027EF6">
        <w:t xml:space="preserve">Recopilar </w:t>
      </w:r>
      <w:r w:rsidR="00A140E6">
        <w:t>y c</w:t>
      </w:r>
      <w:r w:rsidR="00A140E6" w:rsidRPr="00027EF6">
        <w:t>lasificar por importes y materias</w:t>
      </w:r>
      <w:r w:rsidR="00A140E6">
        <w:t xml:space="preserve"> los reparos emitidos en las e</w:t>
      </w:r>
      <w:r w:rsidRPr="00027EF6">
        <w:t>ntidades locales</w:t>
      </w:r>
      <w:r w:rsidR="00E37A38" w:rsidRPr="00027EF6">
        <w:t>.</w:t>
      </w:r>
    </w:p>
    <w:p w:rsidR="00C22AD3" w:rsidRDefault="00C22AD3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</w:pPr>
      <w:r w:rsidRPr="00027EF6">
        <w:t>Analizarlos y comprobar si los motivos o causas de los mismos son coinc</w:t>
      </w:r>
      <w:r w:rsidRPr="00027EF6">
        <w:t>i</w:t>
      </w:r>
      <w:r w:rsidRPr="00027EF6">
        <w:t>dentes en las diferentes entidades locales</w:t>
      </w:r>
      <w:r w:rsidR="00E37A38" w:rsidRPr="00027EF6">
        <w:t>.</w:t>
      </w:r>
    </w:p>
    <w:p w:rsidR="00A140E6" w:rsidRPr="00027EF6" w:rsidRDefault="00A140E6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</w:pPr>
      <w:r>
        <w:t>Analizar la resolución dada a los reparos.</w:t>
      </w:r>
    </w:p>
    <w:p w:rsidR="00C22AD3" w:rsidRPr="00027EF6" w:rsidRDefault="00C22AD3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</w:pPr>
      <w:r w:rsidRPr="00027EF6">
        <w:t>Efectuar las recomendaciones que se deriven de los análisis realizados para evitar, en lo posible, los reparos  en la gestión de las entidades locales.</w:t>
      </w:r>
    </w:p>
    <w:p w:rsidR="00C22AD3" w:rsidRPr="00E37A38" w:rsidRDefault="00C22AD3" w:rsidP="00E37A38">
      <w:pPr>
        <w:pStyle w:val="texto"/>
      </w:pPr>
      <w:r w:rsidRPr="00E37A38">
        <w:t xml:space="preserve">El tratamiento de la información se realiza de manera global, señalando aquellas cuestiones que por su importancia o repetición resultan más </w:t>
      </w:r>
      <w:r w:rsidR="00152CB9">
        <w:t>signific</w:t>
      </w:r>
      <w:r w:rsidR="00152CB9">
        <w:t>a</w:t>
      </w:r>
      <w:r w:rsidR="00152CB9">
        <w:t>tivas.</w:t>
      </w:r>
      <w:r w:rsidR="00B465BC">
        <w:t xml:space="preserve"> Es decir</w:t>
      </w:r>
      <w:r w:rsidR="00CF7EE2">
        <w:t>,</w:t>
      </w:r>
      <w:r w:rsidR="00B465BC">
        <w:t xml:space="preserve"> el informe no pretende incidir en el análisis de cada caso part</w:t>
      </w:r>
      <w:r w:rsidR="00B465BC">
        <w:t>i</w:t>
      </w:r>
      <w:r w:rsidR="00B465BC">
        <w:t>cular</w:t>
      </w:r>
      <w:r w:rsidR="00CF7EE2">
        <w:t>,</w:t>
      </w:r>
      <w:r w:rsidR="00B465BC">
        <w:t xml:space="preserve"> sino ofrecer una visión de carácter general.</w:t>
      </w:r>
    </w:p>
    <w:p w:rsidR="00C22AD3" w:rsidRPr="00E37A38" w:rsidRDefault="00C22AD3" w:rsidP="00E37A38">
      <w:pPr>
        <w:pStyle w:val="texto"/>
      </w:pPr>
      <w:r w:rsidRPr="00E37A38">
        <w:t>Para ello</w:t>
      </w:r>
      <w:r w:rsidR="00152CB9">
        <w:t>,</w:t>
      </w:r>
      <w:r w:rsidRPr="00E37A38">
        <w:t xml:space="preserve"> se remitió a 272 ayuntamientos y 61 mancomunidades de Navarra por correo electrónico una petición para que nos informaran de los reparos em</w:t>
      </w:r>
      <w:r w:rsidRPr="00E37A38">
        <w:t>i</w:t>
      </w:r>
      <w:r w:rsidRPr="00E37A38">
        <w:t>tidos en el año 2014. Esta solicitud se realizó el 24 de febrero de 2015</w:t>
      </w:r>
      <w:r w:rsidR="00152CB9">
        <w:t>,</w:t>
      </w:r>
      <w:r w:rsidRPr="00E37A38">
        <w:t xml:space="preserve"> conc</w:t>
      </w:r>
      <w:r w:rsidRPr="00E37A38">
        <w:t>e</w:t>
      </w:r>
      <w:r w:rsidRPr="00E37A38">
        <w:t>diendo un plazo para su contestación que terminaba el 31 de marzo. Posterio</w:t>
      </w:r>
      <w:r w:rsidRPr="00E37A38">
        <w:t>r</w:t>
      </w:r>
      <w:r w:rsidRPr="00E37A38">
        <w:t>mente, se remitió una nueva solicitud</w:t>
      </w:r>
      <w:r w:rsidR="00152CB9">
        <w:t>,</w:t>
      </w:r>
      <w:r w:rsidRPr="00E37A38">
        <w:t xml:space="preserve"> a los que no habían contestado</w:t>
      </w:r>
      <w:r w:rsidR="00152CB9">
        <w:t>,</w:t>
      </w:r>
      <w:r w:rsidRPr="00E37A38">
        <w:t xml:space="preserve"> amplia</w:t>
      </w:r>
      <w:r w:rsidRPr="00E37A38">
        <w:t>n</w:t>
      </w:r>
      <w:r w:rsidRPr="00E37A38">
        <w:t>do el plazo hasta el 15 de mayo.</w:t>
      </w:r>
    </w:p>
    <w:p w:rsidR="00C22AD3" w:rsidRPr="00E37A38" w:rsidRDefault="00C22AD3" w:rsidP="00E37A38">
      <w:pPr>
        <w:pStyle w:val="texto"/>
      </w:pPr>
      <w:r w:rsidRPr="00E37A38">
        <w:t>A partir de la información remitida</w:t>
      </w:r>
      <w:r w:rsidR="00152CB9">
        <w:t>,</w:t>
      </w:r>
      <w:r w:rsidRPr="00E37A38">
        <w:t xml:space="preserve"> hemos analizado y clasificado los rep</w:t>
      </w:r>
      <w:r w:rsidRPr="00E37A38">
        <w:t>a</w:t>
      </w:r>
      <w:r w:rsidRPr="00E37A38">
        <w:t xml:space="preserve">ros y </w:t>
      </w:r>
      <w:r w:rsidR="00A140E6">
        <w:t xml:space="preserve">hemos revisado </w:t>
      </w:r>
      <w:r w:rsidRPr="00E37A38">
        <w:t xml:space="preserve">una muestra, aunque sin visitar </w:t>
      </w:r>
      <w:r w:rsidR="00A140E6">
        <w:t>las entidades</w:t>
      </w:r>
      <w:r w:rsidRPr="00E37A38">
        <w:t>. En algún caso hemos solicitado aclaraciones telefónicas.</w:t>
      </w:r>
    </w:p>
    <w:p w:rsidR="00C22AD3" w:rsidRPr="00E37A38" w:rsidRDefault="00C22AD3" w:rsidP="00E37A38">
      <w:pPr>
        <w:pStyle w:val="texto"/>
      </w:pPr>
      <w:r w:rsidRPr="00E37A38">
        <w:t>El trabajo se ha ejecutado de acuerdo con los Principios y Normas de Aud</w:t>
      </w:r>
      <w:r w:rsidRPr="00E37A38">
        <w:t>i</w:t>
      </w:r>
      <w:r w:rsidRPr="00E37A38">
        <w:t>toría del Sector Público del Estado Español, desarrollados por esta Cámara de Comptos en su manual de fiscalización, con las adaptaciones necesarias en fu</w:t>
      </w:r>
      <w:r w:rsidRPr="00E37A38">
        <w:t>n</w:t>
      </w:r>
      <w:r w:rsidRPr="00E37A38">
        <w:t>ción de las circunstancias.</w:t>
      </w:r>
    </w:p>
    <w:p w:rsidR="00C22AD3" w:rsidRPr="00E37A38" w:rsidRDefault="00C22AD3" w:rsidP="00E37A38">
      <w:pPr>
        <w:pStyle w:val="texto"/>
      </w:pPr>
      <w:r w:rsidRPr="00E37A38">
        <w:t>El informe se ve limitado por</w:t>
      </w:r>
      <w:r w:rsidR="00A140E6">
        <w:t>que</w:t>
      </w:r>
      <w:r w:rsidRPr="00E37A38">
        <w:t>:</w:t>
      </w:r>
    </w:p>
    <w:p w:rsidR="00C22AD3" w:rsidRPr="00180C76" w:rsidRDefault="007309F8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</w:pPr>
      <w:r w:rsidRPr="00180C76">
        <w:t xml:space="preserve">No </w:t>
      </w:r>
      <w:r w:rsidR="00A140E6">
        <w:t>han contestado</w:t>
      </w:r>
      <w:r w:rsidRPr="00180C76">
        <w:t xml:space="preserve"> todos los ayuntamientos</w:t>
      </w:r>
      <w:r w:rsidR="00A140E6">
        <w:t xml:space="preserve"> y mancomunidades (ver anexos).</w:t>
      </w:r>
    </w:p>
    <w:p w:rsidR="00C22AD3" w:rsidRPr="00180C76" w:rsidRDefault="00AD31EA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</w:pPr>
      <w:r>
        <w:t>H</w:t>
      </w:r>
      <w:r w:rsidR="007309F8" w:rsidRPr="00180C76">
        <w:t>ay reparos que no indican el i</w:t>
      </w:r>
      <w:r w:rsidR="00C22AD3" w:rsidRPr="00180C76">
        <w:t>mporte (a veces porque por sus característ</w:t>
      </w:r>
      <w:r w:rsidR="00C22AD3" w:rsidRPr="00180C76">
        <w:t>i</w:t>
      </w:r>
      <w:r w:rsidR="00C22AD3" w:rsidRPr="00180C76">
        <w:t>cas no es posible)</w:t>
      </w:r>
      <w:r w:rsidR="00921BBE">
        <w:t>.</w:t>
      </w:r>
    </w:p>
    <w:p w:rsidR="00A70AD7" w:rsidRDefault="00A70AD7" w:rsidP="00A70AD7">
      <w:pPr>
        <w:pStyle w:val="texto"/>
      </w:pPr>
      <w:r>
        <w:t>Junto a estas limitaciones, debe también tenerse en cuenta que, en determ</w:t>
      </w:r>
      <w:r>
        <w:t>i</w:t>
      </w:r>
      <w:r>
        <w:t xml:space="preserve">nadas ocasiones, </w:t>
      </w:r>
      <w:r w:rsidRPr="00180C76">
        <w:t>más que reparos se presentan avisos previos para corregir los expedientes</w:t>
      </w:r>
      <w:r w:rsidR="00AD31EA">
        <w:t>.</w:t>
      </w:r>
    </w:p>
    <w:p w:rsidR="003B5905" w:rsidRDefault="007227D8" w:rsidP="00FF38A4">
      <w:pPr>
        <w:pStyle w:val="texto"/>
      </w:pPr>
      <w:r>
        <w:t>.</w:t>
      </w:r>
      <w:r w:rsidR="003B5905">
        <w:br w:type="page"/>
      </w:r>
    </w:p>
    <w:p w:rsidR="00BF45A9" w:rsidRPr="00BF45A9" w:rsidRDefault="00BF45A9" w:rsidP="00BF45A9">
      <w:pPr>
        <w:pStyle w:val="atitulo1"/>
        <w:rPr>
          <w:rFonts w:eastAsiaTheme="minorHAnsi"/>
          <w:lang w:val="es-ES"/>
        </w:rPr>
      </w:pPr>
      <w:bookmarkStart w:id="6" w:name="_Toc429728669"/>
      <w:r w:rsidRPr="00BF45A9">
        <w:rPr>
          <w:rFonts w:eastAsiaTheme="minorHAnsi"/>
          <w:lang w:val="es-ES"/>
        </w:rPr>
        <w:lastRenderedPageBreak/>
        <w:t>IV Conclusiones y Recomendaciones</w:t>
      </w:r>
      <w:bookmarkEnd w:id="6"/>
    </w:p>
    <w:p w:rsidR="00BF45A9" w:rsidRDefault="00BF45A9" w:rsidP="00BF45A9">
      <w:pPr>
        <w:pStyle w:val="texto"/>
        <w:rPr>
          <w:lang w:val="es-ES"/>
        </w:rPr>
      </w:pPr>
      <w:r w:rsidRPr="00BF45A9">
        <w:rPr>
          <w:lang w:val="es-ES"/>
        </w:rPr>
        <w:t>Presentamos a continuación las principales conclusiones y recomendaciones que se derivan del trabajo realizado:</w:t>
      </w:r>
    </w:p>
    <w:p w:rsidR="00BF45A9" w:rsidRPr="00C52B5A" w:rsidRDefault="00BF45A9" w:rsidP="00C52B5A">
      <w:pPr>
        <w:pStyle w:val="texto"/>
        <w:numPr>
          <w:ilvl w:val="0"/>
          <w:numId w:val="38"/>
        </w:numPr>
        <w:tabs>
          <w:tab w:val="clear" w:pos="2835"/>
          <w:tab w:val="center" w:pos="567"/>
        </w:tabs>
        <w:ind w:left="0" w:firstLine="284"/>
        <w:rPr>
          <w:lang w:val="es-ES"/>
        </w:rPr>
      </w:pPr>
      <w:r w:rsidRPr="00C52B5A">
        <w:rPr>
          <w:lang w:val="es-ES"/>
        </w:rPr>
        <w:t>De las 61 mancomunidades encuestadas han enviado respuesta 4</w:t>
      </w:r>
      <w:r w:rsidR="00B465BC">
        <w:rPr>
          <w:lang w:val="es-ES"/>
        </w:rPr>
        <w:t>2</w:t>
      </w:r>
      <w:r w:rsidRPr="00C52B5A">
        <w:rPr>
          <w:lang w:val="es-ES"/>
        </w:rPr>
        <w:t xml:space="preserve"> entid</w:t>
      </w:r>
      <w:r w:rsidRPr="00C52B5A">
        <w:rPr>
          <w:lang w:val="es-ES"/>
        </w:rPr>
        <w:t>a</w:t>
      </w:r>
      <w:r w:rsidRPr="00C52B5A">
        <w:rPr>
          <w:lang w:val="es-ES"/>
        </w:rPr>
        <w:t>des. En ningún caso se han formulado reparos. La mayor parte de las que no han contestado, cuya relación se presenta en el anexo 1, corresponden a ma</w:t>
      </w:r>
      <w:r w:rsidRPr="00C52B5A">
        <w:rPr>
          <w:lang w:val="es-ES"/>
        </w:rPr>
        <w:t>n</w:t>
      </w:r>
      <w:r w:rsidRPr="00C52B5A">
        <w:rPr>
          <w:lang w:val="es-ES"/>
        </w:rPr>
        <w:t>comunidades de servicios sociales</w:t>
      </w:r>
      <w:r w:rsidR="00B465BC">
        <w:rPr>
          <w:lang w:val="es-ES"/>
        </w:rPr>
        <w:t xml:space="preserve"> de pequeño tamaño</w:t>
      </w:r>
      <w:r w:rsidRPr="00C52B5A">
        <w:rPr>
          <w:lang w:val="es-ES"/>
        </w:rPr>
        <w:t>.</w:t>
      </w:r>
    </w:p>
    <w:p w:rsidR="00C22AD3" w:rsidRPr="00C52B5A" w:rsidRDefault="00BF45A9" w:rsidP="004B7767">
      <w:pPr>
        <w:pStyle w:val="texto"/>
        <w:numPr>
          <w:ilvl w:val="0"/>
          <w:numId w:val="38"/>
        </w:numPr>
        <w:tabs>
          <w:tab w:val="clear" w:pos="2835"/>
          <w:tab w:val="center" w:pos="567"/>
        </w:tabs>
        <w:spacing w:after="240"/>
        <w:ind w:left="0" w:firstLine="284"/>
        <w:rPr>
          <w:lang w:val="es-ES"/>
        </w:rPr>
      </w:pPr>
      <w:r w:rsidRPr="00C52B5A">
        <w:rPr>
          <w:lang w:val="es-ES"/>
        </w:rPr>
        <w:t>Los 272 ayuntamientos presentan los siguientes datos</w:t>
      </w:r>
      <w:r w:rsidR="007309F8" w:rsidRPr="00C52B5A">
        <w:rPr>
          <w:lang w:val="es-ES"/>
        </w:rPr>
        <w:t>.</w:t>
      </w:r>
    </w:p>
    <w:tbl>
      <w:tblPr>
        <w:tblW w:w="8782" w:type="dxa"/>
        <w:jc w:val="center"/>
        <w:tblInd w:w="-49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2"/>
        <w:gridCol w:w="4220"/>
      </w:tblGrid>
      <w:tr w:rsidR="0071123F" w:rsidRPr="0071123F" w:rsidTr="008E6B5A">
        <w:trPr>
          <w:trHeight w:val="300"/>
          <w:jc w:val="center"/>
        </w:trPr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71123F" w:rsidRPr="0071123F" w:rsidRDefault="0071123F" w:rsidP="0071123F">
            <w:pPr>
              <w:pStyle w:val="cuatexto"/>
              <w:jc w:val="left"/>
              <w:rPr>
                <w:rFonts w:ascii="Arial" w:hAnsi="Arial" w:cs="Arial"/>
              </w:rPr>
            </w:pPr>
            <w:r w:rsidRPr="0071123F">
              <w:rPr>
                <w:rFonts w:ascii="Arial" w:hAnsi="Arial" w:cs="Arial"/>
              </w:rPr>
              <w:t> 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71123F" w:rsidRPr="0071123F" w:rsidRDefault="0071123F" w:rsidP="0071123F">
            <w:pPr>
              <w:pStyle w:val="cuatexto"/>
              <w:jc w:val="right"/>
              <w:rPr>
                <w:rFonts w:ascii="Arial" w:hAnsi="Arial" w:cs="Arial"/>
              </w:rPr>
            </w:pPr>
            <w:r w:rsidRPr="0071123F">
              <w:rPr>
                <w:rFonts w:ascii="Arial" w:hAnsi="Arial" w:cs="Arial"/>
              </w:rPr>
              <w:t>Nº Ayuntamientos</w:t>
            </w:r>
          </w:p>
        </w:tc>
      </w:tr>
      <w:tr w:rsidR="0071123F" w:rsidRPr="0071123F" w:rsidTr="003B5905">
        <w:trPr>
          <w:trHeight w:val="300"/>
          <w:jc w:val="center"/>
        </w:trPr>
        <w:tc>
          <w:tcPr>
            <w:tcW w:w="456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1123F" w:rsidRPr="0071123F" w:rsidRDefault="00484599" w:rsidP="0071123F">
            <w:pPr>
              <w:pStyle w:val="cuatexto"/>
              <w:jc w:val="left"/>
              <w:rPr>
                <w:szCs w:val="20"/>
              </w:rPr>
            </w:pPr>
            <w:r>
              <w:rPr>
                <w:szCs w:val="20"/>
              </w:rPr>
              <w:t>Con</w:t>
            </w:r>
            <w:r w:rsidR="0071123F" w:rsidRPr="0071123F">
              <w:rPr>
                <w:szCs w:val="20"/>
              </w:rPr>
              <w:t xml:space="preserve"> reparos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1123F" w:rsidRPr="0071123F" w:rsidRDefault="0071123F" w:rsidP="0071123F">
            <w:pPr>
              <w:pStyle w:val="cuatexto"/>
              <w:jc w:val="right"/>
              <w:rPr>
                <w:szCs w:val="20"/>
              </w:rPr>
            </w:pPr>
            <w:r w:rsidRPr="0071123F">
              <w:rPr>
                <w:szCs w:val="20"/>
              </w:rPr>
              <w:t>30</w:t>
            </w:r>
          </w:p>
        </w:tc>
      </w:tr>
      <w:tr w:rsidR="0071123F" w:rsidRPr="0071123F" w:rsidTr="003B5905">
        <w:trPr>
          <w:trHeight w:val="300"/>
          <w:jc w:val="center"/>
        </w:trPr>
        <w:tc>
          <w:tcPr>
            <w:tcW w:w="45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71123F" w:rsidRPr="0071123F" w:rsidRDefault="00484599" w:rsidP="0071123F">
            <w:pPr>
              <w:pStyle w:val="cuatexto"/>
              <w:jc w:val="left"/>
              <w:rPr>
                <w:szCs w:val="20"/>
              </w:rPr>
            </w:pPr>
            <w:r>
              <w:rPr>
                <w:szCs w:val="20"/>
              </w:rPr>
              <w:t>Sin</w:t>
            </w:r>
            <w:r w:rsidR="0071123F" w:rsidRPr="0071123F">
              <w:rPr>
                <w:szCs w:val="20"/>
              </w:rPr>
              <w:t xml:space="preserve"> reparos</w:t>
            </w:r>
          </w:p>
        </w:tc>
        <w:tc>
          <w:tcPr>
            <w:tcW w:w="42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1123F" w:rsidRPr="0071123F" w:rsidRDefault="0071123F" w:rsidP="00AD31EA">
            <w:pPr>
              <w:pStyle w:val="cuatexto"/>
              <w:jc w:val="right"/>
              <w:rPr>
                <w:szCs w:val="20"/>
              </w:rPr>
            </w:pPr>
            <w:r w:rsidRPr="0071123F">
              <w:rPr>
                <w:szCs w:val="20"/>
              </w:rPr>
              <w:t>2</w:t>
            </w:r>
            <w:r w:rsidR="00AD31EA">
              <w:rPr>
                <w:szCs w:val="20"/>
              </w:rPr>
              <w:t>20</w:t>
            </w:r>
          </w:p>
        </w:tc>
      </w:tr>
      <w:tr w:rsidR="0071123F" w:rsidRPr="0071123F" w:rsidTr="003B5905">
        <w:trPr>
          <w:trHeight w:val="300"/>
          <w:jc w:val="center"/>
        </w:trPr>
        <w:tc>
          <w:tcPr>
            <w:tcW w:w="45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1123F" w:rsidRPr="0071123F" w:rsidRDefault="0071123F" w:rsidP="00152CB9">
            <w:pPr>
              <w:pStyle w:val="cuatexto"/>
              <w:jc w:val="left"/>
              <w:rPr>
                <w:szCs w:val="20"/>
              </w:rPr>
            </w:pPr>
            <w:r w:rsidRPr="0071123F">
              <w:rPr>
                <w:szCs w:val="20"/>
              </w:rPr>
              <w:t>N</w:t>
            </w:r>
            <w:r w:rsidR="00152CB9">
              <w:rPr>
                <w:szCs w:val="20"/>
              </w:rPr>
              <w:t>o</w:t>
            </w:r>
            <w:r w:rsidRPr="0071123F">
              <w:rPr>
                <w:szCs w:val="20"/>
              </w:rPr>
              <w:t xml:space="preserve"> responden </w:t>
            </w:r>
          </w:p>
        </w:tc>
        <w:tc>
          <w:tcPr>
            <w:tcW w:w="42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71123F" w:rsidRPr="0071123F" w:rsidRDefault="0071123F" w:rsidP="0071123F">
            <w:pPr>
              <w:pStyle w:val="cuatexto"/>
              <w:jc w:val="right"/>
              <w:rPr>
                <w:szCs w:val="20"/>
              </w:rPr>
            </w:pPr>
            <w:r w:rsidRPr="0071123F">
              <w:rPr>
                <w:szCs w:val="20"/>
              </w:rPr>
              <w:t>22</w:t>
            </w:r>
          </w:p>
        </w:tc>
      </w:tr>
      <w:tr w:rsidR="0071123F" w:rsidRPr="0071123F" w:rsidTr="008E6B5A">
        <w:trPr>
          <w:trHeight w:val="315"/>
          <w:jc w:val="center"/>
        </w:trPr>
        <w:tc>
          <w:tcPr>
            <w:tcW w:w="4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71123F" w:rsidRPr="0071123F" w:rsidRDefault="00152CB9" w:rsidP="0071123F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4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71123F" w:rsidRPr="0071123F" w:rsidRDefault="0071123F" w:rsidP="0071123F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1123F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</w:tr>
    </w:tbl>
    <w:p w:rsidR="00BF45A9" w:rsidRDefault="00BF45A9" w:rsidP="004B7767">
      <w:pPr>
        <w:pStyle w:val="texto"/>
        <w:spacing w:before="240"/>
        <w:rPr>
          <w:lang w:val="es-ES"/>
        </w:rPr>
      </w:pPr>
      <w:r w:rsidRPr="00BF45A9">
        <w:rPr>
          <w:lang w:val="es-ES"/>
        </w:rPr>
        <w:t>En el anexo 2 se presenta la relación de los que no han contestado</w:t>
      </w:r>
      <w:r w:rsidR="00EB3387">
        <w:rPr>
          <w:lang w:val="es-ES"/>
        </w:rPr>
        <w:t>.</w:t>
      </w:r>
      <w:r w:rsidR="00B465BC">
        <w:rPr>
          <w:lang w:val="es-ES"/>
        </w:rPr>
        <w:t xml:space="preserve"> En gen</w:t>
      </w:r>
      <w:r w:rsidR="00B465BC">
        <w:rPr>
          <w:lang w:val="es-ES"/>
        </w:rPr>
        <w:t>e</w:t>
      </w:r>
      <w:r w:rsidR="00B465BC">
        <w:rPr>
          <w:lang w:val="es-ES"/>
        </w:rPr>
        <w:t>ral</w:t>
      </w:r>
      <w:r w:rsidR="00525C1D">
        <w:rPr>
          <w:lang w:val="es-ES"/>
        </w:rPr>
        <w:t>,</w:t>
      </w:r>
      <w:r w:rsidR="00B465BC">
        <w:rPr>
          <w:lang w:val="es-ES"/>
        </w:rPr>
        <w:t xml:space="preserve"> se trata de entidades que no superan los 500 habitantes.</w:t>
      </w:r>
    </w:p>
    <w:p w:rsidR="00EB3387" w:rsidRPr="00BF45A9" w:rsidRDefault="00EB3387" w:rsidP="004B7767">
      <w:pPr>
        <w:pStyle w:val="texto"/>
        <w:rPr>
          <w:lang w:val="es-ES"/>
        </w:rPr>
      </w:pPr>
      <w:r>
        <w:rPr>
          <w:lang w:val="es-ES"/>
        </w:rPr>
        <w:t>En estos 30 ayuntamientos se han interpuesto 161 reparos por un importe t</w:t>
      </w:r>
      <w:r>
        <w:rPr>
          <w:lang w:val="es-ES"/>
        </w:rPr>
        <w:t>o</w:t>
      </w:r>
      <w:r>
        <w:rPr>
          <w:lang w:val="es-ES"/>
        </w:rPr>
        <w:t>tal de 979.607 euros.</w:t>
      </w:r>
    </w:p>
    <w:p w:rsidR="001D73A8" w:rsidRPr="00AD31EA" w:rsidRDefault="00EB3387" w:rsidP="00C55C7D">
      <w:pPr>
        <w:pStyle w:val="texto"/>
        <w:numPr>
          <w:ilvl w:val="0"/>
          <w:numId w:val="38"/>
        </w:numPr>
        <w:tabs>
          <w:tab w:val="clear" w:pos="2835"/>
          <w:tab w:val="center" w:pos="567"/>
        </w:tabs>
        <w:spacing w:after="240"/>
        <w:ind w:left="0" w:firstLine="284"/>
        <w:rPr>
          <w:lang w:val="es-ES"/>
        </w:rPr>
      </w:pPr>
      <w:r w:rsidRPr="00AD31EA">
        <w:rPr>
          <w:lang w:val="es-ES"/>
        </w:rPr>
        <w:t>Atendiendo a su importe</w:t>
      </w:r>
      <w:r w:rsidR="00AD31EA" w:rsidRPr="00AD31EA">
        <w:rPr>
          <w:lang w:val="es-ES"/>
        </w:rPr>
        <w:t xml:space="preserve"> y teniendo en cuenta que l</w:t>
      </w:r>
      <w:r w:rsidR="00BF45A9" w:rsidRPr="00C55C7D">
        <w:rPr>
          <w:lang w:val="es-ES"/>
        </w:rPr>
        <w:t xml:space="preserve">as cuantías </w:t>
      </w:r>
      <w:r w:rsidRPr="00C55C7D">
        <w:rPr>
          <w:lang w:val="es-ES"/>
        </w:rPr>
        <w:t>consider</w:t>
      </w:r>
      <w:r w:rsidRPr="00C55C7D">
        <w:rPr>
          <w:lang w:val="es-ES"/>
        </w:rPr>
        <w:t>a</w:t>
      </w:r>
      <w:r w:rsidRPr="00C55C7D">
        <w:rPr>
          <w:lang w:val="es-ES"/>
        </w:rPr>
        <w:t xml:space="preserve">das no </w:t>
      </w:r>
      <w:r w:rsidR="00BF45A9" w:rsidRPr="00C55C7D">
        <w:rPr>
          <w:lang w:val="es-ES"/>
        </w:rPr>
        <w:t>son homogéneas, y que</w:t>
      </w:r>
      <w:r w:rsidR="00484599">
        <w:rPr>
          <w:lang w:val="es-ES"/>
        </w:rPr>
        <w:t xml:space="preserve"> no siempre son proporcionales a su importancia, </w:t>
      </w:r>
      <w:r w:rsidR="00BF45A9" w:rsidRPr="00AD31EA">
        <w:rPr>
          <w:lang w:val="es-ES"/>
        </w:rPr>
        <w:t>se distribuyen de la siguiente manera:</w:t>
      </w:r>
    </w:p>
    <w:tbl>
      <w:tblPr>
        <w:tblW w:w="8862" w:type="dxa"/>
        <w:jc w:val="center"/>
        <w:tblInd w:w="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8"/>
        <w:gridCol w:w="2830"/>
        <w:gridCol w:w="1559"/>
        <w:gridCol w:w="1565"/>
      </w:tblGrid>
      <w:tr w:rsidR="00BF45A9" w:rsidRPr="00331C4A" w:rsidTr="008E6B5A">
        <w:trPr>
          <w:trHeight w:val="300"/>
          <w:jc w:val="center"/>
        </w:trPr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F45A9" w:rsidRPr="00331C4A" w:rsidRDefault="00331C4A" w:rsidP="00331C4A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1C4A">
              <w:rPr>
                <w:rFonts w:ascii="Arial" w:hAnsi="Arial" w:cs="Arial"/>
                <w:sz w:val="18"/>
                <w:szCs w:val="18"/>
              </w:rPr>
              <w:t>S/ importe por tramos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F45A9" w:rsidRPr="00331C4A" w:rsidRDefault="00331C4A" w:rsidP="00331C4A">
            <w:pPr>
              <w:pStyle w:val="cuatexto"/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1C4A">
              <w:rPr>
                <w:rFonts w:ascii="Arial" w:hAnsi="Arial" w:cs="Arial"/>
                <w:sz w:val="18"/>
                <w:szCs w:val="18"/>
              </w:rPr>
              <w:t>Nº reparos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F45A9" w:rsidRPr="00331C4A" w:rsidRDefault="00BF45A9" w:rsidP="00331C4A">
            <w:pPr>
              <w:pStyle w:val="cuatexto"/>
              <w:ind w:right="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1C4A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45A9" w:rsidRPr="00331C4A" w:rsidRDefault="00BF45A9" w:rsidP="00331C4A">
            <w:pPr>
              <w:pStyle w:val="cuatexto"/>
              <w:ind w:right="8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1C4A">
              <w:rPr>
                <w:rFonts w:ascii="Arial" w:hAnsi="Arial" w:cs="Arial"/>
                <w:sz w:val="18"/>
                <w:szCs w:val="18"/>
              </w:rPr>
              <w:t>Importe medio</w:t>
            </w:r>
          </w:p>
        </w:tc>
      </w:tr>
      <w:tr w:rsidR="00BF45A9" w:rsidRPr="00331C4A" w:rsidTr="00331C4A">
        <w:trPr>
          <w:trHeight w:val="300"/>
          <w:jc w:val="center"/>
        </w:trPr>
        <w:tc>
          <w:tcPr>
            <w:tcW w:w="2908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F45A9" w:rsidRPr="00331C4A" w:rsidRDefault="00331C4A" w:rsidP="00331C4A">
            <w:pPr>
              <w:pStyle w:val="cuatexto"/>
              <w:jc w:val="left"/>
              <w:rPr>
                <w:szCs w:val="20"/>
              </w:rPr>
            </w:pPr>
            <w:r w:rsidRPr="00331C4A">
              <w:rPr>
                <w:szCs w:val="20"/>
              </w:rPr>
              <w:t>Sin cuantificar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F45A9" w:rsidRPr="00331C4A" w:rsidRDefault="00BF45A9" w:rsidP="00331C4A">
            <w:pPr>
              <w:pStyle w:val="cuatexto"/>
              <w:ind w:right="72"/>
              <w:jc w:val="right"/>
              <w:rPr>
                <w:szCs w:val="20"/>
              </w:rPr>
            </w:pPr>
            <w:r w:rsidRPr="00331C4A">
              <w:rPr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F45A9" w:rsidRPr="00331C4A" w:rsidRDefault="00BF45A9" w:rsidP="00331C4A">
            <w:pPr>
              <w:pStyle w:val="cuatexto"/>
              <w:ind w:right="71"/>
              <w:jc w:val="right"/>
              <w:rPr>
                <w:szCs w:val="20"/>
              </w:rPr>
            </w:pPr>
          </w:p>
        </w:tc>
        <w:tc>
          <w:tcPr>
            <w:tcW w:w="1565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BF45A9" w:rsidRPr="00331C4A" w:rsidRDefault="00BF45A9" w:rsidP="00331C4A">
            <w:pPr>
              <w:pStyle w:val="cuatexto"/>
              <w:ind w:right="81"/>
              <w:jc w:val="right"/>
              <w:rPr>
                <w:szCs w:val="20"/>
              </w:rPr>
            </w:pPr>
          </w:p>
        </w:tc>
      </w:tr>
      <w:tr w:rsidR="00BF45A9" w:rsidRPr="00331C4A" w:rsidTr="00331C4A">
        <w:trPr>
          <w:trHeight w:val="300"/>
          <w:jc w:val="center"/>
        </w:trPr>
        <w:tc>
          <w:tcPr>
            <w:tcW w:w="29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F45A9" w:rsidRPr="00331C4A" w:rsidRDefault="00BF45A9" w:rsidP="00331C4A">
            <w:pPr>
              <w:pStyle w:val="cuatexto"/>
              <w:jc w:val="left"/>
              <w:rPr>
                <w:szCs w:val="20"/>
              </w:rPr>
            </w:pPr>
            <w:r w:rsidRPr="00331C4A">
              <w:rPr>
                <w:szCs w:val="20"/>
              </w:rPr>
              <w:t>&lt;1.000</w:t>
            </w:r>
          </w:p>
        </w:tc>
        <w:tc>
          <w:tcPr>
            <w:tcW w:w="28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F45A9" w:rsidRPr="00331C4A" w:rsidRDefault="00BF45A9" w:rsidP="00331C4A">
            <w:pPr>
              <w:pStyle w:val="cuatexto"/>
              <w:ind w:right="72"/>
              <w:jc w:val="right"/>
              <w:rPr>
                <w:szCs w:val="20"/>
              </w:rPr>
            </w:pPr>
            <w:r w:rsidRPr="00331C4A">
              <w:rPr>
                <w:szCs w:val="20"/>
              </w:rPr>
              <w:t>47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F45A9" w:rsidRPr="00331C4A" w:rsidRDefault="00BF45A9" w:rsidP="004B7767">
            <w:pPr>
              <w:pStyle w:val="cuatexto"/>
              <w:ind w:right="71"/>
              <w:jc w:val="right"/>
              <w:rPr>
                <w:szCs w:val="20"/>
              </w:rPr>
            </w:pPr>
            <w:r w:rsidRPr="00331C4A">
              <w:rPr>
                <w:szCs w:val="20"/>
              </w:rPr>
              <w:t>15.938</w:t>
            </w:r>
          </w:p>
        </w:tc>
        <w:tc>
          <w:tcPr>
            <w:tcW w:w="15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F45A9" w:rsidRPr="00331C4A" w:rsidRDefault="00BF45A9" w:rsidP="00331C4A">
            <w:pPr>
              <w:pStyle w:val="cuatexto"/>
              <w:ind w:right="81"/>
              <w:jc w:val="right"/>
              <w:rPr>
                <w:rFonts w:eastAsiaTheme="minorHAnsi"/>
                <w:szCs w:val="20"/>
              </w:rPr>
            </w:pPr>
            <w:r w:rsidRPr="00331C4A">
              <w:rPr>
                <w:rFonts w:eastAsiaTheme="minorHAnsi"/>
                <w:szCs w:val="20"/>
              </w:rPr>
              <w:t>339</w:t>
            </w:r>
          </w:p>
        </w:tc>
      </w:tr>
      <w:tr w:rsidR="00BF45A9" w:rsidRPr="00331C4A" w:rsidTr="00331C4A">
        <w:trPr>
          <w:trHeight w:val="300"/>
          <w:jc w:val="center"/>
        </w:trPr>
        <w:tc>
          <w:tcPr>
            <w:tcW w:w="29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F45A9" w:rsidRPr="00331C4A" w:rsidRDefault="00BF45A9" w:rsidP="00331C4A">
            <w:pPr>
              <w:pStyle w:val="cuatexto"/>
              <w:jc w:val="left"/>
              <w:rPr>
                <w:szCs w:val="20"/>
              </w:rPr>
            </w:pPr>
            <w:r w:rsidRPr="00331C4A">
              <w:rPr>
                <w:szCs w:val="20"/>
              </w:rPr>
              <w:t>&gt;1.000&lt;5.000</w:t>
            </w:r>
          </w:p>
        </w:tc>
        <w:tc>
          <w:tcPr>
            <w:tcW w:w="28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F45A9" w:rsidRPr="00331C4A" w:rsidRDefault="00BF45A9" w:rsidP="00331C4A">
            <w:pPr>
              <w:pStyle w:val="cuatexto"/>
              <w:ind w:right="72"/>
              <w:jc w:val="right"/>
              <w:rPr>
                <w:szCs w:val="20"/>
              </w:rPr>
            </w:pPr>
            <w:r w:rsidRPr="00331C4A">
              <w:rPr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F45A9" w:rsidRPr="00331C4A" w:rsidRDefault="00BF45A9" w:rsidP="004B7767">
            <w:pPr>
              <w:pStyle w:val="cuatexto"/>
              <w:ind w:right="71"/>
              <w:jc w:val="right"/>
              <w:rPr>
                <w:szCs w:val="20"/>
              </w:rPr>
            </w:pPr>
            <w:r w:rsidRPr="00331C4A">
              <w:rPr>
                <w:szCs w:val="20"/>
              </w:rPr>
              <w:t>76.793</w:t>
            </w:r>
          </w:p>
        </w:tc>
        <w:tc>
          <w:tcPr>
            <w:tcW w:w="15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F45A9" w:rsidRPr="00331C4A" w:rsidRDefault="00BF45A9" w:rsidP="00331C4A">
            <w:pPr>
              <w:pStyle w:val="cuatexto"/>
              <w:ind w:right="81"/>
              <w:jc w:val="right"/>
              <w:rPr>
                <w:rFonts w:eastAsiaTheme="minorHAnsi"/>
                <w:szCs w:val="20"/>
              </w:rPr>
            </w:pPr>
            <w:r w:rsidRPr="00331C4A">
              <w:rPr>
                <w:rFonts w:eastAsiaTheme="minorHAnsi"/>
                <w:szCs w:val="20"/>
              </w:rPr>
              <w:t>2.259</w:t>
            </w:r>
          </w:p>
        </w:tc>
      </w:tr>
      <w:tr w:rsidR="00BF45A9" w:rsidRPr="00331C4A" w:rsidTr="00331C4A">
        <w:trPr>
          <w:trHeight w:val="300"/>
          <w:jc w:val="center"/>
        </w:trPr>
        <w:tc>
          <w:tcPr>
            <w:tcW w:w="29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F45A9" w:rsidRPr="00331C4A" w:rsidRDefault="00BF45A9" w:rsidP="00331C4A">
            <w:pPr>
              <w:pStyle w:val="cuatexto"/>
              <w:jc w:val="left"/>
              <w:rPr>
                <w:szCs w:val="20"/>
              </w:rPr>
            </w:pPr>
            <w:r w:rsidRPr="00331C4A">
              <w:rPr>
                <w:szCs w:val="20"/>
              </w:rPr>
              <w:t>&gt;5.000&lt;10.000</w:t>
            </w:r>
          </w:p>
        </w:tc>
        <w:tc>
          <w:tcPr>
            <w:tcW w:w="28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F45A9" w:rsidRPr="00331C4A" w:rsidRDefault="00BF45A9" w:rsidP="00331C4A">
            <w:pPr>
              <w:pStyle w:val="cuatexto"/>
              <w:ind w:right="72"/>
              <w:jc w:val="right"/>
              <w:rPr>
                <w:szCs w:val="20"/>
              </w:rPr>
            </w:pPr>
            <w:r w:rsidRPr="00331C4A">
              <w:rPr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F45A9" w:rsidRPr="00331C4A" w:rsidRDefault="00BF45A9" w:rsidP="004B7767">
            <w:pPr>
              <w:pStyle w:val="cuatexto"/>
              <w:ind w:right="71"/>
              <w:jc w:val="right"/>
              <w:rPr>
                <w:szCs w:val="20"/>
              </w:rPr>
            </w:pPr>
            <w:r w:rsidRPr="00331C4A">
              <w:rPr>
                <w:szCs w:val="20"/>
              </w:rPr>
              <w:t>136.83</w:t>
            </w:r>
            <w:r w:rsidR="004B7767">
              <w:rPr>
                <w:szCs w:val="20"/>
              </w:rPr>
              <w:t>1</w:t>
            </w:r>
          </w:p>
        </w:tc>
        <w:tc>
          <w:tcPr>
            <w:tcW w:w="15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F45A9" w:rsidRPr="00331C4A" w:rsidRDefault="00BF45A9" w:rsidP="00331C4A">
            <w:pPr>
              <w:pStyle w:val="cuatexto"/>
              <w:ind w:right="81"/>
              <w:jc w:val="right"/>
              <w:rPr>
                <w:rFonts w:eastAsiaTheme="minorHAnsi"/>
                <w:szCs w:val="20"/>
              </w:rPr>
            </w:pPr>
            <w:r w:rsidRPr="00331C4A">
              <w:rPr>
                <w:rFonts w:eastAsiaTheme="minorHAnsi"/>
                <w:szCs w:val="20"/>
              </w:rPr>
              <w:t>7.602</w:t>
            </w:r>
          </w:p>
        </w:tc>
      </w:tr>
      <w:tr w:rsidR="00BF45A9" w:rsidRPr="00331C4A" w:rsidTr="00331C4A">
        <w:trPr>
          <w:trHeight w:val="300"/>
          <w:jc w:val="center"/>
        </w:trPr>
        <w:tc>
          <w:tcPr>
            <w:tcW w:w="29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BF45A9" w:rsidRPr="00331C4A" w:rsidRDefault="00BF45A9" w:rsidP="00331C4A">
            <w:pPr>
              <w:pStyle w:val="cuatexto"/>
              <w:jc w:val="left"/>
              <w:rPr>
                <w:szCs w:val="20"/>
              </w:rPr>
            </w:pPr>
            <w:r w:rsidRPr="00331C4A">
              <w:rPr>
                <w:szCs w:val="20"/>
              </w:rPr>
              <w:t>&gt;10.000&lt;20.000</w:t>
            </w:r>
          </w:p>
        </w:tc>
        <w:tc>
          <w:tcPr>
            <w:tcW w:w="283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F45A9" w:rsidRPr="00331C4A" w:rsidRDefault="00BF45A9" w:rsidP="00331C4A">
            <w:pPr>
              <w:pStyle w:val="cuatexto"/>
              <w:ind w:right="72"/>
              <w:jc w:val="right"/>
              <w:rPr>
                <w:szCs w:val="20"/>
              </w:rPr>
            </w:pPr>
            <w:r w:rsidRPr="00331C4A">
              <w:rPr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BF45A9" w:rsidRPr="00331C4A" w:rsidRDefault="00BF45A9" w:rsidP="004B7767">
            <w:pPr>
              <w:pStyle w:val="cuatexto"/>
              <w:ind w:right="71"/>
              <w:jc w:val="right"/>
              <w:rPr>
                <w:szCs w:val="20"/>
              </w:rPr>
            </w:pPr>
            <w:r w:rsidRPr="00331C4A">
              <w:rPr>
                <w:szCs w:val="20"/>
              </w:rPr>
              <w:t>169.147</w:t>
            </w:r>
          </w:p>
        </w:tc>
        <w:tc>
          <w:tcPr>
            <w:tcW w:w="15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F45A9" w:rsidRPr="00331C4A" w:rsidRDefault="00BF45A9" w:rsidP="00331C4A">
            <w:pPr>
              <w:pStyle w:val="cuatexto"/>
              <w:ind w:right="81"/>
              <w:jc w:val="right"/>
              <w:rPr>
                <w:rFonts w:eastAsiaTheme="minorHAnsi"/>
                <w:szCs w:val="20"/>
              </w:rPr>
            </w:pPr>
            <w:r w:rsidRPr="00331C4A">
              <w:rPr>
                <w:rFonts w:eastAsiaTheme="minorHAnsi"/>
                <w:szCs w:val="20"/>
              </w:rPr>
              <w:t>13.011</w:t>
            </w:r>
          </w:p>
        </w:tc>
      </w:tr>
      <w:tr w:rsidR="00BF45A9" w:rsidRPr="00331C4A" w:rsidTr="00331C4A">
        <w:trPr>
          <w:trHeight w:val="315"/>
          <w:jc w:val="center"/>
        </w:trPr>
        <w:tc>
          <w:tcPr>
            <w:tcW w:w="290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45A9" w:rsidRPr="00331C4A" w:rsidRDefault="00BF45A9" w:rsidP="00331C4A">
            <w:pPr>
              <w:pStyle w:val="cuatexto"/>
              <w:jc w:val="left"/>
              <w:rPr>
                <w:szCs w:val="20"/>
              </w:rPr>
            </w:pPr>
            <w:r w:rsidRPr="00331C4A">
              <w:rPr>
                <w:szCs w:val="20"/>
              </w:rPr>
              <w:t>&gt;20.000</w:t>
            </w:r>
          </w:p>
        </w:tc>
        <w:tc>
          <w:tcPr>
            <w:tcW w:w="2830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45A9" w:rsidRPr="00331C4A" w:rsidRDefault="00BF45A9" w:rsidP="00331C4A">
            <w:pPr>
              <w:pStyle w:val="cuatexto"/>
              <w:ind w:right="72"/>
              <w:jc w:val="right"/>
              <w:rPr>
                <w:szCs w:val="20"/>
              </w:rPr>
            </w:pPr>
            <w:r w:rsidRPr="00331C4A">
              <w:rPr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F45A9" w:rsidRPr="00331C4A" w:rsidRDefault="00BF45A9" w:rsidP="004B7767">
            <w:pPr>
              <w:pStyle w:val="cuatexto"/>
              <w:ind w:right="71"/>
              <w:jc w:val="right"/>
              <w:rPr>
                <w:szCs w:val="20"/>
              </w:rPr>
            </w:pPr>
            <w:r w:rsidRPr="00331C4A">
              <w:rPr>
                <w:szCs w:val="20"/>
              </w:rPr>
              <w:t>580.89</w:t>
            </w:r>
            <w:r w:rsidR="004B7767">
              <w:rPr>
                <w:szCs w:val="20"/>
              </w:rPr>
              <w:t>8</w:t>
            </w:r>
          </w:p>
        </w:tc>
        <w:tc>
          <w:tcPr>
            <w:tcW w:w="156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BF45A9" w:rsidRPr="00331C4A" w:rsidRDefault="00BF45A9" w:rsidP="00331C4A">
            <w:pPr>
              <w:pStyle w:val="cuatexto"/>
              <w:ind w:right="81"/>
              <w:jc w:val="right"/>
              <w:rPr>
                <w:rFonts w:eastAsiaTheme="minorHAnsi"/>
                <w:szCs w:val="20"/>
              </w:rPr>
            </w:pPr>
            <w:r w:rsidRPr="00331C4A">
              <w:rPr>
                <w:rFonts w:eastAsiaTheme="minorHAnsi"/>
                <w:szCs w:val="20"/>
              </w:rPr>
              <w:t>36.306</w:t>
            </w:r>
          </w:p>
        </w:tc>
      </w:tr>
      <w:tr w:rsidR="00BF45A9" w:rsidRPr="00331C4A" w:rsidTr="008E6B5A">
        <w:trPr>
          <w:trHeight w:val="315"/>
          <w:jc w:val="center"/>
        </w:trPr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BF45A9" w:rsidRPr="00331C4A" w:rsidRDefault="00331C4A" w:rsidP="00331C4A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1C4A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F45A9" w:rsidRPr="00331C4A" w:rsidRDefault="00BF45A9" w:rsidP="00331C4A">
            <w:pPr>
              <w:pStyle w:val="cuatexto"/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1C4A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F45A9" w:rsidRPr="00331C4A" w:rsidRDefault="00BF45A9" w:rsidP="004B7767">
            <w:pPr>
              <w:pStyle w:val="cuatexto"/>
              <w:ind w:right="7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1C4A">
              <w:rPr>
                <w:rFonts w:ascii="Arial" w:hAnsi="Arial" w:cs="Arial"/>
                <w:sz w:val="18"/>
                <w:szCs w:val="18"/>
              </w:rPr>
              <w:t>979.607</w:t>
            </w:r>
          </w:p>
        </w:tc>
        <w:tc>
          <w:tcPr>
            <w:tcW w:w="15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BF45A9" w:rsidRPr="00331C4A" w:rsidRDefault="00BF45A9" w:rsidP="00331C4A">
            <w:pPr>
              <w:pStyle w:val="cuatexto"/>
              <w:ind w:right="81"/>
              <w:jc w:val="right"/>
              <w:rPr>
                <w:rFonts w:ascii="Arial" w:eastAsiaTheme="minorHAnsi" w:hAnsi="Arial" w:cs="Arial"/>
                <w:sz w:val="18"/>
                <w:szCs w:val="18"/>
              </w:rPr>
            </w:pPr>
            <w:r w:rsidRPr="00331C4A">
              <w:rPr>
                <w:rFonts w:ascii="Arial" w:eastAsiaTheme="minorHAnsi" w:hAnsi="Arial" w:cs="Arial"/>
                <w:sz w:val="18"/>
                <w:szCs w:val="18"/>
              </w:rPr>
              <w:t>7</w:t>
            </w:r>
            <w:r w:rsidR="00331C4A">
              <w:rPr>
                <w:rFonts w:ascii="Arial" w:eastAsiaTheme="minorHAnsi" w:hAnsi="Arial" w:cs="Arial"/>
                <w:sz w:val="18"/>
                <w:szCs w:val="18"/>
              </w:rPr>
              <w:t>.</w:t>
            </w:r>
            <w:r w:rsidRPr="00331C4A">
              <w:rPr>
                <w:rFonts w:ascii="Arial" w:eastAsiaTheme="minorHAnsi" w:hAnsi="Arial" w:cs="Arial"/>
                <w:sz w:val="18"/>
                <w:szCs w:val="18"/>
              </w:rPr>
              <w:t>653</w:t>
            </w:r>
          </w:p>
        </w:tc>
      </w:tr>
    </w:tbl>
    <w:p w:rsidR="003B5905" w:rsidRDefault="003B5905" w:rsidP="003B5905">
      <w:pPr>
        <w:pStyle w:val="Prrafodelista"/>
        <w:spacing w:before="360" w:after="360" w:line="276" w:lineRule="auto"/>
        <w:ind w:left="284" w:firstLine="0"/>
        <w:jc w:val="left"/>
        <w:rPr>
          <w:rFonts w:eastAsiaTheme="minorHAnsi"/>
          <w:sz w:val="26"/>
          <w:szCs w:val="26"/>
          <w:lang w:val="es-ES"/>
        </w:rPr>
      </w:pPr>
    </w:p>
    <w:p w:rsidR="003B5905" w:rsidRDefault="003B5905">
      <w:pPr>
        <w:spacing w:after="0"/>
        <w:ind w:firstLine="0"/>
        <w:jc w:val="left"/>
        <w:rPr>
          <w:rFonts w:eastAsiaTheme="minorHAnsi"/>
          <w:sz w:val="26"/>
          <w:szCs w:val="26"/>
          <w:lang w:val="es-ES"/>
        </w:rPr>
      </w:pPr>
      <w:r>
        <w:rPr>
          <w:rFonts w:eastAsiaTheme="minorHAnsi"/>
          <w:sz w:val="26"/>
          <w:szCs w:val="26"/>
          <w:lang w:val="es-ES"/>
        </w:rPr>
        <w:br w:type="page"/>
      </w:r>
    </w:p>
    <w:p w:rsidR="00BF45A9" w:rsidRPr="00C52B5A" w:rsidRDefault="00BF45A9" w:rsidP="00F56B75">
      <w:pPr>
        <w:pStyle w:val="texto"/>
        <w:numPr>
          <w:ilvl w:val="0"/>
          <w:numId w:val="38"/>
        </w:numPr>
        <w:tabs>
          <w:tab w:val="clear" w:pos="2835"/>
          <w:tab w:val="center" w:pos="567"/>
        </w:tabs>
        <w:spacing w:after="240"/>
        <w:ind w:left="0" w:firstLine="284"/>
        <w:rPr>
          <w:lang w:val="es-ES"/>
        </w:rPr>
      </w:pPr>
      <w:r w:rsidRPr="00C52B5A">
        <w:rPr>
          <w:lang w:val="es-ES"/>
        </w:rPr>
        <w:lastRenderedPageBreak/>
        <w:t>Los reparos presentados responden a las siguientes causas:</w:t>
      </w:r>
    </w:p>
    <w:tbl>
      <w:tblPr>
        <w:tblW w:w="8860" w:type="dxa"/>
        <w:jc w:val="center"/>
        <w:tblInd w:w="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266"/>
        <w:gridCol w:w="5499"/>
        <w:gridCol w:w="1101"/>
      </w:tblGrid>
      <w:tr w:rsidR="00BF45A9" w:rsidRPr="00331C4A" w:rsidTr="008E6B5A">
        <w:trPr>
          <w:trHeight w:val="255"/>
          <w:jc w:val="center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F45A9" w:rsidRPr="00331C4A" w:rsidRDefault="00B269CE" w:rsidP="00E0680A">
            <w:pPr>
              <w:pStyle w:val="cuatex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C4A">
              <w:rPr>
                <w:rFonts w:ascii="Arial" w:hAnsi="Arial" w:cs="Arial"/>
                <w:sz w:val="18"/>
                <w:szCs w:val="18"/>
              </w:rPr>
              <w:t>Nº aytos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F45A9" w:rsidRPr="00331C4A" w:rsidRDefault="00B269CE" w:rsidP="00E0680A">
            <w:pPr>
              <w:pStyle w:val="cuatex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C4A">
              <w:rPr>
                <w:rFonts w:ascii="Arial" w:hAnsi="Arial" w:cs="Arial"/>
                <w:sz w:val="18"/>
                <w:szCs w:val="18"/>
              </w:rPr>
              <w:t>Nº reparos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1C4A">
              <w:rPr>
                <w:rFonts w:ascii="Arial" w:hAnsi="Arial" w:cs="Arial"/>
                <w:sz w:val="18"/>
                <w:szCs w:val="18"/>
              </w:rPr>
              <w:t>Concepto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F45A9" w:rsidRPr="00331C4A" w:rsidRDefault="00BF45A9" w:rsidP="00331C4A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1C4A">
              <w:rPr>
                <w:rFonts w:ascii="Arial" w:hAnsi="Arial" w:cs="Arial"/>
                <w:sz w:val="18"/>
                <w:szCs w:val="18"/>
              </w:rPr>
              <w:t>Importe</w:t>
            </w:r>
          </w:p>
        </w:tc>
      </w:tr>
      <w:tr w:rsidR="00BF45A9" w:rsidRPr="00331C4A" w:rsidTr="00E0680A">
        <w:trPr>
          <w:trHeight w:val="198"/>
          <w:jc w:val="center"/>
        </w:trPr>
        <w:tc>
          <w:tcPr>
            <w:tcW w:w="994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center"/>
            </w:pPr>
            <w:r w:rsidRPr="00331C4A">
              <w:t>11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center"/>
            </w:pPr>
            <w:r w:rsidRPr="00331C4A">
              <w:t>33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152CB9" w:rsidP="00E0680A">
            <w:pPr>
              <w:pStyle w:val="cuatexto"/>
              <w:jc w:val="left"/>
            </w:pPr>
            <w:r>
              <w:t xml:space="preserve">a) </w:t>
            </w:r>
            <w:r w:rsidR="00BF45A9" w:rsidRPr="00331C4A">
              <w:t>Defectos procedimiento contratación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right"/>
            </w:pPr>
            <w:r w:rsidRPr="00331C4A">
              <w:t>507.64</w:t>
            </w:r>
            <w:r w:rsidR="00E0680A">
              <w:t>1</w:t>
            </w:r>
          </w:p>
        </w:tc>
      </w:tr>
      <w:tr w:rsidR="00BF45A9" w:rsidRPr="00331C4A" w:rsidTr="00E0680A">
        <w:trPr>
          <w:trHeight w:val="198"/>
          <w:jc w:val="center"/>
        </w:trPr>
        <w:tc>
          <w:tcPr>
            <w:tcW w:w="99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center"/>
            </w:pPr>
            <w:r w:rsidRPr="00331C4A">
              <w:t>8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center"/>
            </w:pPr>
            <w:r w:rsidRPr="00331C4A">
              <w:t>24</w:t>
            </w:r>
          </w:p>
        </w:tc>
        <w:tc>
          <w:tcPr>
            <w:tcW w:w="549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152CB9" w:rsidP="00E0680A">
            <w:pPr>
              <w:pStyle w:val="cuatexto"/>
              <w:jc w:val="left"/>
            </w:pPr>
            <w:r>
              <w:t xml:space="preserve">b) </w:t>
            </w:r>
            <w:r w:rsidR="00BF45A9" w:rsidRPr="00331C4A">
              <w:t>Deficiencias justificación subvenciones y convenios colaboración</w:t>
            </w:r>
          </w:p>
        </w:tc>
        <w:tc>
          <w:tcPr>
            <w:tcW w:w="11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right"/>
            </w:pPr>
            <w:r w:rsidRPr="00331C4A">
              <w:t>180.783</w:t>
            </w:r>
          </w:p>
        </w:tc>
      </w:tr>
      <w:tr w:rsidR="00BF45A9" w:rsidRPr="00331C4A" w:rsidTr="00E0680A">
        <w:trPr>
          <w:trHeight w:val="198"/>
          <w:jc w:val="center"/>
        </w:trPr>
        <w:tc>
          <w:tcPr>
            <w:tcW w:w="99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center"/>
            </w:pPr>
            <w:r w:rsidRPr="00331C4A">
              <w:t>14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center"/>
            </w:pPr>
            <w:r w:rsidRPr="00331C4A">
              <w:t>57</w:t>
            </w:r>
          </w:p>
        </w:tc>
        <w:tc>
          <w:tcPr>
            <w:tcW w:w="549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152CB9" w:rsidP="00E0680A">
            <w:pPr>
              <w:pStyle w:val="cuatexto"/>
              <w:jc w:val="left"/>
            </w:pPr>
            <w:r>
              <w:t xml:space="preserve">c) </w:t>
            </w:r>
            <w:r w:rsidR="00BF45A9" w:rsidRPr="00331C4A">
              <w:t>Gastos realizados sin crédito suficiente</w:t>
            </w:r>
          </w:p>
        </w:tc>
        <w:tc>
          <w:tcPr>
            <w:tcW w:w="11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right"/>
            </w:pPr>
            <w:r w:rsidRPr="00331C4A">
              <w:t>221.825</w:t>
            </w:r>
          </w:p>
        </w:tc>
      </w:tr>
      <w:tr w:rsidR="00BF45A9" w:rsidRPr="00331C4A" w:rsidTr="00E0680A">
        <w:trPr>
          <w:trHeight w:val="198"/>
          <w:jc w:val="center"/>
        </w:trPr>
        <w:tc>
          <w:tcPr>
            <w:tcW w:w="99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center"/>
            </w:pPr>
            <w:r w:rsidRPr="00331C4A">
              <w:t>8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center"/>
            </w:pPr>
            <w:r w:rsidRPr="00331C4A">
              <w:t>11</w:t>
            </w:r>
          </w:p>
        </w:tc>
        <w:tc>
          <w:tcPr>
            <w:tcW w:w="549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152CB9" w:rsidP="00E0680A">
            <w:pPr>
              <w:pStyle w:val="cuatexto"/>
              <w:jc w:val="left"/>
            </w:pPr>
            <w:r>
              <w:t xml:space="preserve">d) </w:t>
            </w:r>
            <w:r w:rsidR="00BF45A9" w:rsidRPr="00331C4A">
              <w:t>Personal, gratificaciones, contratación</w:t>
            </w:r>
          </w:p>
        </w:tc>
        <w:tc>
          <w:tcPr>
            <w:tcW w:w="11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right"/>
            </w:pPr>
            <w:r w:rsidRPr="00331C4A">
              <w:t>30.23</w:t>
            </w:r>
            <w:r w:rsidR="00E0680A">
              <w:t>3</w:t>
            </w:r>
          </w:p>
        </w:tc>
      </w:tr>
      <w:tr w:rsidR="00BF45A9" w:rsidRPr="00331C4A" w:rsidTr="00E0680A">
        <w:trPr>
          <w:trHeight w:val="198"/>
          <w:jc w:val="center"/>
        </w:trPr>
        <w:tc>
          <w:tcPr>
            <w:tcW w:w="994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center"/>
            </w:pPr>
            <w:r w:rsidRPr="00331C4A">
              <w:t>13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center"/>
            </w:pPr>
            <w:r w:rsidRPr="00331C4A">
              <w:t>26</w:t>
            </w:r>
          </w:p>
        </w:tc>
        <w:tc>
          <w:tcPr>
            <w:tcW w:w="5499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152CB9" w:rsidP="00E0680A">
            <w:pPr>
              <w:pStyle w:val="cuatexto"/>
              <w:jc w:val="left"/>
            </w:pPr>
            <w:r>
              <w:t>e) O</w:t>
            </w:r>
            <w:r w:rsidRPr="00331C4A">
              <w:t>tros</w:t>
            </w:r>
          </w:p>
        </w:tc>
        <w:tc>
          <w:tcPr>
            <w:tcW w:w="1101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BF45A9" w:rsidP="005913D1">
            <w:pPr>
              <w:pStyle w:val="cuatexto"/>
              <w:jc w:val="right"/>
            </w:pPr>
            <w:r w:rsidRPr="00331C4A">
              <w:t>34.16</w:t>
            </w:r>
            <w:r w:rsidR="005913D1">
              <w:t>2</w:t>
            </w:r>
          </w:p>
        </w:tc>
      </w:tr>
      <w:tr w:rsidR="00BF45A9" w:rsidRPr="00331C4A" w:rsidTr="00E0680A">
        <w:trPr>
          <w:trHeight w:val="198"/>
          <w:jc w:val="center"/>
        </w:trPr>
        <w:tc>
          <w:tcPr>
            <w:tcW w:w="994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center"/>
            </w:pPr>
            <w:r w:rsidRPr="00331C4A">
              <w:t>3</w:t>
            </w:r>
          </w:p>
        </w:tc>
        <w:tc>
          <w:tcPr>
            <w:tcW w:w="1266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center"/>
            </w:pPr>
            <w:r w:rsidRPr="00331C4A">
              <w:t>10</w:t>
            </w:r>
          </w:p>
        </w:tc>
        <w:tc>
          <w:tcPr>
            <w:tcW w:w="5499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152CB9" w:rsidP="00E0680A">
            <w:pPr>
              <w:pStyle w:val="cuatexto"/>
              <w:jc w:val="left"/>
            </w:pPr>
            <w:r>
              <w:t xml:space="preserve">f) </w:t>
            </w:r>
            <w:r w:rsidR="00BF45A9" w:rsidRPr="00331C4A">
              <w:t>Sin factura legal (recibo)</w:t>
            </w:r>
          </w:p>
        </w:tc>
        <w:tc>
          <w:tcPr>
            <w:tcW w:w="1101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right"/>
            </w:pPr>
            <w:r w:rsidRPr="00331C4A">
              <w:t>4.96</w:t>
            </w:r>
            <w:r w:rsidR="00E0680A">
              <w:t>3</w:t>
            </w:r>
          </w:p>
        </w:tc>
      </w:tr>
      <w:tr w:rsidR="00BF45A9" w:rsidRPr="00331C4A" w:rsidTr="008E6B5A">
        <w:trPr>
          <w:trHeight w:val="255"/>
          <w:jc w:val="center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C4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1C4A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31C4A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F45A9" w:rsidRPr="00331C4A" w:rsidRDefault="00BF45A9" w:rsidP="00E0680A">
            <w:pPr>
              <w:pStyle w:val="cuatex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1C4A">
              <w:rPr>
                <w:rFonts w:ascii="Arial" w:hAnsi="Arial" w:cs="Arial"/>
                <w:sz w:val="18"/>
                <w:szCs w:val="18"/>
              </w:rPr>
              <w:t>979.607</w:t>
            </w:r>
          </w:p>
        </w:tc>
      </w:tr>
    </w:tbl>
    <w:p w:rsidR="00BF45A9" w:rsidRPr="00BF45A9" w:rsidRDefault="00991003" w:rsidP="001D73A8">
      <w:pPr>
        <w:pStyle w:val="texto"/>
        <w:spacing w:before="240"/>
        <w:rPr>
          <w:lang w:val="es-ES"/>
        </w:rPr>
      </w:pPr>
      <w:r>
        <w:rPr>
          <w:lang w:val="es-ES"/>
        </w:rPr>
        <w:t>Resultan 57 ayuntamientos porque los reparos de un</w:t>
      </w:r>
      <w:r w:rsidR="00BF45A9" w:rsidRPr="00BF45A9">
        <w:rPr>
          <w:lang w:val="es-ES"/>
        </w:rPr>
        <w:t xml:space="preserve"> ayuntamiento puede</w:t>
      </w:r>
      <w:r>
        <w:rPr>
          <w:lang w:val="es-ES"/>
        </w:rPr>
        <w:t>n</w:t>
      </w:r>
      <w:r w:rsidR="00BF45A9" w:rsidRPr="00BF45A9">
        <w:rPr>
          <w:lang w:val="es-ES"/>
        </w:rPr>
        <w:t xml:space="preserve"> </w:t>
      </w:r>
      <w:r>
        <w:rPr>
          <w:lang w:val="es-ES"/>
        </w:rPr>
        <w:t>responder a varios criterios</w:t>
      </w:r>
      <w:r w:rsidR="00152CB9">
        <w:rPr>
          <w:lang w:val="es-ES"/>
        </w:rPr>
        <w:t>.</w:t>
      </w:r>
    </w:p>
    <w:p w:rsidR="00BF45A9" w:rsidRDefault="00BF45A9" w:rsidP="00E37A38">
      <w:pPr>
        <w:pStyle w:val="texto"/>
        <w:rPr>
          <w:lang w:val="es-ES"/>
        </w:rPr>
      </w:pPr>
      <w:r w:rsidRPr="00BF45A9">
        <w:rPr>
          <w:lang w:val="es-ES"/>
        </w:rPr>
        <w:t>Las principales causas de estos repa</w:t>
      </w:r>
      <w:r w:rsidR="00C52B5A">
        <w:rPr>
          <w:lang w:val="es-ES"/>
        </w:rPr>
        <w:t>ros son:</w:t>
      </w:r>
    </w:p>
    <w:p w:rsidR="00084128" w:rsidRDefault="00BF45A9" w:rsidP="00C52B5A">
      <w:pPr>
        <w:pStyle w:val="texto"/>
        <w:numPr>
          <w:ilvl w:val="0"/>
          <w:numId w:val="39"/>
        </w:numPr>
        <w:tabs>
          <w:tab w:val="clear" w:pos="2835"/>
          <w:tab w:val="center" w:pos="567"/>
        </w:tabs>
        <w:ind w:left="0" w:firstLine="284"/>
        <w:rPr>
          <w:lang w:val="es-ES"/>
        </w:rPr>
      </w:pPr>
      <w:r w:rsidRPr="007227D8">
        <w:rPr>
          <w:lang w:val="es-ES"/>
        </w:rPr>
        <w:t>Defectos en el procedimiento de contratación.</w:t>
      </w:r>
    </w:p>
    <w:p w:rsidR="00BF45A9" w:rsidRPr="007227D8" w:rsidRDefault="00BF45A9" w:rsidP="00084128">
      <w:pPr>
        <w:pStyle w:val="texto"/>
        <w:tabs>
          <w:tab w:val="clear" w:pos="2835"/>
          <w:tab w:val="center" w:pos="567"/>
        </w:tabs>
        <w:ind w:left="284" w:firstLine="0"/>
        <w:rPr>
          <w:lang w:val="es-ES"/>
        </w:rPr>
      </w:pPr>
      <w:r w:rsidRPr="007227D8">
        <w:rPr>
          <w:lang w:val="es-ES"/>
        </w:rPr>
        <w:t>Los reparos agrupados bajo este criterio tiene su origen en:</w:t>
      </w:r>
    </w:p>
    <w:p w:rsidR="00BF45A9" w:rsidRPr="00180C76" w:rsidRDefault="00BF45A9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</w:pPr>
      <w:r w:rsidRPr="00180C76">
        <w:t>La prestación de servicios con el contrato vencido;</w:t>
      </w:r>
    </w:p>
    <w:p w:rsidR="00BF45A9" w:rsidRPr="00180C76" w:rsidRDefault="00BF45A9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</w:pPr>
      <w:r w:rsidRPr="00180C76">
        <w:t xml:space="preserve">Diversas contrataciones relacionadas con las fiestas patronales; </w:t>
      </w:r>
    </w:p>
    <w:p w:rsidR="00BF45A9" w:rsidRPr="00180C76" w:rsidRDefault="00C55C7D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</w:pPr>
      <w:r>
        <w:t>No considerar el valor estimado de la totalidad del contrato en los plur</w:t>
      </w:r>
      <w:r>
        <w:t>i</w:t>
      </w:r>
      <w:r>
        <w:t>anuales.</w:t>
      </w:r>
    </w:p>
    <w:p w:rsidR="00084128" w:rsidRDefault="00BF45A9" w:rsidP="00C52B5A">
      <w:pPr>
        <w:pStyle w:val="texto"/>
        <w:numPr>
          <w:ilvl w:val="0"/>
          <w:numId w:val="39"/>
        </w:numPr>
        <w:tabs>
          <w:tab w:val="clear" w:pos="2835"/>
          <w:tab w:val="center" w:pos="567"/>
        </w:tabs>
        <w:ind w:left="0" w:firstLine="284"/>
        <w:rPr>
          <w:lang w:val="es-ES"/>
        </w:rPr>
      </w:pPr>
      <w:r w:rsidRPr="007227D8">
        <w:rPr>
          <w:lang w:val="es-ES"/>
        </w:rPr>
        <w:t>De</w:t>
      </w:r>
      <w:r w:rsidR="0019502D">
        <w:rPr>
          <w:lang w:val="es-ES"/>
        </w:rPr>
        <w:t>ficiencias en la justificación.</w:t>
      </w:r>
    </w:p>
    <w:p w:rsidR="00BF45A9" w:rsidRPr="007227D8" w:rsidRDefault="00BF45A9" w:rsidP="00084128">
      <w:pPr>
        <w:pStyle w:val="texto"/>
        <w:tabs>
          <w:tab w:val="clear" w:pos="2835"/>
          <w:tab w:val="center" w:pos="567"/>
        </w:tabs>
        <w:ind w:left="284" w:firstLine="0"/>
        <w:rPr>
          <w:lang w:val="es-ES"/>
        </w:rPr>
      </w:pPr>
      <w:r w:rsidRPr="007227D8">
        <w:rPr>
          <w:lang w:val="es-ES"/>
        </w:rPr>
        <w:t>Los reparos agrupados bajo este criterio tienen su origen en:</w:t>
      </w:r>
    </w:p>
    <w:p w:rsidR="00BF45A9" w:rsidRPr="00180C76" w:rsidRDefault="00BF45A9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</w:pPr>
      <w:r w:rsidRPr="00180C76">
        <w:t>Ausencia de convenios</w:t>
      </w:r>
      <w:r w:rsidR="00152CB9">
        <w:t xml:space="preserve"> firmados</w:t>
      </w:r>
      <w:r w:rsidR="00B465BC">
        <w:t xml:space="preserve"> con entidades beneficiarias de sub</w:t>
      </w:r>
      <w:r w:rsidR="0019502D">
        <w:t>v</w:t>
      </w:r>
      <w:r w:rsidR="00B465BC">
        <w:t>enci</w:t>
      </w:r>
      <w:r w:rsidR="00B465BC">
        <w:t>o</w:t>
      </w:r>
      <w:r w:rsidR="00B465BC">
        <w:t>nes.</w:t>
      </w:r>
    </w:p>
    <w:p w:rsidR="00BF45A9" w:rsidRDefault="00BF45A9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</w:pPr>
      <w:r w:rsidRPr="00180C76">
        <w:t>Asociaciones no inscritas como tales en los registros oficiales.</w:t>
      </w:r>
    </w:p>
    <w:p w:rsidR="00C55C7D" w:rsidRPr="00180C76" w:rsidRDefault="00C55C7D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</w:pPr>
      <w:r>
        <w:t>Deficiencia</w:t>
      </w:r>
      <w:r w:rsidRPr="00180C76">
        <w:t>s</w:t>
      </w:r>
      <w:r>
        <w:t xml:space="preserve"> en la justificación</w:t>
      </w:r>
      <w:r w:rsidRPr="00180C76">
        <w:t xml:space="preserve"> para acreditar la aplicación de los fon</w:t>
      </w:r>
      <w:r>
        <w:t xml:space="preserve">dos, </w:t>
      </w:r>
      <w:r w:rsidRPr="00180C76">
        <w:t>relacio</w:t>
      </w:r>
      <w:r>
        <w:t>nada</w:t>
      </w:r>
      <w:r w:rsidRPr="00180C76">
        <w:t>s, generalmente, con organismos deportivos y culturales</w:t>
      </w:r>
    </w:p>
    <w:p w:rsidR="00BF45A9" w:rsidRPr="00BF45A9" w:rsidRDefault="00BF45A9" w:rsidP="00E37A38">
      <w:pPr>
        <w:pStyle w:val="texto"/>
        <w:rPr>
          <w:lang w:val="es-ES"/>
        </w:rPr>
      </w:pPr>
      <w:r w:rsidRPr="00BF45A9">
        <w:rPr>
          <w:lang w:val="es-ES"/>
        </w:rPr>
        <w:t>Asimismo, se hace referencia a la necesidad de contar con un plan estratég</w:t>
      </w:r>
      <w:r w:rsidRPr="00BF45A9">
        <w:rPr>
          <w:lang w:val="es-ES"/>
        </w:rPr>
        <w:t>i</w:t>
      </w:r>
      <w:r w:rsidRPr="00BF45A9">
        <w:rPr>
          <w:lang w:val="es-ES"/>
        </w:rPr>
        <w:t>co de subvenciones.</w:t>
      </w:r>
    </w:p>
    <w:p w:rsidR="00084128" w:rsidRDefault="00BF45A9" w:rsidP="00C52B5A">
      <w:pPr>
        <w:pStyle w:val="texto"/>
        <w:numPr>
          <w:ilvl w:val="0"/>
          <w:numId w:val="39"/>
        </w:numPr>
        <w:tabs>
          <w:tab w:val="clear" w:pos="2835"/>
          <w:tab w:val="center" w:pos="567"/>
        </w:tabs>
        <w:ind w:left="0" w:firstLine="284"/>
        <w:rPr>
          <w:lang w:val="es-ES"/>
        </w:rPr>
      </w:pPr>
      <w:r w:rsidRPr="00ED30BC">
        <w:rPr>
          <w:lang w:val="es-ES"/>
        </w:rPr>
        <w:t>Gastos realizados sin crédito suficiente.</w:t>
      </w:r>
    </w:p>
    <w:p w:rsidR="00BF45A9" w:rsidRPr="00ED30BC" w:rsidRDefault="00BF45A9" w:rsidP="00084128">
      <w:pPr>
        <w:pStyle w:val="texto"/>
        <w:tabs>
          <w:tab w:val="clear" w:pos="2835"/>
          <w:tab w:val="center" w:pos="567"/>
        </w:tabs>
        <w:rPr>
          <w:lang w:val="es-ES"/>
        </w:rPr>
      </w:pPr>
      <w:r w:rsidRPr="00ED30BC">
        <w:rPr>
          <w:lang w:val="es-ES"/>
        </w:rPr>
        <w:t>Partidas, en general</w:t>
      </w:r>
      <w:r w:rsidR="00B465BC">
        <w:rPr>
          <w:lang w:val="es-ES"/>
        </w:rPr>
        <w:t>,</w:t>
      </w:r>
      <w:r w:rsidRPr="00ED30BC">
        <w:rPr>
          <w:lang w:val="es-ES"/>
        </w:rPr>
        <w:t xml:space="preserve"> de pequeños importes, que al ser aprobadas se co</w:t>
      </w:r>
      <w:r w:rsidRPr="00ED30BC">
        <w:rPr>
          <w:lang w:val="es-ES"/>
        </w:rPr>
        <w:t>m</w:t>
      </w:r>
      <w:r w:rsidRPr="00ED30BC">
        <w:rPr>
          <w:lang w:val="es-ES"/>
        </w:rPr>
        <w:t>prueba que se superan los créditos existentes en la partida o en la bolsa de vi</w:t>
      </w:r>
      <w:r w:rsidRPr="00ED30BC">
        <w:rPr>
          <w:lang w:val="es-ES"/>
        </w:rPr>
        <w:t>n</w:t>
      </w:r>
      <w:r w:rsidRPr="00ED30BC">
        <w:rPr>
          <w:lang w:val="es-ES"/>
        </w:rPr>
        <w:t>culación.</w:t>
      </w:r>
    </w:p>
    <w:p w:rsidR="00084128" w:rsidRDefault="00BF45A9" w:rsidP="00C52B5A">
      <w:pPr>
        <w:pStyle w:val="texto"/>
        <w:numPr>
          <w:ilvl w:val="0"/>
          <w:numId w:val="39"/>
        </w:numPr>
        <w:tabs>
          <w:tab w:val="clear" w:pos="2835"/>
          <w:tab w:val="center" w:pos="567"/>
        </w:tabs>
        <w:ind w:left="0" w:firstLine="284"/>
        <w:rPr>
          <w:lang w:val="es-ES"/>
        </w:rPr>
      </w:pPr>
      <w:r w:rsidRPr="00ED30BC">
        <w:rPr>
          <w:lang w:val="es-ES"/>
        </w:rPr>
        <w:t>Personal.</w:t>
      </w:r>
    </w:p>
    <w:p w:rsidR="00BF45A9" w:rsidRPr="00ED30BC" w:rsidRDefault="00BF45A9" w:rsidP="00084128">
      <w:pPr>
        <w:pStyle w:val="texto"/>
        <w:tabs>
          <w:tab w:val="clear" w:pos="2835"/>
          <w:tab w:val="center" w:pos="567"/>
        </w:tabs>
        <w:rPr>
          <w:lang w:val="es-ES"/>
        </w:rPr>
      </w:pPr>
      <w:r w:rsidRPr="00ED30BC">
        <w:rPr>
          <w:lang w:val="es-ES"/>
        </w:rPr>
        <w:t>Abonos, gratificaciones y pago de horas extraordinarias sin contar con los acuerdos previos o sin encaje en la normativa. En algunos casos tienen su or</w:t>
      </w:r>
      <w:r w:rsidRPr="00ED30BC">
        <w:rPr>
          <w:lang w:val="es-ES"/>
        </w:rPr>
        <w:t>i</w:t>
      </w:r>
      <w:r w:rsidRPr="00ED30BC">
        <w:rPr>
          <w:lang w:val="es-ES"/>
        </w:rPr>
        <w:t>gen en las fiestas patronales.</w:t>
      </w:r>
    </w:p>
    <w:p w:rsidR="00084128" w:rsidRDefault="00BF45A9" w:rsidP="00C52B5A">
      <w:pPr>
        <w:pStyle w:val="texto"/>
        <w:numPr>
          <w:ilvl w:val="0"/>
          <w:numId w:val="39"/>
        </w:numPr>
        <w:tabs>
          <w:tab w:val="clear" w:pos="2835"/>
          <w:tab w:val="center" w:pos="567"/>
        </w:tabs>
        <w:ind w:left="0" w:firstLine="284"/>
        <w:rPr>
          <w:lang w:val="es-ES"/>
        </w:rPr>
      </w:pPr>
      <w:r w:rsidRPr="00ED30BC">
        <w:rPr>
          <w:lang w:val="es-ES"/>
        </w:rPr>
        <w:lastRenderedPageBreak/>
        <w:t>Otros.</w:t>
      </w:r>
    </w:p>
    <w:p w:rsidR="00BF45A9" w:rsidRPr="00ED30BC" w:rsidRDefault="00BF45A9" w:rsidP="00084128">
      <w:pPr>
        <w:pStyle w:val="texto"/>
        <w:tabs>
          <w:tab w:val="clear" w:pos="2835"/>
          <w:tab w:val="center" w:pos="567"/>
        </w:tabs>
        <w:rPr>
          <w:lang w:val="es-ES"/>
        </w:rPr>
      </w:pPr>
      <w:r w:rsidRPr="00ED30BC">
        <w:rPr>
          <w:lang w:val="es-ES"/>
        </w:rPr>
        <w:t>Recoge una variada casuística de la que destacamos que</w:t>
      </w:r>
      <w:r w:rsidR="00152CB9">
        <w:rPr>
          <w:lang w:val="es-ES"/>
        </w:rPr>
        <w:t>,</w:t>
      </w:r>
      <w:r w:rsidRPr="00ED30BC">
        <w:rPr>
          <w:lang w:val="es-ES"/>
        </w:rPr>
        <w:t xml:space="preserve"> en algunos casos</w:t>
      </w:r>
      <w:r w:rsidR="00152CB9">
        <w:rPr>
          <w:lang w:val="es-ES"/>
        </w:rPr>
        <w:t>,</w:t>
      </w:r>
      <w:r w:rsidRPr="00ED30BC">
        <w:rPr>
          <w:lang w:val="es-ES"/>
        </w:rPr>
        <w:t xml:space="preserve"> no hay autorización inicial</w:t>
      </w:r>
      <w:r w:rsidR="00C55C7D">
        <w:rPr>
          <w:lang w:val="es-ES"/>
        </w:rPr>
        <w:t xml:space="preserve"> del gasto</w:t>
      </w:r>
      <w:r w:rsidRPr="00ED30BC">
        <w:rPr>
          <w:lang w:val="es-ES"/>
        </w:rPr>
        <w:t>.</w:t>
      </w:r>
    </w:p>
    <w:p w:rsidR="00084128" w:rsidRDefault="00BF45A9" w:rsidP="00C52B5A">
      <w:pPr>
        <w:pStyle w:val="texto"/>
        <w:numPr>
          <w:ilvl w:val="0"/>
          <w:numId w:val="39"/>
        </w:numPr>
        <w:tabs>
          <w:tab w:val="clear" w:pos="2835"/>
          <w:tab w:val="center" w:pos="567"/>
        </w:tabs>
        <w:ind w:left="0" w:firstLine="284"/>
        <w:rPr>
          <w:lang w:val="es-ES"/>
        </w:rPr>
      </w:pPr>
      <w:r w:rsidRPr="00ED30BC">
        <w:rPr>
          <w:lang w:val="es-ES"/>
        </w:rPr>
        <w:t>Sin factura legal.</w:t>
      </w:r>
    </w:p>
    <w:p w:rsidR="00BF45A9" w:rsidRPr="00ED30BC" w:rsidRDefault="00084128" w:rsidP="00084128">
      <w:pPr>
        <w:pStyle w:val="texto"/>
        <w:tabs>
          <w:tab w:val="clear" w:pos="2835"/>
          <w:tab w:val="center" w:pos="567"/>
        </w:tabs>
        <w:rPr>
          <w:lang w:val="es-ES"/>
        </w:rPr>
      </w:pPr>
      <w:r>
        <w:rPr>
          <w:lang w:val="es-ES"/>
        </w:rPr>
        <w:t>S</w:t>
      </w:r>
      <w:r w:rsidR="00BF45A9" w:rsidRPr="00ED30BC">
        <w:rPr>
          <w:lang w:val="es-ES"/>
        </w:rPr>
        <w:t>e trata, en general, de pequeños gastos para los que la justificación consiste en un recibo</w:t>
      </w:r>
      <w:r w:rsidR="008237AD">
        <w:rPr>
          <w:lang w:val="es-ES"/>
        </w:rPr>
        <w:t>.</w:t>
      </w:r>
    </w:p>
    <w:p w:rsidR="00BF45A9" w:rsidRDefault="00BF45A9" w:rsidP="00C52B5A">
      <w:pPr>
        <w:pStyle w:val="texto"/>
        <w:numPr>
          <w:ilvl w:val="0"/>
          <w:numId w:val="38"/>
        </w:numPr>
        <w:tabs>
          <w:tab w:val="clear" w:pos="2835"/>
          <w:tab w:val="center" w:pos="567"/>
        </w:tabs>
        <w:ind w:left="0" w:firstLine="284"/>
        <w:rPr>
          <w:lang w:val="es-ES"/>
        </w:rPr>
      </w:pPr>
      <w:r w:rsidRPr="00C52B5A">
        <w:rPr>
          <w:lang w:val="es-ES"/>
        </w:rPr>
        <w:t>Del análisis realizado sobre una muestra no se desprenden otros aspectos destacables, al margen de los ya indicados anteriormente.</w:t>
      </w:r>
    </w:p>
    <w:p w:rsidR="00C55C7D" w:rsidRDefault="00A80AA3" w:rsidP="00C52B5A">
      <w:pPr>
        <w:pStyle w:val="texto"/>
        <w:numPr>
          <w:ilvl w:val="0"/>
          <w:numId w:val="38"/>
        </w:numPr>
        <w:tabs>
          <w:tab w:val="clear" w:pos="2835"/>
          <w:tab w:val="center" w:pos="567"/>
        </w:tabs>
        <w:ind w:left="0" w:firstLine="284"/>
        <w:rPr>
          <w:lang w:val="es-ES"/>
        </w:rPr>
      </w:pPr>
      <w:r>
        <w:rPr>
          <w:lang w:val="es-ES"/>
        </w:rPr>
        <w:t>Los reparos se han resuelto de la siguiente manera:</w:t>
      </w:r>
    </w:p>
    <w:p w:rsidR="00A80AA3" w:rsidRDefault="00A80AA3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</w:pPr>
      <w:r>
        <w:t xml:space="preserve">En 148 casos el alcalde o el pleno resuelven la discrepancia, continuando la tramitación del expediente. Su importe asciende a 936.700 euros. </w:t>
      </w:r>
    </w:p>
    <w:p w:rsidR="00A80AA3" w:rsidRDefault="00A80AA3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</w:pPr>
      <w:r>
        <w:t>En 11 casos se subsana el expediente.</w:t>
      </w:r>
      <w:r w:rsidR="0091097D">
        <w:t xml:space="preserve"> Su importe asciende a 18.907 euros.</w:t>
      </w:r>
    </w:p>
    <w:p w:rsidR="0091097D" w:rsidRDefault="0091097D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</w:pPr>
      <w:r>
        <w:t xml:space="preserve">En un caso la intervención se realiza a </w:t>
      </w:r>
      <w:r w:rsidRPr="003E6282">
        <w:t>posteriori</w:t>
      </w:r>
      <w:r>
        <w:t xml:space="preserve"> y se observa que la bolsa de vinculación se ha superado. El importe es de 24.000 euros.</w:t>
      </w:r>
    </w:p>
    <w:p w:rsidR="0091097D" w:rsidRDefault="0091097D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</w:pPr>
      <w:r>
        <w:t>Un caso corresponde a una observación sobre ingresos, que no se cuantif</w:t>
      </w:r>
      <w:r>
        <w:t>i</w:t>
      </w:r>
      <w:r>
        <w:t>ca.</w:t>
      </w:r>
    </w:p>
    <w:p w:rsidR="0091097D" w:rsidRPr="00A80AA3" w:rsidRDefault="002F4011" w:rsidP="0091097D">
      <w:pPr>
        <w:pStyle w:val="texto"/>
        <w:tabs>
          <w:tab w:val="clear" w:pos="2835"/>
          <w:tab w:val="center" w:pos="567"/>
        </w:tabs>
      </w:pPr>
      <w:r>
        <w:t>No nos consta que en todos los casos</w:t>
      </w:r>
      <w:r w:rsidR="0091097D">
        <w:t xml:space="preserve"> se eleve al pleno informe de todas las resoluciones, adoptadas por el presidente de la entidad, cont</w:t>
      </w:r>
      <w:r w:rsidR="00B465BC">
        <w:t>rarias a los reparos efectuados, como señala el artículo 246 de la LFHLN.</w:t>
      </w:r>
    </w:p>
    <w:p w:rsidR="00BF45A9" w:rsidRDefault="00BF45A9" w:rsidP="00C55C7D">
      <w:pPr>
        <w:pStyle w:val="texto"/>
        <w:numPr>
          <w:ilvl w:val="0"/>
          <w:numId w:val="38"/>
        </w:numPr>
        <w:tabs>
          <w:tab w:val="clear" w:pos="2835"/>
          <w:tab w:val="center" w:pos="567"/>
        </w:tabs>
        <w:spacing w:after="240"/>
        <w:ind w:left="0" w:firstLine="284"/>
        <w:rPr>
          <w:lang w:val="es-ES"/>
        </w:rPr>
      </w:pPr>
      <w:r w:rsidRPr="00C52B5A">
        <w:rPr>
          <w:lang w:val="es-ES"/>
        </w:rPr>
        <w:t xml:space="preserve">Valoramos positivamente la actuación de </w:t>
      </w:r>
      <w:r w:rsidR="00C55C7D">
        <w:rPr>
          <w:lang w:val="es-ES"/>
        </w:rPr>
        <w:t xml:space="preserve">los secretarios e interventores, </w:t>
      </w:r>
      <w:r w:rsidRPr="00C52B5A">
        <w:rPr>
          <w:lang w:val="es-ES"/>
        </w:rPr>
        <w:t>y</w:t>
      </w:r>
      <w:r w:rsidR="00152CB9">
        <w:rPr>
          <w:lang w:val="es-ES"/>
        </w:rPr>
        <w:t>a</w:t>
      </w:r>
      <w:r w:rsidRPr="00C52B5A">
        <w:rPr>
          <w:lang w:val="es-ES"/>
        </w:rPr>
        <w:t xml:space="preserve"> que</w:t>
      </w:r>
      <w:r w:rsidR="00152CB9">
        <w:rPr>
          <w:lang w:val="es-ES"/>
        </w:rPr>
        <w:t>,</w:t>
      </w:r>
      <w:r w:rsidRPr="00C52B5A">
        <w:rPr>
          <w:lang w:val="es-ES"/>
        </w:rPr>
        <w:t xml:space="preserve"> del contenido de muchos de los reparos analizados, se deduce que son escrupulosos en su actuación</w:t>
      </w:r>
      <w:r w:rsidR="0084353A">
        <w:rPr>
          <w:lang w:val="es-ES"/>
        </w:rPr>
        <w:t xml:space="preserve"> y</w:t>
      </w:r>
      <w:r w:rsidR="00C55C7D">
        <w:rPr>
          <w:lang w:val="es-ES"/>
        </w:rPr>
        <w:t xml:space="preserve"> </w:t>
      </w:r>
      <w:r w:rsidR="0084353A">
        <w:rPr>
          <w:lang w:val="es-ES"/>
        </w:rPr>
        <w:t>se observa que, en muchos casos</w:t>
      </w:r>
      <w:r w:rsidR="00C55C7D">
        <w:rPr>
          <w:lang w:val="es-ES"/>
        </w:rPr>
        <w:t>,</w:t>
      </w:r>
      <w:r w:rsidR="0084353A">
        <w:rPr>
          <w:lang w:val="es-ES"/>
        </w:rPr>
        <w:t xml:space="preserve"> el ayunt</w:t>
      </w:r>
      <w:r w:rsidR="0084353A">
        <w:rPr>
          <w:lang w:val="es-ES"/>
        </w:rPr>
        <w:t>a</w:t>
      </w:r>
      <w:r w:rsidR="0084353A">
        <w:rPr>
          <w:lang w:val="es-ES"/>
        </w:rPr>
        <w:t>miento toma nota del reparo para corregir el procedimiento y evitar su repet</w:t>
      </w:r>
      <w:r w:rsidR="0084353A">
        <w:rPr>
          <w:lang w:val="es-ES"/>
        </w:rPr>
        <w:t>i</w:t>
      </w:r>
      <w:r w:rsidR="0084353A">
        <w:rPr>
          <w:lang w:val="es-ES"/>
        </w:rPr>
        <w:t>ción</w:t>
      </w:r>
      <w:r w:rsidRPr="00C52B5A">
        <w:rPr>
          <w:lang w:val="es-ES"/>
        </w:rPr>
        <w:t>.</w:t>
      </w:r>
    </w:p>
    <w:p w:rsidR="00F56B75" w:rsidRDefault="00F56B75" w:rsidP="00F56B75">
      <w:pPr>
        <w:pStyle w:val="texto"/>
        <w:rPr>
          <w:lang w:val="es-ES"/>
        </w:rPr>
      </w:pPr>
      <w:r>
        <w:rPr>
          <w:lang w:val="es-ES"/>
        </w:rPr>
        <w:t>En resumen, podemos concluir que, en general, los reparos tienen sus princ</w:t>
      </w:r>
      <w:r>
        <w:rPr>
          <w:lang w:val="es-ES"/>
        </w:rPr>
        <w:t>i</w:t>
      </w:r>
      <w:r>
        <w:rPr>
          <w:lang w:val="es-ES"/>
        </w:rPr>
        <w:t>pales causas en la no r</w:t>
      </w:r>
      <w:r w:rsidR="0091097D">
        <w:rPr>
          <w:lang w:val="es-ES"/>
        </w:rPr>
        <w:t>enovación de contratos vencidos, continuando la prest</w:t>
      </w:r>
      <w:r w:rsidR="0091097D">
        <w:rPr>
          <w:lang w:val="es-ES"/>
        </w:rPr>
        <w:t>a</w:t>
      </w:r>
      <w:r w:rsidR="0091097D">
        <w:rPr>
          <w:lang w:val="es-ES"/>
        </w:rPr>
        <w:t>ción;</w:t>
      </w:r>
      <w:r>
        <w:rPr>
          <w:lang w:val="es-ES"/>
        </w:rPr>
        <w:t xml:space="preserve"> en no tener en cuenta la totalidad de las anualidades para la cuantificación del </w:t>
      </w:r>
      <w:r w:rsidR="0091097D">
        <w:rPr>
          <w:lang w:val="es-ES"/>
        </w:rPr>
        <w:t>valor</w:t>
      </w:r>
      <w:r>
        <w:rPr>
          <w:lang w:val="es-ES"/>
        </w:rPr>
        <w:t xml:space="preserve"> y, por lo tanto, del procedimiento a seguir para la contratación; en d</w:t>
      </w:r>
      <w:r>
        <w:rPr>
          <w:lang w:val="es-ES"/>
        </w:rPr>
        <w:t>e</w:t>
      </w:r>
      <w:r>
        <w:rPr>
          <w:lang w:val="es-ES"/>
        </w:rPr>
        <w:t xml:space="preserve">terminados gastos relacionados con las fiestas patronales; en las relaciones con </w:t>
      </w:r>
      <w:r w:rsidR="0091097D">
        <w:rPr>
          <w:lang w:val="es-ES"/>
        </w:rPr>
        <w:t>diversas entidades</w:t>
      </w:r>
      <w:r>
        <w:rPr>
          <w:lang w:val="es-ES"/>
        </w:rPr>
        <w:t xml:space="preserve"> (clubs deportivos, bandas de música…); en superar los cr</w:t>
      </w:r>
      <w:r>
        <w:rPr>
          <w:lang w:val="es-ES"/>
        </w:rPr>
        <w:t>é</w:t>
      </w:r>
      <w:r>
        <w:rPr>
          <w:lang w:val="es-ES"/>
        </w:rPr>
        <w:t>ditos presupuestarios o no seguir el procedimiento; y en determinadas retrib</w:t>
      </w:r>
      <w:r>
        <w:rPr>
          <w:lang w:val="es-ES"/>
        </w:rPr>
        <w:t>u</w:t>
      </w:r>
      <w:r>
        <w:rPr>
          <w:lang w:val="es-ES"/>
        </w:rPr>
        <w:t>ciones de personal (horas extras, gratificaciones por trabajos en fiestas…), pero sus importes no son muy significativos.</w:t>
      </w:r>
      <w:r w:rsidR="00195532">
        <w:rPr>
          <w:lang w:val="es-ES"/>
        </w:rPr>
        <w:t xml:space="preserve"> En la mayor parte de los casos el alca</w:t>
      </w:r>
      <w:r w:rsidR="00195532">
        <w:rPr>
          <w:lang w:val="es-ES"/>
        </w:rPr>
        <w:t>l</w:t>
      </w:r>
      <w:r w:rsidR="00195532">
        <w:rPr>
          <w:lang w:val="es-ES"/>
        </w:rPr>
        <w:t>de o el pleno continúan con la tramitación de los expedientes.</w:t>
      </w:r>
    </w:p>
    <w:p w:rsidR="00A83AF8" w:rsidRDefault="00A83AF8" w:rsidP="00141927">
      <w:pPr>
        <w:pStyle w:val="texto"/>
        <w:spacing w:before="360" w:after="360"/>
        <w:rPr>
          <w:lang w:val="es-ES"/>
        </w:rPr>
      </w:pPr>
    </w:p>
    <w:p w:rsidR="00BF45A9" w:rsidRDefault="00BF45A9" w:rsidP="00141927">
      <w:pPr>
        <w:pStyle w:val="texto"/>
        <w:spacing w:before="360" w:after="360"/>
        <w:rPr>
          <w:lang w:val="es-ES"/>
        </w:rPr>
      </w:pPr>
      <w:r w:rsidRPr="007227D8">
        <w:rPr>
          <w:lang w:val="es-ES"/>
        </w:rPr>
        <w:lastRenderedPageBreak/>
        <w:t xml:space="preserve">Por todo ello, recomendamos: </w:t>
      </w:r>
    </w:p>
    <w:p w:rsidR="00BF45A9" w:rsidRPr="00180C76" w:rsidRDefault="00BF45A9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  <w:rPr>
          <w:i/>
        </w:rPr>
      </w:pPr>
      <w:r w:rsidRPr="00180C76">
        <w:rPr>
          <w:i/>
        </w:rPr>
        <w:t>Convocar los oportunos procedimientos de adjudicación</w:t>
      </w:r>
      <w:r w:rsidR="0084353A">
        <w:rPr>
          <w:i/>
        </w:rPr>
        <w:t xml:space="preserve"> de contratos</w:t>
      </w:r>
      <w:r w:rsidRPr="00180C76">
        <w:rPr>
          <w:i/>
        </w:rPr>
        <w:t xml:space="preserve"> con la antelación suficiente para que al vencimient</w:t>
      </w:r>
      <w:r w:rsidR="00195532">
        <w:rPr>
          <w:i/>
        </w:rPr>
        <w:t xml:space="preserve">o de los anteriores puedan estar </w:t>
      </w:r>
      <w:r w:rsidRPr="00180C76">
        <w:rPr>
          <w:i/>
        </w:rPr>
        <w:t>resueltos.</w:t>
      </w:r>
    </w:p>
    <w:p w:rsidR="00BF45A9" w:rsidRPr="00180C76" w:rsidRDefault="00BF45A9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  <w:rPr>
          <w:i/>
        </w:rPr>
      </w:pPr>
      <w:r w:rsidRPr="00180C76">
        <w:rPr>
          <w:i/>
        </w:rPr>
        <w:t xml:space="preserve">Tener en cuenta que la normativa señala que en los contratos plurianuales debe considerarse el </w:t>
      </w:r>
      <w:r w:rsidR="00195532">
        <w:rPr>
          <w:i/>
        </w:rPr>
        <w:t>valor</w:t>
      </w:r>
      <w:r w:rsidRPr="00180C76">
        <w:rPr>
          <w:i/>
        </w:rPr>
        <w:t xml:space="preserve"> total para establecer el procedimiento de adjudic</w:t>
      </w:r>
      <w:r w:rsidRPr="00180C76">
        <w:rPr>
          <w:i/>
        </w:rPr>
        <w:t>a</w:t>
      </w:r>
      <w:r w:rsidRPr="00180C76">
        <w:rPr>
          <w:i/>
        </w:rPr>
        <w:t>ción.</w:t>
      </w:r>
    </w:p>
    <w:p w:rsidR="00BF45A9" w:rsidRPr="00180C76" w:rsidRDefault="00BF45A9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  <w:rPr>
          <w:i/>
        </w:rPr>
      </w:pPr>
      <w:r w:rsidRPr="00180C76">
        <w:rPr>
          <w:i/>
        </w:rPr>
        <w:t>Constituyendo las fiestas patronales un acontecimiento que se repite todos los años</w:t>
      </w:r>
      <w:r w:rsidR="00152CB9">
        <w:rPr>
          <w:i/>
        </w:rPr>
        <w:t>,</w:t>
      </w:r>
      <w:r w:rsidRPr="00180C76">
        <w:rPr>
          <w:i/>
        </w:rPr>
        <w:t xml:space="preserve"> adecuar la realización de los gastos y contrataciones que se realizan con ese motivo a la normativa vigente</w:t>
      </w:r>
      <w:r w:rsidR="00152CB9">
        <w:rPr>
          <w:i/>
        </w:rPr>
        <w:t>.</w:t>
      </w:r>
    </w:p>
    <w:p w:rsidR="00BF45A9" w:rsidRPr="00180C76" w:rsidRDefault="00BF45A9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  <w:rPr>
          <w:i/>
        </w:rPr>
      </w:pPr>
      <w:r w:rsidRPr="00180C76">
        <w:rPr>
          <w:i/>
        </w:rPr>
        <w:t>Exigir los justificantes con todos los requisitos que exige la normativa</w:t>
      </w:r>
      <w:r w:rsidR="00152CB9">
        <w:rPr>
          <w:i/>
        </w:rPr>
        <w:t>.</w:t>
      </w:r>
    </w:p>
    <w:p w:rsidR="00BF45A9" w:rsidRPr="00180C76" w:rsidRDefault="00BF45A9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  <w:rPr>
          <w:i/>
        </w:rPr>
      </w:pPr>
      <w:r w:rsidRPr="00180C76">
        <w:rPr>
          <w:i/>
        </w:rPr>
        <w:t>Firmar los convenios con las entidades a las que se subvenciona bajo esa figura</w:t>
      </w:r>
      <w:r w:rsidR="00152CB9">
        <w:rPr>
          <w:i/>
        </w:rPr>
        <w:t>.</w:t>
      </w:r>
    </w:p>
    <w:p w:rsidR="00BF45A9" w:rsidRPr="00180C76" w:rsidRDefault="00BF45A9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  <w:rPr>
          <w:i/>
        </w:rPr>
      </w:pPr>
      <w:r w:rsidRPr="00180C76">
        <w:rPr>
          <w:i/>
        </w:rPr>
        <w:t>Exigir la inscripción de las asociaciones en los registros previstos en la normativa</w:t>
      </w:r>
      <w:r w:rsidR="00152CB9">
        <w:rPr>
          <w:i/>
        </w:rPr>
        <w:t>.</w:t>
      </w:r>
    </w:p>
    <w:p w:rsidR="00BF45A9" w:rsidRDefault="00BF45A9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  <w:rPr>
          <w:i/>
        </w:rPr>
      </w:pPr>
      <w:r w:rsidRPr="00180C76">
        <w:rPr>
          <w:i/>
        </w:rPr>
        <w:t>Adecuar las retribuciones de</w:t>
      </w:r>
      <w:r w:rsidR="00195532">
        <w:rPr>
          <w:i/>
        </w:rPr>
        <w:t>l</w:t>
      </w:r>
      <w:r w:rsidRPr="00180C76">
        <w:rPr>
          <w:i/>
        </w:rPr>
        <w:t xml:space="preserve"> personal a lo señalado en la plantilla o, en su caso,</w:t>
      </w:r>
      <w:r w:rsidR="009D086E">
        <w:rPr>
          <w:i/>
        </w:rPr>
        <w:t xml:space="preserve"> al</w:t>
      </w:r>
      <w:r w:rsidRPr="00180C76">
        <w:rPr>
          <w:i/>
        </w:rPr>
        <w:t xml:space="preserve"> convenio colectivo.</w:t>
      </w:r>
    </w:p>
    <w:p w:rsidR="0084353A" w:rsidRDefault="00BF45A9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  <w:rPr>
          <w:i/>
        </w:rPr>
      </w:pPr>
      <w:r w:rsidRPr="00180C76">
        <w:rPr>
          <w:i/>
        </w:rPr>
        <w:t>Realizar los gastos siguiendo el procedimiento definido, incluyendo la a</w:t>
      </w:r>
      <w:r w:rsidRPr="00180C76">
        <w:rPr>
          <w:i/>
        </w:rPr>
        <w:t>u</w:t>
      </w:r>
      <w:r w:rsidRPr="00180C76">
        <w:rPr>
          <w:i/>
        </w:rPr>
        <w:t xml:space="preserve">torización inicial y la comprobación de saldo en la </w:t>
      </w:r>
      <w:r w:rsidR="00D17F52">
        <w:rPr>
          <w:i/>
        </w:rPr>
        <w:t>bolsa de vinculación</w:t>
      </w:r>
      <w:r w:rsidR="0084353A">
        <w:rPr>
          <w:i/>
        </w:rPr>
        <w:t xml:space="preserve"> y, en su caso, u</w:t>
      </w:r>
      <w:r w:rsidR="0084353A" w:rsidRPr="00180C76">
        <w:rPr>
          <w:i/>
        </w:rPr>
        <w:t xml:space="preserve">tilizar las figuras presupuestarias para dotar de crédito suficiente a las </w:t>
      </w:r>
      <w:r w:rsidR="00D17F52">
        <w:rPr>
          <w:i/>
        </w:rPr>
        <w:t>bolsas de vinculación</w:t>
      </w:r>
      <w:r w:rsidR="0084353A" w:rsidRPr="00180C76">
        <w:rPr>
          <w:i/>
        </w:rPr>
        <w:t xml:space="preserve"> antes de realizar los gastos.</w:t>
      </w:r>
    </w:p>
    <w:p w:rsidR="00D17F52" w:rsidRDefault="00D17F52" w:rsidP="003E6282">
      <w:pPr>
        <w:pStyle w:val="texto"/>
        <w:numPr>
          <w:ilvl w:val="0"/>
          <w:numId w:val="20"/>
        </w:numPr>
        <w:tabs>
          <w:tab w:val="clear" w:pos="2835"/>
          <w:tab w:val="center" w:pos="426"/>
        </w:tabs>
        <w:ind w:left="0" w:firstLine="284"/>
        <w:rPr>
          <w:i/>
        </w:rPr>
      </w:pPr>
      <w:r>
        <w:rPr>
          <w:i/>
        </w:rPr>
        <w:t>Elevar al pleno informe de todas las resoluciones adoptadas por el pres</w:t>
      </w:r>
      <w:r>
        <w:rPr>
          <w:i/>
        </w:rPr>
        <w:t>i</w:t>
      </w:r>
      <w:r>
        <w:rPr>
          <w:i/>
        </w:rPr>
        <w:t>dente de la entidad local contrarias a los reparos efectuados.</w:t>
      </w:r>
    </w:p>
    <w:p w:rsidR="00C34A8F" w:rsidRPr="00E72E13" w:rsidRDefault="00C34A8F" w:rsidP="008705B6">
      <w:pPr>
        <w:pStyle w:val="texto"/>
        <w:rPr>
          <w:lang w:val="es-ES"/>
        </w:rPr>
      </w:pPr>
      <w:r>
        <w:rPr>
          <w:lang w:val="es-ES"/>
        </w:rPr>
        <w:t>Informe que se emite a propuesta del auditor Jesús Muruzabal Lerga, respo</w:t>
      </w:r>
      <w:r>
        <w:rPr>
          <w:lang w:val="es-ES"/>
        </w:rPr>
        <w:t>n</w:t>
      </w:r>
      <w:r>
        <w:rPr>
          <w:lang w:val="es-ES"/>
        </w:rPr>
        <w:t>sable de la realización de este trabajo, una vez cumplimentados los trámites previstos por la normativa vigente</w:t>
      </w:r>
      <w:r w:rsidR="008705B6">
        <w:rPr>
          <w:lang w:val="es-ES"/>
        </w:rPr>
        <w:t>.</w:t>
      </w:r>
    </w:p>
    <w:p w:rsidR="00F771BC" w:rsidRDefault="00F771BC" w:rsidP="00F771BC">
      <w:pPr>
        <w:pStyle w:val="texto"/>
        <w:jc w:val="center"/>
        <w:rPr>
          <w:color w:val="000000" w:themeColor="text1"/>
          <w:lang w:val="es-ES"/>
        </w:rPr>
      </w:pPr>
      <w:r w:rsidRPr="008C390A">
        <w:rPr>
          <w:color w:val="000000" w:themeColor="text1"/>
          <w:lang w:val="es-ES"/>
        </w:rPr>
        <w:t xml:space="preserve">Pamplona, a </w:t>
      </w:r>
      <w:r w:rsidR="00A83AF8" w:rsidRPr="008C390A">
        <w:rPr>
          <w:color w:val="000000" w:themeColor="text1"/>
          <w:lang w:val="es-ES"/>
        </w:rPr>
        <w:t>2</w:t>
      </w:r>
      <w:r w:rsidR="007A3DD2">
        <w:rPr>
          <w:color w:val="000000" w:themeColor="text1"/>
          <w:lang w:val="es-ES"/>
        </w:rPr>
        <w:t>3</w:t>
      </w:r>
      <w:r w:rsidR="00CF007E" w:rsidRPr="008C390A">
        <w:rPr>
          <w:color w:val="000000" w:themeColor="text1"/>
          <w:lang w:val="es-ES"/>
        </w:rPr>
        <w:t xml:space="preserve"> de septiembre</w:t>
      </w:r>
      <w:r w:rsidRPr="008C390A">
        <w:rPr>
          <w:color w:val="000000" w:themeColor="text1"/>
          <w:lang w:val="es-ES"/>
        </w:rPr>
        <w:t xml:space="preserve"> 2015</w:t>
      </w:r>
    </w:p>
    <w:p w:rsidR="00C52B5A" w:rsidRDefault="00C552DA" w:rsidP="00C52B5A">
      <w:pPr>
        <w:pStyle w:val="texto"/>
        <w:jc w:val="center"/>
        <w:rPr>
          <w:lang w:val="es-ES"/>
        </w:rPr>
      </w:pPr>
      <w:r w:rsidRPr="008C390A">
        <w:rPr>
          <w:color w:val="000000" w:themeColor="text1"/>
          <w:lang w:val="es-ES"/>
        </w:rPr>
        <w:t xml:space="preserve">El </w:t>
      </w:r>
      <w:r w:rsidR="009B16F7" w:rsidRPr="008C390A">
        <w:rPr>
          <w:color w:val="000000" w:themeColor="text1"/>
          <w:lang w:val="es-ES"/>
        </w:rPr>
        <w:t>presidente</w:t>
      </w:r>
      <w:r w:rsidRPr="008C390A">
        <w:rPr>
          <w:color w:val="000000" w:themeColor="text1"/>
          <w:lang w:val="es-ES"/>
        </w:rPr>
        <w:t>,</w:t>
      </w:r>
      <w:r w:rsidR="0012371D">
        <w:rPr>
          <w:color w:val="000000" w:themeColor="text1"/>
          <w:lang w:val="es-ES"/>
        </w:rPr>
        <w:t xml:space="preserve"> </w:t>
      </w:r>
      <w:r w:rsidR="009B16F7" w:rsidRPr="008C390A">
        <w:rPr>
          <w:color w:val="000000" w:themeColor="text1"/>
          <w:lang w:val="es-ES"/>
        </w:rPr>
        <w:t>Helio Robleda Cabezas</w:t>
      </w:r>
      <w:r w:rsidR="00C52B5A">
        <w:rPr>
          <w:lang w:val="es-ES"/>
        </w:rPr>
        <w:br w:type="page"/>
      </w:r>
    </w:p>
    <w:p w:rsidR="005B0735" w:rsidRPr="00F75A58" w:rsidRDefault="005B0735" w:rsidP="00A75BD1">
      <w:pPr>
        <w:pStyle w:val="atitulo1"/>
        <w:rPr>
          <w:rFonts w:eastAsiaTheme="minorHAnsi"/>
          <w:lang w:val="es-ES"/>
        </w:rPr>
      </w:pPr>
      <w:bookmarkStart w:id="7" w:name="_Toc429728670"/>
      <w:r w:rsidRPr="00F75A58">
        <w:rPr>
          <w:rFonts w:eastAsiaTheme="minorHAnsi"/>
          <w:lang w:val="es-ES"/>
        </w:rPr>
        <w:lastRenderedPageBreak/>
        <w:t>Anexo 1</w:t>
      </w:r>
      <w:r w:rsidR="00A75BD1" w:rsidRPr="00F75A58">
        <w:rPr>
          <w:rFonts w:eastAsiaTheme="minorHAnsi"/>
          <w:lang w:val="es-ES"/>
        </w:rPr>
        <w:t xml:space="preserve"> </w:t>
      </w:r>
      <w:r w:rsidRPr="00F75A58">
        <w:rPr>
          <w:rFonts w:eastAsiaTheme="minorHAnsi"/>
          <w:lang w:val="es-ES"/>
        </w:rPr>
        <w:t>Relación de mancomunidades que no han contestado a nuestra petición</w:t>
      </w:r>
      <w:r w:rsidR="009704CB" w:rsidRPr="00F75A58">
        <w:rPr>
          <w:rFonts w:eastAsiaTheme="minorHAnsi"/>
          <w:lang w:val="es-ES"/>
        </w:rPr>
        <w:t>:</w:t>
      </w:r>
      <w:bookmarkEnd w:id="7"/>
    </w:p>
    <w:p w:rsidR="00E70C5B" w:rsidRPr="003A1A70" w:rsidRDefault="00E70C5B" w:rsidP="003A1A70">
      <w:pPr>
        <w:pStyle w:val="texto"/>
        <w:jc w:val="left"/>
        <w:rPr>
          <w:lang w:val="es-ES"/>
        </w:rPr>
      </w:pPr>
    </w:p>
    <w:tbl>
      <w:tblPr>
        <w:tblW w:w="89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0"/>
      </w:tblGrid>
      <w:tr w:rsidR="00BF45A9" w:rsidRPr="00717A54" w:rsidTr="00D82109">
        <w:trPr>
          <w:trHeight w:val="300"/>
          <w:jc w:val="center"/>
        </w:trPr>
        <w:tc>
          <w:tcPr>
            <w:tcW w:w="8960" w:type="dxa"/>
            <w:shd w:val="clear" w:color="auto" w:fill="auto"/>
            <w:vAlign w:val="center"/>
            <w:hideMark/>
          </w:tcPr>
          <w:p w:rsidR="00BF45A9" w:rsidRPr="00717A54" w:rsidRDefault="00BF45A9" w:rsidP="00717A54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Mancomunidad de Aguas del Moncayo</w:t>
            </w:r>
          </w:p>
        </w:tc>
      </w:tr>
      <w:tr w:rsidR="00BF45A9" w:rsidRPr="00717A54" w:rsidTr="00D82109">
        <w:trPr>
          <w:trHeight w:val="300"/>
          <w:jc w:val="center"/>
        </w:trPr>
        <w:tc>
          <w:tcPr>
            <w:tcW w:w="8960" w:type="dxa"/>
            <w:shd w:val="clear" w:color="auto" w:fill="auto"/>
            <w:vAlign w:val="center"/>
            <w:hideMark/>
          </w:tcPr>
          <w:p w:rsidR="00BF45A9" w:rsidRPr="00717A54" w:rsidRDefault="00BF45A9" w:rsidP="00717A54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Mancomunidad Andia</w:t>
            </w:r>
          </w:p>
        </w:tc>
      </w:tr>
      <w:tr w:rsidR="00BF45A9" w:rsidRPr="00717A54" w:rsidTr="00D82109">
        <w:trPr>
          <w:trHeight w:val="300"/>
          <w:jc w:val="center"/>
        </w:trPr>
        <w:tc>
          <w:tcPr>
            <w:tcW w:w="8960" w:type="dxa"/>
            <w:shd w:val="clear" w:color="auto" w:fill="auto"/>
            <w:vAlign w:val="center"/>
            <w:hideMark/>
          </w:tcPr>
          <w:p w:rsidR="00BF45A9" w:rsidRPr="00717A54" w:rsidRDefault="00BF45A9" w:rsidP="00717A54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Mancomunidad de Servicios Sociales de Base de Allo, Arellano, Arróniz, Dicastillo y Lerín</w:t>
            </w:r>
          </w:p>
        </w:tc>
      </w:tr>
      <w:tr w:rsidR="00BF45A9" w:rsidRPr="00717A54" w:rsidTr="00D82109">
        <w:trPr>
          <w:trHeight w:val="345"/>
          <w:jc w:val="center"/>
        </w:trPr>
        <w:tc>
          <w:tcPr>
            <w:tcW w:w="8960" w:type="dxa"/>
            <w:shd w:val="clear" w:color="auto" w:fill="auto"/>
            <w:vAlign w:val="center"/>
            <w:hideMark/>
          </w:tcPr>
          <w:p w:rsidR="00BF45A9" w:rsidRPr="00717A54" w:rsidRDefault="00BF45A9" w:rsidP="00717A54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Mancomunidad de Servicios Sociales de Base de Irurtzun</w:t>
            </w:r>
          </w:p>
        </w:tc>
      </w:tr>
      <w:tr w:rsidR="00BF45A9" w:rsidRPr="00717A54" w:rsidTr="00D82109">
        <w:trPr>
          <w:trHeight w:val="300"/>
          <w:jc w:val="center"/>
        </w:trPr>
        <w:tc>
          <w:tcPr>
            <w:tcW w:w="8960" w:type="dxa"/>
            <w:shd w:val="clear" w:color="auto" w:fill="auto"/>
            <w:vAlign w:val="center"/>
            <w:hideMark/>
          </w:tcPr>
          <w:p w:rsidR="00BF45A9" w:rsidRPr="00717A54" w:rsidRDefault="00BF45A9" w:rsidP="00717A54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Mancomunidad de Servicios Sociales de Base de la Zona de Buñuel</w:t>
            </w:r>
          </w:p>
        </w:tc>
      </w:tr>
      <w:tr w:rsidR="00BF45A9" w:rsidRPr="00717A54" w:rsidTr="00D82109">
        <w:trPr>
          <w:trHeight w:val="300"/>
          <w:jc w:val="center"/>
        </w:trPr>
        <w:tc>
          <w:tcPr>
            <w:tcW w:w="8960" w:type="dxa"/>
            <w:shd w:val="clear" w:color="auto" w:fill="auto"/>
            <w:vAlign w:val="center"/>
            <w:hideMark/>
          </w:tcPr>
          <w:p w:rsidR="00BF45A9" w:rsidRPr="00717A54" w:rsidRDefault="00BF45A9" w:rsidP="00717A54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Mancomunidad de Servicios Sociales de Base de la Zona de Los Arcos</w:t>
            </w:r>
          </w:p>
        </w:tc>
      </w:tr>
      <w:tr w:rsidR="00BF45A9" w:rsidRPr="00717A54" w:rsidTr="00D82109">
        <w:trPr>
          <w:trHeight w:val="300"/>
          <w:jc w:val="center"/>
        </w:trPr>
        <w:tc>
          <w:tcPr>
            <w:tcW w:w="8960" w:type="dxa"/>
            <w:shd w:val="clear" w:color="auto" w:fill="auto"/>
            <w:vAlign w:val="center"/>
            <w:hideMark/>
          </w:tcPr>
          <w:p w:rsidR="00BF45A9" w:rsidRPr="00717A54" w:rsidRDefault="00BF45A9" w:rsidP="00717A54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Mancomunidad de Servicios Sociales de Base del Área de Carcastillo</w:t>
            </w:r>
          </w:p>
        </w:tc>
      </w:tr>
      <w:tr w:rsidR="00BF45A9" w:rsidRPr="00717A54" w:rsidTr="00D82109">
        <w:trPr>
          <w:trHeight w:val="300"/>
          <w:jc w:val="center"/>
        </w:trPr>
        <w:tc>
          <w:tcPr>
            <w:tcW w:w="8960" w:type="dxa"/>
            <w:shd w:val="clear" w:color="auto" w:fill="auto"/>
            <w:vAlign w:val="center"/>
            <w:hideMark/>
          </w:tcPr>
          <w:p w:rsidR="00BF45A9" w:rsidRPr="00717A54" w:rsidRDefault="00BF45A9" w:rsidP="00717A54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Mancomunidad de Servicios Sociales de Base -Iranzu-</w:t>
            </w:r>
          </w:p>
        </w:tc>
      </w:tr>
      <w:tr w:rsidR="00BF45A9" w:rsidRPr="00717A54" w:rsidTr="00D82109">
        <w:trPr>
          <w:trHeight w:val="300"/>
          <w:jc w:val="center"/>
        </w:trPr>
        <w:tc>
          <w:tcPr>
            <w:tcW w:w="8960" w:type="dxa"/>
            <w:shd w:val="clear" w:color="auto" w:fill="auto"/>
            <w:vAlign w:val="center"/>
            <w:hideMark/>
          </w:tcPr>
          <w:p w:rsidR="00BF45A9" w:rsidRPr="00717A54" w:rsidRDefault="00BF45A9" w:rsidP="00717A54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Mancomunidad de Servicios Sociales de Base y Deportes Valdizarbe</w:t>
            </w:r>
          </w:p>
        </w:tc>
      </w:tr>
      <w:tr w:rsidR="00BF45A9" w:rsidRPr="00717A54" w:rsidTr="00D82109">
        <w:trPr>
          <w:trHeight w:val="300"/>
          <w:jc w:val="center"/>
        </w:trPr>
        <w:tc>
          <w:tcPr>
            <w:tcW w:w="8960" w:type="dxa"/>
            <w:shd w:val="clear" w:color="auto" w:fill="auto"/>
            <w:vAlign w:val="center"/>
            <w:hideMark/>
          </w:tcPr>
          <w:p w:rsidR="00BF45A9" w:rsidRPr="00717A54" w:rsidRDefault="00BF45A9" w:rsidP="00717A54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Mancomunidad de Servicios Sociales de Bortziriak-Cinco Villas</w:t>
            </w:r>
          </w:p>
        </w:tc>
      </w:tr>
      <w:tr w:rsidR="00BF45A9" w:rsidRPr="00717A54" w:rsidTr="00D82109">
        <w:trPr>
          <w:trHeight w:val="300"/>
          <w:jc w:val="center"/>
        </w:trPr>
        <w:tc>
          <w:tcPr>
            <w:tcW w:w="8960" w:type="dxa"/>
            <w:shd w:val="clear" w:color="auto" w:fill="auto"/>
            <w:vAlign w:val="center"/>
            <w:hideMark/>
          </w:tcPr>
          <w:p w:rsidR="00BF45A9" w:rsidRPr="00717A54" w:rsidRDefault="00BF45A9" w:rsidP="00717A54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Mancomunidad de Servicios Sociales de la Zona de Peralta</w:t>
            </w:r>
          </w:p>
        </w:tc>
      </w:tr>
      <w:tr w:rsidR="00BF45A9" w:rsidRPr="00717A54" w:rsidTr="00D82109">
        <w:trPr>
          <w:trHeight w:val="300"/>
          <w:jc w:val="center"/>
        </w:trPr>
        <w:tc>
          <w:tcPr>
            <w:tcW w:w="8960" w:type="dxa"/>
            <w:shd w:val="clear" w:color="auto" w:fill="auto"/>
            <w:vAlign w:val="center"/>
            <w:hideMark/>
          </w:tcPr>
          <w:p w:rsidR="00BF45A9" w:rsidRPr="00717A54" w:rsidRDefault="00BF45A9" w:rsidP="00717A54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Mancomunidad de Servicios Sociales de San Adrián, Azagra, Andosilla y Cárcar</w:t>
            </w:r>
          </w:p>
        </w:tc>
      </w:tr>
      <w:tr w:rsidR="00BF45A9" w:rsidRPr="00717A54" w:rsidTr="00D82109">
        <w:trPr>
          <w:trHeight w:val="255"/>
          <w:jc w:val="center"/>
        </w:trPr>
        <w:tc>
          <w:tcPr>
            <w:tcW w:w="8960" w:type="dxa"/>
            <w:shd w:val="clear" w:color="auto" w:fill="auto"/>
            <w:vAlign w:val="center"/>
            <w:hideMark/>
          </w:tcPr>
          <w:p w:rsidR="00BF45A9" w:rsidRPr="00717A54" w:rsidRDefault="00BF45A9" w:rsidP="00717A54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Mancomunidad de Servicios Sociales -Izaga-</w:t>
            </w:r>
          </w:p>
        </w:tc>
      </w:tr>
      <w:tr w:rsidR="00BF45A9" w:rsidRPr="00717A54" w:rsidTr="00D82109">
        <w:trPr>
          <w:trHeight w:val="300"/>
          <w:jc w:val="center"/>
        </w:trPr>
        <w:tc>
          <w:tcPr>
            <w:tcW w:w="8960" w:type="dxa"/>
            <w:shd w:val="clear" w:color="auto" w:fill="auto"/>
            <w:vAlign w:val="center"/>
            <w:hideMark/>
          </w:tcPr>
          <w:p w:rsidR="00BF45A9" w:rsidRPr="00717A54" w:rsidRDefault="00BF45A9" w:rsidP="00717A54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Mancomunidad del Norte de Navarra para la Gestión del Euskera</w:t>
            </w:r>
          </w:p>
        </w:tc>
      </w:tr>
      <w:tr w:rsidR="00BF45A9" w:rsidRPr="00717A54" w:rsidTr="00D82109">
        <w:trPr>
          <w:trHeight w:val="300"/>
          <w:jc w:val="center"/>
        </w:trPr>
        <w:tc>
          <w:tcPr>
            <w:tcW w:w="8960" w:type="dxa"/>
            <w:shd w:val="clear" w:color="auto" w:fill="auto"/>
            <w:vAlign w:val="center"/>
            <w:hideMark/>
          </w:tcPr>
          <w:p w:rsidR="00BF45A9" w:rsidRPr="00717A54" w:rsidRDefault="00BF45A9" w:rsidP="00717A54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Mancomunidad Deportiva Araitz, Areso, Betelu, Larraun, Lekunberri</w:t>
            </w:r>
          </w:p>
        </w:tc>
      </w:tr>
      <w:tr w:rsidR="00BF45A9" w:rsidRPr="00717A54" w:rsidTr="00D82109">
        <w:trPr>
          <w:trHeight w:val="300"/>
          <w:jc w:val="center"/>
        </w:trPr>
        <w:tc>
          <w:tcPr>
            <w:tcW w:w="8960" w:type="dxa"/>
            <w:shd w:val="clear" w:color="auto" w:fill="auto"/>
            <w:vAlign w:val="center"/>
            <w:hideMark/>
          </w:tcPr>
          <w:p w:rsidR="00BF45A9" w:rsidRPr="00717A54" w:rsidRDefault="00BF45A9" w:rsidP="00717A54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Mancomunidad Deportiva Orreaga</w:t>
            </w:r>
          </w:p>
        </w:tc>
      </w:tr>
      <w:tr w:rsidR="00BF45A9" w:rsidRPr="00717A54" w:rsidTr="00D82109">
        <w:trPr>
          <w:trHeight w:val="300"/>
          <w:jc w:val="center"/>
        </w:trPr>
        <w:tc>
          <w:tcPr>
            <w:tcW w:w="8960" w:type="dxa"/>
            <w:shd w:val="clear" w:color="auto" w:fill="auto"/>
            <w:vAlign w:val="center"/>
            <w:hideMark/>
          </w:tcPr>
          <w:p w:rsidR="00BF45A9" w:rsidRPr="00717A54" w:rsidRDefault="00BF45A9" w:rsidP="00717A54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Mancomunidad Deportiva -Ribera Alta-</w:t>
            </w:r>
          </w:p>
        </w:tc>
      </w:tr>
      <w:tr w:rsidR="00BF45A9" w:rsidRPr="00717A54" w:rsidTr="00D82109">
        <w:trPr>
          <w:trHeight w:val="300"/>
          <w:jc w:val="center"/>
        </w:trPr>
        <w:tc>
          <w:tcPr>
            <w:tcW w:w="8960" w:type="dxa"/>
            <w:shd w:val="clear" w:color="auto" w:fill="auto"/>
            <w:vAlign w:val="center"/>
            <w:hideMark/>
          </w:tcPr>
          <w:p w:rsidR="00BF45A9" w:rsidRPr="00717A54" w:rsidRDefault="00BF45A9" w:rsidP="00717A54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Mancomunidad Distribuidora de Energía Eléctrica Betolegui-Remendía</w:t>
            </w:r>
          </w:p>
        </w:tc>
      </w:tr>
      <w:tr w:rsidR="00BF45A9" w:rsidRPr="00717A54" w:rsidTr="00D82109">
        <w:trPr>
          <w:trHeight w:val="300"/>
          <w:jc w:val="center"/>
        </w:trPr>
        <w:tc>
          <w:tcPr>
            <w:tcW w:w="8960" w:type="dxa"/>
            <w:shd w:val="clear" w:color="auto" w:fill="auto"/>
            <w:vAlign w:val="center"/>
            <w:hideMark/>
          </w:tcPr>
          <w:p w:rsidR="00BF45A9" w:rsidRPr="00717A54" w:rsidRDefault="00BF45A9" w:rsidP="00717A54">
            <w:pPr>
              <w:spacing w:after="0"/>
              <w:ind w:firstLine="0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Mancomunidad Residencial San Francisco Javier</w:t>
            </w:r>
          </w:p>
        </w:tc>
      </w:tr>
    </w:tbl>
    <w:p w:rsidR="00BF45A9" w:rsidRPr="00BF45A9" w:rsidRDefault="00BF45A9" w:rsidP="00C22AD3">
      <w:pPr>
        <w:pStyle w:val="texto"/>
        <w:rPr>
          <w:lang w:val="es-ES"/>
        </w:rPr>
      </w:pPr>
    </w:p>
    <w:p w:rsidR="007227D8" w:rsidRDefault="007227D8">
      <w:pPr>
        <w:spacing w:after="0"/>
        <w:ind w:firstLine="0"/>
        <w:jc w:val="left"/>
        <w:rPr>
          <w:spacing w:val="6"/>
          <w:sz w:val="26"/>
          <w:szCs w:val="24"/>
        </w:rPr>
      </w:pPr>
      <w:r>
        <w:br w:type="page"/>
      </w:r>
    </w:p>
    <w:p w:rsidR="00BF45A9" w:rsidRDefault="00717A54" w:rsidP="00A75BD1">
      <w:pPr>
        <w:pStyle w:val="atitulo1"/>
        <w:rPr>
          <w:rFonts w:eastAsiaTheme="minorHAnsi"/>
          <w:lang w:val="es-ES"/>
        </w:rPr>
      </w:pPr>
      <w:bookmarkStart w:id="8" w:name="_Toc429728671"/>
      <w:r w:rsidRPr="00A75BD1">
        <w:rPr>
          <w:rFonts w:eastAsiaTheme="minorHAnsi"/>
          <w:lang w:val="es-ES"/>
        </w:rPr>
        <w:t>Anexo 2</w:t>
      </w:r>
      <w:r w:rsidR="00A75BD1">
        <w:rPr>
          <w:rFonts w:eastAsiaTheme="minorHAnsi"/>
          <w:lang w:val="es-ES"/>
        </w:rPr>
        <w:t xml:space="preserve"> </w:t>
      </w:r>
      <w:r w:rsidR="00BF45A9" w:rsidRPr="00A75BD1">
        <w:rPr>
          <w:rFonts w:eastAsiaTheme="minorHAnsi"/>
          <w:lang w:val="es-ES"/>
        </w:rPr>
        <w:t>Relación de ayuntamientos que no han contestado a nuestra petición:</w:t>
      </w:r>
      <w:bookmarkEnd w:id="8"/>
    </w:p>
    <w:p w:rsidR="00E70C5B" w:rsidRPr="003A1A70" w:rsidRDefault="00E70C5B" w:rsidP="003A1A70">
      <w:pPr>
        <w:pStyle w:val="texto"/>
        <w:jc w:val="left"/>
        <w:rPr>
          <w:lang w:val="es-ES"/>
        </w:rPr>
      </w:pPr>
    </w:p>
    <w:tbl>
      <w:tblPr>
        <w:tblpPr w:leftFromText="141" w:rightFromText="141" w:vertAnchor="text" w:tblpY="1"/>
        <w:tblOverlap w:val="never"/>
        <w:tblW w:w="1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</w:tblGrid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Anue</w:t>
            </w:r>
          </w:p>
        </w:tc>
      </w:tr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Araitz</w:t>
            </w:r>
          </w:p>
        </w:tc>
      </w:tr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Atez</w:t>
            </w:r>
          </w:p>
        </w:tc>
      </w:tr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Bera</w:t>
            </w:r>
            <w:r w:rsidR="00B465B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●</w:t>
            </w:r>
          </w:p>
        </w:tc>
      </w:tr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Bertizarana</w:t>
            </w:r>
          </w:p>
        </w:tc>
      </w:tr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Cáseda</w:t>
            </w:r>
          </w:p>
        </w:tc>
      </w:tr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Castejón</w:t>
            </w:r>
            <w:r w:rsidR="00B465B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●</w:t>
            </w:r>
          </w:p>
        </w:tc>
      </w:tr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Elgorriaga</w:t>
            </w:r>
          </w:p>
        </w:tc>
      </w:tr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Eslava</w:t>
            </w:r>
          </w:p>
        </w:tc>
      </w:tr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Etayo</w:t>
            </w:r>
          </w:p>
        </w:tc>
      </w:tr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Fustiñana</w:t>
            </w:r>
            <w:r w:rsidR="00B465B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●</w:t>
            </w:r>
          </w:p>
        </w:tc>
      </w:tr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Gallipienzo</w:t>
            </w:r>
          </w:p>
        </w:tc>
      </w:tr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Goñi</w:t>
            </w:r>
          </w:p>
        </w:tc>
      </w:tr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Juslapeña</w:t>
            </w:r>
          </w:p>
        </w:tc>
      </w:tr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Lantz</w:t>
            </w:r>
          </w:p>
        </w:tc>
      </w:tr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Legaria</w:t>
            </w:r>
          </w:p>
        </w:tc>
      </w:tr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Los Arcos</w:t>
            </w:r>
            <w:r w:rsidR="00B465B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●</w:t>
            </w:r>
          </w:p>
        </w:tc>
      </w:tr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Ollo</w:t>
            </w:r>
          </w:p>
        </w:tc>
      </w:tr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Petilla de Aragón</w:t>
            </w:r>
          </w:p>
        </w:tc>
      </w:tr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Urdazubi/Urdax</w:t>
            </w:r>
          </w:p>
        </w:tc>
      </w:tr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Villava</w:t>
            </w:r>
            <w:r w:rsidR="00B465BC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●</w:t>
            </w:r>
          </w:p>
        </w:tc>
      </w:tr>
      <w:tr w:rsidR="007227D8" w:rsidRPr="00717A54" w:rsidTr="005E14F2">
        <w:trPr>
          <w:trHeight w:val="300"/>
        </w:trPr>
        <w:tc>
          <w:tcPr>
            <w:tcW w:w="1771" w:type="dxa"/>
            <w:shd w:val="clear" w:color="auto" w:fill="auto"/>
            <w:noWrap/>
            <w:vAlign w:val="center"/>
            <w:hideMark/>
          </w:tcPr>
          <w:p w:rsidR="00BF45A9" w:rsidRPr="00717A54" w:rsidRDefault="00BF45A9" w:rsidP="005E14F2">
            <w:pPr>
              <w:pStyle w:val="cuatexto"/>
              <w:jc w:val="left"/>
              <w:rPr>
                <w:rFonts w:ascii="Arial" w:hAnsi="Arial" w:cs="Arial"/>
                <w:sz w:val="18"/>
                <w:szCs w:val="18"/>
                <w:lang w:val="es-ES" w:eastAsia="es-ES"/>
              </w:rPr>
            </w:pPr>
            <w:r w:rsidRPr="00717A54">
              <w:rPr>
                <w:rFonts w:ascii="Arial" w:hAnsi="Arial" w:cs="Arial"/>
                <w:sz w:val="18"/>
                <w:szCs w:val="18"/>
                <w:lang w:val="es-ES" w:eastAsia="es-ES"/>
              </w:rPr>
              <w:t>Zugarramurdi</w:t>
            </w:r>
          </w:p>
        </w:tc>
      </w:tr>
    </w:tbl>
    <w:p w:rsidR="00BF45A9" w:rsidRPr="007227D8" w:rsidRDefault="005E14F2" w:rsidP="00C22AD3">
      <w:pPr>
        <w:pStyle w:val="texto"/>
        <w:rPr>
          <w:lang w:val="es-ES"/>
        </w:rPr>
      </w:pPr>
      <w:r>
        <w:rPr>
          <w:lang w:val="es-ES"/>
        </w:rPr>
        <w:br w:type="textWrapping" w:clear="all"/>
      </w:r>
    </w:p>
    <w:sectPr w:rsidR="00BF45A9" w:rsidRPr="007227D8" w:rsidSect="00D2472C">
      <w:headerReference w:type="even" r:id="rId13"/>
      <w:footerReference w:type="default" r:id="rId14"/>
      <w:type w:val="oddPage"/>
      <w:pgSz w:w="11907" w:h="16840" w:code="9"/>
      <w:pgMar w:top="2109" w:right="1559" w:bottom="1644" w:left="1559" w:header="369" w:footer="136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B6" w:rsidRDefault="008705B6">
      <w:r>
        <w:separator/>
      </w:r>
    </w:p>
    <w:p w:rsidR="008705B6" w:rsidRDefault="008705B6"/>
    <w:p w:rsidR="008705B6" w:rsidRDefault="008705B6"/>
    <w:p w:rsidR="008705B6" w:rsidRDefault="008705B6"/>
  </w:endnote>
  <w:endnote w:type="continuationSeparator" w:id="0">
    <w:p w:rsidR="008705B6" w:rsidRDefault="008705B6">
      <w:r>
        <w:continuationSeparator/>
      </w:r>
    </w:p>
    <w:p w:rsidR="008705B6" w:rsidRDefault="008705B6"/>
    <w:p w:rsidR="008705B6" w:rsidRDefault="008705B6"/>
    <w:p w:rsidR="008705B6" w:rsidRDefault="008705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Century 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j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B6" w:rsidRDefault="008705B6" w:rsidP="008E3FF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705B6" w:rsidRDefault="008705B6" w:rsidP="0059650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B6" w:rsidRPr="00F03814" w:rsidRDefault="008705B6" w:rsidP="00C13453">
    <w:pPr>
      <w:pStyle w:val="Piedepgina"/>
      <w:tabs>
        <w:tab w:val="clear" w:pos="4252"/>
        <w:tab w:val="right" w:pos="8880"/>
      </w:tabs>
      <w:ind w:right="360"/>
      <w:jc w:val="left"/>
      <w:rPr>
        <w:rFonts w:ascii="GillSans" w:hAnsi="GillSans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2CBB459B" wp14:editId="276A1D48">
          <wp:extent cx="219075" cy="371475"/>
          <wp:effectExtent l="0" t="0" r="0" b="0"/>
          <wp:docPr id="2" name="Imagen 2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05B6" w:rsidRPr="00F74E38" w:rsidRDefault="008705B6" w:rsidP="00F03814">
    <w:pPr>
      <w:pStyle w:val="Piedepgina"/>
      <w:tabs>
        <w:tab w:val="clear" w:pos="4252"/>
        <w:tab w:val="clear" w:pos="8504"/>
        <w:tab w:val="center" w:pos="4560"/>
      </w:tabs>
      <w:ind w:right="360"/>
      <w:jc w:val="left"/>
      <w:rPr>
        <w:rStyle w:val="Nmerodepgi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B6" w:rsidRDefault="008705B6" w:rsidP="0059650E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B6" w:rsidRPr="00F03814" w:rsidRDefault="008705B6" w:rsidP="00840E3D">
    <w:pPr>
      <w:pStyle w:val="Piedepgina"/>
      <w:tabs>
        <w:tab w:val="clear" w:pos="2835"/>
        <w:tab w:val="clear" w:pos="3969"/>
        <w:tab w:val="clear" w:pos="4252"/>
        <w:tab w:val="clear" w:pos="5103"/>
        <w:tab w:val="clear" w:pos="6237"/>
        <w:tab w:val="clear" w:pos="7371"/>
        <w:tab w:val="clear" w:pos="8504"/>
        <w:tab w:val="center" w:pos="4440"/>
      </w:tabs>
      <w:spacing w:after="0"/>
      <w:ind w:right="29"/>
      <w:jc w:val="left"/>
      <w:rPr>
        <w:rFonts w:ascii="Trajan" w:hAnsi="Trajan"/>
        <w:sz w:val="24"/>
        <w:szCs w:val="24"/>
      </w:rPr>
    </w:pPr>
    <w:r>
      <w:rPr>
        <w:rFonts w:ascii="GillSans" w:hAnsi="GillSans"/>
        <w:noProof/>
        <w:lang w:val="es-ES" w:eastAsia="es-ES"/>
      </w:rPr>
      <w:drawing>
        <wp:inline distT="0" distB="0" distL="0" distR="0" wp14:anchorId="4F111203" wp14:editId="5CECD01C">
          <wp:extent cx="219075" cy="371475"/>
          <wp:effectExtent l="0" t="0" r="0" b="0"/>
          <wp:docPr id="6" name="Imagen 6" descr="!ESCN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!ESCN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Sans" w:hAnsi="GillSans"/>
      </w:rPr>
      <w:tab/>
    </w:r>
    <w:r w:rsidRPr="001D4F09">
      <w:rPr>
        <w:rStyle w:val="Nmerodepgina"/>
        <w:szCs w:val="24"/>
      </w:rPr>
      <w:t xml:space="preserve">- </w:t>
    </w:r>
    <w:r w:rsidRPr="001D4F09">
      <w:rPr>
        <w:rStyle w:val="Nmerodepgina"/>
        <w:szCs w:val="24"/>
      </w:rPr>
      <w:fldChar w:fldCharType="begin"/>
    </w:r>
    <w:r w:rsidRPr="001D4F09">
      <w:rPr>
        <w:rStyle w:val="Nmerodepgina"/>
        <w:szCs w:val="24"/>
      </w:rPr>
      <w:instrText xml:space="preserve"> PAGE </w:instrText>
    </w:r>
    <w:r w:rsidRPr="001D4F09">
      <w:rPr>
        <w:rStyle w:val="Nmerodepgina"/>
        <w:szCs w:val="24"/>
      </w:rPr>
      <w:fldChar w:fldCharType="separate"/>
    </w:r>
    <w:r w:rsidR="00CB7317">
      <w:rPr>
        <w:rStyle w:val="Nmerodepgina"/>
        <w:noProof/>
        <w:szCs w:val="24"/>
      </w:rPr>
      <w:t>9</w:t>
    </w:r>
    <w:r w:rsidRPr="001D4F09">
      <w:rPr>
        <w:rStyle w:val="Nmerodepgina"/>
        <w:szCs w:val="24"/>
      </w:rPr>
      <w:fldChar w:fldCharType="end"/>
    </w:r>
    <w:r w:rsidRPr="001D4F09">
      <w:rPr>
        <w:rStyle w:val="Nmerodepgina"/>
        <w:szCs w:val="24"/>
      </w:rPr>
      <w:t xml:space="preserve"> -</w:t>
    </w:r>
  </w:p>
  <w:p w:rsidR="008705B6" w:rsidRDefault="008705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B6" w:rsidRDefault="008705B6">
      <w:r>
        <w:separator/>
      </w:r>
    </w:p>
    <w:p w:rsidR="008705B6" w:rsidRDefault="008705B6"/>
    <w:p w:rsidR="008705B6" w:rsidRDefault="008705B6"/>
    <w:p w:rsidR="008705B6" w:rsidRDefault="008705B6"/>
  </w:footnote>
  <w:footnote w:type="continuationSeparator" w:id="0">
    <w:p w:rsidR="008705B6" w:rsidRDefault="008705B6">
      <w:r>
        <w:continuationSeparator/>
      </w:r>
    </w:p>
    <w:p w:rsidR="008705B6" w:rsidRDefault="008705B6"/>
    <w:p w:rsidR="008705B6" w:rsidRDefault="008705B6"/>
    <w:p w:rsidR="008705B6" w:rsidRDefault="008705B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B6" w:rsidRDefault="008705B6" w:rsidP="00E70C5B">
    <w:pPr>
      <w:pStyle w:val="EstiloPortada"/>
      <w:tabs>
        <w:tab w:val="left" w:pos="4200"/>
      </w:tabs>
      <w:ind w:left="0"/>
      <w:rPr>
        <w:sz w:val="14"/>
        <w:szCs w:val="14"/>
        <w:lang w:val="es-ES"/>
      </w:rPr>
    </w:pPr>
    <w:r>
      <w:rPr>
        <w:b w:val="0"/>
        <w:noProof/>
        <w:lang w:val="es-ES" w:eastAsia="es-ES"/>
      </w:rPr>
      <w:drawing>
        <wp:inline distT="0" distB="0" distL="0" distR="0" wp14:anchorId="61747D2E" wp14:editId="4CF33F01">
          <wp:extent cx="771525" cy="762000"/>
          <wp:effectExtent l="0" t="0" r="0" b="0"/>
          <wp:docPr id="1" name="Imagen 1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05B6" w:rsidRPr="00EA0535" w:rsidRDefault="008705B6" w:rsidP="00E70C5B">
    <w:pPr>
      <w:pStyle w:val="Encabezado"/>
      <w:pBdr>
        <w:bottom w:val="single" w:sz="4" w:space="1" w:color="auto"/>
      </w:pBdr>
      <w:spacing w:after="40"/>
      <w:ind w:firstLine="0"/>
      <w:rPr>
        <w:sz w:val="12"/>
      </w:rPr>
    </w:pPr>
    <w:r w:rsidRPr="00EA0535">
      <w:rPr>
        <w:sz w:val="12"/>
      </w:rPr>
      <w:t>informe</w:t>
    </w:r>
    <w:r>
      <w:rPr>
        <w:sz w:val="12"/>
      </w:rPr>
      <w:t xml:space="preserve"> de fiscalización</w:t>
    </w:r>
    <w:r w:rsidRPr="00EA0535">
      <w:rPr>
        <w:sz w:val="12"/>
      </w:rPr>
      <w:t xml:space="preserve"> sobre reparos emitidos por los </w:t>
    </w:r>
    <w:r>
      <w:rPr>
        <w:sz w:val="12"/>
      </w:rPr>
      <w:t>interventores</w:t>
    </w:r>
    <w:r w:rsidRPr="00EA0535">
      <w:rPr>
        <w:sz w:val="12"/>
      </w:rPr>
      <w:t xml:space="preserve"> de las e</w:t>
    </w:r>
    <w:r>
      <w:rPr>
        <w:sz w:val="12"/>
      </w:rPr>
      <w:t>ntidades locales de navarra</w:t>
    </w:r>
    <w:r w:rsidRPr="00EA0535">
      <w:rPr>
        <w:sz w:val="12"/>
      </w:rPr>
      <w:t>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B6" w:rsidRDefault="008705B6" w:rsidP="006A2D41">
    <w:pPr>
      <w:pStyle w:val="Encabezado"/>
      <w:ind w:firstLine="0"/>
      <w:jc w:val="left"/>
    </w:pPr>
    <w:r>
      <w:rPr>
        <w:noProof/>
        <w:lang w:val="es-ES" w:eastAsia="es-ES"/>
      </w:rPr>
      <w:drawing>
        <wp:inline distT="0" distB="0" distL="0" distR="0">
          <wp:extent cx="771525" cy="762000"/>
          <wp:effectExtent l="0" t="0" r="0" b="0"/>
          <wp:docPr id="3" name="Imagen 3" descr="!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!LOG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B6" w:rsidRDefault="008705B6"/>
  <w:p w:rsidR="008705B6" w:rsidRDefault="008705B6"/>
  <w:p w:rsidR="008705B6" w:rsidRDefault="008705B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2E2"/>
    <w:multiLevelType w:val="hybridMultilevel"/>
    <w:tmpl w:val="0434AD54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1B94FF8"/>
    <w:multiLevelType w:val="hybridMultilevel"/>
    <w:tmpl w:val="6D98E624"/>
    <w:lvl w:ilvl="0" w:tplc="0C0A0017">
      <w:start w:val="1"/>
      <w:numFmt w:val="lowerLetter"/>
      <w:lvlText w:val="%1)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27F42B0"/>
    <w:multiLevelType w:val="singleLevel"/>
    <w:tmpl w:val="457065D2"/>
    <w:lvl w:ilvl="0">
      <w:start w:val="46"/>
      <w:numFmt w:val="bullet"/>
      <w:pStyle w:val="recomen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3">
    <w:nsid w:val="130E3CB9"/>
    <w:multiLevelType w:val="hybridMultilevel"/>
    <w:tmpl w:val="010EC37E"/>
    <w:lvl w:ilvl="0" w:tplc="3FEA6F7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03076"/>
    <w:multiLevelType w:val="hybridMultilevel"/>
    <w:tmpl w:val="9738A8D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4CB5B25"/>
    <w:multiLevelType w:val="hybridMultilevel"/>
    <w:tmpl w:val="044AF456"/>
    <w:lvl w:ilvl="0" w:tplc="51CC8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339A7"/>
    <w:multiLevelType w:val="hybridMultilevel"/>
    <w:tmpl w:val="5132487A"/>
    <w:lvl w:ilvl="0" w:tplc="9FAAD19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3E750D"/>
    <w:multiLevelType w:val="hybridMultilevel"/>
    <w:tmpl w:val="398635F0"/>
    <w:lvl w:ilvl="0" w:tplc="32007C34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EC9403D"/>
    <w:multiLevelType w:val="hybridMultilevel"/>
    <w:tmpl w:val="6D98E624"/>
    <w:lvl w:ilvl="0" w:tplc="0C0A0017">
      <w:start w:val="1"/>
      <w:numFmt w:val="lowerLetter"/>
      <w:lvlText w:val="%1)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04C4833"/>
    <w:multiLevelType w:val="hybridMultilevel"/>
    <w:tmpl w:val="76E25C22"/>
    <w:lvl w:ilvl="0" w:tplc="F3C44044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DE84708"/>
    <w:multiLevelType w:val="hybridMultilevel"/>
    <w:tmpl w:val="79C29024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23F5878"/>
    <w:multiLevelType w:val="hybridMultilevel"/>
    <w:tmpl w:val="7D189A52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3980BAA"/>
    <w:multiLevelType w:val="hybridMultilevel"/>
    <w:tmpl w:val="6A469378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64F403F"/>
    <w:multiLevelType w:val="hybridMultilevel"/>
    <w:tmpl w:val="02C0ED9A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2112E9"/>
    <w:multiLevelType w:val="hybridMultilevel"/>
    <w:tmpl w:val="4E243FC8"/>
    <w:lvl w:ilvl="0" w:tplc="7F8CA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E56437"/>
    <w:multiLevelType w:val="hybridMultilevel"/>
    <w:tmpl w:val="EF124ED0"/>
    <w:lvl w:ilvl="0" w:tplc="33DAB526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2A61029"/>
    <w:multiLevelType w:val="hybridMultilevel"/>
    <w:tmpl w:val="30F23A0A"/>
    <w:lvl w:ilvl="0" w:tplc="7562CA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53E190A"/>
    <w:multiLevelType w:val="hybridMultilevel"/>
    <w:tmpl w:val="740A1858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>
    <w:nsid w:val="48897723"/>
    <w:multiLevelType w:val="hybridMultilevel"/>
    <w:tmpl w:val="CC60353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B123680"/>
    <w:multiLevelType w:val="hybridMultilevel"/>
    <w:tmpl w:val="8F38F098"/>
    <w:lvl w:ilvl="0" w:tplc="3B442C72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2F4814"/>
    <w:multiLevelType w:val="hybridMultilevel"/>
    <w:tmpl w:val="E5ACA53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5946548"/>
    <w:multiLevelType w:val="hybridMultilevel"/>
    <w:tmpl w:val="8E9ECA38"/>
    <w:lvl w:ilvl="0" w:tplc="83F869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E94DC7"/>
    <w:multiLevelType w:val="hybridMultilevel"/>
    <w:tmpl w:val="6D98E624"/>
    <w:lvl w:ilvl="0" w:tplc="0C0A0017">
      <w:start w:val="1"/>
      <w:numFmt w:val="lowerLetter"/>
      <w:lvlText w:val="%1)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D0F49C4"/>
    <w:multiLevelType w:val="hybridMultilevel"/>
    <w:tmpl w:val="CC60353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61293C84"/>
    <w:multiLevelType w:val="hybridMultilevel"/>
    <w:tmpl w:val="1C6CE31A"/>
    <w:lvl w:ilvl="0" w:tplc="A8EAB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35617"/>
    <w:multiLevelType w:val="hybridMultilevel"/>
    <w:tmpl w:val="CC60353C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1C74E71"/>
    <w:multiLevelType w:val="hybridMultilevel"/>
    <w:tmpl w:val="C3369A34"/>
    <w:lvl w:ilvl="0" w:tplc="52B42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D967C3"/>
    <w:multiLevelType w:val="hybridMultilevel"/>
    <w:tmpl w:val="34D6692E"/>
    <w:lvl w:ilvl="0" w:tplc="5762E4F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44B5128"/>
    <w:multiLevelType w:val="singleLevel"/>
    <w:tmpl w:val="F50A19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29">
    <w:nsid w:val="66550723"/>
    <w:multiLevelType w:val="hybridMultilevel"/>
    <w:tmpl w:val="1ABE6400"/>
    <w:lvl w:ilvl="0" w:tplc="6896A36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7F854D5"/>
    <w:multiLevelType w:val="hybridMultilevel"/>
    <w:tmpl w:val="79C29024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8B77230"/>
    <w:multiLevelType w:val="hybridMultilevel"/>
    <w:tmpl w:val="FE8CD97C"/>
    <w:lvl w:ilvl="0" w:tplc="016CD7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B641D"/>
    <w:multiLevelType w:val="hybridMultilevel"/>
    <w:tmpl w:val="5A5039E6"/>
    <w:lvl w:ilvl="0" w:tplc="E8B861A2">
      <w:start w:val="1"/>
      <w:numFmt w:val="bullet"/>
      <w:lvlText w:val=""/>
      <w:lvlJc w:val="left"/>
      <w:pPr>
        <w:tabs>
          <w:tab w:val="num" w:pos="2557"/>
        </w:tabs>
        <w:ind w:left="255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3">
    <w:nsid w:val="781754BE"/>
    <w:multiLevelType w:val="hybridMultilevel"/>
    <w:tmpl w:val="8F64985A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86B6E82"/>
    <w:multiLevelType w:val="hybridMultilevel"/>
    <w:tmpl w:val="7430BEF8"/>
    <w:lvl w:ilvl="0" w:tplc="D908B44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B065DFB"/>
    <w:multiLevelType w:val="singleLevel"/>
    <w:tmpl w:val="5746A6D2"/>
    <w:lvl w:ilvl="0">
      <w:start w:val="46"/>
      <w:numFmt w:val="bullet"/>
      <w:lvlText w:val=""/>
      <w:lvlJc w:val="left"/>
      <w:pPr>
        <w:tabs>
          <w:tab w:val="num" w:pos="1948"/>
        </w:tabs>
        <w:ind w:left="1418" w:firstLine="170"/>
      </w:pPr>
      <w:rPr>
        <w:rFonts w:ascii="Wingdings" w:hAnsi="Wingdings" w:hint="default"/>
      </w:rPr>
    </w:lvl>
  </w:abstractNum>
  <w:abstractNum w:abstractNumId="36">
    <w:nsid w:val="7C7D087D"/>
    <w:multiLevelType w:val="hybridMultilevel"/>
    <w:tmpl w:val="77E2816E"/>
    <w:lvl w:ilvl="0" w:tplc="CF2A382C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5"/>
  </w:num>
  <w:num w:numId="2">
    <w:abstractNumId w:val="28"/>
  </w:num>
  <w:num w:numId="3">
    <w:abstractNumId w:val="2"/>
  </w:num>
  <w:num w:numId="4">
    <w:abstractNumId w:val="17"/>
  </w:num>
  <w:num w:numId="5">
    <w:abstractNumId w:val="32"/>
  </w:num>
  <w:num w:numId="6">
    <w:abstractNumId w:val="2"/>
  </w:num>
  <w:num w:numId="7">
    <w:abstractNumId w:val="2"/>
  </w:num>
  <w:num w:numId="8">
    <w:abstractNumId w:val="2"/>
  </w:num>
  <w:num w:numId="9">
    <w:abstractNumId w:val="26"/>
  </w:num>
  <w:num w:numId="10">
    <w:abstractNumId w:val="24"/>
  </w:num>
  <w:num w:numId="11">
    <w:abstractNumId w:val="5"/>
  </w:num>
  <w:num w:numId="12">
    <w:abstractNumId w:val="14"/>
  </w:num>
  <w:num w:numId="13">
    <w:abstractNumId w:val="16"/>
  </w:num>
  <w:num w:numId="14">
    <w:abstractNumId w:val="29"/>
  </w:num>
  <w:num w:numId="15">
    <w:abstractNumId w:val="27"/>
  </w:num>
  <w:num w:numId="16">
    <w:abstractNumId w:val="21"/>
  </w:num>
  <w:num w:numId="17">
    <w:abstractNumId w:val="3"/>
  </w:num>
  <w:num w:numId="18">
    <w:abstractNumId w:val="31"/>
  </w:num>
  <w:num w:numId="19">
    <w:abstractNumId w:val="34"/>
  </w:num>
  <w:num w:numId="20">
    <w:abstractNumId w:val="19"/>
  </w:num>
  <w:num w:numId="21">
    <w:abstractNumId w:val="7"/>
  </w:num>
  <w:num w:numId="22">
    <w:abstractNumId w:val="25"/>
  </w:num>
  <w:num w:numId="23">
    <w:abstractNumId w:val="36"/>
  </w:num>
  <w:num w:numId="24">
    <w:abstractNumId w:val="8"/>
  </w:num>
  <w:num w:numId="25">
    <w:abstractNumId w:val="6"/>
  </w:num>
  <w:num w:numId="26">
    <w:abstractNumId w:val="12"/>
  </w:num>
  <w:num w:numId="27">
    <w:abstractNumId w:val="15"/>
  </w:num>
  <w:num w:numId="28">
    <w:abstractNumId w:val="23"/>
  </w:num>
  <w:num w:numId="29">
    <w:abstractNumId w:val="22"/>
  </w:num>
  <w:num w:numId="30">
    <w:abstractNumId w:val="1"/>
  </w:num>
  <w:num w:numId="31">
    <w:abstractNumId w:val="4"/>
  </w:num>
  <w:num w:numId="32">
    <w:abstractNumId w:val="18"/>
  </w:num>
  <w:num w:numId="33">
    <w:abstractNumId w:val="11"/>
  </w:num>
  <w:num w:numId="34">
    <w:abstractNumId w:val="13"/>
  </w:num>
  <w:num w:numId="35">
    <w:abstractNumId w:val="0"/>
  </w:num>
  <w:num w:numId="36">
    <w:abstractNumId w:val="10"/>
  </w:num>
  <w:num w:numId="37">
    <w:abstractNumId w:val="30"/>
  </w:num>
  <w:num w:numId="38">
    <w:abstractNumId w:val="9"/>
  </w:num>
  <w:num w:numId="39">
    <w:abstractNumId w:val="3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7E"/>
    <w:rsid w:val="000019D8"/>
    <w:rsid w:val="00005026"/>
    <w:rsid w:val="00006736"/>
    <w:rsid w:val="00006A97"/>
    <w:rsid w:val="0001123B"/>
    <w:rsid w:val="00012A7F"/>
    <w:rsid w:val="00017A3A"/>
    <w:rsid w:val="00027EF6"/>
    <w:rsid w:val="00036E42"/>
    <w:rsid w:val="0004373B"/>
    <w:rsid w:val="000448FA"/>
    <w:rsid w:val="00053A42"/>
    <w:rsid w:val="0005517D"/>
    <w:rsid w:val="00060240"/>
    <w:rsid w:val="0006133D"/>
    <w:rsid w:val="00063585"/>
    <w:rsid w:val="00071CD0"/>
    <w:rsid w:val="00075692"/>
    <w:rsid w:val="00084128"/>
    <w:rsid w:val="00087B8D"/>
    <w:rsid w:val="00093D67"/>
    <w:rsid w:val="00093E60"/>
    <w:rsid w:val="000A18B7"/>
    <w:rsid w:val="000A2C1E"/>
    <w:rsid w:val="000A4697"/>
    <w:rsid w:val="000B2728"/>
    <w:rsid w:val="000B3943"/>
    <w:rsid w:val="000B4477"/>
    <w:rsid w:val="000C0704"/>
    <w:rsid w:val="000C2B07"/>
    <w:rsid w:val="000C39CC"/>
    <w:rsid w:val="000C7566"/>
    <w:rsid w:val="000D188E"/>
    <w:rsid w:val="000D5335"/>
    <w:rsid w:val="000E5471"/>
    <w:rsid w:val="000E7B86"/>
    <w:rsid w:val="000F2B66"/>
    <w:rsid w:val="000F3D83"/>
    <w:rsid w:val="00100F12"/>
    <w:rsid w:val="00103589"/>
    <w:rsid w:val="001045C9"/>
    <w:rsid w:val="00107CC1"/>
    <w:rsid w:val="00111A92"/>
    <w:rsid w:val="001145C3"/>
    <w:rsid w:val="001161D2"/>
    <w:rsid w:val="0012371D"/>
    <w:rsid w:val="00131DF1"/>
    <w:rsid w:val="00132C38"/>
    <w:rsid w:val="00133984"/>
    <w:rsid w:val="001365C4"/>
    <w:rsid w:val="0014147D"/>
    <w:rsid w:val="00141927"/>
    <w:rsid w:val="00141D29"/>
    <w:rsid w:val="0014506A"/>
    <w:rsid w:val="0014728F"/>
    <w:rsid w:val="001473F3"/>
    <w:rsid w:val="001521A2"/>
    <w:rsid w:val="00152358"/>
    <w:rsid w:val="00152CB9"/>
    <w:rsid w:val="00155BFF"/>
    <w:rsid w:val="00160F66"/>
    <w:rsid w:val="001633AF"/>
    <w:rsid w:val="00166A6C"/>
    <w:rsid w:val="00173EDD"/>
    <w:rsid w:val="0017402B"/>
    <w:rsid w:val="00180C76"/>
    <w:rsid w:val="00181D37"/>
    <w:rsid w:val="001835B7"/>
    <w:rsid w:val="0018426B"/>
    <w:rsid w:val="00185A37"/>
    <w:rsid w:val="00194309"/>
    <w:rsid w:val="0019502D"/>
    <w:rsid w:val="00195532"/>
    <w:rsid w:val="0019660E"/>
    <w:rsid w:val="001B39E2"/>
    <w:rsid w:val="001C24C6"/>
    <w:rsid w:val="001C2B26"/>
    <w:rsid w:val="001C3A32"/>
    <w:rsid w:val="001D4F09"/>
    <w:rsid w:val="001D73A8"/>
    <w:rsid w:val="001F00BC"/>
    <w:rsid w:val="001F1482"/>
    <w:rsid w:val="001F20D7"/>
    <w:rsid w:val="001F7744"/>
    <w:rsid w:val="002014EB"/>
    <w:rsid w:val="00202B1A"/>
    <w:rsid w:val="00204979"/>
    <w:rsid w:val="00211D69"/>
    <w:rsid w:val="002179DB"/>
    <w:rsid w:val="00227E48"/>
    <w:rsid w:val="00230577"/>
    <w:rsid w:val="0023209D"/>
    <w:rsid w:val="002333F8"/>
    <w:rsid w:val="00233D79"/>
    <w:rsid w:val="00233E87"/>
    <w:rsid w:val="00235A17"/>
    <w:rsid w:val="00237657"/>
    <w:rsid w:val="00242BA7"/>
    <w:rsid w:val="00242BBE"/>
    <w:rsid w:val="002437B5"/>
    <w:rsid w:val="00244EF1"/>
    <w:rsid w:val="00246F21"/>
    <w:rsid w:val="00253E78"/>
    <w:rsid w:val="00262C3C"/>
    <w:rsid w:val="00264C88"/>
    <w:rsid w:val="0026532C"/>
    <w:rsid w:val="0026575D"/>
    <w:rsid w:val="00267BC9"/>
    <w:rsid w:val="002705B0"/>
    <w:rsid w:val="002717A6"/>
    <w:rsid w:val="00272015"/>
    <w:rsid w:val="00273C10"/>
    <w:rsid w:val="00274B4C"/>
    <w:rsid w:val="00276264"/>
    <w:rsid w:val="00281DCA"/>
    <w:rsid w:val="00296FDF"/>
    <w:rsid w:val="00297B04"/>
    <w:rsid w:val="002A056C"/>
    <w:rsid w:val="002A66A5"/>
    <w:rsid w:val="002A6EBB"/>
    <w:rsid w:val="002B21E9"/>
    <w:rsid w:val="002B2B87"/>
    <w:rsid w:val="002B4E0F"/>
    <w:rsid w:val="002B5754"/>
    <w:rsid w:val="002C7026"/>
    <w:rsid w:val="002C7589"/>
    <w:rsid w:val="002C782D"/>
    <w:rsid w:val="002C7E08"/>
    <w:rsid w:val="002D089F"/>
    <w:rsid w:val="002D5635"/>
    <w:rsid w:val="002D65E8"/>
    <w:rsid w:val="002D7D32"/>
    <w:rsid w:val="002E02E5"/>
    <w:rsid w:val="002E0478"/>
    <w:rsid w:val="002E0791"/>
    <w:rsid w:val="002E1B92"/>
    <w:rsid w:val="002E7B81"/>
    <w:rsid w:val="002F09FB"/>
    <w:rsid w:val="002F0FE3"/>
    <w:rsid w:val="002F1AF0"/>
    <w:rsid w:val="002F2530"/>
    <w:rsid w:val="002F272A"/>
    <w:rsid w:val="002F3225"/>
    <w:rsid w:val="002F4011"/>
    <w:rsid w:val="002F53B4"/>
    <w:rsid w:val="002F76D6"/>
    <w:rsid w:val="00303506"/>
    <w:rsid w:val="00307057"/>
    <w:rsid w:val="00312819"/>
    <w:rsid w:val="00312E9C"/>
    <w:rsid w:val="00313875"/>
    <w:rsid w:val="003203BF"/>
    <w:rsid w:val="00321369"/>
    <w:rsid w:val="00330787"/>
    <w:rsid w:val="00331C4A"/>
    <w:rsid w:val="00337493"/>
    <w:rsid w:val="0034285F"/>
    <w:rsid w:val="00343B61"/>
    <w:rsid w:val="003464A4"/>
    <w:rsid w:val="00351684"/>
    <w:rsid w:val="00354458"/>
    <w:rsid w:val="00363653"/>
    <w:rsid w:val="0036509D"/>
    <w:rsid w:val="0037228C"/>
    <w:rsid w:val="003738FD"/>
    <w:rsid w:val="003810BE"/>
    <w:rsid w:val="00386F6C"/>
    <w:rsid w:val="00387709"/>
    <w:rsid w:val="00387794"/>
    <w:rsid w:val="00392EA5"/>
    <w:rsid w:val="00397162"/>
    <w:rsid w:val="003A1A70"/>
    <w:rsid w:val="003A335E"/>
    <w:rsid w:val="003A3DD2"/>
    <w:rsid w:val="003A7956"/>
    <w:rsid w:val="003B3573"/>
    <w:rsid w:val="003B5813"/>
    <w:rsid w:val="003B5905"/>
    <w:rsid w:val="003C03EA"/>
    <w:rsid w:val="003C196B"/>
    <w:rsid w:val="003C6E1D"/>
    <w:rsid w:val="003C777E"/>
    <w:rsid w:val="003D058C"/>
    <w:rsid w:val="003D76B1"/>
    <w:rsid w:val="003E17A6"/>
    <w:rsid w:val="003E4AA5"/>
    <w:rsid w:val="003E6282"/>
    <w:rsid w:val="003F1CEC"/>
    <w:rsid w:val="003F43BF"/>
    <w:rsid w:val="003F6BE4"/>
    <w:rsid w:val="00403CF8"/>
    <w:rsid w:val="00405C58"/>
    <w:rsid w:val="00407459"/>
    <w:rsid w:val="00414D01"/>
    <w:rsid w:val="004170FE"/>
    <w:rsid w:val="004209E6"/>
    <w:rsid w:val="0042324B"/>
    <w:rsid w:val="004234E8"/>
    <w:rsid w:val="00426805"/>
    <w:rsid w:val="00430150"/>
    <w:rsid w:val="004302F9"/>
    <w:rsid w:val="0043229B"/>
    <w:rsid w:val="00435287"/>
    <w:rsid w:val="00440A22"/>
    <w:rsid w:val="0045550E"/>
    <w:rsid w:val="00456456"/>
    <w:rsid w:val="00462367"/>
    <w:rsid w:val="0046490C"/>
    <w:rsid w:val="00470287"/>
    <w:rsid w:val="00470733"/>
    <w:rsid w:val="00477C53"/>
    <w:rsid w:val="00484599"/>
    <w:rsid w:val="00485380"/>
    <w:rsid w:val="00493D87"/>
    <w:rsid w:val="004950D4"/>
    <w:rsid w:val="004A0506"/>
    <w:rsid w:val="004A2342"/>
    <w:rsid w:val="004A2D8F"/>
    <w:rsid w:val="004A2F62"/>
    <w:rsid w:val="004B1DB8"/>
    <w:rsid w:val="004B2F01"/>
    <w:rsid w:val="004B4182"/>
    <w:rsid w:val="004B4538"/>
    <w:rsid w:val="004B6FB6"/>
    <w:rsid w:val="004B7767"/>
    <w:rsid w:val="004C571D"/>
    <w:rsid w:val="004D35A2"/>
    <w:rsid w:val="004D5FD1"/>
    <w:rsid w:val="004E2138"/>
    <w:rsid w:val="004F7C93"/>
    <w:rsid w:val="00506105"/>
    <w:rsid w:val="00513162"/>
    <w:rsid w:val="00525809"/>
    <w:rsid w:val="00525C1D"/>
    <w:rsid w:val="00535130"/>
    <w:rsid w:val="00537302"/>
    <w:rsid w:val="005456E4"/>
    <w:rsid w:val="00555509"/>
    <w:rsid w:val="00561C5B"/>
    <w:rsid w:val="00564F2D"/>
    <w:rsid w:val="00566CDA"/>
    <w:rsid w:val="0056727E"/>
    <w:rsid w:val="00567BA6"/>
    <w:rsid w:val="00570033"/>
    <w:rsid w:val="00570147"/>
    <w:rsid w:val="0057307E"/>
    <w:rsid w:val="00573A4C"/>
    <w:rsid w:val="00574B79"/>
    <w:rsid w:val="00574D12"/>
    <w:rsid w:val="005800B4"/>
    <w:rsid w:val="0058070B"/>
    <w:rsid w:val="0058296F"/>
    <w:rsid w:val="005913D1"/>
    <w:rsid w:val="00594B6F"/>
    <w:rsid w:val="00595E80"/>
    <w:rsid w:val="0059650E"/>
    <w:rsid w:val="00596953"/>
    <w:rsid w:val="005A6030"/>
    <w:rsid w:val="005B0735"/>
    <w:rsid w:val="005B57AD"/>
    <w:rsid w:val="005B722E"/>
    <w:rsid w:val="005C02FE"/>
    <w:rsid w:val="005C50AC"/>
    <w:rsid w:val="005C6406"/>
    <w:rsid w:val="005D0863"/>
    <w:rsid w:val="005D69D1"/>
    <w:rsid w:val="005E14F2"/>
    <w:rsid w:val="005E210D"/>
    <w:rsid w:val="005F2425"/>
    <w:rsid w:val="005F5EC7"/>
    <w:rsid w:val="005F669A"/>
    <w:rsid w:val="005F7207"/>
    <w:rsid w:val="005F7FCF"/>
    <w:rsid w:val="00602476"/>
    <w:rsid w:val="00607691"/>
    <w:rsid w:val="0061062C"/>
    <w:rsid w:val="00613183"/>
    <w:rsid w:val="006133F0"/>
    <w:rsid w:val="00616888"/>
    <w:rsid w:val="006176BE"/>
    <w:rsid w:val="006212CB"/>
    <w:rsid w:val="006279F9"/>
    <w:rsid w:val="006369EE"/>
    <w:rsid w:val="00640EA4"/>
    <w:rsid w:val="0064700E"/>
    <w:rsid w:val="00650677"/>
    <w:rsid w:val="00662B66"/>
    <w:rsid w:val="006736A9"/>
    <w:rsid w:val="00673BC7"/>
    <w:rsid w:val="00674975"/>
    <w:rsid w:val="00675D39"/>
    <w:rsid w:val="0068560B"/>
    <w:rsid w:val="00687C7E"/>
    <w:rsid w:val="006A1277"/>
    <w:rsid w:val="006A2602"/>
    <w:rsid w:val="006A2D41"/>
    <w:rsid w:val="006A67E1"/>
    <w:rsid w:val="006C36FB"/>
    <w:rsid w:val="006C7D62"/>
    <w:rsid w:val="006D0B23"/>
    <w:rsid w:val="006D2ED6"/>
    <w:rsid w:val="006D5685"/>
    <w:rsid w:val="006E1987"/>
    <w:rsid w:val="006E23B2"/>
    <w:rsid w:val="006E5207"/>
    <w:rsid w:val="006F5C70"/>
    <w:rsid w:val="006F683C"/>
    <w:rsid w:val="006F6A20"/>
    <w:rsid w:val="007047B2"/>
    <w:rsid w:val="00704DE7"/>
    <w:rsid w:val="00706868"/>
    <w:rsid w:val="007078B8"/>
    <w:rsid w:val="0071123F"/>
    <w:rsid w:val="00715E32"/>
    <w:rsid w:val="007162D1"/>
    <w:rsid w:val="00716463"/>
    <w:rsid w:val="0071706E"/>
    <w:rsid w:val="00717A54"/>
    <w:rsid w:val="007227D8"/>
    <w:rsid w:val="00727292"/>
    <w:rsid w:val="007309F8"/>
    <w:rsid w:val="00742F6A"/>
    <w:rsid w:val="007446E8"/>
    <w:rsid w:val="00751553"/>
    <w:rsid w:val="0075165E"/>
    <w:rsid w:val="00754E10"/>
    <w:rsid w:val="00762A29"/>
    <w:rsid w:val="0076327D"/>
    <w:rsid w:val="00767745"/>
    <w:rsid w:val="007707FC"/>
    <w:rsid w:val="00770BE3"/>
    <w:rsid w:val="0077177A"/>
    <w:rsid w:val="007728A8"/>
    <w:rsid w:val="0078153D"/>
    <w:rsid w:val="00785A76"/>
    <w:rsid w:val="00787852"/>
    <w:rsid w:val="007915BC"/>
    <w:rsid w:val="007967FA"/>
    <w:rsid w:val="00797E7A"/>
    <w:rsid w:val="007A0EA6"/>
    <w:rsid w:val="007A2D9E"/>
    <w:rsid w:val="007A3DD2"/>
    <w:rsid w:val="007B0381"/>
    <w:rsid w:val="007B0F3D"/>
    <w:rsid w:val="007B148D"/>
    <w:rsid w:val="007B18C8"/>
    <w:rsid w:val="007B28DE"/>
    <w:rsid w:val="007B7A5F"/>
    <w:rsid w:val="007C36BE"/>
    <w:rsid w:val="007D53ED"/>
    <w:rsid w:val="007D6001"/>
    <w:rsid w:val="007D7F94"/>
    <w:rsid w:val="007E1B76"/>
    <w:rsid w:val="007E219A"/>
    <w:rsid w:val="007E37BF"/>
    <w:rsid w:val="007E6593"/>
    <w:rsid w:val="007F1101"/>
    <w:rsid w:val="007F2CB1"/>
    <w:rsid w:val="00803D20"/>
    <w:rsid w:val="008112A0"/>
    <w:rsid w:val="0081696D"/>
    <w:rsid w:val="00816E01"/>
    <w:rsid w:val="008173D0"/>
    <w:rsid w:val="00823235"/>
    <w:rsid w:val="008237AD"/>
    <w:rsid w:val="008249F1"/>
    <w:rsid w:val="00824AF2"/>
    <w:rsid w:val="00826686"/>
    <w:rsid w:val="00835563"/>
    <w:rsid w:val="00836511"/>
    <w:rsid w:val="00836B02"/>
    <w:rsid w:val="00836EC6"/>
    <w:rsid w:val="0083741E"/>
    <w:rsid w:val="00837985"/>
    <w:rsid w:val="00840E3D"/>
    <w:rsid w:val="00841D8C"/>
    <w:rsid w:val="00842220"/>
    <w:rsid w:val="0084353A"/>
    <w:rsid w:val="00844111"/>
    <w:rsid w:val="00844F74"/>
    <w:rsid w:val="00846382"/>
    <w:rsid w:val="00850F57"/>
    <w:rsid w:val="008536C2"/>
    <w:rsid w:val="008600C7"/>
    <w:rsid w:val="008617D0"/>
    <w:rsid w:val="00861A60"/>
    <w:rsid w:val="00862357"/>
    <w:rsid w:val="00862D02"/>
    <w:rsid w:val="008637B9"/>
    <w:rsid w:val="00864194"/>
    <w:rsid w:val="00870399"/>
    <w:rsid w:val="008705B6"/>
    <w:rsid w:val="008711EC"/>
    <w:rsid w:val="008718FE"/>
    <w:rsid w:val="00872946"/>
    <w:rsid w:val="0087738A"/>
    <w:rsid w:val="00883928"/>
    <w:rsid w:val="00883DDE"/>
    <w:rsid w:val="00891D73"/>
    <w:rsid w:val="00892A44"/>
    <w:rsid w:val="008A2DE8"/>
    <w:rsid w:val="008A312D"/>
    <w:rsid w:val="008A3E09"/>
    <w:rsid w:val="008A3E57"/>
    <w:rsid w:val="008A77A7"/>
    <w:rsid w:val="008B3F34"/>
    <w:rsid w:val="008C390A"/>
    <w:rsid w:val="008C56B9"/>
    <w:rsid w:val="008D05E0"/>
    <w:rsid w:val="008D2600"/>
    <w:rsid w:val="008E0AC0"/>
    <w:rsid w:val="008E221A"/>
    <w:rsid w:val="008E3FFE"/>
    <w:rsid w:val="008E60BE"/>
    <w:rsid w:val="008E6B5A"/>
    <w:rsid w:val="008E6B74"/>
    <w:rsid w:val="008F0FAF"/>
    <w:rsid w:val="008F46CD"/>
    <w:rsid w:val="008F6480"/>
    <w:rsid w:val="008F7740"/>
    <w:rsid w:val="00900CA2"/>
    <w:rsid w:val="00903653"/>
    <w:rsid w:val="0091097D"/>
    <w:rsid w:val="00910A52"/>
    <w:rsid w:val="00911479"/>
    <w:rsid w:val="0091484D"/>
    <w:rsid w:val="00921BBE"/>
    <w:rsid w:val="00925E71"/>
    <w:rsid w:val="009301C8"/>
    <w:rsid w:val="0093329F"/>
    <w:rsid w:val="00937043"/>
    <w:rsid w:val="009445D3"/>
    <w:rsid w:val="0094482E"/>
    <w:rsid w:val="00955A8A"/>
    <w:rsid w:val="00963DCB"/>
    <w:rsid w:val="0096400D"/>
    <w:rsid w:val="00966600"/>
    <w:rsid w:val="009671D9"/>
    <w:rsid w:val="009704CB"/>
    <w:rsid w:val="00971352"/>
    <w:rsid w:val="00975E5B"/>
    <w:rsid w:val="00977C8F"/>
    <w:rsid w:val="00977F94"/>
    <w:rsid w:val="009863E9"/>
    <w:rsid w:val="00991003"/>
    <w:rsid w:val="00992E20"/>
    <w:rsid w:val="009936FC"/>
    <w:rsid w:val="00993925"/>
    <w:rsid w:val="00993977"/>
    <w:rsid w:val="009A05D1"/>
    <w:rsid w:val="009A28AC"/>
    <w:rsid w:val="009A3A5B"/>
    <w:rsid w:val="009A3F2A"/>
    <w:rsid w:val="009B16F7"/>
    <w:rsid w:val="009B2AAC"/>
    <w:rsid w:val="009B3521"/>
    <w:rsid w:val="009B541C"/>
    <w:rsid w:val="009C4460"/>
    <w:rsid w:val="009D086E"/>
    <w:rsid w:val="009D7192"/>
    <w:rsid w:val="009E0E38"/>
    <w:rsid w:val="009E1A35"/>
    <w:rsid w:val="009F09AA"/>
    <w:rsid w:val="009F2C16"/>
    <w:rsid w:val="009F2C1B"/>
    <w:rsid w:val="009F335C"/>
    <w:rsid w:val="00A002B5"/>
    <w:rsid w:val="00A0260C"/>
    <w:rsid w:val="00A041B5"/>
    <w:rsid w:val="00A04F8C"/>
    <w:rsid w:val="00A05158"/>
    <w:rsid w:val="00A13BF5"/>
    <w:rsid w:val="00A140E6"/>
    <w:rsid w:val="00A14837"/>
    <w:rsid w:val="00A225E3"/>
    <w:rsid w:val="00A23A26"/>
    <w:rsid w:val="00A24A8F"/>
    <w:rsid w:val="00A25708"/>
    <w:rsid w:val="00A25BF0"/>
    <w:rsid w:val="00A3026E"/>
    <w:rsid w:val="00A40F71"/>
    <w:rsid w:val="00A41671"/>
    <w:rsid w:val="00A4576A"/>
    <w:rsid w:val="00A45AD0"/>
    <w:rsid w:val="00A45EE9"/>
    <w:rsid w:val="00A53C14"/>
    <w:rsid w:val="00A61410"/>
    <w:rsid w:val="00A6198A"/>
    <w:rsid w:val="00A65108"/>
    <w:rsid w:val="00A7067F"/>
    <w:rsid w:val="00A707A7"/>
    <w:rsid w:val="00A70AD7"/>
    <w:rsid w:val="00A70E56"/>
    <w:rsid w:val="00A718FD"/>
    <w:rsid w:val="00A72341"/>
    <w:rsid w:val="00A75BD1"/>
    <w:rsid w:val="00A776ED"/>
    <w:rsid w:val="00A80AA3"/>
    <w:rsid w:val="00A80E50"/>
    <w:rsid w:val="00A83663"/>
    <w:rsid w:val="00A83AF8"/>
    <w:rsid w:val="00A83B0F"/>
    <w:rsid w:val="00A84216"/>
    <w:rsid w:val="00A90BFA"/>
    <w:rsid w:val="00A92BF3"/>
    <w:rsid w:val="00A943C8"/>
    <w:rsid w:val="00A950A4"/>
    <w:rsid w:val="00A9520D"/>
    <w:rsid w:val="00A9747D"/>
    <w:rsid w:val="00AA00A6"/>
    <w:rsid w:val="00AA49CA"/>
    <w:rsid w:val="00AA6BA8"/>
    <w:rsid w:val="00AA7F5A"/>
    <w:rsid w:val="00AB2340"/>
    <w:rsid w:val="00AB5FE4"/>
    <w:rsid w:val="00AB659D"/>
    <w:rsid w:val="00AC229F"/>
    <w:rsid w:val="00AD31EA"/>
    <w:rsid w:val="00AD7671"/>
    <w:rsid w:val="00AE53E8"/>
    <w:rsid w:val="00AE6FE4"/>
    <w:rsid w:val="00AF2059"/>
    <w:rsid w:val="00AF3D84"/>
    <w:rsid w:val="00AF4161"/>
    <w:rsid w:val="00AF580B"/>
    <w:rsid w:val="00B007C8"/>
    <w:rsid w:val="00B14410"/>
    <w:rsid w:val="00B15E61"/>
    <w:rsid w:val="00B24F35"/>
    <w:rsid w:val="00B269CE"/>
    <w:rsid w:val="00B32C88"/>
    <w:rsid w:val="00B34747"/>
    <w:rsid w:val="00B42E49"/>
    <w:rsid w:val="00B465BC"/>
    <w:rsid w:val="00B50903"/>
    <w:rsid w:val="00B62FFE"/>
    <w:rsid w:val="00B65013"/>
    <w:rsid w:val="00B7123A"/>
    <w:rsid w:val="00B7435C"/>
    <w:rsid w:val="00B76F38"/>
    <w:rsid w:val="00B8085D"/>
    <w:rsid w:val="00B81EFF"/>
    <w:rsid w:val="00B836BB"/>
    <w:rsid w:val="00B84122"/>
    <w:rsid w:val="00B862B0"/>
    <w:rsid w:val="00B87C33"/>
    <w:rsid w:val="00BA2B7C"/>
    <w:rsid w:val="00BB142A"/>
    <w:rsid w:val="00BB33BF"/>
    <w:rsid w:val="00BB34B9"/>
    <w:rsid w:val="00BB35C2"/>
    <w:rsid w:val="00BB553B"/>
    <w:rsid w:val="00BC28D7"/>
    <w:rsid w:val="00BC376C"/>
    <w:rsid w:val="00BC6321"/>
    <w:rsid w:val="00BC7817"/>
    <w:rsid w:val="00BD3819"/>
    <w:rsid w:val="00BD642D"/>
    <w:rsid w:val="00BD6988"/>
    <w:rsid w:val="00BE1A77"/>
    <w:rsid w:val="00BE4742"/>
    <w:rsid w:val="00BE7383"/>
    <w:rsid w:val="00BE754D"/>
    <w:rsid w:val="00BF1DB9"/>
    <w:rsid w:val="00BF45A9"/>
    <w:rsid w:val="00BF6D10"/>
    <w:rsid w:val="00BF6E79"/>
    <w:rsid w:val="00C03F6C"/>
    <w:rsid w:val="00C12108"/>
    <w:rsid w:val="00C121D9"/>
    <w:rsid w:val="00C13453"/>
    <w:rsid w:val="00C220F9"/>
    <w:rsid w:val="00C22AD3"/>
    <w:rsid w:val="00C2541C"/>
    <w:rsid w:val="00C26862"/>
    <w:rsid w:val="00C30458"/>
    <w:rsid w:val="00C31DA6"/>
    <w:rsid w:val="00C33260"/>
    <w:rsid w:val="00C34A8F"/>
    <w:rsid w:val="00C4598F"/>
    <w:rsid w:val="00C50360"/>
    <w:rsid w:val="00C52B5A"/>
    <w:rsid w:val="00C54E12"/>
    <w:rsid w:val="00C552DA"/>
    <w:rsid w:val="00C55468"/>
    <w:rsid w:val="00C55C7D"/>
    <w:rsid w:val="00C622C3"/>
    <w:rsid w:val="00C63BD5"/>
    <w:rsid w:val="00C66D91"/>
    <w:rsid w:val="00C74906"/>
    <w:rsid w:val="00C777CE"/>
    <w:rsid w:val="00C81B40"/>
    <w:rsid w:val="00C81FEA"/>
    <w:rsid w:val="00C83969"/>
    <w:rsid w:val="00C86C95"/>
    <w:rsid w:val="00CA05EB"/>
    <w:rsid w:val="00CA3515"/>
    <w:rsid w:val="00CA3A05"/>
    <w:rsid w:val="00CB14E9"/>
    <w:rsid w:val="00CB68B8"/>
    <w:rsid w:val="00CB6D90"/>
    <w:rsid w:val="00CB72C3"/>
    <w:rsid w:val="00CB7317"/>
    <w:rsid w:val="00CC45E4"/>
    <w:rsid w:val="00CD019F"/>
    <w:rsid w:val="00CD27C5"/>
    <w:rsid w:val="00CE4169"/>
    <w:rsid w:val="00CE7894"/>
    <w:rsid w:val="00CF007E"/>
    <w:rsid w:val="00CF06A1"/>
    <w:rsid w:val="00CF1467"/>
    <w:rsid w:val="00CF48D6"/>
    <w:rsid w:val="00CF57D6"/>
    <w:rsid w:val="00CF6C1B"/>
    <w:rsid w:val="00CF7EE2"/>
    <w:rsid w:val="00D019D5"/>
    <w:rsid w:val="00D040FE"/>
    <w:rsid w:val="00D168FD"/>
    <w:rsid w:val="00D16F64"/>
    <w:rsid w:val="00D17F52"/>
    <w:rsid w:val="00D2472C"/>
    <w:rsid w:val="00D279BA"/>
    <w:rsid w:val="00D404B5"/>
    <w:rsid w:val="00D447CB"/>
    <w:rsid w:val="00D47D16"/>
    <w:rsid w:val="00D505F4"/>
    <w:rsid w:val="00D51CE1"/>
    <w:rsid w:val="00D562F2"/>
    <w:rsid w:val="00D61B93"/>
    <w:rsid w:val="00D67E4A"/>
    <w:rsid w:val="00D763FD"/>
    <w:rsid w:val="00D82109"/>
    <w:rsid w:val="00D90AD1"/>
    <w:rsid w:val="00D941F7"/>
    <w:rsid w:val="00DA4DDF"/>
    <w:rsid w:val="00DB0804"/>
    <w:rsid w:val="00DB2FC4"/>
    <w:rsid w:val="00DC382A"/>
    <w:rsid w:val="00DE1923"/>
    <w:rsid w:val="00DE2B33"/>
    <w:rsid w:val="00DE638B"/>
    <w:rsid w:val="00DE72EE"/>
    <w:rsid w:val="00DF37E5"/>
    <w:rsid w:val="00E034FE"/>
    <w:rsid w:val="00E041E5"/>
    <w:rsid w:val="00E04888"/>
    <w:rsid w:val="00E0680A"/>
    <w:rsid w:val="00E0763B"/>
    <w:rsid w:val="00E10302"/>
    <w:rsid w:val="00E17EC5"/>
    <w:rsid w:val="00E230BE"/>
    <w:rsid w:val="00E26BFD"/>
    <w:rsid w:val="00E27E90"/>
    <w:rsid w:val="00E33D02"/>
    <w:rsid w:val="00E34F2C"/>
    <w:rsid w:val="00E35D79"/>
    <w:rsid w:val="00E37A38"/>
    <w:rsid w:val="00E4641E"/>
    <w:rsid w:val="00E519AE"/>
    <w:rsid w:val="00E57AF7"/>
    <w:rsid w:val="00E6241B"/>
    <w:rsid w:val="00E64FCC"/>
    <w:rsid w:val="00E703B6"/>
    <w:rsid w:val="00E70C5B"/>
    <w:rsid w:val="00E712AB"/>
    <w:rsid w:val="00E72200"/>
    <w:rsid w:val="00E72B1B"/>
    <w:rsid w:val="00E75D47"/>
    <w:rsid w:val="00E766F5"/>
    <w:rsid w:val="00E82948"/>
    <w:rsid w:val="00E87C8A"/>
    <w:rsid w:val="00E90218"/>
    <w:rsid w:val="00E913BB"/>
    <w:rsid w:val="00E95F2E"/>
    <w:rsid w:val="00E97702"/>
    <w:rsid w:val="00EA0535"/>
    <w:rsid w:val="00EA1508"/>
    <w:rsid w:val="00EA1541"/>
    <w:rsid w:val="00EA32E4"/>
    <w:rsid w:val="00EA7E36"/>
    <w:rsid w:val="00EB0898"/>
    <w:rsid w:val="00EB3387"/>
    <w:rsid w:val="00EB627B"/>
    <w:rsid w:val="00EB6D94"/>
    <w:rsid w:val="00EC4183"/>
    <w:rsid w:val="00EC6468"/>
    <w:rsid w:val="00EC6708"/>
    <w:rsid w:val="00ED207C"/>
    <w:rsid w:val="00ED30BC"/>
    <w:rsid w:val="00ED325A"/>
    <w:rsid w:val="00ED3F41"/>
    <w:rsid w:val="00ED43E8"/>
    <w:rsid w:val="00ED5615"/>
    <w:rsid w:val="00ED692E"/>
    <w:rsid w:val="00ED69AF"/>
    <w:rsid w:val="00EE1847"/>
    <w:rsid w:val="00EE240E"/>
    <w:rsid w:val="00EE688E"/>
    <w:rsid w:val="00EE6A6D"/>
    <w:rsid w:val="00EF03E2"/>
    <w:rsid w:val="00EF2F88"/>
    <w:rsid w:val="00EF7F8B"/>
    <w:rsid w:val="00F03814"/>
    <w:rsid w:val="00F07A09"/>
    <w:rsid w:val="00F1390C"/>
    <w:rsid w:val="00F14D98"/>
    <w:rsid w:val="00F20C5E"/>
    <w:rsid w:val="00F36A1D"/>
    <w:rsid w:val="00F44278"/>
    <w:rsid w:val="00F51B65"/>
    <w:rsid w:val="00F52AAB"/>
    <w:rsid w:val="00F52EB6"/>
    <w:rsid w:val="00F55260"/>
    <w:rsid w:val="00F56B75"/>
    <w:rsid w:val="00F617F7"/>
    <w:rsid w:val="00F6316B"/>
    <w:rsid w:val="00F65AE0"/>
    <w:rsid w:val="00F74E38"/>
    <w:rsid w:val="00F75A58"/>
    <w:rsid w:val="00F76D6F"/>
    <w:rsid w:val="00F771BC"/>
    <w:rsid w:val="00F778B0"/>
    <w:rsid w:val="00F8062F"/>
    <w:rsid w:val="00F83BC2"/>
    <w:rsid w:val="00F92EC1"/>
    <w:rsid w:val="00F933D8"/>
    <w:rsid w:val="00F94C47"/>
    <w:rsid w:val="00FA0421"/>
    <w:rsid w:val="00FA3389"/>
    <w:rsid w:val="00FA3476"/>
    <w:rsid w:val="00FB0C10"/>
    <w:rsid w:val="00FB290A"/>
    <w:rsid w:val="00FB3C36"/>
    <w:rsid w:val="00FB4280"/>
    <w:rsid w:val="00FB7CCE"/>
    <w:rsid w:val="00FC01C8"/>
    <w:rsid w:val="00FC5027"/>
    <w:rsid w:val="00FC50C7"/>
    <w:rsid w:val="00FC511D"/>
    <w:rsid w:val="00FC68BC"/>
    <w:rsid w:val="00FD11D4"/>
    <w:rsid w:val="00FD225D"/>
    <w:rsid w:val="00FD2384"/>
    <w:rsid w:val="00FE452E"/>
    <w:rsid w:val="00FF38A4"/>
    <w:rsid w:val="00FF4275"/>
    <w:rsid w:val="00FF4A4C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uiPriority="99" w:qFormat="1"/>
    <w:lsdException w:name="Title" w:uiPriority="10" w:qFormat="1"/>
    <w:lsdException w:name="Subtitle" w:uiPriority="11" w:qFormat="1"/>
    <w:lsdException w:name="Hyperlink" w:uiPriority="99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&quot;Cita textual&quot;Normal"/>
    <w:qFormat/>
    <w:rsid w:val="00594B6F"/>
    <w:pPr>
      <w:spacing w:after="140"/>
      <w:ind w:firstLine="567"/>
      <w:jc w:val="both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594B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594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594B6F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594B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594B6F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594B6F"/>
    <w:pPr>
      <w:keepNext/>
      <w:spacing w:after="0"/>
      <w:ind w:firstLine="0"/>
      <w:jc w:val="center"/>
      <w:outlineLvl w:val="6"/>
    </w:pPr>
    <w:rPr>
      <w:sz w:val="5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  <w:lang w:val="es-ES"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uiPriority w:val="99"/>
    <w:qFormat/>
    <w:rsid w:val="00594B6F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594B6F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qFormat/>
    <w:rsid w:val="00594B6F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CF57D6"/>
    <w:pPr>
      <w:tabs>
        <w:tab w:val="right" w:leader="dot" w:pos="8930"/>
      </w:tabs>
      <w:spacing w:before="60" w:after="80"/>
      <w:ind w:firstLine="0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semiHidden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uiPriority w:val="99"/>
    <w:qFormat/>
    <w:rsid w:val="00594B6F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rsid w:val="001D4F09"/>
    <w:rPr>
      <w:spacing w:val="6"/>
      <w:sz w:val="26"/>
      <w:szCs w:val="24"/>
      <w:lang w:val="es-ES_tradnl" w:eastAsia="en-US" w:bidi="ar-SA"/>
    </w:rPr>
  </w:style>
  <w:style w:type="paragraph" w:customStyle="1" w:styleId="atitulo4">
    <w:name w:val="atitulo4"/>
    <w:basedOn w:val="atitulo3"/>
    <w:uiPriority w:val="99"/>
    <w:qFormat/>
    <w:rsid w:val="00594B6F"/>
  </w:style>
  <w:style w:type="paragraph" w:customStyle="1" w:styleId="cuadroCabe">
    <w:name w:val="cuadroCabe"/>
    <w:basedOn w:val="cuatexto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Ttulo1Car">
    <w:name w:val="Título 1 Car"/>
    <w:basedOn w:val="Fuentedeprrafopredeter"/>
    <w:link w:val="Ttulo1"/>
    <w:uiPriority w:val="99"/>
    <w:rsid w:val="00594B6F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594B6F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594B6F"/>
    <w:rPr>
      <w:rFonts w:ascii="Arial" w:hAnsi="Arial" w:cs="Arial"/>
      <w:b/>
      <w:bCs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rsid w:val="00594B6F"/>
    <w:rPr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594B6F"/>
    <w:rPr>
      <w:b/>
      <w:sz w:val="28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594B6F"/>
    <w:rPr>
      <w:sz w:val="52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94B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94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594B6F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94B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Textoennegrita">
    <w:name w:val="Strong"/>
    <w:basedOn w:val="Fuentedeprrafopredeter"/>
    <w:uiPriority w:val="99"/>
    <w:qFormat/>
    <w:rsid w:val="00594B6F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594B6F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594B6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94B6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94B6F"/>
    <w:rPr>
      <w:i/>
      <w:iCs/>
      <w:color w:val="000000" w:themeColor="text1"/>
      <w:lang w:eastAsia="en-US"/>
    </w:rPr>
  </w:style>
  <w:style w:type="character" w:styleId="nfasissutil">
    <w:name w:val="Subtle Emphasis"/>
    <w:basedOn w:val="Fuentedeprrafopredeter"/>
    <w:uiPriority w:val="19"/>
    <w:qFormat/>
    <w:rsid w:val="00594B6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594B6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594B6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594B6F"/>
    <w:rPr>
      <w:b/>
      <w:bCs/>
      <w:smallCaps/>
      <w:color w:val="C0504D" w:themeColor="accent2"/>
      <w:spacing w:val="5"/>
      <w:u w:val="single"/>
    </w:rPr>
  </w:style>
  <w:style w:type="character" w:customStyle="1" w:styleId="atitulo1Car">
    <w:name w:val="atitulo1 Car"/>
    <w:basedOn w:val="Fuentedeprrafopredeter"/>
    <w:link w:val="atitulo1"/>
    <w:uiPriority w:val="99"/>
    <w:locked/>
    <w:rsid w:val="00594B6F"/>
    <w:rPr>
      <w:rFonts w:ascii="Arial" w:hAnsi="Arial"/>
      <w:b/>
      <w:color w:val="000000"/>
      <w:kern w:val="28"/>
      <w:sz w:val="25"/>
      <w:szCs w:val="26"/>
      <w:lang w:eastAsia="en-US"/>
    </w:rPr>
  </w:style>
  <w:style w:type="character" w:customStyle="1" w:styleId="atitulo2Car">
    <w:name w:val="atitulo2 Car"/>
    <w:link w:val="atitulo2"/>
    <w:uiPriority w:val="99"/>
    <w:locked/>
    <w:rsid w:val="00594B6F"/>
    <w:rPr>
      <w:rFonts w:ascii="Arial" w:hAnsi="Arial"/>
      <w:bCs/>
      <w:iCs/>
      <w:color w:val="000000"/>
      <w:spacing w:val="10"/>
      <w:kern w:val="28"/>
      <w:sz w:val="25"/>
      <w:szCs w:val="26"/>
      <w:lang w:eastAsia="en-US"/>
    </w:rPr>
  </w:style>
  <w:style w:type="paragraph" w:customStyle="1" w:styleId="xl2">
    <w:name w:val="xl2"/>
    <w:basedOn w:val="Normal"/>
    <w:rsid w:val="00BF45A9"/>
    <w:pPr>
      <w:spacing w:after="240"/>
      <w:ind w:left="525" w:right="75" w:hanging="225"/>
    </w:pPr>
    <w:rPr>
      <w:sz w:val="24"/>
      <w:szCs w:val="24"/>
      <w:lang w:val="es-ES" w:eastAsia="es-ES"/>
    </w:rPr>
  </w:style>
  <w:style w:type="paragraph" w:customStyle="1" w:styleId="aaa">
    <w:name w:val="aaa"/>
    <w:basedOn w:val="Normal"/>
    <w:rsid w:val="00C34A8F"/>
    <w:pPr>
      <w:tabs>
        <w:tab w:val="left" w:pos="587"/>
        <w:tab w:val="left" w:pos="1418"/>
        <w:tab w:val="left" w:pos="2835"/>
        <w:tab w:val="left" w:pos="4253"/>
        <w:tab w:val="left" w:pos="5670"/>
      </w:tabs>
      <w:spacing w:after="0" w:line="360" w:lineRule="auto"/>
      <w:ind w:left="587" w:hanging="587"/>
    </w:pPr>
    <w:rPr>
      <w:rFonts w:ascii="ITCCentury Book" w:hAnsi="ITCCentury Book"/>
      <w:spacing w:val="-3"/>
      <w:sz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uiPriority="99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uiPriority="99" w:qFormat="1"/>
    <w:lsdException w:name="Title" w:uiPriority="10" w:qFormat="1"/>
    <w:lsdException w:name="Subtitle" w:uiPriority="11" w:qFormat="1"/>
    <w:lsdException w:name="Hyperlink" w:uiPriority="99"/>
    <w:lsdException w:name="Strong" w:uiPriority="99" w:qFormat="1"/>
    <w:lsdException w:name="Emphasis" w:uiPriority="99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&quot;Cita textual&quot;Normal"/>
    <w:qFormat/>
    <w:rsid w:val="00594B6F"/>
    <w:pPr>
      <w:spacing w:after="140"/>
      <w:ind w:firstLine="567"/>
      <w:jc w:val="both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594B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594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594B6F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594B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594B6F"/>
    <w:pPr>
      <w:keepNext/>
      <w:tabs>
        <w:tab w:val="left" w:pos="7200"/>
      </w:tabs>
      <w:spacing w:after="0"/>
      <w:ind w:right="44" w:firstLine="0"/>
      <w:jc w:val="center"/>
      <w:outlineLvl w:val="4"/>
    </w:pPr>
    <w:rPr>
      <w:b/>
      <w:sz w:val="28"/>
      <w:lang w:val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594B6F"/>
    <w:pPr>
      <w:keepNext/>
      <w:spacing w:after="0"/>
      <w:ind w:firstLine="0"/>
      <w:jc w:val="center"/>
      <w:outlineLvl w:val="6"/>
    </w:pPr>
    <w:rPr>
      <w:sz w:val="5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texto">
    <w:name w:val="cuatexto"/>
    <w:basedOn w:val="texto"/>
    <w:rsid w:val="002717A6"/>
    <w:pPr>
      <w:keepLines/>
      <w:tabs>
        <w:tab w:val="right" w:pos="2835"/>
        <w:tab w:val="right" w:pos="3969"/>
        <w:tab w:val="right" w:pos="5103"/>
        <w:tab w:val="right" w:pos="6237"/>
        <w:tab w:val="right" w:pos="7371"/>
      </w:tabs>
      <w:spacing w:after="0"/>
      <w:ind w:firstLine="0"/>
    </w:pPr>
    <w:rPr>
      <w:rFonts w:ascii="Arial Narrow" w:hAnsi="Arial Narrow"/>
      <w:sz w:val="20"/>
    </w:rPr>
  </w:style>
  <w:style w:type="paragraph" w:customStyle="1" w:styleId="recomen">
    <w:name w:val="recomen"/>
    <w:basedOn w:val="texto"/>
    <w:rsid w:val="001D4F09"/>
    <w:pPr>
      <w:numPr>
        <w:numId w:val="3"/>
      </w:numPr>
      <w:tabs>
        <w:tab w:val="clear" w:pos="1948"/>
        <w:tab w:val="clear" w:pos="2835"/>
        <w:tab w:val="clear" w:pos="3969"/>
        <w:tab w:val="clear" w:pos="5103"/>
        <w:tab w:val="clear" w:pos="6237"/>
        <w:tab w:val="clear" w:pos="7371"/>
      </w:tabs>
      <w:ind w:left="0" w:firstLine="284"/>
    </w:pPr>
    <w:rPr>
      <w:i/>
      <w:lang w:val="es-ES"/>
    </w:rPr>
  </w:style>
  <w:style w:type="paragraph" w:customStyle="1" w:styleId="portada">
    <w:name w:val="portada"/>
    <w:basedOn w:val="Normal"/>
    <w:rsid w:val="00FF4A4C"/>
    <w:pPr>
      <w:spacing w:before="60" w:after="0"/>
      <w:ind w:left="4536" w:firstLine="0"/>
    </w:pPr>
    <w:rPr>
      <w:rFonts w:ascii="ITCCentury Book" w:hAnsi="ITCCentury Book"/>
      <w:sz w:val="60"/>
    </w:rPr>
  </w:style>
  <w:style w:type="paragraph" w:customStyle="1" w:styleId="texto">
    <w:name w:val="texto"/>
    <w:basedOn w:val="Normal"/>
    <w:link w:val="textoCar"/>
    <w:rsid w:val="001D4F09"/>
    <w:pPr>
      <w:tabs>
        <w:tab w:val="center" w:pos="2835"/>
        <w:tab w:val="center" w:pos="3969"/>
        <w:tab w:val="center" w:pos="5103"/>
        <w:tab w:val="center" w:pos="6237"/>
        <w:tab w:val="center" w:pos="7371"/>
      </w:tabs>
      <w:ind w:firstLine="284"/>
    </w:pPr>
    <w:rPr>
      <w:spacing w:val="6"/>
      <w:sz w:val="26"/>
      <w:szCs w:val="24"/>
    </w:rPr>
  </w:style>
  <w:style w:type="paragraph" w:customStyle="1" w:styleId="atitulo1">
    <w:name w:val="atitulo1"/>
    <w:basedOn w:val="Ttulo1"/>
    <w:link w:val="atitulo1Car"/>
    <w:uiPriority w:val="99"/>
    <w:qFormat/>
    <w:rsid w:val="00594B6F"/>
    <w:pPr>
      <w:spacing w:before="0" w:after="240"/>
      <w:ind w:firstLine="0"/>
      <w:outlineLvl w:val="9"/>
    </w:pPr>
    <w:rPr>
      <w:rFonts w:cs="Times New Roman"/>
      <w:bCs w:val="0"/>
      <w:color w:val="000000"/>
      <w:kern w:val="28"/>
      <w:sz w:val="25"/>
      <w:szCs w:val="26"/>
    </w:rPr>
  </w:style>
  <w:style w:type="paragraph" w:customStyle="1" w:styleId="atitulo2">
    <w:name w:val="atitulo2"/>
    <w:basedOn w:val="atitulo1"/>
    <w:link w:val="atitulo2Car"/>
    <w:uiPriority w:val="99"/>
    <w:qFormat/>
    <w:rsid w:val="00594B6F"/>
    <w:rPr>
      <w:b w:val="0"/>
      <w:bCs/>
      <w:iCs/>
      <w:spacing w:val="10"/>
    </w:rPr>
  </w:style>
  <w:style w:type="paragraph" w:customStyle="1" w:styleId="atitulo3">
    <w:name w:val="atitulo3"/>
    <w:basedOn w:val="atitulo2"/>
    <w:uiPriority w:val="99"/>
    <w:qFormat/>
    <w:rsid w:val="00594B6F"/>
    <w:rPr>
      <w:bCs w:val="0"/>
      <w:i/>
    </w:rPr>
  </w:style>
  <w:style w:type="paragraph" w:styleId="TDC1">
    <w:name w:val="toc 1"/>
    <w:basedOn w:val="Normal"/>
    <w:next w:val="Normal"/>
    <w:autoRedefine/>
    <w:uiPriority w:val="39"/>
    <w:rsid w:val="00CF57D6"/>
    <w:pPr>
      <w:tabs>
        <w:tab w:val="right" w:leader="dot" w:pos="8930"/>
      </w:tabs>
      <w:spacing w:before="60" w:after="80"/>
      <w:ind w:firstLine="0"/>
    </w:pPr>
    <w:rPr>
      <w:rFonts w:ascii="Arial Narrow" w:hAnsi="Arial Narrow"/>
      <w:smallCaps/>
      <w:sz w:val="22"/>
    </w:rPr>
  </w:style>
  <w:style w:type="paragraph" w:styleId="TDC2">
    <w:name w:val="toc 2"/>
    <w:basedOn w:val="Normal"/>
    <w:next w:val="Normal"/>
    <w:autoRedefine/>
    <w:semiHidden/>
    <w:rsid w:val="00477C53"/>
    <w:pPr>
      <w:tabs>
        <w:tab w:val="right" w:leader="dot" w:pos="8930"/>
      </w:tabs>
      <w:spacing w:after="0"/>
      <w:ind w:left="378" w:firstLine="0"/>
    </w:pPr>
    <w:rPr>
      <w:rFonts w:ascii="Arial Narrow" w:hAnsi="Arial Narrow"/>
      <w:sz w:val="22"/>
    </w:rPr>
  </w:style>
  <w:style w:type="paragraph" w:styleId="Textodeglobo">
    <w:name w:val="Balloon Text"/>
    <w:basedOn w:val="Normal"/>
    <w:semiHidden/>
    <w:rsid w:val="000A4697"/>
    <w:rPr>
      <w:rFonts w:ascii="Tahoma" w:hAnsi="Tahoma" w:cs="Tahoma"/>
      <w:sz w:val="16"/>
      <w:szCs w:val="16"/>
    </w:rPr>
  </w:style>
  <w:style w:type="paragraph" w:styleId="Encabezado">
    <w:name w:val="header"/>
    <w:basedOn w:val="Epgrafe"/>
    <w:rsid w:val="00CA3515"/>
    <w:pPr>
      <w:tabs>
        <w:tab w:val="center" w:pos="4252"/>
        <w:tab w:val="right" w:pos="8504"/>
      </w:tabs>
      <w:spacing w:after="60"/>
      <w:jc w:val="center"/>
    </w:pPr>
    <w:rPr>
      <w:b w:val="0"/>
      <w:caps/>
      <w:sz w:val="14"/>
      <w:szCs w:val="12"/>
    </w:rPr>
  </w:style>
  <w:style w:type="paragraph" w:styleId="Piedepgina">
    <w:name w:val="footer"/>
    <w:basedOn w:val="texto"/>
    <w:rsid w:val="001D4F09"/>
    <w:pPr>
      <w:tabs>
        <w:tab w:val="center" w:pos="4252"/>
        <w:tab w:val="right" w:pos="8504"/>
      </w:tabs>
      <w:spacing w:after="80"/>
      <w:ind w:firstLine="0"/>
    </w:pPr>
    <w:rPr>
      <w:sz w:val="20"/>
      <w:szCs w:val="20"/>
    </w:rPr>
  </w:style>
  <w:style w:type="character" w:styleId="Nmerodepgina">
    <w:name w:val="page number"/>
    <w:rsid w:val="001D4F09"/>
    <w:rPr>
      <w:rFonts w:ascii="Times New Roman" w:hAnsi="Times New Roman"/>
      <w:sz w:val="24"/>
      <w:szCs w:val="20"/>
    </w:rPr>
  </w:style>
  <w:style w:type="paragraph" w:customStyle="1" w:styleId="Citatextual">
    <w:name w:val="«Citatextual»"/>
    <w:basedOn w:val="texto"/>
    <w:rsid w:val="00337493"/>
    <w:pPr>
      <w:spacing w:after="90"/>
    </w:pPr>
    <w:rPr>
      <w:sz w:val="20"/>
    </w:rPr>
  </w:style>
  <w:style w:type="paragraph" w:customStyle="1" w:styleId="ndice">
    <w:name w:val="índice"/>
    <w:basedOn w:val="atitulo1"/>
    <w:rsid w:val="007446E8"/>
    <w:pPr>
      <w:jc w:val="center"/>
    </w:pPr>
    <w:rPr>
      <w:caps/>
    </w:rPr>
  </w:style>
  <w:style w:type="paragraph" w:customStyle="1" w:styleId="Fechaportada">
    <w:name w:val="Fechaportada"/>
    <w:basedOn w:val="texto"/>
    <w:rsid w:val="00FF4A4C"/>
    <w:pPr>
      <w:tabs>
        <w:tab w:val="clear" w:pos="2835"/>
        <w:tab w:val="clear" w:pos="3969"/>
        <w:tab w:val="clear" w:pos="5103"/>
        <w:tab w:val="clear" w:pos="6237"/>
        <w:tab w:val="clear" w:pos="7371"/>
      </w:tabs>
      <w:ind w:firstLine="0"/>
      <w:jc w:val="right"/>
    </w:pPr>
    <w:rPr>
      <w:i/>
      <w:sz w:val="28"/>
      <w:szCs w:val="28"/>
    </w:rPr>
  </w:style>
  <w:style w:type="paragraph" w:styleId="Epgrafe">
    <w:name w:val="caption"/>
    <w:basedOn w:val="Normal"/>
    <w:next w:val="Normal"/>
    <w:uiPriority w:val="99"/>
    <w:qFormat/>
    <w:rsid w:val="00594B6F"/>
    <w:rPr>
      <w:b/>
      <w:bCs/>
    </w:rPr>
  </w:style>
  <w:style w:type="paragraph" w:customStyle="1" w:styleId="BorradorProvisional">
    <w:name w:val="Borrador/Provisional"/>
    <w:basedOn w:val="texto"/>
    <w:rsid w:val="001D4F09"/>
    <w:pPr>
      <w:tabs>
        <w:tab w:val="clear" w:pos="2835"/>
        <w:tab w:val="clear" w:pos="3969"/>
        <w:tab w:val="clear" w:pos="5103"/>
        <w:tab w:val="clear" w:pos="6237"/>
        <w:tab w:val="clear" w:pos="7371"/>
      </w:tabs>
      <w:spacing w:after="0"/>
      <w:ind w:left="4394" w:firstLine="0"/>
      <w:jc w:val="left"/>
    </w:pPr>
    <w:rPr>
      <w:rFonts w:ascii="Arial" w:hAnsi="Arial"/>
      <w:b/>
      <w:color w:val="808080"/>
      <w:sz w:val="40"/>
    </w:rPr>
  </w:style>
  <w:style w:type="character" w:styleId="Hipervnculo">
    <w:name w:val="Hyperlink"/>
    <w:uiPriority w:val="99"/>
    <w:rsid w:val="003C6E1D"/>
    <w:rPr>
      <w:color w:val="0000FF"/>
      <w:u w:val="single"/>
    </w:rPr>
  </w:style>
  <w:style w:type="character" w:customStyle="1" w:styleId="textoCar">
    <w:name w:val="texto Car"/>
    <w:link w:val="texto"/>
    <w:rsid w:val="001D4F09"/>
    <w:rPr>
      <w:spacing w:val="6"/>
      <w:sz w:val="26"/>
      <w:szCs w:val="24"/>
      <w:lang w:val="es-ES_tradnl" w:eastAsia="en-US" w:bidi="ar-SA"/>
    </w:rPr>
  </w:style>
  <w:style w:type="paragraph" w:customStyle="1" w:styleId="atitulo4">
    <w:name w:val="atitulo4"/>
    <w:basedOn w:val="atitulo3"/>
    <w:uiPriority w:val="99"/>
    <w:qFormat/>
    <w:rsid w:val="00594B6F"/>
  </w:style>
  <w:style w:type="paragraph" w:customStyle="1" w:styleId="cuadroCabe">
    <w:name w:val="cuadroCabe"/>
    <w:basedOn w:val="cuatexto"/>
    <w:rsid w:val="002717A6"/>
    <w:rPr>
      <w:rFonts w:ascii="Arial" w:hAnsi="Arial"/>
      <w:sz w:val="18"/>
    </w:rPr>
  </w:style>
  <w:style w:type="paragraph" w:customStyle="1" w:styleId="Portada0">
    <w:name w:val="Portada"/>
    <w:basedOn w:val="portada"/>
    <w:rsid w:val="00FF4A4C"/>
    <w:pPr>
      <w:ind w:left="4396" w:right="-1051"/>
      <w:jc w:val="left"/>
    </w:pPr>
  </w:style>
  <w:style w:type="table" w:styleId="Tablaconcuadrcula">
    <w:name w:val="Table Grid"/>
    <w:basedOn w:val="Tablanormal"/>
    <w:rsid w:val="00E33D02"/>
    <w:pPr>
      <w:spacing w:after="14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Portada">
    <w:name w:val="Estilo Portada"/>
    <w:basedOn w:val="Portada0"/>
    <w:rsid w:val="001D4F09"/>
    <w:rPr>
      <w:rFonts w:ascii="Times New Roman" w:hAnsi="Times New Roman"/>
      <w:b/>
    </w:rPr>
  </w:style>
  <w:style w:type="paragraph" w:customStyle="1" w:styleId="CuadroTtulo">
    <w:name w:val="CuadroTítulo"/>
    <w:basedOn w:val="cuadroCabe"/>
    <w:rsid w:val="00C622C3"/>
    <w:rPr>
      <w:sz w:val="20"/>
    </w:rPr>
  </w:style>
  <w:style w:type="paragraph" w:styleId="TDC3">
    <w:name w:val="toc 3"/>
    <w:basedOn w:val="atitulo3"/>
    <w:autoRedefine/>
    <w:semiHidden/>
    <w:rsid w:val="00477C53"/>
    <w:pPr>
      <w:tabs>
        <w:tab w:val="right" w:leader="dot" w:pos="8930"/>
      </w:tabs>
      <w:spacing w:after="60"/>
      <w:ind w:left="1022"/>
    </w:pPr>
    <w:rPr>
      <w:rFonts w:ascii="Arial Narrow" w:hAnsi="Arial Narrow"/>
      <w:noProof/>
      <w:spacing w:val="-6"/>
      <w:w w:val="101"/>
      <w:sz w:val="22"/>
      <w:szCs w:val="22"/>
    </w:rPr>
  </w:style>
  <w:style w:type="paragraph" w:styleId="TDC4">
    <w:name w:val="toc 4"/>
    <w:basedOn w:val="Normal"/>
    <w:next w:val="Normal"/>
    <w:autoRedefine/>
    <w:semiHidden/>
    <w:rsid w:val="00BC376C"/>
    <w:pPr>
      <w:tabs>
        <w:tab w:val="right" w:leader="dot" w:pos="8930"/>
      </w:tabs>
      <w:ind w:left="567" w:firstLine="0"/>
    </w:pPr>
    <w:rPr>
      <w:rFonts w:ascii="Arial Narrow" w:hAnsi="Arial Narrow"/>
      <w:sz w:val="22"/>
    </w:rPr>
  </w:style>
  <w:style w:type="character" w:customStyle="1" w:styleId="Ttulo1Car">
    <w:name w:val="Título 1 Car"/>
    <w:basedOn w:val="Fuentedeprrafopredeter"/>
    <w:link w:val="Ttulo1"/>
    <w:uiPriority w:val="99"/>
    <w:rsid w:val="00594B6F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594B6F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9"/>
    <w:rsid w:val="00594B6F"/>
    <w:rPr>
      <w:rFonts w:ascii="Arial" w:hAnsi="Arial" w:cs="Arial"/>
      <w:b/>
      <w:bCs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rsid w:val="00594B6F"/>
    <w:rPr>
      <w:b/>
      <w:bCs/>
      <w:sz w:val="28"/>
      <w:szCs w:val="28"/>
      <w:lang w:eastAsia="en-US"/>
    </w:rPr>
  </w:style>
  <w:style w:type="character" w:customStyle="1" w:styleId="Ttulo5Car">
    <w:name w:val="Título 5 Car"/>
    <w:basedOn w:val="Fuentedeprrafopredeter"/>
    <w:link w:val="Ttulo5"/>
    <w:uiPriority w:val="99"/>
    <w:rsid w:val="00594B6F"/>
    <w:rPr>
      <w:b/>
      <w:sz w:val="28"/>
      <w:lang w:val="es-ES" w:eastAsia="en-US"/>
    </w:rPr>
  </w:style>
  <w:style w:type="character" w:customStyle="1" w:styleId="Ttulo7Car">
    <w:name w:val="Título 7 Car"/>
    <w:basedOn w:val="Fuentedeprrafopredeter"/>
    <w:link w:val="Ttulo7"/>
    <w:uiPriority w:val="99"/>
    <w:rsid w:val="00594B6F"/>
    <w:rPr>
      <w:sz w:val="52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94B6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94B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594B6F"/>
    <w:pPr>
      <w:numPr>
        <w:ilvl w:val="1"/>
      </w:numPr>
      <w:ind w:firstLine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594B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Textoennegrita">
    <w:name w:val="Strong"/>
    <w:basedOn w:val="Fuentedeprrafopredeter"/>
    <w:uiPriority w:val="99"/>
    <w:qFormat/>
    <w:rsid w:val="00594B6F"/>
    <w:rPr>
      <w:rFonts w:cs="Times New Roman"/>
      <w:b/>
    </w:rPr>
  </w:style>
  <w:style w:type="character" w:styleId="nfasis">
    <w:name w:val="Emphasis"/>
    <w:basedOn w:val="Fuentedeprrafopredeter"/>
    <w:uiPriority w:val="99"/>
    <w:qFormat/>
    <w:rsid w:val="00594B6F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594B6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94B6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594B6F"/>
    <w:rPr>
      <w:i/>
      <w:iCs/>
      <w:color w:val="000000" w:themeColor="text1"/>
      <w:lang w:eastAsia="en-US"/>
    </w:rPr>
  </w:style>
  <w:style w:type="character" w:styleId="nfasissutil">
    <w:name w:val="Subtle Emphasis"/>
    <w:basedOn w:val="Fuentedeprrafopredeter"/>
    <w:uiPriority w:val="19"/>
    <w:qFormat/>
    <w:rsid w:val="00594B6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594B6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594B6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594B6F"/>
    <w:rPr>
      <w:b/>
      <w:bCs/>
      <w:smallCaps/>
      <w:color w:val="C0504D" w:themeColor="accent2"/>
      <w:spacing w:val="5"/>
      <w:u w:val="single"/>
    </w:rPr>
  </w:style>
  <w:style w:type="character" w:customStyle="1" w:styleId="atitulo1Car">
    <w:name w:val="atitulo1 Car"/>
    <w:basedOn w:val="Fuentedeprrafopredeter"/>
    <w:link w:val="atitulo1"/>
    <w:uiPriority w:val="99"/>
    <w:locked/>
    <w:rsid w:val="00594B6F"/>
    <w:rPr>
      <w:rFonts w:ascii="Arial" w:hAnsi="Arial"/>
      <w:b/>
      <w:color w:val="000000"/>
      <w:kern w:val="28"/>
      <w:sz w:val="25"/>
      <w:szCs w:val="26"/>
      <w:lang w:eastAsia="en-US"/>
    </w:rPr>
  </w:style>
  <w:style w:type="character" w:customStyle="1" w:styleId="atitulo2Car">
    <w:name w:val="atitulo2 Car"/>
    <w:link w:val="atitulo2"/>
    <w:uiPriority w:val="99"/>
    <w:locked/>
    <w:rsid w:val="00594B6F"/>
    <w:rPr>
      <w:rFonts w:ascii="Arial" w:hAnsi="Arial"/>
      <w:bCs/>
      <w:iCs/>
      <w:color w:val="000000"/>
      <w:spacing w:val="10"/>
      <w:kern w:val="28"/>
      <w:sz w:val="25"/>
      <w:szCs w:val="26"/>
      <w:lang w:eastAsia="en-US"/>
    </w:rPr>
  </w:style>
  <w:style w:type="paragraph" w:customStyle="1" w:styleId="xl2">
    <w:name w:val="xl2"/>
    <w:basedOn w:val="Normal"/>
    <w:rsid w:val="00BF45A9"/>
    <w:pPr>
      <w:spacing w:after="240"/>
      <w:ind w:left="525" w:right="75" w:hanging="225"/>
    </w:pPr>
    <w:rPr>
      <w:sz w:val="24"/>
      <w:szCs w:val="24"/>
      <w:lang w:val="es-ES" w:eastAsia="es-ES"/>
    </w:rPr>
  </w:style>
  <w:style w:type="paragraph" w:customStyle="1" w:styleId="aaa">
    <w:name w:val="aaa"/>
    <w:basedOn w:val="Normal"/>
    <w:rsid w:val="00C34A8F"/>
    <w:pPr>
      <w:tabs>
        <w:tab w:val="left" w:pos="587"/>
        <w:tab w:val="left" w:pos="1418"/>
        <w:tab w:val="left" w:pos="2835"/>
        <w:tab w:val="left" w:pos="4253"/>
        <w:tab w:val="left" w:pos="5670"/>
      </w:tabs>
      <w:spacing w:after="0" w:line="360" w:lineRule="auto"/>
      <w:ind w:left="587" w:hanging="587"/>
    </w:pPr>
    <w:rPr>
      <w:rFonts w:ascii="ITCCentury Book" w:hAnsi="ITCCentury Book"/>
      <w:spacing w:val="-3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2239</Words>
  <Characters>12318</Characters>
  <Application>Microsoft Office Word</Application>
  <DocSecurity>4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Borrador inicial</vt:lpstr>
    </vt:vector>
  </TitlesOfParts>
  <Company>Cámara de Comptos</Company>
  <LinksUpToDate>false</LinksUpToDate>
  <CharactersWithSpaces>14528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Borrador inicial</dc:title>
  <dc:creator>Zudaire Echávarri, Trinidad (Cámara de Comptos)</dc:creator>
  <cp:lastModifiedBy>Aranaz, Carlota</cp:lastModifiedBy>
  <cp:revision>2</cp:revision>
  <cp:lastPrinted>2015-09-23T10:20:00Z</cp:lastPrinted>
  <dcterms:created xsi:type="dcterms:W3CDTF">2015-09-30T06:23:00Z</dcterms:created>
  <dcterms:modified xsi:type="dcterms:W3CDTF">2015-09-30T06:23:00Z</dcterms:modified>
</cp:coreProperties>
</file>