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1119A4" w:rsidRDefault="00FA495F" w:rsidP="00FC2A6E">
      <w:pPr>
        <w:pStyle w:val="EstiloPortada"/>
        <w:ind w:left="3969" w:right="-58"/>
        <w:rPr>
          <w:sz w:val="36"/>
          <w:szCs w:val="36"/>
        </w:rPr>
      </w:pPr>
      <w:r w:rsidRPr="001119A4">
        <w:rPr>
          <w:rFonts w:ascii="GillSans" w:hAnsi="GillSans"/>
          <w:noProof/>
          <w:color w:val="808080"/>
          <w:sz w:val="36"/>
          <w:szCs w:val="36"/>
          <w:lang w:val="es-ES" w:eastAsia="es-ES"/>
        </w:rPr>
        <mc:AlternateContent>
          <mc:Choice Requires="wps">
            <w:drawing>
              <wp:anchor distT="0" distB="0" distL="114300" distR="114300" simplePos="0" relativeHeight="251657728" behindDoc="0" locked="0" layoutInCell="1" allowOverlap="1" wp14:anchorId="697B6C1C" wp14:editId="3EEF65F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71E4A" w:rsidRPr="002C7026" w:rsidRDefault="00071E4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071E4A" w:rsidRPr="002C7026" w:rsidRDefault="00071E4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071E4A" w:rsidRPr="002C7026" w:rsidRDefault="00071E4A"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071E4A" w:rsidRPr="002C7026" w:rsidRDefault="00071E4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071E4A" w:rsidRPr="002C7026" w:rsidRDefault="00071E4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071E4A" w:rsidRPr="002C7026" w:rsidRDefault="00071E4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071E4A" w:rsidRPr="002C7026" w:rsidRDefault="00071E4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071E4A" w:rsidRPr="002C7026" w:rsidRDefault="00071E4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071E4A" w:rsidRPr="002C7026" w:rsidRDefault="00071E4A"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071E4A" w:rsidRPr="002C7026" w:rsidRDefault="00071E4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071E4A" w:rsidRPr="002C7026" w:rsidRDefault="00071E4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071E4A" w:rsidRPr="002C7026" w:rsidRDefault="00071E4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v:textbox>
              </v:shape>
            </w:pict>
          </mc:Fallback>
        </mc:AlternateContent>
      </w:r>
    </w:p>
    <w:p w:rsidR="00FC2A6E" w:rsidRDefault="00FC2A6E" w:rsidP="00FC2A6E">
      <w:pPr>
        <w:pStyle w:val="EstiloPortada"/>
        <w:ind w:left="3969"/>
      </w:pPr>
      <w:r>
        <w:t xml:space="preserve">Sector público local </w:t>
      </w:r>
    </w:p>
    <w:p w:rsidR="001C3A32" w:rsidRPr="001D4F09" w:rsidRDefault="00FC2A6E" w:rsidP="00FC2A6E">
      <w:pPr>
        <w:pStyle w:val="EstiloPortada"/>
        <w:ind w:left="3969"/>
      </w:pPr>
      <w:r>
        <w:t>de Navarra,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310593" w:rsidP="009936FC">
      <w:pPr>
        <w:pStyle w:val="Fechaportada"/>
      </w:pPr>
      <w:r>
        <w:t>Noviembre de 2016</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F60403" w:rsidRDefault="00F60403" w:rsidP="00F60403">
      <w:pPr>
        <w:pStyle w:val="ndice"/>
      </w:pPr>
      <w:r w:rsidRPr="00891D73">
        <w:lastRenderedPageBreak/>
        <w:t>Índice</w:t>
      </w:r>
    </w:p>
    <w:p w:rsidR="00F60403" w:rsidRPr="004740FB" w:rsidRDefault="00F60403" w:rsidP="00F60403">
      <w:pPr>
        <w:pStyle w:val="ndice"/>
        <w:ind w:right="-156"/>
        <w:jc w:val="right"/>
        <w:rPr>
          <w:b w:val="0"/>
          <w:i/>
          <w:sz w:val="16"/>
          <w:szCs w:val="16"/>
        </w:rPr>
      </w:pPr>
      <w:r w:rsidRPr="004740FB">
        <w:rPr>
          <w:b w:val="0"/>
          <w:i/>
          <w:sz w:val="16"/>
          <w:szCs w:val="16"/>
        </w:rPr>
        <w:t>Página</w:t>
      </w:r>
    </w:p>
    <w:p w:rsidR="00872C1C" w:rsidRDefault="0014728F" w:rsidP="00872C1C">
      <w:pPr>
        <w:pStyle w:val="TDC1"/>
        <w:rPr>
          <w:rFonts w:asciiTheme="minorHAnsi" w:eastAsiaTheme="minorEastAsia" w:hAnsiTheme="minorHAnsi" w:cstheme="minorBidi"/>
          <w:noProof/>
          <w:szCs w:val="22"/>
          <w:lang w:val="es-ES" w:eastAsia="es-ES"/>
        </w:rPr>
      </w:pPr>
      <w:r>
        <w:fldChar w:fldCharType="begin"/>
      </w:r>
      <w:r>
        <w:instrText xml:space="preserve"> TOC \o "1-3" \h \z \t "atitulo1;1;atitulo2;2" </w:instrText>
      </w:r>
      <w:r>
        <w:fldChar w:fldCharType="separate"/>
      </w:r>
      <w:hyperlink w:anchor="_Toc467847951" w:history="1">
        <w:r w:rsidR="00872C1C" w:rsidRPr="0012289E">
          <w:rPr>
            <w:rStyle w:val="Hipervnculo"/>
            <w:noProof/>
          </w:rPr>
          <w:t>I. Introducción</w:t>
        </w:r>
        <w:r w:rsidR="00872C1C">
          <w:rPr>
            <w:noProof/>
            <w:webHidden/>
          </w:rPr>
          <w:tab/>
        </w:r>
        <w:r w:rsidR="00872C1C">
          <w:rPr>
            <w:noProof/>
            <w:webHidden/>
          </w:rPr>
          <w:fldChar w:fldCharType="begin"/>
        </w:r>
        <w:r w:rsidR="00872C1C">
          <w:rPr>
            <w:noProof/>
            <w:webHidden/>
          </w:rPr>
          <w:instrText xml:space="preserve"> PAGEREF _Toc467847951 \h </w:instrText>
        </w:r>
        <w:r w:rsidR="00872C1C">
          <w:rPr>
            <w:noProof/>
            <w:webHidden/>
          </w:rPr>
        </w:r>
        <w:r w:rsidR="00872C1C">
          <w:rPr>
            <w:noProof/>
            <w:webHidden/>
          </w:rPr>
          <w:fldChar w:fldCharType="separate"/>
        </w:r>
        <w:r w:rsidR="00872C1C">
          <w:rPr>
            <w:noProof/>
            <w:webHidden/>
          </w:rPr>
          <w:t>3</w:t>
        </w:r>
        <w:r w:rsidR="00872C1C">
          <w:rPr>
            <w:noProof/>
            <w:webHidden/>
          </w:rPr>
          <w:fldChar w:fldCharType="end"/>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52" w:history="1">
        <w:r w:rsidR="00872C1C" w:rsidRPr="0012289E">
          <w:rPr>
            <w:rStyle w:val="Hipervnculo"/>
            <w:noProof/>
          </w:rPr>
          <w:t>II. Objetivos y alcance del trabajo</w:t>
        </w:r>
        <w:r w:rsidR="00872C1C">
          <w:rPr>
            <w:noProof/>
            <w:webHidden/>
          </w:rPr>
          <w:tab/>
        </w:r>
        <w:r w:rsidR="00872C1C">
          <w:rPr>
            <w:noProof/>
            <w:webHidden/>
          </w:rPr>
          <w:fldChar w:fldCharType="begin"/>
        </w:r>
        <w:r w:rsidR="00872C1C">
          <w:rPr>
            <w:noProof/>
            <w:webHidden/>
          </w:rPr>
          <w:instrText xml:space="preserve"> PAGEREF _Toc467847952 \h </w:instrText>
        </w:r>
        <w:r w:rsidR="00872C1C">
          <w:rPr>
            <w:noProof/>
            <w:webHidden/>
          </w:rPr>
        </w:r>
        <w:r w:rsidR="00872C1C">
          <w:rPr>
            <w:noProof/>
            <w:webHidden/>
          </w:rPr>
          <w:fldChar w:fldCharType="separate"/>
        </w:r>
        <w:r w:rsidR="00872C1C">
          <w:rPr>
            <w:noProof/>
            <w:webHidden/>
          </w:rPr>
          <w:t>4</w:t>
        </w:r>
        <w:r w:rsidR="00872C1C">
          <w:rPr>
            <w:noProof/>
            <w:webHidden/>
          </w:rPr>
          <w:fldChar w:fldCharType="end"/>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53" w:history="1">
        <w:r w:rsidR="00872C1C" w:rsidRPr="0012289E">
          <w:rPr>
            <w:rStyle w:val="Hipervnculo"/>
            <w:noProof/>
          </w:rPr>
          <w:t>III. Estructura organizativa y normativa del sector público local</w:t>
        </w:r>
        <w:r w:rsidR="00872C1C">
          <w:rPr>
            <w:noProof/>
            <w:webHidden/>
          </w:rPr>
          <w:tab/>
        </w:r>
        <w:r w:rsidR="00872C1C">
          <w:rPr>
            <w:noProof/>
            <w:webHidden/>
          </w:rPr>
          <w:fldChar w:fldCharType="begin"/>
        </w:r>
        <w:r w:rsidR="00872C1C">
          <w:rPr>
            <w:noProof/>
            <w:webHidden/>
          </w:rPr>
          <w:instrText xml:space="preserve"> PAGEREF _Toc467847953 \h </w:instrText>
        </w:r>
        <w:r w:rsidR="00872C1C">
          <w:rPr>
            <w:noProof/>
            <w:webHidden/>
          </w:rPr>
        </w:r>
        <w:r w:rsidR="00872C1C">
          <w:rPr>
            <w:noProof/>
            <w:webHidden/>
          </w:rPr>
          <w:fldChar w:fldCharType="separate"/>
        </w:r>
        <w:r w:rsidR="00872C1C">
          <w:rPr>
            <w:noProof/>
            <w:webHidden/>
          </w:rPr>
          <w:t>6</w:t>
        </w:r>
        <w:r w:rsidR="00872C1C">
          <w:rPr>
            <w:noProof/>
            <w:webHidden/>
          </w:rPr>
          <w:fldChar w:fldCharType="end"/>
        </w:r>
      </w:hyperlink>
    </w:p>
    <w:p w:rsidR="00872C1C" w:rsidRDefault="00207C5E" w:rsidP="00872C1C">
      <w:pPr>
        <w:pStyle w:val="TDC2"/>
        <w:ind w:left="0"/>
        <w:rPr>
          <w:rFonts w:asciiTheme="minorHAnsi" w:eastAsiaTheme="minorEastAsia" w:hAnsiTheme="minorHAnsi" w:cstheme="minorBidi"/>
          <w:noProof/>
          <w:szCs w:val="22"/>
          <w:lang w:val="es-ES" w:eastAsia="es-ES"/>
        </w:rPr>
      </w:pPr>
      <w:hyperlink w:anchor="_Toc467847954" w:history="1">
        <w:r w:rsidR="00872C1C" w:rsidRPr="0012289E">
          <w:rPr>
            <w:rStyle w:val="Hipervnculo"/>
            <w:noProof/>
          </w:rPr>
          <w:t>III.1. Estructura organizativa</w:t>
        </w:r>
        <w:r w:rsidR="00872C1C">
          <w:rPr>
            <w:noProof/>
            <w:webHidden/>
          </w:rPr>
          <w:tab/>
        </w:r>
        <w:r w:rsidR="00872C1C">
          <w:rPr>
            <w:noProof/>
            <w:webHidden/>
          </w:rPr>
          <w:fldChar w:fldCharType="begin"/>
        </w:r>
        <w:r w:rsidR="00872C1C">
          <w:rPr>
            <w:noProof/>
            <w:webHidden/>
          </w:rPr>
          <w:instrText xml:space="preserve"> PAGEREF _Toc467847954 \h </w:instrText>
        </w:r>
        <w:r w:rsidR="00872C1C">
          <w:rPr>
            <w:noProof/>
            <w:webHidden/>
          </w:rPr>
        </w:r>
        <w:r w:rsidR="00872C1C">
          <w:rPr>
            <w:noProof/>
            <w:webHidden/>
          </w:rPr>
          <w:fldChar w:fldCharType="separate"/>
        </w:r>
        <w:r w:rsidR="00872C1C">
          <w:rPr>
            <w:noProof/>
            <w:webHidden/>
          </w:rPr>
          <w:t>6</w:t>
        </w:r>
        <w:r w:rsidR="00872C1C">
          <w:rPr>
            <w:noProof/>
            <w:webHidden/>
          </w:rPr>
          <w:fldChar w:fldCharType="end"/>
        </w:r>
      </w:hyperlink>
    </w:p>
    <w:p w:rsidR="00872C1C" w:rsidRDefault="00207C5E" w:rsidP="00872C1C">
      <w:pPr>
        <w:pStyle w:val="TDC2"/>
        <w:ind w:left="0"/>
        <w:rPr>
          <w:rFonts w:asciiTheme="minorHAnsi" w:eastAsiaTheme="minorEastAsia" w:hAnsiTheme="minorHAnsi" w:cstheme="minorBidi"/>
          <w:noProof/>
          <w:szCs w:val="22"/>
          <w:lang w:val="es-ES" w:eastAsia="es-ES"/>
        </w:rPr>
      </w:pPr>
      <w:hyperlink w:anchor="_Toc467847955" w:history="1">
        <w:r w:rsidR="00872C1C" w:rsidRPr="0012289E">
          <w:rPr>
            <w:rStyle w:val="Hipervnculo"/>
            <w:noProof/>
          </w:rPr>
          <w:t>III.2. Medidas legislativas planteadas para la racionalización del sector público local</w:t>
        </w:r>
        <w:r w:rsidR="00872C1C">
          <w:rPr>
            <w:noProof/>
            <w:webHidden/>
          </w:rPr>
          <w:tab/>
        </w:r>
        <w:r w:rsidR="00872C1C">
          <w:rPr>
            <w:noProof/>
            <w:webHidden/>
          </w:rPr>
          <w:fldChar w:fldCharType="begin"/>
        </w:r>
        <w:r w:rsidR="00872C1C">
          <w:rPr>
            <w:noProof/>
            <w:webHidden/>
          </w:rPr>
          <w:instrText xml:space="preserve"> PAGEREF _Toc467847955 \h </w:instrText>
        </w:r>
        <w:r w:rsidR="00872C1C">
          <w:rPr>
            <w:noProof/>
            <w:webHidden/>
          </w:rPr>
        </w:r>
        <w:r w:rsidR="00872C1C">
          <w:rPr>
            <w:noProof/>
            <w:webHidden/>
          </w:rPr>
          <w:fldChar w:fldCharType="separate"/>
        </w:r>
        <w:r w:rsidR="00872C1C">
          <w:rPr>
            <w:noProof/>
            <w:webHidden/>
          </w:rPr>
          <w:t>8</w:t>
        </w:r>
        <w:r w:rsidR="00872C1C">
          <w:rPr>
            <w:noProof/>
            <w:webHidden/>
          </w:rPr>
          <w:fldChar w:fldCharType="end"/>
        </w:r>
      </w:hyperlink>
    </w:p>
    <w:p w:rsidR="00872C1C" w:rsidRDefault="00207C5E" w:rsidP="00872C1C">
      <w:pPr>
        <w:pStyle w:val="TDC2"/>
        <w:ind w:left="0"/>
        <w:rPr>
          <w:rFonts w:asciiTheme="minorHAnsi" w:eastAsiaTheme="minorEastAsia" w:hAnsiTheme="minorHAnsi" w:cstheme="minorBidi"/>
          <w:noProof/>
          <w:szCs w:val="22"/>
          <w:lang w:val="es-ES" w:eastAsia="es-ES"/>
        </w:rPr>
      </w:pPr>
      <w:hyperlink w:anchor="_Toc467847956" w:history="1">
        <w:r w:rsidR="00872C1C" w:rsidRPr="0012289E">
          <w:rPr>
            <w:rStyle w:val="Hipervnculo"/>
            <w:noProof/>
          </w:rPr>
          <w:t>III.3. Normativa</w:t>
        </w:r>
        <w:r w:rsidR="00872C1C">
          <w:rPr>
            <w:noProof/>
            <w:webHidden/>
          </w:rPr>
          <w:tab/>
        </w:r>
        <w:r w:rsidR="00872C1C">
          <w:rPr>
            <w:noProof/>
            <w:webHidden/>
          </w:rPr>
          <w:fldChar w:fldCharType="begin"/>
        </w:r>
        <w:r w:rsidR="00872C1C">
          <w:rPr>
            <w:noProof/>
            <w:webHidden/>
          </w:rPr>
          <w:instrText xml:space="preserve"> PAGEREF _Toc467847956 \h </w:instrText>
        </w:r>
        <w:r w:rsidR="00872C1C">
          <w:rPr>
            <w:noProof/>
            <w:webHidden/>
          </w:rPr>
        </w:r>
        <w:r w:rsidR="00872C1C">
          <w:rPr>
            <w:noProof/>
            <w:webHidden/>
          </w:rPr>
          <w:fldChar w:fldCharType="separate"/>
        </w:r>
        <w:r w:rsidR="00872C1C">
          <w:rPr>
            <w:noProof/>
            <w:webHidden/>
          </w:rPr>
          <w:t>10</w:t>
        </w:r>
        <w:r w:rsidR="00872C1C">
          <w:rPr>
            <w:noProof/>
            <w:webHidden/>
          </w:rPr>
          <w:fldChar w:fldCharType="end"/>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57" w:history="1">
        <w:r w:rsidR="00872C1C" w:rsidRPr="0012289E">
          <w:rPr>
            <w:rStyle w:val="Hipervnculo"/>
            <w:noProof/>
          </w:rPr>
          <w:t>IV. Memoria-resumen de las actuaciones de fiscalización de entes locales</w:t>
        </w:r>
        <w:r w:rsidR="00872C1C">
          <w:rPr>
            <w:noProof/>
            <w:webHidden/>
          </w:rPr>
          <w:tab/>
        </w:r>
        <w:r w:rsidR="00872C1C">
          <w:rPr>
            <w:noProof/>
            <w:webHidden/>
          </w:rPr>
          <w:fldChar w:fldCharType="begin"/>
        </w:r>
        <w:r w:rsidR="00872C1C">
          <w:rPr>
            <w:noProof/>
            <w:webHidden/>
          </w:rPr>
          <w:instrText xml:space="preserve"> PAGEREF _Toc467847957 \h </w:instrText>
        </w:r>
        <w:r w:rsidR="00872C1C">
          <w:rPr>
            <w:noProof/>
            <w:webHidden/>
          </w:rPr>
        </w:r>
        <w:r w:rsidR="00872C1C">
          <w:rPr>
            <w:noProof/>
            <w:webHidden/>
          </w:rPr>
          <w:fldChar w:fldCharType="separate"/>
        </w:r>
        <w:r w:rsidR="00872C1C">
          <w:rPr>
            <w:noProof/>
            <w:webHidden/>
          </w:rPr>
          <w:t>11</w:t>
        </w:r>
        <w:r w:rsidR="00872C1C">
          <w:rPr>
            <w:noProof/>
            <w:webHidden/>
          </w:rPr>
          <w:fldChar w:fldCharType="end"/>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58" w:history="1">
        <w:r w:rsidR="00872C1C" w:rsidRPr="0012289E">
          <w:rPr>
            <w:rStyle w:val="Hipervnculo"/>
            <w:noProof/>
          </w:rPr>
          <w:t>V. Situación financiera del sector público local</w:t>
        </w:r>
        <w:r w:rsidR="00872C1C">
          <w:rPr>
            <w:noProof/>
            <w:webHidden/>
          </w:rPr>
          <w:tab/>
        </w:r>
        <w:r w:rsidR="00872C1C">
          <w:rPr>
            <w:noProof/>
            <w:webHidden/>
          </w:rPr>
          <w:fldChar w:fldCharType="begin"/>
        </w:r>
        <w:r w:rsidR="00872C1C">
          <w:rPr>
            <w:noProof/>
            <w:webHidden/>
          </w:rPr>
          <w:instrText xml:space="preserve"> PAGEREF _Toc467847958 \h </w:instrText>
        </w:r>
        <w:r w:rsidR="00872C1C">
          <w:rPr>
            <w:noProof/>
            <w:webHidden/>
          </w:rPr>
        </w:r>
        <w:r w:rsidR="00872C1C">
          <w:rPr>
            <w:noProof/>
            <w:webHidden/>
          </w:rPr>
          <w:fldChar w:fldCharType="separate"/>
        </w:r>
        <w:r w:rsidR="00872C1C">
          <w:rPr>
            <w:noProof/>
            <w:webHidden/>
          </w:rPr>
          <w:t>14</w:t>
        </w:r>
        <w:r w:rsidR="00872C1C">
          <w:rPr>
            <w:noProof/>
            <w:webHidden/>
          </w:rPr>
          <w:fldChar w:fldCharType="end"/>
        </w:r>
      </w:hyperlink>
    </w:p>
    <w:p w:rsidR="00872C1C" w:rsidRDefault="00207C5E" w:rsidP="00872C1C">
      <w:pPr>
        <w:pStyle w:val="TDC2"/>
        <w:ind w:left="0"/>
        <w:rPr>
          <w:rFonts w:asciiTheme="minorHAnsi" w:eastAsiaTheme="minorEastAsia" w:hAnsiTheme="minorHAnsi" w:cstheme="minorBidi"/>
          <w:noProof/>
          <w:szCs w:val="22"/>
          <w:lang w:val="es-ES" w:eastAsia="es-ES"/>
        </w:rPr>
      </w:pPr>
      <w:hyperlink w:anchor="_Toc467847959" w:history="1">
        <w:r w:rsidR="00872C1C" w:rsidRPr="0012289E">
          <w:rPr>
            <w:rStyle w:val="Hipervnculo"/>
            <w:noProof/>
          </w:rPr>
          <w:t>V.1. Ingresos</w:t>
        </w:r>
        <w:r w:rsidR="00872C1C">
          <w:rPr>
            <w:noProof/>
            <w:webHidden/>
          </w:rPr>
          <w:tab/>
        </w:r>
        <w:r w:rsidR="00872C1C">
          <w:rPr>
            <w:noProof/>
            <w:webHidden/>
          </w:rPr>
          <w:fldChar w:fldCharType="begin"/>
        </w:r>
        <w:r w:rsidR="00872C1C">
          <w:rPr>
            <w:noProof/>
            <w:webHidden/>
          </w:rPr>
          <w:instrText xml:space="preserve"> PAGEREF _Toc467847959 \h </w:instrText>
        </w:r>
        <w:r w:rsidR="00872C1C">
          <w:rPr>
            <w:noProof/>
            <w:webHidden/>
          </w:rPr>
        </w:r>
        <w:r w:rsidR="00872C1C">
          <w:rPr>
            <w:noProof/>
            <w:webHidden/>
          </w:rPr>
          <w:fldChar w:fldCharType="separate"/>
        </w:r>
        <w:r w:rsidR="00872C1C">
          <w:rPr>
            <w:noProof/>
            <w:webHidden/>
          </w:rPr>
          <w:t>14</w:t>
        </w:r>
        <w:r w:rsidR="00872C1C">
          <w:rPr>
            <w:noProof/>
            <w:webHidden/>
          </w:rPr>
          <w:fldChar w:fldCharType="end"/>
        </w:r>
      </w:hyperlink>
    </w:p>
    <w:p w:rsidR="00872C1C" w:rsidRDefault="00207C5E" w:rsidP="00872C1C">
      <w:pPr>
        <w:pStyle w:val="TDC2"/>
        <w:ind w:left="0"/>
        <w:rPr>
          <w:rFonts w:asciiTheme="minorHAnsi" w:eastAsiaTheme="minorEastAsia" w:hAnsiTheme="minorHAnsi" w:cstheme="minorBidi"/>
          <w:noProof/>
          <w:szCs w:val="22"/>
          <w:lang w:val="es-ES" w:eastAsia="es-ES"/>
        </w:rPr>
      </w:pPr>
      <w:hyperlink w:anchor="_Toc467847960" w:history="1">
        <w:r w:rsidR="00872C1C" w:rsidRPr="0012289E">
          <w:rPr>
            <w:rStyle w:val="Hipervnculo"/>
            <w:noProof/>
          </w:rPr>
          <w:t>V.2. Gastos</w:t>
        </w:r>
        <w:r w:rsidR="00872C1C">
          <w:rPr>
            <w:noProof/>
            <w:webHidden/>
          </w:rPr>
          <w:tab/>
        </w:r>
        <w:r w:rsidR="00872C1C">
          <w:rPr>
            <w:noProof/>
            <w:webHidden/>
          </w:rPr>
          <w:fldChar w:fldCharType="begin"/>
        </w:r>
        <w:r w:rsidR="00872C1C">
          <w:rPr>
            <w:noProof/>
            <w:webHidden/>
          </w:rPr>
          <w:instrText xml:space="preserve"> PAGEREF _Toc467847960 \h </w:instrText>
        </w:r>
        <w:r w:rsidR="00872C1C">
          <w:rPr>
            <w:noProof/>
            <w:webHidden/>
          </w:rPr>
        </w:r>
        <w:r w:rsidR="00872C1C">
          <w:rPr>
            <w:noProof/>
            <w:webHidden/>
          </w:rPr>
          <w:fldChar w:fldCharType="separate"/>
        </w:r>
        <w:r w:rsidR="00872C1C">
          <w:rPr>
            <w:noProof/>
            <w:webHidden/>
          </w:rPr>
          <w:t>15</w:t>
        </w:r>
        <w:r w:rsidR="00872C1C">
          <w:rPr>
            <w:noProof/>
            <w:webHidden/>
          </w:rPr>
          <w:fldChar w:fldCharType="end"/>
        </w:r>
      </w:hyperlink>
    </w:p>
    <w:p w:rsidR="00872C1C" w:rsidRDefault="00207C5E" w:rsidP="00872C1C">
      <w:pPr>
        <w:pStyle w:val="TDC2"/>
        <w:ind w:left="0"/>
        <w:rPr>
          <w:rFonts w:asciiTheme="minorHAnsi" w:eastAsiaTheme="minorEastAsia" w:hAnsiTheme="minorHAnsi" w:cstheme="minorBidi"/>
          <w:noProof/>
          <w:szCs w:val="22"/>
          <w:lang w:val="es-ES" w:eastAsia="es-ES"/>
        </w:rPr>
      </w:pPr>
      <w:hyperlink w:anchor="_Toc467847961" w:history="1">
        <w:r w:rsidR="00872C1C" w:rsidRPr="0012289E">
          <w:rPr>
            <w:rStyle w:val="Hipervnculo"/>
            <w:noProof/>
          </w:rPr>
          <w:t>V.3. Situación financiera</w:t>
        </w:r>
        <w:r w:rsidR="00872C1C">
          <w:rPr>
            <w:noProof/>
            <w:webHidden/>
          </w:rPr>
          <w:tab/>
        </w:r>
        <w:r w:rsidR="00872C1C">
          <w:rPr>
            <w:noProof/>
            <w:webHidden/>
          </w:rPr>
          <w:fldChar w:fldCharType="begin"/>
        </w:r>
        <w:r w:rsidR="00872C1C">
          <w:rPr>
            <w:noProof/>
            <w:webHidden/>
          </w:rPr>
          <w:instrText xml:space="preserve"> PAGEREF _Toc467847961 \h </w:instrText>
        </w:r>
        <w:r w:rsidR="00872C1C">
          <w:rPr>
            <w:noProof/>
            <w:webHidden/>
          </w:rPr>
        </w:r>
        <w:r w:rsidR="00872C1C">
          <w:rPr>
            <w:noProof/>
            <w:webHidden/>
          </w:rPr>
          <w:fldChar w:fldCharType="separate"/>
        </w:r>
        <w:r w:rsidR="00872C1C">
          <w:rPr>
            <w:noProof/>
            <w:webHidden/>
          </w:rPr>
          <w:t>16</w:t>
        </w:r>
        <w:r w:rsidR="00872C1C">
          <w:rPr>
            <w:noProof/>
            <w:webHidden/>
          </w:rPr>
          <w:fldChar w:fldCharType="end"/>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62" w:history="1">
        <w:r w:rsidR="00872C1C" w:rsidRPr="0012289E">
          <w:rPr>
            <w:rStyle w:val="Hipervnculo"/>
            <w:noProof/>
          </w:rPr>
          <w:t>VI. Contratación administrativa</w:t>
        </w:r>
        <w:r w:rsidR="00872C1C">
          <w:rPr>
            <w:noProof/>
            <w:webHidden/>
          </w:rPr>
          <w:tab/>
        </w:r>
        <w:r w:rsidR="00872C1C">
          <w:rPr>
            <w:noProof/>
            <w:webHidden/>
          </w:rPr>
          <w:fldChar w:fldCharType="begin"/>
        </w:r>
        <w:r w:rsidR="00872C1C">
          <w:rPr>
            <w:noProof/>
            <w:webHidden/>
          </w:rPr>
          <w:instrText xml:space="preserve"> PAGEREF _Toc467847962 \h </w:instrText>
        </w:r>
        <w:r w:rsidR="00872C1C">
          <w:rPr>
            <w:noProof/>
            <w:webHidden/>
          </w:rPr>
        </w:r>
        <w:r w:rsidR="00872C1C">
          <w:rPr>
            <w:noProof/>
            <w:webHidden/>
          </w:rPr>
          <w:fldChar w:fldCharType="separate"/>
        </w:r>
        <w:r w:rsidR="00872C1C">
          <w:rPr>
            <w:noProof/>
            <w:webHidden/>
          </w:rPr>
          <w:t>18</w:t>
        </w:r>
        <w:r w:rsidR="00872C1C">
          <w:rPr>
            <w:noProof/>
            <w:webHidden/>
          </w:rPr>
          <w:fldChar w:fldCharType="end"/>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63" w:history="1">
        <w:r w:rsidR="00872C1C" w:rsidRPr="0012289E">
          <w:rPr>
            <w:rStyle w:val="Hipervnculo"/>
            <w:noProof/>
          </w:rPr>
          <w:t xml:space="preserve">VII. </w:t>
        </w:r>
        <w:r w:rsidR="00872C1C" w:rsidRPr="0012289E">
          <w:rPr>
            <w:rStyle w:val="Hipervnculo"/>
            <w:rFonts w:eastAsia="Calibri"/>
            <w:noProof/>
            <w:lang w:val="es-ES"/>
          </w:rPr>
          <w:t>Análisis jurídico de los acuerdos y convenios colectivos aplicables en las entidades locales más significativas de la Comunidad Foral de Navarra</w:t>
        </w:r>
        <w:r w:rsidR="00872C1C">
          <w:rPr>
            <w:noProof/>
            <w:webHidden/>
          </w:rPr>
          <w:tab/>
        </w:r>
        <w:r w:rsidR="00872C1C">
          <w:rPr>
            <w:noProof/>
            <w:webHidden/>
          </w:rPr>
          <w:fldChar w:fldCharType="begin"/>
        </w:r>
        <w:r w:rsidR="00872C1C">
          <w:rPr>
            <w:noProof/>
            <w:webHidden/>
          </w:rPr>
          <w:instrText xml:space="preserve"> PAGEREF _Toc467847963 \h </w:instrText>
        </w:r>
        <w:r w:rsidR="00872C1C">
          <w:rPr>
            <w:noProof/>
            <w:webHidden/>
          </w:rPr>
        </w:r>
        <w:r w:rsidR="00872C1C">
          <w:rPr>
            <w:noProof/>
            <w:webHidden/>
          </w:rPr>
          <w:fldChar w:fldCharType="separate"/>
        </w:r>
        <w:r w:rsidR="00872C1C">
          <w:rPr>
            <w:noProof/>
            <w:webHidden/>
          </w:rPr>
          <w:t>20</w:t>
        </w:r>
        <w:r w:rsidR="00872C1C">
          <w:rPr>
            <w:noProof/>
            <w:webHidden/>
          </w:rPr>
          <w:fldChar w:fldCharType="end"/>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64" w:history="1">
        <w:r w:rsidR="00872C1C" w:rsidRPr="0012289E">
          <w:rPr>
            <w:rStyle w:val="Hipervnculo"/>
            <w:noProof/>
          </w:rPr>
          <w:t>VIII. Conclusiones y recomendaciones</w:t>
        </w:r>
        <w:r w:rsidR="00872C1C">
          <w:rPr>
            <w:noProof/>
            <w:webHidden/>
          </w:rPr>
          <w:tab/>
        </w:r>
        <w:r w:rsidR="00872C1C">
          <w:rPr>
            <w:noProof/>
            <w:webHidden/>
          </w:rPr>
          <w:fldChar w:fldCharType="begin"/>
        </w:r>
        <w:r w:rsidR="00872C1C">
          <w:rPr>
            <w:noProof/>
            <w:webHidden/>
          </w:rPr>
          <w:instrText xml:space="preserve"> PAGEREF _Toc467847964 \h </w:instrText>
        </w:r>
        <w:r w:rsidR="00872C1C">
          <w:rPr>
            <w:noProof/>
            <w:webHidden/>
          </w:rPr>
        </w:r>
        <w:r w:rsidR="00872C1C">
          <w:rPr>
            <w:noProof/>
            <w:webHidden/>
          </w:rPr>
          <w:fldChar w:fldCharType="separate"/>
        </w:r>
        <w:r w:rsidR="00872C1C">
          <w:rPr>
            <w:noProof/>
            <w:webHidden/>
          </w:rPr>
          <w:t>24</w:t>
        </w:r>
        <w:r w:rsidR="00872C1C">
          <w:rPr>
            <w:noProof/>
            <w:webHidden/>
          </w:rPr>
          <w:fldChar w:fldCharType="end"/>
        </w:r>
      </w:hyperlink>
    </w:p>
    <w:p w:rsidR="00872C1C" w:rsidRDefault="00872C1C" w:rsidP="00872C1C">
      <w:pPr>
        <w:pStyle w:val="TDC1"/>
        <w:rPr>
          <w:rStyle w:val="Hipervnculo"/>
          <w:noProof/>
        </w:rPr>
      </w:pPr>
    </w:p>
    <w:p w:rsidR="00872C1C" w:rsidRDefault="00207C5E" w:rsidP="00872C1C">
      <w:pPr>
        <w:pStyle w:val="TDC1"/>
        <w:rPr>
          <w:rFonts w:asciiTheme="minorHAnsi" w:eastAsiaTheme="minorEastAsia" w:hAnsiTheme="minorHAnsi" w:cstheme="minorBidi"/>
          <w:noProof/>
          <w:szCs w:val="22"/>
          <w:lang w:val="es-ES" w:eastAsia="es-ES"/>
        </w:rPr>
      </w:pPr>
      <w:hyperlink w:anchor="_Toc467847965" w:history="1">
        <w:r w:rsidR="00872C1C" w:rsidRPr="0012289E">
          <w:rPr>
            <w:rStyle w:val="Hipervnculo"/>
            <w:noProof/>
          </w:rPr>
          <w:t>Anexo 1. Normativa aplicable a las entidades locales durante el ejercicio 2014</w:t>
        </w:r>
      </w:hyperlink>
    </w:p>
    <w:p w:rsidR="00872C1C" w:rsidRDefault="00207C5E" w:rsidP="00872C1C">
      <w:pPr>
        <w:pStyle w:val="TDC1"/>
        <w:rPr>
          <w:rFonts w:asciiTheme="minorHAnsi" w:eastAsiaTheme="minorEastAsia" w:hAnsiTheme="minorHAnsi" w:cstheme="minorBidi"/>
          <w:noProof/>
          <w:szCs w:val="22"/>
          <w:lang w:val="es-ES" w:eastAsia="es-ES"/>
        </w:rPr>
      </w:pPr>
      <w:hyperlink w:anchor="_Toc467847966" w:history="1">
        <w:r w:rsidR="00872C1C" w:rsidRPr="0012289E">
          <w:rPr>
            <w:rStyle w:val="Hipervnculo"/>
            <w:noProof/>
          </w:rPr>
          <w:t>Anexo 2. Situación financiera del sector público local de Navarra, año 2014 (CD)</w:t>
        </w:r>
      </w:hyperlink>
      <w:r w:rsidR="00872C1C">
        <w:rPr>
          <w:rFonts w:asciiTheme="minorHAnsi" w:eastAsiaTheme="minorEastAsia" w:hAnsiTheme="minorHAnsi" w:cstheme="minorBidi"/>
          <w:noProof/>
          <w:szCs w:val="22"/>
          <w:lang w:val="es-ES" w:eastAsia="es-ES"/>
        </w:rPr>
        <w:t xml:space="preserve"> </w:t>
      </w:r>
    </w:p>
    <w:p w:rsidR="00891D73" w:rsidRDefault="0014728F" w:rsidP="00872C1C">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85FA2" w:rsidRPr="00B4430A" w:rsidRDefault="00685FA2" w:rsidP="00685FA2">
      <w:pPr>
        <w:pStyle w:val="atitulo1"/>
      </w:pPr>
      <w:bookmarkStart w:id="0" w:name="_Toc291067874"/>
      <w:bookmarkStart w:id="1" w:name="_Toc121293081"/>
      <w:bookmarkStart w:id="2" w:name="_Toc121292758"/>
      <w:bookmarkStart w:id="3" w:name="_Toc399916257"/>
      <w:bookmarkStart w:id="4" w:name="_Toc465686680"/>
      <w:bookmarkStart w:id="5" w:name="_Toc467847951"/>
      <w:r w:rsidRPr="00B4430A">
        <w:lastRenderedPageBreak/>
        <w:t>I. Introducción</w:t>
      </w:r>
      <w:bookmarkEnd w:id="0"/>
      <w:bookmarkEnd w:id="1"/>
      <w:bookmarkEnd w:id="2"/>
      <w:bookmarkEnd w:id="3"/>
      <w:bookmarkEnd w:id="4"/>
      <w:bookmarkEnd w:id="5"/>
    </w:p>
    <w:p w:rsidR="00685FA2" w:rsidRPr="00B4430A" w:rsidRDefault="00685FA2" w:rsidP="00685FA2">
      <w:pPr>
        <w:pStyle w:val="texto"/>
      </w:pPr>
      <w:r w:rsidRPr="00B4430A">
        <w:t>El informe sobre el sector público local de Navarra se realiza, de acuerdo con la Ley Foral 19/1984, de 20 de diciembre, reguladora de la Cámara de Comptos, en cumplimiento de la Ley Foral 6/1990, de 2 de julio, de la Adm</w:t>
      </w:r>
      <w:r w:rsidRPr="00B4430A">
        <w:t>i</w:t>
      </w:r>
      <w:r w:rsidRPr="00B4430A">
        <w:t>nistración Local de Navarra. Así, el artículo 350.2 de dicha ley establece la obligación de remitir anualmente al Parlamento y al Gobierno de Navarra una memoria-resumen de las actuaciones de fiscalización y control de la Cámara de Comptos en el ámbito de las entidades locales de Navarra.</w:t>
      </w:r>
    </w:p>
    <w:p w:rsidR="00685FA2" w:rsidRPr="00B4430A" w:rsidRDefault="00685FA2" w:rsidP="00685FA2">
      <w:pPr>
        <w:pStyle w:val="texto"/>
      </w:pPr>
      <w:r w:rsidRPr="00B4430A">
        <w:t xml:space="preserve">El trabajo lo realizó </w:t>
      </w:r>
      <w:r>
        <w:t>a lo largo del mes</w:t>
      </w:r>
      <w:r w:rsidRPr="00B4430A">
        <w:t xml:space="preserve"> de </w:t>
      </w:r>
      <w:r>
        <w:t>octubre</w:t>
      </w:r>
      <w:r w:rsidRPr="00B4430A">
        <w:t xml:space="preserve"> un equipo integrado por un</w:t>
      </w:r>
      <w:r>
        <w:t>a</w:t>
      </w:r>
      <w:r w:rsidRPr="00B4430A">
        <w:t xml:space="preserve"> técnic</w:t>
      </w:r>
      <w:r>
        <w:t>a</w:t>
      </w:r>
      <w:r w:rsidRPr="00B4430A">
        <w:t xml:space="preserve"> de auditoría y una auditora, con la colaboración de los servicios j</w:t>
      </w:r>
      <w:r w:rsidRPr="00B4430A">
        <w:t>u</w:t>
      </w:r>
      <w:r w:rsidRPr="00B4430A">
        <w:t>rídicos, informáticos y administrativos de la Cámara de Comptos.</w:t>
      </w:r>
    </w:p>
    <w:p w:rsidR="003F5435" w:rsidRDefault="00685FA2" w:rsidP="00685FA2">
      <w:pPr>
        <w:pStyle w:val="texto"/>
      </w:pPr>
      <w:r w:rsidRPr="00B4430A">
        <w:t>Los plazos establecidos en la Ley Foral de Haciendas Locales para la apr</w:t>
      </w:r>
      <w:r w:rsidRPr="00B4430A">
        <w:t>o</w:t>
      </w:r>
      <w:r w:rsidRPr="00B4430A">
        <w:t>bación y remisión al Gobierno de la cuenta general de cada ejercicio por las e</w:t>
      </w:r>
      <w:r w:rsidRPr="00B4430A">
        <w:t>n</w:t>
      </w:r>
      <w:r w:rsidRPr="00B4430A">
        <w:t>tidades locales y la complejidad del tratamiento de dicha información, explican que el informe</w:t>
      </w:r>
      <w:r w:rsidR="003F5435">
        <w:t xml:space="preserve"> relativo al ejercicio de 2014</w:t>
      </w:r>
      <w:r w:rsidRPr="00B4430A">
        <w:t xml:space="preserve"> no pueda realizarse con anterior</w:t>
      </w:r>
      <w:r w:rsidRPr="00B4430A">
        <w:t>i</w:t>
      </w:r>
      <w:r w:rsidRPr="00B4430A">
        <w:t>dad.</w:t>
      </w:r>
      <w:r>
        <w:t xml:space="preserve"> </w:t>
      </w:r>
    </w:p>
    <w:p w:rsidR="00685FA2" w:rsidRPr="00B4430A" w:rsidRDefault="00685FA2" w:rsidP="00685FA2">
      <w:pPr>
        <w:pStyle w:val="texto"/>
      </w:pPr>
      <w:r w:rsidRPr="00B4430A">
        <w:t>Agradecemos al personal de las entidades locales de Navarra, de la Dire</w:t>
      </w:r>
      <w:r w:rsidRPr="00B4430A">
        <w:t>c</w:t>
      </w:r>
      <w:r w:rsidRPr="00B4430A">
        <w:t>ción General de Administración Local y de la Federación Navarra de Munic</w:t>
      </w:r>
      <w:r w:rsidRPr="00B4430A">
        <w:t>i</w:t>
      </w:r>
      <w:r w:rsidRPr="00B4430A">
        <w:t>pios y Concejos, la colaboración prestada en la realización del presente trabajo.</w:t>
      </w:r>
    </w:p>
    <w:p w:rsidR="00685FA2" w:rsidRDefault="00685FA2" w:rsidP="00685FA2">
      <w:pPr>
        <w:pStyle w:val="texto"/>
      </w:pPr>
      <w:r w:rsidRPr="00B4430A">
        <w:rPr>
          <w:spacing w:val="0"/>
          <w:sz w:val="20"/>
          <w:szCs w:val="20"/>
          <w:highlight w:val="yellow"/>
        </w:rPr>
        <w:br w:type="page"/>
      </w:r>
    </w:p>
    <w:p w:rsidR="00685FA2" w:rsidRPr="00B4430A" w:rsidRDefault="00685FA2" w:rsidP="00685FA2">
      <w:pPr>
        <w:pStyle w:val="atitulo1"/>
      </w:pPr>
      <w:bookmarkStart w:id="6" w:name="_Toc121292759"/>
      <w:bookmarkStart w:id="7" w:name="_Toc121293082"/>
      <w:bookmarkStart w:id="8" w:name="_Toc291067875"/>
      <w:bookmarkStart w:id="9" w:name="_Toc399916258"/>
      <w:bookmarkStart w:id="10" w:name="_Toc465686681"/>
      <w:bookmarkStart w:id="11" w:name="_Toc467847952"/>
      <w:r w:rsidRPr="00B4430A">
        <w:lastRenderedPageBreak/>
        <w:t>II. Objetivo</w:t>
      </w:r>
      <w:bookmarkEnd w:id="6"/>
      <w:bookmarkEnd w:id="7"/>
      <w:r w:rsidRPr="00B4430A">
        <w:t>s y alcance del trabajo</w:t>
      </w:r>
      <w:bookmarkEnd w:id="8"/>
      <w:bookmarkEnd w:id="9"/>
      <w:bookmarkEnd w:id="10"/>
      <w:bookmarkEnd w:id="11"/>
    </w:p>
    <w:p w:rsidR="00685FA2" w:rsidRPr="00685FA2" w:rsidRDefault="00685FA2" w:rsidP="00685FA2">
      <w:pPr>
        <w:pStyle w:val="texto"/>
      </w:pPr>
      <w:r w:rsidRPr="00685FA2">
        <w:t>Los objetivos de este trabajo son:</w:t>
      </w:r>
    </w:p>
    <w:p w:rsidR="00685FA2" w:rsidRPr="00B4430A"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685FA2">
        <w:rPr>
          <w:rFonts w:cs="Arial"/>
          <w:spacing w:val="6"/>
          <w:sz w:val="26"/>
          <w:szCs w:val="24"/>
        </w:rPr>
        <w:t>Presentar una memoria-resumen de las actuaciones de fiscalización y co</w:t>
      </w:r>
      <w:r w:rsidRPr="00685FA2">
        <w:rPr>
          <w:rFonts w:cs="Arial"/>
          <w:spacing w:val="6"/>
          <w:sz w:val="26"/>
          <w:szCs w:val="24"/>
        </w:rPr>
        <w:t>n</w:t>
      </w:r>
      <w:r w:rsidRPr="00B4430A">
        <w:rPr>
          <w:rFonts w:cs="Arial"/>
          <w:spacing w:val="6"/>
          <w:sz w:val="26"/>
          <w:szCs w:val="24"/>
        </w:rPr>
        <w:t>trol que esta Cámara realizó en el ámbito de las entidades locales de Navarra correspondientes al ejercicio 201</w:t>
      </w:r>
      <w:r>
        <w:rPr>
          <w:rFonts w:cs="Arial"/>
          <w:spacing w:val="6"/>
          <w:sz w:val="26"/>
          <w:szCs w:val="24"/>
        </w:rPr>
        <w:t>4</w:t>
      </w:r>
      <w:r w:rsidRPr="00B4430A">
        <w:rPr>
          <w:rFonts w:cs="Arial"/>
          <w:spacing w:val="6"/>
          <w:sz w:val="26"/>
          <w:szCs w:val="24"/>
        </w:rPr>
        <w:t>.</w:t>
      </w:r>
    </w:p>
    <w:p w:rsidR="00685FA2"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B4430A">
        <w:rPr>
          <w:rFonts w:cs="Arial"/>
          <w:spacing w:val="6"/>
          <w:sz w:val="26"/>
          <w:szCs w:val="24"/>
        </w:rPr>
        <w:t>Ofrecer al Parlamento, a las Administraciones Públicas y a la sociedad de Navarra una visión de la organización y de la situación financiera de las ent</w:t>
      </w:r>
      <w:r w:rsidRPr="00B4430A">
        <w:rPr>
          <w:rFonts w:cs="Arial"/>
          <w:spacing w:val="6"/>
          <w:sz w:val="26"/>
          <w:szCs w:val="24"/>
        </w:rPr>
        <w:t>i</w:t>
      </w:r>
      <w:r w:rsidRPr="00B4430A">
        <w:rPr>
          <w:rFonts w:cs="Arial"/>
          <w:spacing w:val="6"/>
          <w:sz w:val="26"/>
          <w:szCs w:val="24"/>
        </w:rPr>
        <w:t>dades locales de Navarra en el año 201</w:t>
      </w:r>
      <w:r>
        <w:rPr>
          <w:rFonts w:cs="Arial"/>
          <w:spacing w:val="6"/>
          <w:sz w:val="26"/>
          <w:szCs w:val="24"/>
        </w:rPr>
        <w:t>4</w:t>
      </w:r>
      <w:r w:rsidRPr="00B4430A">
        <w:rPr>
          <w:rFonts w:cs="Arial"/>
          <w:spacing w:val="6"/>
          <w:sz w:val="26"/>
          <w:szCs w:val="24"/>
        </w:rPr>
        <w:t>.</w:t>
      </w:r>
    </w:p>
    <w:p w:rsidR="003F5435" w:rsidRPr="00B4430A" w:rsidRDefault="003F5435"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Pr>
          <w:rFonts w:cs="Arial"/>
          <w:spacing w:val="6"/>
          <w:sz w:val="26"/>
          <w:szCs w:val="24"/>
        </w:rPr>
        <w:t>Analizar los acuerdos y convenios colectivos aplicables al personal de las entidades locales más significativas de la Comunidad Foral de Navarra.</w:t>
      </w:r>
    </w:p>
    <w:p w:rsidR="00685FA2" w:rsidRPr="00B4430A"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B4430A">
        <w:rPr>
          <w:rFonts w:cs="Arial"/>
          <w:spacing w:val="6"/>
          <w:sz w:val="26"/>
          <w:szCs w:val="24"/>
        </w:rPr>
        <w:t>Proponer al Parlamento, al Gobierno y a los entes locales de Navarra r</w:t>
      </w:r>
      <w:r w:rsidRPr="00B4430A">
        <w:rPr>
          <w:rFonts w:cs="Arial"/>
          <w:spacing w:val="6"/>
          <w:sz w:val="26"/>
          <w:szCs w:val="24"/>
        </w:rPr>
        <w:t>e</w:t>
      </w:r>
      <w:r w:rsidRPr="00B4430A">
        <w:rPr>
          <w:rFonts w:cs="Arial"/>
          <w:spacing w:val="6"/>
          <w:sz w:val="26"/>
          <w:szCs w:val="24"/>
        </w:rPr>
        <w:t>comendaciones para mejorar la gestión de estas entidades.</w:t>
      </w:r>
    </w:p>
    <w:p w:rsidR="00685FA2" w:rsidRPr="00B4430A" w:rsidRDefault="00685FA2" w:rsidP="00685FA2">
      <w:pPr>
        <w:pStyle w:val="texto"/>
      </w:pPr>
      <w:r w:rsidRPr="00B4430A">
        <w:t xml:space="preserve">El alcance del trabajo es </w:t>
      </w:r>
      <w:r>
        <w:t>la información contable del ejercicio 2014 de las entida</w:t>
      </w:r>
      <w:r w:rsidRPr="00B4430A">
        <w:t>des locales de Navarra que está integrada por:</w:t>
      </w:r>
    </w:p>
    <w:p w:rsidR="00685FA2" w:rsidRPr="00B4430A"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B4430A">
        <w:rPr>
          <w:rFonts w:cs="Arial"/>
          <w:spacing w:val="6"/>
          <w:sz w:val="26"/>
          <w:szCs w:val="24"/>
        </w:rPr>
        <w:t>La de los propios municipios, así como la de sus organismos autónomos.</w:t>
      </w:r>
    </w:p>
    <w:p w:rsidR="00685FA2" w:rsidRPr="00B4430A"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B4430A">
        <w:rPr>
          <w:rFonts w:cs="Arial"/>
          <w:spacing w:val="6"/>
          <w:sz w:val="26"/>
          <w:szCs w:val="24"/>
        </w:rPr>
        <w:t>La de los concejos, mancomunidades y agrupaciones tradicionales.</w:t>
      </w:r>
    </w:p>
    <w:p w:rsidR="00685FA2"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B4430A">
        <w:rPr>
          <w:rFonts w:cs="Arial"/>
          <w:spacing w:val="6"/>
          <w:sz w:val="26"/>
          <w:szCs w:val="24"/>
        </w:rPr>
        <w:t>La de las sociedades mercantiles de capital íntegramente propiedad de las entidades locales.</w:t>
      </w:r>
    </w:p>
    <w:p w:rsidR="003F5435" w:rsidRDefault="003F5435"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Pr>
          <w:rFonts w:cs="Arial"/>
          <w:spacing w:val="6"/>
          <w:sz w:val="26"/>
          <w:szCs w:val="24"/>
        </w:rPr>
        <w:t>Los convenios y acuerdos colectivos aplicables a una muestra de entidades locales formada por los ayuntamientos de: Pamplona, Tudela, Barañáin, Burl</w:t>
      </w:r>
      <w:r>
        <w:rPr>
          <w:rFonts w:cs="Arial"/>
          <w:spacing w:val="6"/>
          <w:sz w:val="26"/>
          <w:szCs w:val="24"/>
        </w:rPr>
        <w:t>a</w:t>
      </w:r>
      <w:r>
        <w:rPr>
          <w:rFonts w:cs="Arial"/>
          <w:spacing w:val="6"/>
          <w:sz w:val="26"/>
          <w:szCs w:val="24"/>
        </w:rPr>
        <w:t>da, Estella, Tafalla y Valle de Egüés.</w:t>
      </w:r>
    </w:p>
    <w:p w:rsidR="00685FA2" w:rsidRPr="00B4430A" w:rsidRDefault="00685FA2" w:rsidP="00685FA2">
      <w:pPr>
        <w:pStyle w:val="texto"/>
      </w:pPr>
      <w:r w:rsidRPr="00B4430A">
        <w:t xml:space="preserve">Las conclusiones sobre la situación financiera del </w:t>
      </w:r>
      <w:r>
        <w:t>s</w:t>
      </w:r>
      <w:r w:rsidRPr="00B4430A">
        <w:t xml:space="preserve">ector </w:t>
      </w:r>
      <w:r>
        <w:t>p</w:t>
      </w:r>
      <w:r w:rsidRPr="00B4430A">
        <w:t xml:space="preserve">úblico </w:t>
      </w:r>
      <w:r>
        <w:t>l</w:t>
      </w:r>
      <w:r w:rsidRPr="00B4430A">
        <w:t>ocal están basadas en el informe que realizó y remitió a esta Cámara la Dirección General de Administración Local.</w:t>
      </w:r>
    </w:p>
    <w:p w:rsidR="00685FA2" w:rsidRPr="00B4430A" w:rsidRDefault="00685FA2" w:rsidP="00685FA2">
      <w:pPr>
        <w:pStyle w:val="texto"/>
      </w:pPr>
      <w:r w:rsidRPr="00B4430A">
        <w:t>En el análisis de la situación financiera no se consideran los siguientes entes locales que, a la fecha de realizar el informe de Administración Local</w:t>
      </w:r>
      <w:r>
        <w:t xml:space="preserve"> (se</w:t>
      </w:r>
      <w:r>
        <w:t>p</w:t>
      </w:r>
      <w:r>
        <w:t>tiembre de 2016)</w:t>
      </w:r>
      <w:r w:rsidRPr="00B4430A">
        <w:t>, no habían remitido a la Administración Foral la cuenta gen</w:t>
      </w:r>
      <w:r w:rsidRPr="00B4430A">
        <w:t>e</w:t>
      </w:r>
      <w:r w:rsidRPr="00B4430A">
        <w:t>ral del 201</w:t>
      </w:r>
      <w:r>
        <w:t>4</w:t>
      </w:r>
      <w:r w:rsidRPr="00B4430A">
        <w:t>:</w:t>
      </w:r>
    </w:p>
    <w:p w:rsidR="00685FA2" w:rsidRPr="00B4430A"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Pr>
          <w:rFonts w:cs="Arial"/>
          <w:spacing w:val="6"/>
          <w:sz w:val="26"/>
          <w:szCs w:val="24"/>
        </w:rPr>
        <w:t>D</w:t>
      </w:r>
      <w:r w:rsidR="003F5435">
        <w:rPr>
          <w:rFonts w:cs="Arial"/>
          <w:spacing w:val="6"/>
          <w:sz w:val="26"/>
          <w:szCs w:val="24"/>
        </w:rPr>
        <w:t xml:space="preserve">e </w:t>
      </w:r>
      <w:r w:rsidRPr="00B4430A">
        <w:rPr>
          <w:rFonts w:cs="Arial"/>
          <w:spacing w:val="6"/>
          <w:sz w:val="26"/>
          <w:szCs w:val="24"/>
        </w:rPr>
        <w:t xml:space="preserve">los 272 </w:t>
      </w:r>
      <w:r w:rsidR="003F5435">
        <w:rPr>
          <w:rFonts w:cs="Arial"/>
          <w:spacing w:val="6"/>
          <w:sz w:val="26"/>
          <w:szCs w:val="24"/>
        </w:rPr>
        <w:t>m</w:t>
      </w:r>
      <w:r w:rsidRPr="00B4430A">
        <w:rPr>
          <w:rFonts w:cs="Arial"/>
          <w:spacing w:val="6"/>
          <w:sz w:val="26"/>
          <w:szCs w:val="24"/>
        </w:rPr>
        <w:t>unicipios</w:t>
      </w:r>
      <w:r w:rsidR="003F5435">
        <w:rPr>
          <w:rFonts w:cs="Arial"/>
          <w:spacing w:val="6"/>
          <w:sz w:val="26"/>
          <w:szCs w:val="24"/>
        </w:rPr>
        <w:t>, dos</w:t>
      </w:r>
      <w:r w:rsidRPr="00B4430A">
        <w:rPr>
          <w:rFonts w:cs="Arial"/>
          <w:spacing w:val="6"/>
          <w:sz w:val="26"/>
          <w:szCs w:val="24"/>
        </w:rPr>
        <w:t xml:space="preserve">: </w:t>
      </w:r>
      <w:r>
        <w:rPr>
          <w:rFonts w:cs="Arial"/>
          <w:spacing w:val="6"/>
          <w:sz w:val="26"/>
          <w:szCs w:val="24"/>
        </w:rPr>
        <w:t xml:space="preserve">Biurrun/Olcoz y </w:t>
      </w:r>
      <w:r w:rsidRPr="00B4430A">
        <w:rPr>
          <w:rFonts w:cs="Arial"/>
          <w:spacing w:val="6"/>
          <w:sz w:val="26"/>
          <w:szCs w:val="24"/>
        </w:rPr>
        <w:t xml:space="preserve">Yesa. La población de estos municipios </w:t>
      </w:r>
      <w:r>
        <w:rPr>
          <w:rFonts w:cs="Arial"/>
          <w:spacing w:val="6"/>
          <w:sz w:val="26"/>
          <w:szCs w:val="24"/>
        </w:rPr>
        <w:t>asciende a 446 habitantes y representa el 0,1</w:t>
      </w:r>
      <w:r w:rsidRPr="00B4430A">
        <w:rPr>
          <w:rFonts w:cs="Arial"/>
          <w:spacing w:val="6"/>
          <w:sz w:val="26"/>
          <w:szCs w:val="24"/>
        </w:rPr>
        <w:t xml:space="preserve"> por ciento de la pobl</w:t>
      </w:r>
      <w:r w:rsidRPr="00B4430A">
        <w:rPr>
          <w:rFonts w:cs="Arial"/>
          <w:spacing w:val="6"/>
          <w:sz w:val="26"/>
          <w:szCs w:val="24"/>
        </w:rPr>
        <w:t>a</w:t>
      </w:r>
      <w:r w:rsidRPr="00B4430A">
        <w:rPr>
          <w:rFonts w:cs="Arial"/>
          <w:spacing w:val="6"/>
          <w:sz w:val="26"/>
          <w:szCs w:val="24"/>
        </w:rPr>
        <w:t>ción total.</w:t>
      </w:r>
      <w:r>
        <w:rPr>
          <w:rFonts w:cs="Arial"/>
          <w:spacing w:val="6"/>
          <w:sz w:val="26"/>
          <w:szCs w:val="24"/>
        </w:rPr>
        <w:t xml:space="preserve"> </w:t>
      </w:r>
    </w:p>
    <w:p w:rsidR="00685FA2" w:rsidRPr="00B4430A" w:rsidRDefault="003F5435"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Pr>
          <w:rFonts w:cs="Arial"/>
          <w:spacing w:val="6"/>
          <w:sz w:val="26"/>
          <w:szCs w:val="24"/>
        </w:rPr>
        <w:t xml:space="preserve">Un total de </w:t>
      </w:r>
      <w:r w:rsidR="00685FA2">
        <w:rPr>
          <w:rFonts w:cs="Arial"/>
          <w:spacing w:val="6"/>
          <w:sz w:val="26"/>
          <w:szCs w:val="24"/>
        </w:rPr>
        <w:t>44</w:t>
      </w:r>
      <w:r w:rsidR="00685FA2" w:rsidRPr="00B4430A">
        <w:rPr>
          <w:rFonts w:cs="Arial"/>
          <w:spacing w:val="6"/>
          <w:sz w:val="26"/>
          <w:szCs w:val="24"/>
        </w:rPr>
        <w:t xml:space="preserve"> de los 34</w:t>
      </w:r>
      <w:r w:rsidR="00685FA2">
        <w:rPr>
          <w:rFonts w:cs="Arial"/>
          <w:spacing w:val="6"/>
          <w:sz w:val="26"/>
          <w:szCs w:val="24"/>
        </w:rPr>
        <w:t>7</w:t>
      </w:r>
      <w:r w:rsidR="00685FA2" w:rsidRPr="00B4430A">
        <w:rPr>
          <w:rFonts w:cs="Arial"/>
          <w:spacing w:val="6"/>
          <w:sz w:val="26"/>
          <w:szCs w:val="24"/>
        </w:rPr>
        <w:t xml:space="preserve"> </w:t>
      </w:r>
      <w:r>
        <w:rPr>
          <w:rFonts w:cs="Arial"/>
          <w:spacing w:val="6"/>
          <w:sz w:val="26"/>
          <w:szCs w:val="24"/>
        </w:rPr>
        <w:t>c</w:t>
      </w:r>
      <w:r w:rsidR="00685FA2" w:rsidRPr="00B4430A">
        <w:rPr>
          <w:rFonts w:cs="Arial"/>
          <w:spacing w:val="6"/>
          <w:sz w:val="26"/>
          <w:szCs w:val="24"/>
        </w:rPr>
        <w:t>oncejos:</w:t>
      </w:r>
      <w:r w:rsidR="00685FA2">
        <w:rPr>
          <w:rFonts w:cs="Arial"/>
          <w:spacing w:val="6"/>
          <w:sz w:val="26"/>
          <w:szCs w:val="24"/>
        </w:rPr>
        <w:t xml:space="preserve"> </w:t>
      </w:r>
      <w:r w:rsidR="00685FA2" w:rsidRPr="00B4430A">
        <w:rPr>
          <w:rFonts w:cs="Arial"/>
          <w:spacing w:val="6"/>
          <w:sz w:val="26"/>
          <w:szCs w:val="24"/>
        </w:rPr>
        <w:t>Aizpún, Amillano, Antxoritz, Arame</w:t>
      </w:r>
      <w:r w:rsidR="00685FA2" w:rsidRPr="00B4430A">
        <w:rPr>
          <w:rFonts w:cs="Arial"/>
          <w:spacing w:val="6"/>
          <w:sz w:val="26"/>
          <w:szCs w:val="24"/>
        </w:rPr>
        <w:t>n</w:t>
      </w:r>
      <w:r w:rsidR="00685FA2" w:rsidRPr="00B4430A">
        <w:rPr>
          <w:rFonts w:cs="Arial"/>
          <w:spacing w:val="6"/>
          <w:sz w:val="26"/>
          <w:szCs w:val="24"/>
        </w:rPr>
        <w:t xml:space="preserve">dia, </w:t>
      </w:r>
      <w:r w:rsidR="00685FA2">
        <w:rPr>
          <w:rFonts w:cs="Arial"/>
          <w:spacing w:val="6"/>
          <w:sz w:val="26"/>
          <w:szCs w:val="24"/>
        </w:rPr>
        <w:t>Arboniés, A</w:t>
      </w:r>
      <w:r w:rsidR="00685FA2" w:rsidRPr="00B4430A">
        <w:rPr>
          <w:rFonts w:cs="Arial"/>
          <w:spacing w:val="6"/>
          <w:sz w:val="26"/>
          <w:szCs w:val="24"/>
        </w:rPr>
        <w:t xml:space="preserve">rlegui, Arraiza, </w:t>
      </w:r>
      <w:r w:rsidR="00685FA2">
        <w:rPr>
          <w:rFonts w:cs="Arial"/>
          <w:spacing w:val="6"/>
          <w:sz w:val="26"/>
          <w:szCs w:val="24"/>
        </w:rPr>
        <w:t xml:space="preserve">Arruitz, </w:t>
      </w:r>
      <w:r w:rsidR="00685FA2" w:rsidRPr="00B4430A">
        <w:rPr>
          <w:rFonts w:cs="Arial"/>
          <w:spacing w:val="6"/>
          <w:sz w:val="26"/>
          <w:szCs w:val="24"/>
        </w:rPr>
        <w:t>Artaza, Ar</w:t>
      </w:r>
      <w:r w:rsidR="00685FA2">
        <w:rPr>
          <w:rFonts w:cs="Arial"/>
          <w:spacing w:val="6"/>
          <w:sz w:val="26"/>
          <w:szCs w:val="24"/>
        </w:rPr>
        <w:t>teta</w:t>
      </w:r>
      <w:r w:rsidR="00685FA2" w:rsidRPr="00B4430A">
        <w:rPr>
          <w:rFonts w:cs="Arial"/>
          <w:spacing w:val="6"/>
          <w:sz w:val="26"/>
          <w:szCs w:val="24"/>
        </w:rPr>
        <w:t xml:space="preserve">, </w:t>
      </w:r>
      <w:r w:rsidR="00685FA2">
        <w:rPr>
          <w:rFonts w:cs="Arial"/>
          <w:spacing w:val="6"/>
          <w:sz w:val="26"/>
          <w:szCs w:val="24"/>
        </w:rPr>
        <w:t>Beasoain-Eguíllor, B</w:t>
      </w:r>
      <w:r w:rsidR="00685FA2">
        <w:rPr>
          <w:rFonts w:cs="Arial"/>
          <w:spacing w:val="6"/>
          <w:sz w:val="26"/>
          <w:szCs w:val="24"/>
        </w:rPr>
        <w:t>e</w:t>
      </w:r>
      <w:r w:rsidR="00685FA2">
        <w:rPr>
          <w:rFonts w:cs="Arial"/>
          <w:spacing w:val="6"/>
          <w:sz w:val="26"/>
          <w:szCs w:val="24"/>
        </w:rPr>
        <w:t xml:space="preserve">ruete, Biurrun, Ecala, </w:t>
      </w:r>
      <w:r w:rsidR="00685FA2" w:rsidRPr="00B4430A">
        <w:rPr>
          <w:rFonts w:cs="Arial"/>
          <w:spacing w:val="6"/>
          <w:sz w:val="26"/>
          <w:szCs w:val="24"/>
        </w:rPr>
        <w:t>Echa</w:t>
      </w:r>
      <w:r w:rsidR="00685FA2">
        <w:rPr>
          <w:rFonts w:cs="Arial"/>
          <w:spacing w:val="6"/>
          <w:sz w:val="26"/>
          <w:szCs w:val="24"/>
        </w:rPr>
        <w:t>güe,</w:t>
      </w:r>
      <w:r w:rsidR="00685FA2" w:rsidRPr="00B4430A">
        <w:rPr>
          <w:rFonts w:cs="Arial"/>
          <w:spacing w:val="6"/>
          <w:sz w:val="26"/>
          <w:szCs w:val="24"/>
        </w:rPr>
        <w:t xml:space="preserve"> Erro, </w:t>
      </w:r>
      <w:r w:rsidR="00685FA2">
        <w:rPr>
          <w:rFonts w:cs="Arial"/>
          <w:spacing w:val="6"/>
          <w:sz w:val="26"/>
          <w:szCs w:val="24"/>
        </w:rPr>
        <w:t xml:space="preserve">Etxaleku, </w:t>
      </w:r>
      <w:r w:rsidR="00685FA2" w:rsidRPr="00B4430A">
        <w:rPr>
          <w:rFonts w:cs="Arial"/>
          <w:spacing w:val="6"/>
          <w:sz w:val="26"/>
          <w:szCs w:val="24"/>
        </w:rPr>
        <w:t xml:space="preserve">Etxarri, Gazólaz, </w:t>
      </w:r>
      <w:r w:rsidR="00685FA2">
        <w:rPr>
          <w:rFonts w:cs="Arial"/>
          <w:spacing w:val="6"/>
          <w:sz w:val="26"/>
          <w:szCs w:val="24"/>
        </w:rPr>
        <w:t xml:space="preserve">Gollano, </w:t>
      </w:r>
      <w:r w:rsidR="00685FA2" w:rsidRPr="00B4430A">
        <w:rPr>
          <w:rFonts w:cs="Arial"/>
          <w:spacing w:val="6"/>
          <w:sz w:val="26"/>
          <w:szCs w:val="24"/>
        </w:rPr>
        <w:t>G</w:t>
      </w:r>
      <w:r w:rsidR="00685FA2" w:rsidRPr="00B4430A">
        <w:rPr>
          <w:rFonts w:cs="Arial"/>
          <w:spacing w:val="6"/>
          <w:sz w:val="26"/>
          <w:szCs w:val="24"/>
        </w:rPr>
        <w:t>o</w:t>
      </w:r>
      <w:r w:rsidR="00685FA2" w:rsidRPr="00B4430A">
        <w:rPr>
          <w:rFonts w:cs="Arial"/>
          <w:spacing w:val="6"/>
          <w:sz w:val="26"/>
          <w:szCs w:val="24"/>
        </w:rPr>
        <w:t xml:space="preserve">ñi, Gorrontz-Olano, </w:t>
      </w:r>
      <w:r w:rsidR="00685FA2">
        <w:rPr>
          <w:rFonts w:cs="Arial"/>
          <w:spacing w:val="6"/>
          <w:sz w:val="26"/>
          <w:szCs w:val="24"/>
        </w:rPr>
        <w:t>I</w:t>
      </w:r>
      <w:r w:rsidR="00685FA2" w:rsidRPr="00B4430A">
        <w:rPr>
          <w:rFonts w:cs="Arial"/>
          <w:spacing w:val="6"/>
          <w:sz w:val="26"/>
          <w:szCs w:val="24"/>
        </w:rPr>
        <w:t xml:space="preserve">lzarbe, </w:t>
      </w:r>
      <w:r w:rsidR="00685FA2">
        <w:rPr>
          <w:rFonts w:cs="Arial"/>
          <w:spacing w:val="6"/>
          <w:sz w:val="26"/>
          <w:szCs w:val="24"/>
        </w:rPr>
        <w:t>Jauntsarats, L</w:t>
      </w:r>
      <w:r w:rsidR="00685FA2" w:rsidRPr="00B4430A">
        <w:rPr>
          <w:rFonts w:cs="Arial"/>
          <w:spacing w:val="6"/>
          <w:sz w:val="26"/>
          <w:szCs w:val="24"/>
        </w:rPr>
        <w:t xml:space="preserve">apoblación, Larráyoz, </w:t>
      </w:r>
      <w:r w:rsidR="00685FA2">
        <w:rPr>
          <w:rFonts w:cs="Arial"/>
          <w:spacing w:val="6"/>
          <w:sz w:val="26"/>
          <w:szCs w:val="24"/>
        </w:rPr>
        <w:t>Lizarragabe</w:t>
      </w:r>
      <w:r w:rsidR="00685FA2">
        <w:rPr>
          <w:rFonts w:cs="Arial"/>
          <w:spacing w:val="6"/>
          <w:sz w:val="26"/>
          <w:szCs w:val="24"/>
        </w:rPr>
        <w:t>n</w:t>
      </w:r>
      <w:r w:rsidR="00685FA2">
        <w:rPr>
          <w:rFonts w:cs="Arial"/>
          <w:spacing w:val="6"/>
          <w:sz w:val="26"/>
          <w:szCs w:val="24"/>
        </w:rPr>
        <w:t xml:space="preserve">goa, </w:t>
      </w:r>
      <w:r w:rsidR="00685FA2" w:rsidRPr="00B4430A">
        <w:rPr>
          <w:rFonts w:cs="Arial"/>
          <w:spacing w:val="6"/>
          <w:sz w:val="26"/>
          <w:szCs w:val="24"/>
        </w:rPr>
        <w:t xml:space="preserve">Lizasoáin, </w:t>
      </w:r>
      <w:r w:rsidR="00685FA2">
        <w:rPr>
          <w:rFonts w:cs="Arial"/>
          <w:spacing w:val="6"/>
          <w:sz w:val="26"/>
          <w:szCs w:val="24"/>
        </w:rPr>
        <w:t xml:space="preserve">Loza, </w:t>
      </w:r>
      <w:r w:rsidR="00685FA2" w:rsidRPr="00B4430A">
        <w:rPr>
          <w:rFonts w:cs="Arial"/>
          <w:spacing w:val="6"/>
          <w:sz w:val="26"/>
          <w:szCs w:val="24"/>
        </w:rPr>
        <w:t xml:space="preserve">Olaiz, </w:t>
      </w:r>
      <w:r w:rsidR="00685FA2">
        <w:rPr>
          <w:rFonts w:cs="Arial"/>
          <w:spacing w:val="6"/>
          <w:sz w:val="26"/>
          <w:szCs w:val="24"/>
        </w:rPr>
        <w:t xml:space="preserve">Olave, </w:t>
      </w:r>
      <w:r w:rsidR="00685FA2" w:rsidRPr="00B4430A">
        <w:rPr>
          <w:rFonts w:cs="Arial"/>
          <w:spacing w:val="6"/>
          <w:sz w:val="26"/>
          <w:szCs w:val="24"/>
        </w:rPr>
        <w:t xml:space="preserve">Olaz, Olcoz, Olóriz, </w:t>
      </w:r>
      <w:r w:rsidR="00685FA2">
        <w:rPr>
          <w:rFonts w:cs="Arial"/>
          <w:spacing w:val="6"/>
          <w:sz w:val="26"/>
          <w:szCs w:val="24"/>
        </w:rPr>
        <w:t xml:space="preserve">Oskotz, San Martín de </w:t>
      </w:r>
      <w:r w:rsidR="00685FA2">
        <w:rPr>
          <w:rFonts w:cs="Arial"/>
          <w:spacing w:val="6"/>
          <w:sz w:val="26"/>
          <w:szCs w:val="24"/>
        </w:rPr>
        <w:lastRenderedPageBreak/>
        <w:t xml:space="preserve">Améscoa, Sarasibar, </w:t>
      </w:r>
      <w:r w:rsidR="00685FA2" w:rsidRPr="00B4430A">
        <w:rPr>
          <w:rFonts w:cs="Arial"/>
          <w:spacing w:val="6"/>
          <w:sz w:val="26"/>
          <w:szCs w:val="24"/>
        </w:rPr>
        <w:t>Senosi</w:t>
      </w:r>
      <w:r w:rsidR="00685FA2">
        <w:rPr>
          <w:rFonts w:cs="Arial"/>
          <w:spacing w:val="6"/>
          <w:sz w:val="26"/>
          <w:szCs w:val="24"/>
        </w:rPr>
        <w:t>á</w:t>
      </w:r>
      <w:r w:rsidR="00685FA2" w:rsidRPr="00B4430A">
        <w:rPr>
          <w:rFonts w:cs="Arial"/>
          <w:spacing w:val="6"/>
          <w:sz w:val="26"/>
          <w:szCs w:val="24"/>
        </w:rPr>
        <w:t>in, Sorauren, Undiano, Unzu,</w:t>
      </w:r>
      <w:r w:rsidR="00685FA2">
        <w:rPr>
          <w:rFonts w:cs="Arial"/>
          <w:spacing w:val="6"/>
          <w:sz w:val="26"/>
          <w:szCs w:val="24"/>
        </w:rPr>
        <w:t xml:space="preserve"> Villaveta, </w:t>
      </w:r>
      <w:r w:rsidR="00685FA2" w:rsidRPr="00B4430A">
        <w:rPr>
          <w:rFonts w:cs="Arial"/>
          <w:spacing w:val="6"/>
          <w:sz w:val="26"/>
          <w:szCs w:val="24"/>
        </w:rPr>
        <w:t>Zá</w:t>
      </w:r>
      <w:r w:rsidR="00685FA2">
        <w:rPr>
          <w:rFonts w:cs="Arial"/>
          <w:spacing w:val="6"/>
          <w:sz w:val="26"/>
          <w:szCs w:val="24"/>
        </w:rPr>
        <w:t>bal y</w:t>
      </w:r>
      <w:r w:rsidR="00685FA2" w:rsidRPr="00B4430A">
        <w:rPr>
          <w:rFonts w:cs="Arial"/>
          <w:spacing w:val="6"/>
          <w:sz w:val="26"/>
          <w:szCs w:val="24"/>
        </w:rPr>
        <w:t xml:space="preserve"> Zariquiegui. La población de estos concejos </w:t>
      </w:r>
      <w:r w:rsidR="00685FA2">
        <w:rPr>
          <w:rFonts w:cs="Arial"/>
          <w:spacing w:val="6"/>
          <w:sz w:val="26"/>
          <w:szCs w:val="24"/>
        </w:rPr>
        <w:t>es de 3.</w:t>
      </w:r>
      <w:r w:rsidR="00E50882">
        <w:rPr>
          <w:rFonts w:cs="Arial"/>
          <w:spacing w:val="6"/>
          <w:sz w:val="26"/>
          <w:szCs w:val="24"/>
        </w:rPr>
        <w:t>892</w:t>
      </w:r>
      <w:r w:rsidR="00685FA2">
        <w:rPr>
          <w:rFonts w:cs="Arial"/>
          <w:spacing w:val="6"/>
          <w:sz w:val="26"/>
          <w:szCs w:val="24"/>
        </w:rPr>
        <w:t xml:space="preserve"> personas y </w:t>
      </w:r>
      <w:r w:rsidR="00685FA2" w:rsidRPr="00B4430A">
        <w:rPr>
          <w:rFonts w:cs="Arial"/>
          <w:spacing w:val="6"/>
          <w:sz w:val="26"/>
          <w:szCs w:val="24"/>
        </w:rPr>
        <w:t xml:space="preserve">representa el </w:t>
      </w:r>
      <w:r w:rsidR="00E50882">
        <w:rPr>
          <w:rFonts w:cs="Arial"/>
          <w:spacing w:val="6"/>
          <w:sz w:val="26"/>
          <w:szCs w:val="24"/>
        </w:rPr>
        <w:t>diez</w:t>
      </w:r>
      <w:r w:rsidR="00685FA2" w:rsidRPr="00B4430A">
        <w:rPr>
          <w:rFonts w:cs="Arial"/>
          <w:spacing w:val="6"/>
          <w:sz w:val="26"/>
          <w:szCs w:val="24"/>
        </w:rPr>
        <w:t xml:space="preserve"> por ciento de la población del total de concejos de Navarra.</w:t>
      </w:r>
    </w:p>
    <w:p w:rsidR="00685FA2" w:rsidRPr="00B4430A" w:rsidRDefault="003F5435"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Pr>
          <w:rFonts w:cs="Arial"/>
          <w:spacing w:val="6"/>
          <w:sz w:val="26"/>
          <w:szCs w:val="24"/>
        </w:rPr>
        <w:t>D</w:t>
      </w:r>
      <w:r w:rsidR="00685FA2" w:rsidRPr="00B4430A">
        <w:rPr>
          <w:rFonts w:cs="Arial"/>
          <w:spacing w:val="6"/>
          <w:sz w:val="26"/>
          <w:szCs w:val="24"/>
        </w:rPr>
        <w:t xml:space="preserve">e las </w:t>
      </w:r>
      <w:r w:rsidR="00E50882">
        <w:rPr>
          <w:rFonts w:cs="Arial"/>
          <w:spacing w:val="6"/>
          <w:sz w:val="26"/>
          <w:szCs w:val="24"/>
        </w:rPr>
        <w:t>19</w:t>
      </w:r>
      <w:r w:rsidR="00685FA2" w:rsidRPr="00B4430A">
        <w:rPr>
          <w:rFonts w:cs="Arial"/>
          <w:spacing w:val="6"/>
          <w:sz w:val="26"/>
          <w:szCs w:val="24"/>
        </w:rPr>
        <w:t xml:space="preserve"> agrupaciones</w:t>
      </w:r>
      <w:r>
        <w:rPr>
          <w:rFonts w:cs="Arial"/>
          <w:spacing w:val="6"/>
          <w:sz w:val="26"/>
          <w:szCs w:val="24"/>
        </w:rPr>
        <w:t>, una, la</w:t>
      </w:r>
      <w:r w:rsidR="00685FA2" w:rsidRPr="00B4430A">
        <w:rPr>
          <w:rFonts w:cs="Arial"/>
          <w:spacing w:val="6"/>
          <w:sz w:val="26"/>
          <w:szCs w:val="24"/>
        </w:rPr>
        <w:t xml:space="preserve"> </w:t>
      </w:r>
      <w:r>
        <w:rPr>
          <w:rFonts w:cs="Arial"/>
          <w:spacing w:val="6"/>
          <w:sz w:val="26"/>
          <w:szCs w:val="24"/>
        </w:rPr>
        <w:t>A</w:t>
      </w:r>
      <w:r w:rsidR="00685FA2" w:rsidRPr="00B4430A">
        <w:rPr>
          <w:rFonts w:cs="Arial"/>
          <w:spacing w:val="6"/>
          <w:sz w:val="26"/>
          <w:szCs w:val="24"/>
        </w:rPr>
        <w:t xml:space="preserve">grupación de Servicios Administrativos de </w:t>
      </w:r>
      <w:r w:rsidR="00685FA2">
        <w:rPr>
          <w:rFonts w:cs="Arial"/>
          <w:spacing w:val="6"/>
          <w:sz w:val="26"/>
          <w:szCs w:val="24"/>
        </w:rPr>
        <w:t>los municipios de Falces y Miranda de Arga</w:t>
      </w:r>
      <w:r w:rsidR="00685FA2" w:rsidRPr="00B4430A">
        <w:rPr>
          <w:rFonts w:cs="Arial"/>
          <w:spacing w:val="6"/>
          <w:sz w:val="26"/>
          <w:szCs w:val="24"/>
        </w:rPr>
        <w:t>.</w:t>
      </w:r>
    </w:p>
    <w:p w:rsidR="00685FA2" w:rsidRDefault="003F5435"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Pr>
          <w:rFonts w:cs="Arial"/>
          <w:spacing w:val="6"/>
          <w:sz w:val="26"/>
          <w:szCs w:val="24"/>
        </w:rPr>
        <w:t>Un total</w:t>
      </w:r>
      <w:r w:rsidR="00685FA2">
        <w:rPr>
          <w:rFonts w:cs="Arial"/>
          <w:spacing w:val="6"/>
          <w:sz w:val="26"/>
          <w:szCs w:val="24"/>
        </w:rPr>
        <w:t xml:space="preserve"> de</w:t>
      </w:r>
      <w:r>
        <w:rPr>
          <w:rFonts w:cs="Arial"/>
          <w:spacing w:val="6"/>
          <w:sz w:val="26"/>
          <w:szCs w:val="24"/>
        </w:rPr>
        <w:t xml:space="preserve"> cuatro de</w:t>
      </w:r>
      <w:r w:rsidR="00685FA2">
        <w:rPr>
          <w:rFonts w:cs="Arial"/>
          <w:spacing w:val="6"/>
          <w:sz w:val="26"/>
          <w:szCs w:val="24"/>
        </w:rPr>
        <w:t xml:space="preserve"> las 60</w:t>
      </w:r>
      <w:r w:rsidR="00685FA2" w:rsidRPr="00B4430A">
        <w:rPr>
          <w:rFonts w:cs="Arial"/>
          <w:spacing w:val="6"/>
          <w:sz w:val="26"/>
          <w:szCs w:val="24"/>
        </w:rPr>
        <w:t xml:space="preserve"> mancomunidades con actividad: Mancomun</w:t>
      </w:r>
      <w:r w:rsidR="00685FA2" w:rsidRPr="00B4430A">
        <w:rPr>
          <w:rFonts w:cs="Arial"/>
          <w:spacing w:val="6"/>
          <w:sz w:val="26"/>
          <w:szCs w:val="24"/>
        </w:rPr>
        <w:t>i</w:t>
      </w:r>
      <w:r w:rsidR="00685FA2" w:rsidRPr="00B4430A">
        <w:rPr>
          <w:rFonts w:cs="Arial"/>
          <w:spacing w:val="6"/>
          <w:sz w:val="26"/>
          <w:szCs w:val="24"/>
        </w:rPr>
        <w:t>dad del Euskera de Bortziriak, Mancomunidad de Alto Araxes, Mancomunidad de Servicios Generales de Malerreka</w:t>
      </w:r>
      <w:r w:rsidR="00E50882">
        <w:rPr>
          <w:rFonts w:cs="Arial"/>
          <w:spacing w:val="6"/>
          <w:sz w:val="26"/>
          <w:szCs w:val="24"/>
        </w:rPr>
        <w:t xml:space="preserve"> y</w:t>
      </w:r>
      <w:r w:rsidR="00685FA2">
        <w:rPr>
          <w:rFonts w:cs="Arial"/>
          <w:spacing w:val="6"/>
          <w:sz w:val="26"/>
          <w:szCs w:val="24"/>
        </w:rPr>
        <w:t xml:space="preserve"> </w:t>
      </w:r>
      <w:r w:rsidR="00685FA2" w:rsidRPr="00B4430A">
        <w:rPr>
          <w:rFonts w:cs="Arial"/>
          <w:spacing w:val="6"/>
          <w:sz w:val="26"/>
          <w:szCs w:val="24"/>
        </w:rPr>
        <w:t>Mancomunidad de Servicios Sociales Auñamen</w:t>
      </w:r>
      <w:r w:rsidR="00685FA2">
        <w:rPr>
          <w:rFonts w:cs="Arial"/>
          <w:spacing w:val="6"/>
          <w:sz w:val="26"/>
          <w:szCs w:val="24"/>
        </w:rPr>
        <w:t>di.</w:t>
      </w:r>
    </w:p>
    <w:p w:rsidR="00685FA2" w:rsidRDefault="00685FA2" w:rsidP="00685FA2">
      <w:pPr>
        <w:spacing w:after="0"/>
        <w:ind w:firstLine="0"/>
        <w:jc w:val="left"/>
        <w:rPr>
          <w:rFonts w:cs="Arial"/>
          <w:spacing w:val="6"/>
          <w:sz w:val="26"/>
          <w:szCs w:val="24"/>
        </w:rPr>
      </w:pPr>
      <w:r>
        <w:rPr>
          <w:rFonts w:cs="Arial"/>
          <w:spacing w:val="6"/>
          <w:sz w:val="26"/>
          <w:szCs w:val="24"/>
        </w:rPr>
        <w:br w:type="page"/>
      </w:r>
    </w:p>
    <w:p w:rsidR="00685FA2" w:rsidRPr="00F57538" w:rsidRDefault="00685FA2" w:rsidP="00685FA2">
      <w:pPr>
        <w:pStyle w:val="atitulo1"/>
      </w:pPr>
      <w:bookmarkStart w:id="12" w:name="_Toc311633164"/>
      <w:bookmarkStart w:id="13" w:name="_Toc311633173"/>
      <w:bookmarkStart w:id="14" w:name="_Toc399916259"/>
      <w:bookmarkStart w:id="15" w:name="_Toc465686682"/>
      <w:bookmarkStart w:id="16" w:name="_Toc467847953"/>
      <w:r w:rsidRPr="00F57538">
        <w:lastRenderedPageBreak/>
        <w:t xml:space="preserve">III. Estructura organizativa y normativa del </w:t>
      </w:r>
      <w:r>
        <w:t>s</w:t>
      </w:r>
      <w:r w:rsidRPr="00F57538">
        <w:t xml:space="preserve">ector </w:t>
      </w:r>
      <w:r>
        <w:t>p</w:t>
      </w:r>
      <w:r w:rsidRPr="00F57538">
        <w:t xml:space="preserve">úblico </w:t>
      </w:r>
      <w:r>
        <w:t>l</w:t>
      </w:r>
      <w:r w:rsidRPr="00F57538">
        <w:t>ocal</w:t>
      </w:r>
      <w:bookmarkEnd w:id="12"/>
      <w:bookmarkEnd w:id="13"/>
      <w:bookmarkEnd w:id="14"/>
      <w:bookmarkEnd w:id="15"/>
      <w:bookmarkEnd w:id="16"/>
    </w:p>
    <w:p w:rsidR="00685FA2" w:rsidRPr="00F57538" w:rsidRDefault="00685FA2" w:rsidP="00685FA2">
      <w:pPr>
        <w:pStyle w:val="atitulo2"/>
        <w:spacing w:before="240"/>
      </w:pPr>
      <w:bookmarkStart w:id="17" w:name="_Toc291067877"/>
      <w:bookmarkStart w:id="18" w:name="_Toc399916260"/>
      <w:bookmarkStart w:id="19" w:name="_Toc465686683"/>
      <w:bookmarkStart w:id="20" w:name="_Toc467847954"/>
      <w:r w:rsidRPr="00F57538">
        <w:t>III.1. Estructura organizativa</w:t>
      </w:r>
      <w:bookmarkEnd w:id="17"/>
      <w:bookmarkEnd w:id="18"/>
      <w:bookmarkEnd w:id="19"/>
      <w:bookmarkEnd w:id="20"/>
      <w:r w:rsidRPr="00F57538">
        <w:t xml:space="preserve"> </w:t>
      </w:r>
    </w:p>
    <w:p w:rsidR="00685FA2" w:rsidRPr="00F57538" w:rsidRDefault="00685FA2" w:rsidP="00685FA2">
      <w:pPr>
        <w:pStyle w:val="texto"/>
      </w:pPr>
      <w:r w:rsidRPr="00F57538">
        <w:t>El sector público local se organiza conforme a lo establecido en la Ley Foral 6/1990, de 2 de julio, de la Administración Local de Navarra.</w:t>
      </w:r>
    </w:p>
    <w:p w:rsidR="00685FA2" w:rsidRPr="00F57538" w:rsidRDefault="00685FA2" w:rsidP="00685FA2">
      <w:pPr>
        <w:pStyle w:val="texto"/>
      </w:pPr>
      <w:r w:rsidRPr="00F57538">
        <w:t xml:space="preserve">Los municipios son las entidades locales básicas de organización territorial. Además de éstos, también tienen la condición de entes locales: </w:t>
      </w:r>
    </w:p>
    <w:p w:rsidR="00685FA2" w:rsidRPr="00685FA2"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685FA2">
        <w:rPr>
          <w:rFonts w:cs="Arial"/>
          <w:spacing w:val="6"/>
          <w:sz w:val="26"/>
          <w:szCs w:val="24"/>
        </w:rPr>
        <w:t>Los concejos: entidades locales enclavadas en el término de un municipio, con población y ámbito territorial inferiores al de éste.</w:t>
      </w:r>
    </w:p>
    <w:p w:rsidR="00685FA2" w:rsidRPr="00685FA2"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685FA2">
        <w:rPr>
          <w:rFonts w:cs="Arial"/>
          <w:spacing w:val="6"/>
          <w:sz w:val="26"/>
          <w:szCs w:val="24"/>
        </w:rPr>
        <w:t>Las corporaciones de carácter tradicional titulares o administradoras de bienes comunales: Comunidad de Bardenas Reales, Comunidad del Valle de Aezkoa, Mancomunidad del Valle de Roncal</w:t>
      </w:r>
      <w:r w:rsidR="00114989">
        <w:rPr>
          <w:rFonts w:cs="Arial"/>
          <w:spacing w:val="6"/>
          <w:sz w:val="26"/>
          <w:szCs w:val="24"/>
        </w:rPr>
        <w:t>,</w:t>
      </w:r>
      <w:r w:rsidRPr="00685FA2">
        <w:rPr>
          <w:rFonts w:cs="Arial"/>
          <w:spacing w:val="6"/>
          <w:sz w:val="26"/>
          <w:szCs w:val="24"/>
        </w:rPr>
        <w:t xml:space="preserve"> Universidad del Valle de Salazar</w:t>
      </w:r>
      <w:r w:rsidR="00114989">
        <w:rPr>
          <w:rFonts w:cs="Arial"/>
          <w:spacing w:val="6"/>
          <w:sz w:val="26"/>
          <w:szCs w:val="24"/>
        </w:rPr>
        <w:t xml:space="preserve"> y el resto de corporaciones existentes</w:t>
      </w:r>
      <w:r w:rsidRPr="00685FA2">
        <w:rPr>
          <w:rFonts w:cs="Arial"/>
          <w:spacing w:val="6"/>
          <w:sz w:val="26"/>
          <w:szCs w:val="24"/>
        </w:rPr>
        <w:t>.</w:t>
      </w:r>
    </w:p>
    <w:p w:rsidR="00685FA2" w:rsidRPr="00685FA2"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685FA2">
        <w:rPr>
          <w:rFonts w:cs="Arial"/>
          <w:spacing w:val="6"/>
          <w:sz w:val="26"/>
          <w:szCs w:val="24"/>
        </w:rPr>
        <w:t>Las mancomunidades o asociaciones de varios municipios para la ejec</w:t>
      </w:r>
      <w:r w:rsidRPr="00685FA2">
        <w:rPr>
          <w:rFonts w:cs="Arial"/>
          <w:spacing w:val="6"/>
          <w:sz w:val="26"/>
          <w:szCs w:val="24"/>
        </w:rPr>
        <w:t>u</w:t>
      </w:r>
      <w:r w:rsidRPr="00685FA2">
        <w:rPr>
          <w:rFonts w:cs="Arial"/>
          <w:spacing w:val="6"/>
          <w:sz w:val="26"/>
          <w:szCs w:val="24"/>
        </w:rPr>
        <w:t>ción  en común de obras y para la prestación de determinados servicios.</w:t>
      </w:r>
    </w:p>
    <w:p w:rsidR="00685FA2" w:rsidRPr="00685FA2"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685FA2">
        <w:rPr>
          <w:rFonts w:cs="Arial"/>
          <w:spacing w:val="6"/>
          <w:sz w:val="26"/>
          <w:szCs w:val="24"/>
        </w:rPr>
        <w:t>Las agrupaciones de municipios cuyas características determinan la prest</w:t>
      </w:r>
      <w:r w:rsidRPr="00685FA2">
        <w:rPr>
          <w:rFonts w:cs="Arial"/>
          <w:spacing w:val="6"/>
          <w:sz w:val="26"/>
          <w:szCs w:val="24"/>
        </w:rPr>
        <w:t>a</w:t>
      </w:r>
      <w:r w:rsidRPr="00685FA2">
        <w:rPr>
          <w:rFonts w:cs="Arial"/>
          <w:spacing w:val="6"/>
          <w:sz w:val="26"/>
          <w:szCs w:val="24"/>
        </w:rPr>
        <w:t>ción de servicios comunes a todos ellos.</w:t>
      </w:r>
    </w:p>
    <w:p w:rsidR="00685FA2" w:rsidRDefault="00685FA2"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sidRPr="00685FA2">
        <w:rPr>
          <w:rFonts w:cs="Arial"/>
          <w:spacing w:val="6"/>
          <w:sz w:val="26"/>
          <w:szCs w:val="24"/>
        </w:rPr>
        <w:t>Los distritos administrativos constituidos con carácter voluntario por m</w:t>
      </w:r>
      <w:r w:rsidRPr="00685FA2">
        <w:rPr>
          <w:rFonts w:cs="Arial"/>
          <w:spacing w:val="6"/>
          <w:sz w:val="26"/>
          <w:szCs w:val="24"/>
        </w:rPr>
        <w:t>u</w:t>
      </w:r>
      <w:r w:rsidRPr="00685FA2">
        <w:rPr>
          <w:rFonts w:cs="Arial"/>
          <w:spacing w:val="6"/>
          <w:sz w:val="26"/>
          <w:szCs w:val="24"/>
        </w:rPr>
        <w:t xml:space="preserve">nicipios de carácter rural que no alcanzan la población de 5.000 habitantes. </w:t>
      </w:r>
    </w:p>
    <w:p w:rsidR="00582A98" w:rsidRPr="00685FA2" w:rsidRDefault="00582A98" w:rsidP="00685FA2">
      <w:pPr>
        <w:numPr>
          <w:ilvl w:val="0"/>
          <w:numId w:val="2"/>
        </w:numPr>
        <w:tabs>
          <w:tab w:val="clear" w:pos="1948"/>
          <w:tab w:val="left" w:pos="480"/>
          <w:tab w:val="num" w:pos="600"/>
          <w:tab w:val="num" w:pos="720"/>
          <w:tab w:val="num" w:pos="5040"/>
        </w:tabs>
        <w:ind w:left="0" w:firstLine="290"/>
        <w:rPr>
          <w:rFonts w:cs="Arial"/>
          <w:spacing w:val="6"/>
          <w:sz w:val="26"/>
          <w:szCs w:val="24"/>
        </w:rPr>
      </w:pPr>
      <w:r>
        <w:rPr>
          <w:rFonts w:cs="Arial"/>
          <w:spacing w:val="6"/>
          <w:sz w:val="26"/>
          <w:szCs w:val="24"/>
        </w:rPr>
        <w:t>Consorcio local: en diciembre de 2014, la Ley Foral 23/2014 modificó la Ley Foral 6/1990 de Administración Local e incluyó a los consorcios locales como otro tipo de entidad local. En concreto, se considera consorcio local a aquellas asociaciones entre administraciones públicas de distinta naturaleza de carácter voluntario para la prestación exclusiva de servicios obligatorios de competencia municipal cuya complejidad técnica y dimensión económica r</w:t>
      </w:r>
      <w:r>
        <w:rPr>
          <w:rFonts w:cs="Arial"/>
          <w:spacing w:val="6"/>
          <w:sz w:val="26"/>
          <w:szCs w:val="24"/>
        </w:rPr>
        <w:t>e</w:t>
      </w:r>
      <w:r>
        <w:rPr>
          <w:rFonts w:cs="Arial"/>
          <w:spacing w:val="6"/>
          <w:sz w:val="26"/>
          <w:szCs w:val="24"/>
        </w:rPr>
        <w:t>quiera ámbitos de actuación superiores a los de las áreas de la Estrategia Terr</w:t>
      </w:r>
      <w:r>
        <w:rPr>
          <w:rFonts w:cs="Arial"/>
          <w:spacing w:val="6"/>
          <w:sz w:val="26"/>
          <w:szCs w:val="24"/>
        </w:rPr>
        <w:t>i</w:t>
      </w:r>
      <w:r>
        <w:rPr>
          <w:rFonts w:cs="Arial"/>
          <w:spacing w:val="6"/>
          <w:sz w:val="26"/>
          <w:szCs w:val="24"/>
        </w:rPr>
        <w:t>torial de Navarra.</w:t>
      </w:r>
    </w:p>
    <w:p w:rsidR="00685FA2" w:rsidRPr="00F57538" w:rsidRDefault="00685FA2" w:rsidP="00B16B41">
      <w:pPr>
        <w:pStyle w:val="texto"/>
        <w:spacing w:after="240"/>
      </w:pPr>
      <w:r w:rsidRPr="00F57538">
        <w:t xml:space="preserve">El número de entidades </w:t>
      </w:r>
      <w:r w:rsidR="00582A98">
        <w:t>l</w:t>
      </w:r>
      <w:r w:rsidRPr="00F57538">
        <w:t>ocales a 31 de diciembre de 201</w:t>
      </w:r>
      <w:r>
        <w:t>4</w:t>
      </w:r>
      <w:r w:rsidRPr="00F57538">
        <w:t xml:space="preserve"> y su comparación con las existentes en años anteriores es:</w:t>
      </w:r>
    </w:p>
    <w:tbl>
      <w:tblPr>
        <w:tblW w:w="8778" w:type="dxa"/>
        <w:jc w:val="center"/>
        <w:tblLayout w:type="fixed"/>
        <w:tblCellMar>
          <w:left w:w="70" w:type="dxa"/>
          <w:right w:w="70" w:type="dxa"/>
        </w:tblCellMar>
        <w:tblLook w:val="0000" w:firstRow="0" w:lastRow="0" w:firstColumn="0" w:lastColumn="0" w:noHBand="0" w:noVBand="0"/>
      </w:tblPr>
      <w:tblGrid>
        <w:gridCol w:w="3397"/>
        <w:gridCol w:w="896"/>
        <w:gridCol w:w="897"/>
        <w:gridCol w:w="897"/>
        <w:gridCol w:w="897"/>
        <w:gridCol w:w="897"/>
        <w:gridCol w:w="897"/>
      </w:tblGrid>
      <w:tr w:rsidR="00685FA2" w:rsidRPr="00F57538" w:rsidTr="00B16B41">
        <w:trPr>
          <w:trHeight w:val="255"/>
          <w:jc w:val="center"/>
        </w:trPr>
        <w:tc>
          <w:tcPr>
            <w:tcW w:w="3397" w:type="dxa"/>
            <w:tcBorders>
              <w:top w:val="single" w:sz="4" w:space="0" w:color="auto"/>
              <w:bottom w:val="single" w:sz="4" w:space="0" w:color="auto"/>
            </w:tcBorders>
            <w:shd w:val="clear" w:color="auto" w:fill="FABF8F" w:themeFill="accent6" w:themeFillTint="99"/>
            <w:vAlign w:val="center"/>
          </w:tcPr>
          <w:p w:rsidR="00685FA2" w:rsidRPr="00F57538" w:rsidRDefault="00B16B41" w:rsidP="00685FA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pacing w:val="6"/>
                <w:sz w:val="18"/>
                <w:szCs w:val="24"/>
              </w:rPr>
              <w:t xml:space="preserve"> </w:t>
            </w:r>
          </w:p>
        </w:tc>
        <w:tc>
          <w:tcPr>
            <w:tcW w:w="896"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57538">
              <w:rPr>
                <w:rFonts w:ascii="Arial" w:hAnsi="Arial"/>
                <w:spacing w:val="6"/>
                <w:sz w:val="18"/>
                <w:szCs w:val="24"/>
              </w:rPr>
              <w:t>2009</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F57538">
              <w:rPr>
                <w:rFonts w:ascii="Arial" w:hAnsi="Arial" w:cs="Arial"/>
                <w:spacing w:val="6"/>
                <w:sz w:val="18"/>
                <w:szCs w:val="24"/>
              </w:rPr>
              <w:t>2010</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57538">
              <w:rPr>
                <w:rFonts w:ascii="Arial" w:hAnsi="Arial"/>
                <w:spacing w:val="6"/>
                <w:sz w:val="18"/>
                <w:szCs w:val="24"/>
              </w:rPr>
              <w:t>2011</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2012</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2013</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w:t>
            </w:r>
            <w:r>
              <w:rPr>
                <w:rFonts w:ascii="Arial" w:hAnsi="Arial"/>
                <w:spacing w:val="6"/>
                <w:sz w:val="18"/>
                <w:szCs w:val="24"/>
              </w:rPr>
              <w:t>4</w:t>
            </w:r>
          </w:p>
        </w:tc>
      </w:tr>
      <w:tr w:rsidR="00685FA2" w:rsidRPr="00F57538" w:rsidTr="00B16B41">
        <w:trPr>
          <w:trHeight w:val="198"/>
          <w:jc w:val="center"/>
        </w:trPr>
        <w:tc>
          <w:tcPr>
            <w:tcW w:w="3397" w:type="dxa"/>
            <w:tcBorders>
              <w:top w:val="single" w:sz="4"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Municipios</w:t>
            </w:r>
          </w:p>
        </w:tc>
        <w:tc>
          <w:tcPr>
            <w:tcW w:w="896" w:type="dxa"/>
            <w:tcBorders>
              <w:top w:val="single" w:sz="4"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272</w:t>
            </w:r>
            <w:r w:rsidRPr="0038183A">
              <w:rPr>
                <w:rFonts w:ascii="Arial Narrow" w:hAnsi="Arial Narrow"/>
                <w:spacing w:val="6"/>
                <w:vertAlign w:val="superscript"/>
              </w:rPr>
              <w:t>(1)</w:t>
            </w:r>
          </w:p>
        </w:tc>
      </w:tr>
      <w:tr w:rsidR="00685FA2" w:rsidRPr="00F57538" w:rsidTr="00B16B41">
        <w:trPr>
          <w:trHeight w:val="198"/>
          <w:jc w:val="center"/>
        </w:trPr>
        <w:tc>
          <w:tcPr>
            <w:tcW w:w="33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Concejos</w:t>
            </w:r>
          </w:p>
        </w:tc>
        <w:tc>
          <w:tcPr>
            <w:tcW w:w="896"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350</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351</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348</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348</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348</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31" w:firstLine="0"/>
              <w:jc w:val="right"/>
              <w:rPr>
                <w:rFonts w:ascii="Arial Narrow" w:hAnsi="Arial Narrow"/>
                <w:spacing w:val="6"/>
              </w:rPr>
            </w:pPr>
            <w:r>
              <w:rPr>
                <w:rFonts w:ascii="Arial Narrow" w:hAnsi="Arial Narrow"/>
                <w:spacing w:val="6"/>
              </w:rPr>
              <w:t>347</w:t>
            </w:r>
            <w:r w:rsidRPr="00F57538">
              <w:rPr>
                <w:rFonts w:ascii="Arial Narrow" w:hAnsi="Arial Narrow"/>
                <w:spacing w:val="6"/>
                <w:vertAlign w:val="superscript"/>
              </w:rPr>
              <w:t>(2)</w:t>
            </w:r>
          </w:p>
        </w:tc>
      </w:tr>
      <w:tr w:rsidR="00685FA2" w:rsidRPr="00F57538" w:rsidTr="00582A98">
        <w:trPr>
          <w:trHeight w:val="198"/>
          <w:jc w:val="center"/>
        </w:trPr>
        <w:tc>
          <w:tcPr>
            <w:tcW w:w="33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Mancomunidades</w:t>
            </w:r>
          </w:p>
        </w:tc>
        <w:tc>
          <w:tcPr>
            <w:tcW w:w="896"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65</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 xml:space="preserve"> 66</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66</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65</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65</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31" w:firstLine="0"/>
              <w:jc w:val="right"/>
              <w:rPr>
                <w:rFonts w:ascii="Arial Narrow" w:hAnsi="Arial Narrow"/>
                <w:spacing w:val="6"/>
              </w:rPr>
            </w:pPr>
            <w:r w:rsidRPr="00F57538">
              <w:rPr>
                <w:rFonts w:ascii="Arial Narrow" w:hAnsi="Arial Narrow"/>
                <w:spacing w:val="6"/>
              </w:rPr>
              <w:t>65</w:t>
            </w:r>
            <w:r>
              <w:rPr>
                <w:rFonts w:ascii="Arial Narrow" w:hAnsi="Arial Narrow"/>
                <w:spacing w:val="6"/>
                <w:vertAlign w:val="superscript"/>
              </w:rPr>
              <w:t>(3</w:t>
            </w:r>
            <w:r w:rsidRPr="00F57538">
              <w:rPr>
                <w:rFonts w:ascii="Arial Narrow" w:hAnsi="Arial Narrow"/>
                <w:spacing w:val="6"/>
                <w:vertAlign w:val="superscript"/>
              </w:rPr>
              <w:t>)</w:t>
            </w:r>
          </w:p>
        </w:tc>
      </w:tr>
      <w:tr w:rsidR="00685FA2" w:rsidRPr="00F57538" w:rsidTr="00582A98">
        <w:trPr>
          <w:trHeight w:val="198"/>
          <w:jc w:val="center"/>
        </w:trPr>
        <w:tc>
          <w:tcPr>
            <w:tcW w:w="3397" w:type="dxa"/>
            <w:tcBorders>
              <w:top w:val="single" w:sz="2" w:space="0" w:color="auto"/>
              <w:bottom w:val="single" w:sz="2" w:space="0" w:color="auto"/>
            </w:tcBorders>
            <w:vAlign w:val="center"/>
          </w:tcPr>
          <w:p w:rsidR="00685FA2" w:rsidRPr="00F57538" w:rsidRDefault="00685FA2" w:rsidP="007A7C6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Agrupac</w:t>
            </w:r>
            <w:r w:rsidR="007A7C6A">
              <w:rPr>
                <w:rFonts w:ascii="Arial Narrow" w:hAnsi="Arial Narrow"/>
                <w:spacing w:val="6"/>
              </w:rPr>
              <w:t>iones</w:t>
            </w:r>
            <w:r w:rsidRPr="00F57538">
              <w:rPr>
                <w:rFonts w:ascii="Arial Narrow" w:hAnsi="Arial Narrow"/>
                <w:spacing w:val="6"/>
              </w:rPr>
              <w:t xml:space="preserve"> </w:t>
            </w:r>
            <w:r>
              <w:rPr>
                <w:rFonts w:ascii="Arial Narrow" w:hAnsi="Arial Narrow"/>
                <w:spacing w:val="6"/>
              </w:rPr>
              <w:t xml:space="preserve">tradicionales y </w:t>
            </w:r>
            <w:r w:rsidRPr="00F57538">
              <w:rPr>
                <w:rFonts w:ascii="Arial Narrow" w:hAnsi="Arial Narrow"/>
                <w:spacing w:val="6"/>
              </w:rPr>
              <w:t>municipales</w:t>
            </w:r>
          </w:p>
        </w:tc>
        <w:tc>
          <w:tcPr>
            <w:tcW w:w="896"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17</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18</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57538">
              <w:rPr>
                <w:rFonts w:ascii="Arial Narrow" w:hAnsi="Arial Narrow"/>
                <w:spacing w:val="6"/>
              </w:rPr>
              <w:t>18</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18</w:t>
            </w:r>
          </w:p>
        </w:tc>
        <w:tc>
          <w:tcPr>
            <w:tcW w:w="897" w:type="dxa"/>
            <w:tcBorders>
              <w:top w:val="single" w:sz="2" w:space="0" w:color="auto"/>
              <w:bottom w:val="single" w:sz="2" w:space="0" w:color="auto"/>
            </w:tcBorders>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1</w:t>
            </w:r>
            <w:r>
              <w:rPr>
                <w:rFonts w:ascii="Arial Narrow" w:hAnsi="Arial Narrow"/>
                <w:spacing w:val="6"/>
              </w:rPr>
              <w:t>8</w:t>
            </w:r>
          </w:p>
        </w:tc>
        <w:tc>
          <w:tcPr>
            <w:tcW w:w="897" w:type="dxa"/>
            <w:tcBorders>
              <w:top w:val="single" w:sz="2" w:space="0" w:color="auto"/>
              <w:bottom w:val="single" w:sz="2" w:space="0" w:color="auto"/>
            </w:tcBorders>
            <w:vAlign w:val="center"/>
          </w:tcPr>
          <w:p w:rsidR="00685FA2" w:rsidRPr="00F57538" w:rsidRDefault="00685FA2" w:rsidP="002042A8">
            <w:pPr>
              <w:keepLines/>
              <w:tabs>
                <w:tab w:val="right" w:pos="2835"/>
                <w:tab w:val="right" w:pos="3969"/>
                <w:tab w:val="right" w:pos="5103"/>
                <w:tab w:val="right" w:pos="6237"/>
                <w:tab w:val="right" w:pos="7371"/>
              </w:tabs>
              <w:spacing w:after="0"/>
              <w:ind w:right="-36" w:firstLine="0"/>
              <w:jc w:val="right"/>
              <w:rPr>
                <w:rFonts w:ascii="Arial Narrow" w:hAnsi="Arial Narrow"/>
                <w:spacing w:val="6"/>
              </w:rPr>
            </w:pPr>
            <w:r w:rsidRPr="00F57538">
              <w:rPr>
                <w:rFonts w:ascii="Arial Narrow" w:hAnsi="Arial Narrow"/>
                <w:spacing w:val="6"/>
              </w:rPr>
              <w:t>1</w:t>
            </w:r>
            <w:r w:rsidR="002042A8">
              <w:rPr>
                <w:rFonts w:ascii="Arial Narrow" w:hAnsi="Arial Narrow"/>
                <w:spacing w:val="6"/>
              </w:rPr>
              <w:t>9</w:t>
            </w:r>
            <w:r w:rsidR="002042A8" w:rsidRPr="002042A8">
              <w:rPr>
                <w:rFonts w:ascii="Arial Narrow" w:hAnsi="Arial Narrow"/>
                <w:spacing w:val="6"/>
                <w:vertAlign w:val="superscript"/>
              </w:rPr>
              <w:t>(4)</w:t>
            </w:r>
          </w:p>
        </w:tc>
      </w:tr>
      <w:tr w:rsidR="00685FA2" w:rsidRPr="00F57538" w:rsidTr="00582A98">
        <w:trPr>
          <w:trHeight w:val="255"/>
          <w:jc w:val="center"/>
        </w:trPr>
        <w:tc>
          <w:tcPr>
            <w:tcW w:w="33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F57538">
              <w:rPr>
                <w:rFonts w:ascii="Arial" w:hAnsi="Arial" w:cs="Arial"/>
                <w:spacing w:val="6"/>
                <w:sz w:val="18"/>
                <w:szCs w:val="24"/>
              </w:rPr>
              <w:t>Total</w:t>
            </w:r>
          </w:p>
        </w:tc>
        <w:tc>
          <w:tcPr>
            <w:tcW w:w="896"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F57538">
              <w:rPr>
                <w:rFonts w:ascii="Arial" w:hAnsi="Arial" w:cs="Arial"/>
                <w:spacing w:val="6"/>
                <w:sz w:val="18"/>
                <w:szCs w:val="24"/>
              </w:rPr>
              <w:t>704</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F57538">
              <w:rPr>
                <w:rFonts w:ascii="Arial" w:hAnsi="Arial" w:cs="Arial"/>
                <w:spacing w:val="6"/>
                <w:sz w:val="18"/>
                <w:szCs w:val="24"/>
              </w:rPr>
              <w:t>707</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F57538">
              <w:rPr>
                <w:rFonts w:ascii="Arial" w:hAnsi="Arial" w:cs="Arial"/>
                <w:spacing w:val="6"/>
                <w:sz w:val="18"/>
                <w:szCs w:val="24"/>
              </w:rPr>
              <w:t>704</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sidRPr="00F57538">
              <w:rPr>
                <w:rFonts w:ascii="Arial" w:hAnsi="Arial" w:cs="Arial"/>
                <w:spacing w:val="6"/>
                <w:sz w:val="18"/>
                <w:szCs w:val="24"/>
              </w:rPr>
              <w:t>703</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685FA2">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sidRPr="00F57538">
              <w:rPr>
                <w:rFonts w:ascii="Arial" w:hAnsi="Arial" w:cs="Arial"/>
                <w:spacing w:val="6"/>
                <w:sz w:val="18"/>
                <w:szCs w:val="24"/>
              </w:rPr>
              <w:t>70</w:t>
            </w:r>
            <w:r>
              <w:rPr>
                <w:rFonts w:ascii="Arial" w:hAnsi="Arial" w:cs="Arial"/>
                <w:spacing w:val="6"/>
                <w:sz w:val="18"/>
                <w:szCs w:val="24"/>
              </w:rPr>
              <w:t>3</w:t>
            </w:r>
          </w:p>
        </w:tc>
        <w:tc>
          <w:tcPr>
            <w:tcW w:w="897" w:type="dxa"/>
            <w:tcBorders>
              <w:top w:val="single" w:sz="4" w:space="0" w:color="auto"/>
              <w:bottom w:val="single" w:sz="4" w:space="0" w:color="auto"/>
            </w:tcBorders>
            <w:shd w:val="clear" w:color="auto" w:fill="FABF8F" w:themeFill="accent6" w:themeFillTint="99"/>
            <w:vAlign w:val="center"/>
          </w:tcPr>
          <w:p w:rsidR="00685FA2" w:rsidRPr="00F57538" w:rsidRDefault="00685FA2" w:rsidP="00114989">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Pr>
                <w:rFonts w:ascii="Arial" w:hAnsi="Arial" w:cs="Arial"/>
                <w:spacing w:val="6"/>
                <w:sz w:val="18"/>
                <w:szCs w:val="24"/>
              </w:rPr>
              <w:t>7</w:t>
            </w:r>
            <w:r w:rsidR="00114989">
              <w:rPr>
                <w:rFonts w:ascii="Arial" w:hAnsi="Arial" w:cs="Arial"/>
                <w:spacing w:val="6"/>
                <w:sz w:val="18"/>
                <w:szCs w:val="24"/>
              </w:rPr>
              <w:t>03</w:t>
            </w:r>
          </w:p>
        </w:tc>
      </w:tr>
    </w:tbl>
    <w:p w:rsidR="007A7C6A" w:rsidRPr="00F57538" w:rsidRDefault="007A7C6A" w:rsidP="00CC365F">
      <w:pPr>
        <w:tabs>
          <w:tab w:val="left" w:pos="1335"/>
        </w:tabs>
        <w:spacing w:after="0"/>
        <w:ind w:left="336" w:hanging="325"/>
        <w:rPr>
          <w:rFonts w:ascii="Arial" w:hAnsi="Arial" w:cs="Arial"/>
          <w:spacing w:val="6"/>
          <w:sz w:val="16"/>
          <w:szCs w:val="16"/>
        </w:rPr>
      </w:pPr>
      <w:r w:rsidRPr="00F57538">
        <w:rPr>
          <w:rFonts w:ascii="Arial" w:hAnsi="Arial" w:cs="Arial"/>
          <w:spacing w:val="6"/>
          <w:sz w:val="16"/>
          <w:szCs w:val="16"/>
        </w:rPr>
        <w:t>(1)  60 son municipios compuestos</w:t>
      </w:r>
      <w:r>
        <w:rPr>
          <w:rFonts w:ascii="Arial" w:hAnsi="Arial" w:cs="Arial"/>
          <w:spacing w:val="6"/>
          <w:sz w:val="16"/>
          <w:szCs w:val="16"/>
        </w:rPr>
        <w:t>.</w:t>
      </w:r>
    </w:p>
    <w:p w:rsidR="007A7C6A" w:rsidRDefault="007A7C6A" w:rsidP="00CC365F">
      <w:pPr>
        <w:tabs>
          <w:tab w:val="left" w:pos="1335"/>
        </w:tabs>
        <w:spacing w:after="0"/>
        <w:ind w:left="336" w:hanging="325"/>
        <w:rPr>
          <w:rFonts w:ascii="Arial" w:hAnsi="Arial" w:cs="Arial"/>
          <w:spacing w:val="6"/>
          <w:sz w:val="16"/>
          <w:szCs w:val="16"/>
        </w:rPr>
      </w:pPr>
      <w:r w:rsidRPr="00F57538">
        <w:rPr>
          <w:rFonts w:ascii="Arial" w:hAnsi="Arial" w:cs="Arial"/>
          <w:spacing w:val="6"/>
          <w:sz w:val="16"/>
          <w:szCs w:val="16"/>
        </w:rPr>
        <w:t xml:space="preserve">(2)  </w:t>
      </w:r>
      <w:r>
        <w:rPr>
          <w:rFonts w:ascii="Arial" w:hAnsi="Arial" w:cs="Arial"/>
          <w:spacing w:val="6"/>
          <w:sz w:val="16"/>
          <w:szCs w:val="16"/>
        </w:rPr>
        <w:t>El 1 de abril de 2014 se extinguió el Concejo de Zulueta perteneciente al municipio de Noáin-Valle de Elorz.</w:t>
      </w:r>
    </w:p>
    <w:p w:rsidR="007A7C6A" w:rsidRDefault="007A7C6A" w:rsidP="00CC365F">
      <w:pPr>
        <w:tabs>
          <w:tab w:val="left" w:pos="1335"/>
        </w:tabs>
        <w:spacing w:after="0"/>
        <w:ind w:left="336" w:hanging="325"/>
        <w:rPr>
          <w:rFonts w:ascii="Arial" w:hAnsi="Arial" w:cs="Arial"/>
          <w:spacing w:val="6"/>
          <w:sz w:val="16"/>
          <w:szCs w:val="16"/>
        </w:rPr>
      </w:pPr>
      <w:r w:rsidRPr="00F57538">
        <w:rPr>
          <w:rFonts w:ascii="Arial" w:hAnsi="Arial" w:cs="Arial"/>
          <w:spacing w:val="6"/>
          <w:sz w:val="16"/>
          <w:szCs w:val="16"/>
        </w:rPr>
        <w:t>(</w:t>
      </w:r>
      <w:r>
        <w:rPr>
          <w:rFonts w:ascii="Arial" w:hAnsi="Arial" w:cs="Arial"/>
          <w:spacing w:val="6"/>
          <w:sz w:val="16"/>
          <w:szCs w:val="16"/>
        </w:rPr>
        <w:t>3)  Cinco</w:t>
      </w:r>
      <w:r w:rsidRPr="00F57538">
        <w:rPr>
          <w:rFonts w:ascii="Arial" w:hAnsi="Arial" w:cs="Arial"/>
          <w:spacing w:val="6"/>
          <w:sz w:val="16"/>
          <w:szCs w:val="16"/>
        </w:rPr>
        <w:t xml:space="preserve"> mancomunidades no tienen actividad</w:t>
      </w:r>
      <w:r>
        <w:rPr>
          <w:rFonts w:ascii="Arial" w:hAnsi="Arial" w:cs="Arial"/>
          <w:spacing w:val="6"/>
          <w:sz w:val="16"/>
          <w:szCs w:val="16"/>
        </w:rPr>
        <w:t>.</w:t>
      </w:r>
    </w:p>
    <w:p w:rsidR="002042A8" w:rsidRDefault="002042A8" w:rsidP="00CC365F">
      <w:pPr>
        <w:tabs>
          <w:tab w:val="left" w:pos="1335"/>
        </w:tabs>
        <w:spacing w:after="0"/>
        <w:ind w:left="336" w:hanging="325"/>
        <w:rPr>
          <w:rFonts w:ascii="Arial" w:hAnsi="Arial" w:cs="Arial"/>
          <w:spacing w:val="6"/>
          <w:sz w:val="16"/>
          <w:szCs w:val="16"/>
        </w:rPr>
      </w:pPr>
      <w:r>
        <w:rPr>
          <w:rFonts w:ascii="Arial" w:hAnsi="Arial" w:cs="Arial"/>
          <w:spacing w:val="6"/>
          <w:sz w:val="16"/>
          <w:szCs w:val="16"/>
        </w:rPr>
        <w:t>(4) La Agrupación de Ayuntamientos de Arce-Artzi, Oroz-Betelu/Orotz-Betelu y Lónguida-Longida se da de alta en el Registro de Entidades Locales en 2016, pero ya existía en 2014, por lo que la consideramos.</w:t>
      </w:r>
    </w:p>
    <w:p w:rsidR="00582A98" w:rsidRPr="00582A98" w:rsidRDefault="00582A98" w:rsidP="00CC365F">
      <w:pPr>
        <w:tabs>
          <w:tab w:val="left" w:pos="1335"/>
        </w:tabs>
        <w:spacing w:after="0"/>
        <w:ind w:left="336" w:hanging="325"/>
        <w:rPr>
          <w:rFonts w:ascii="Arial" w:hAnsi="Arial" w:cs="Arial"/>
          <w:spacing w:val="6"/>
          <w:w w:val="90"/>
          <w:sz w:val="16"/>
          <w:szCs w:val="16"/>
        </w:rPr>
      </w:pPr>
    </w:p>
    <w:p w:rsidR="001E6B7A" w:rsidRPr="001E6B7A" w:rsidRDefault="001E6B7A" w:rsidP="001E6B7A">
      <w:pPr>
        <w:pStyle w:val="texto"/>
        <w:spacing w:before="240" w:after="240"/>
      </w:pPr>
      <w:r w:rsidRPr="001E6B7A">
        <w:lastRenderedPageBreak/>
        <w:t xml:space="preserve">El número de organismos dependientes de las entidades locales (organismos autónomos y empresas públicas), fundaciones públicas locales y consorcios en el periodo de 2009 a 2014 </w:t>
      </w:r>
      <w:r>
        <w:t>es:</w:t>
      </w:r>
    </w:p>
    <w:tbl>
      <w:tblPr>
        <w:tblW w:w="8813" w:type="dxa"/>
        <w:jc w:val="center"/>
        <w:tblLayout w:type="fixed"/>
        <w:tblCellMar>
          <w:left w:w="70" w:type="dxa"/>
          <w:right w:w="70" w:type="dxa"/>
        </w:tblCellMar>
        <w:tblLook w:val="0000" w:firstRow="0" w:lastRow="0" w:firstColumn="0" w:lastColumn="0" w:noHBand="0" w:noVBand="0"/>
      </w:tblPr>
      <w:tblGrid>
        <w:gridCol w:w="3414"/>
        <w:gridCol w:w="899"/>
        <w:gridCol w:w="900"/>
        <w:gridCol w:w="900"/>
        <w:gridCol w:w="900"/>
        <w:gridCol w:w="900"/>
        <w:gridCol w:w="900"/>
      </w:tblGrid>
      <w:tr w:rsidR="001E6B7A" w:rsidRPr="001E6B7A" w:rsidTr="001E6B7A">
        <w:trPr>
          <w:trHeight w:val="255"/>
          <w:jc w:val="center"/>
        </w:trPr>
        <w:tc>
          <w:tcPr>
            <w:tcW w:w="3414"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1E6B7A">
              <w:rPr>
                <w:rFonts w:ascii="Arial" w:hAnsi="Arial"/>
                <w:spacing w:val="6"/>
                <w:sz w:val="18"/>
                <w:szCs w:val="24"/>
              </w:rPr>
              <w:t>Entidad</w:t>
            </w:r>
          </w:p>
        </w:tc>
        <w:tc>
          <w:tcPr>
            <w:tcW w:w="899"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2009</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2010</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2011</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2012</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1E6B7A">
              <w:rPr>
                <w:rFonts w:ascii="Arial" w:hAnsi="Arial"/>
                <w:spacing w:val="6"/>
                <w:sz w:val="18"/>
                <w:szCs w:val="24"/>
              </w:rPr>
              <w:t>2013</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1E6B7A">
              <w:rPr>
                <w:rFonts w:ascii="Arial" w:hAnsi="Arial"/>
                <w:spacing w:val="6"/>
                <w:sz w:val="18"/>
                <w:szCs w:val="24"/>
              </w:rPr>
              <w:t>2014</w:t>
            </w:r>
          </w:p>
        </w:tc>
      </w:tr>
      <w:tr w:rsidR="001E6B7A" w:rsidRPr="001E6B7A" w:rsidTr="001E6B7A">
        <w:trPr>
          <w:trHeight w:val="198"/>
          <w:jc w:val="center"/>
        </w:trPr>
        <w:tc>
          <w:tcPr>
            <w:tcW w:w="3414" w:type="dxa"/>
            <w:tcBorders>
              <w:top w:val="single" w:sz="4"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Organismos autónomos</w:t>
            </w:r>
          </w:p>
        </w:tc>
        <w:tc>
          <w:tcPr>
            <w:tcW w:w="899" w:type="dxa"/>
            <w:tcBorders>
              <w:top w:val="single" w:sz="4"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67</w:t>
            </w:r>
          </w:p>
        </w:tc>
        <w:tc>
          <w:tcPr>
            <w:tcW w:w="900" w:type="dxa"/>
            <w:tcBorders>
              <w:top w:val="single" w:sz="4"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67</w:t>
            </w:r>
          </w:p>
        </w:tc>
        <w:tc>
          <w:tcPr>
            <w:tcW w:w="900" w:type="dxa"/>
            <w:tcBorders>
              <w:top w:val="single" w:sz="4"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66</w:t>
            </w:r>
          </w:p>
        </w:tc>
        <w:tc>
          <w:tcPr>
            <w:tcW w:w="900" w:type="dxa"/>
            <w:tcBorders>
              <w:top w:val="single" w:sz="4"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66</w:t>
            </w:r>
          </w:p>
        </w:tc>
        <w:tc>
          <w:tcPr>
            <w:tcW w:w="900" w:type="dxa"/>
            <w:tcBorders>
              <w:top w:val="single" w:sz="4" w:space="0" w:color="auto"/>
              <w:bottom w:val="single" w:sz="2" w:space="0" w:color="auto"/>
            </w:tcBorders>
            <w:vAlign w:val="center"/>
          </w:tcPr>
          <w:p w:rsidR="001E6B7A" w:rsidRPr="001E6B7A" w:rsidRDefault="001E6B7A" w:rsidP="002042A8">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sidRPr="001E6B7A">
              <w:rPr>
                <w:rFonts w:ascii="Arial Narrow" w:hAnsi="Arial Narrow"/>
                <w:spacing w:val="6"/>
                <w:szCs w:val="24"/>
              </w:rPr>
              <w:t>6</w:t>
            </w:r>
            <w:r w:rsidR="002042A8">
              <w:rPr>
                <w:rFonts w:ascii="Arial Narrow" w:hAnsi="Arial Narrow"/>
                <w:spacing w:val="6"/>
                <w:szCs w:val="24"/>
              </w:rPr>
              <w:t>6</w:t>
            </w:r>
          </w:p>
        </w:tc>
        <w:tc>
          <w:tcPr>
            <w:tcW w:w="900" w:type="dxa"/>
            <w:tcBorders>
              <w:top w:val="single" w:sz="4" w:space="0" w:color="auto"/>
              <w:bottom w:val="single" w:sz="2" w:space="0" w:color="auto"/>
            </w:tcBorders>
            <w:vAlign w:val="center"/>
          </w:tcPr>
          <w:p w:rsidR="001E6B7A" w:rsidRPr="001E6B7A" w:rsidRDefault="001E6B7A" w:rsidP="001242D2">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sidRPr="001E6B7A">
              <w:rPr>
                <w:rFonts w:ascii="Arial Narrow" w:hAnsi="Arial Narrow"/>
                <w:spacing w:val="6"/>
                <w:szCs w:val="24"/>
              </w:rPr>
              <w:t>65</w:t>
            </w:r>
          </w:p>
        </w:tc>
      </w:tr>
      <w:tr w:rsidR="001E6B7A" w:rsidRPr="001E6B7A" w:rsidTr="001E6B7A">
        <w:trPr>
          <w:trHeight w:val="198"/>
          <w:jc w:val="center"/>
        </w:trPr>
        <w:tc>
          <w:tcPr>
            <w:tcW w:w="3414"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Empresas públicas</w:t>
            </w:r>
          </w:p>
        </w:tc>
        <w:tc>
          <w:tcPr>
            <w:tcW w:w="899"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41</w:t>
            </w:r>
          </w:p>
        </w:tc>
        <w:tc>
          <w:tcPr>
            <w:tcW w:w="900"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42</w:t>
            </w:r>
          </w:p>
        </w:tc>
        <w:tc>
          <w:tcPr>
            <w:tcW w:w="900"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45</w:t>
            </w:r>
          </w:p>
        </w:tc>
        <w:tc>
          <w:tcPr>
            <w:tcW w:w="900"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48</w:t>
            </w:r>
          </w:p>
        </w:tc>
        <w:tc>
          <w:tcPr>
            <w:tcW w:w="900" w:type="dxa"/>
            <w:tcBorders>
              <w:top w:val="single" w:sz="2" w:space="0" w:color="auto"/>
              <w:bottom w:val="single" w:sz="2" w:space="0" w:color="auto"/>
            </w:tcBorders>
            <w:vAlign w:val="center"/>
          </w:tcPr>
          <w:p w:rsidR="001E6B7A" w:rsidRPr="001E6B7A" w:rsidRDefault="002042A8" w:rsidP="001E6B7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pacing w:val="6"/>
                <w:szCs w:val="24"/>
              </w:rPr>
              <w:t>50</w:t>
            </w:r>
          </w:p>
        </w:tc>
        <w:tc>
          <w:tcPr>
            <w:tcW w:w="900" w:type="dxa"/>
            <w:tcBorders>
              <w:top w:val="single" w:sz="2" w:space="0" w:color="auto"/>
              <w:bottom w:val="single" w:sz="2" w:space="0" w:color="auto"/>
            </w:tcBorders>
            <w:vAlign w:val="center"/>
          </w:tcPr>
          <w:p w:rsidR="001E6B7A" w:rsidRPr="001E6B7A" w:rsidRDefault="002042A8" w:rsidP="001242D2">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Pr>
                <w:rFonts w:ascii="Arial Narrow" w:hAnsi="Arial Narrow"/>
                <w:spacing w:val="6"/>
                <w:szCs w:val="24"/>
              </w:rPr>
              <w:t>54</w:t>
            </w:r>
          </w:p>
        </w:tc>
      </w:tr>
      <w:tr w:rsidR="001E6B7A" w:rsidRPr="001E6B7A" w:rsidTr="001E6B7A">
        <w:trPr>
          <w:trHeight w:val="198"/>
          <w:jc w:val="center"/>
        </w:trPr>
        <w:tc>
          <w:tcPr>
            <w:tcW w:w="3414"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Fundaciones públicas</w:t>
            </w:r>
          </w:p>
        </w:tc>
        <w:tc>
          <w:tcPr>
            <w:tcW w:w="899"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9</w:t>
            </w:r>
          </w:p>
        </w:tc>
        <w:tc>
          <w:tcPr>
            <w:tcW w:w="900"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9</w:t>
            </w:r>
          </w:p>
        </w:tc>
        <w:tc>
          <w:tcPr>
            <w:tcW w:w="900"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9</w:t>
            </w:r>
          </w:p>
        </w:tc>
        <w:tc>
          <w:tcPr>
            <w:tcW w:w="900"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9</w:t>
            </w:r>
          </w:p>
        </w:tc>
        <w:tc>
          <w:tcPr>
            <w:tcW w:w="900" w:type="dxa"/>
            <w:tcBorders>
              <w:top w:val="single" w:sz="2" w:space="0" w:color="auto"/>
              <w:bottom w:val="single" w:sz="2"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sidRPr="001E6B7A">
              <w:rPr>
                <w:rFonts w:ascii="Arial Narrow" w:hAnsi="Arial Narrow"/>
                <w:spacing w:val="6"/>
                <w:szCs w:val="24"/>
              </w:rPr>
              <w:t>9</w:t>
            </w:r>
          </w:p>
        </w:tc>
        <w:tc>
          <w:tcPr>
            <w:tcW w:w="900" w:type="dxa"/>
            <w:tcBorders>
              <w:top w:val="single" w:sz="2" w:space="0" w:color="auto"/>
              <w:bottom w:val="single" w:sz="2" w:space="0" w:color="auto"/>
            </w:tcBorders>
            <w:vAlign w:val="center"/>
          </w:tcPr>
          <w:p w:rsidR="001E6B7A" w:rsidRPr="001E6B7A" w:rsidRDefault="001E6B7A" w:rsidP="001242D2">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sidRPr="001E6B7A">
              <w:rPr>
                <w:rFonts w:ascii="Arial Narrow" w:hAnsi="Arial Narrow"/>
                <w:spacing w:val="6"/>
                <w:szCs w:val="24"/>
              </w:rPr>
              <w:t>9</w:t>
            </w:r>
          </w:p>
        </w:tc>
      </w:tr>
      <w:tr w:rsidR="001E6B7A" w:rsidRPr="001E6B7A" w:rsidTr="001E6B7A">
        <w:trPr>
          <w:trHeight w:val="198"/>
          <w:jc w:val="center"/>
        </w:trPr>
        <w:tc>
          <w:tcPr>
            <w:tcW w:w="3414" w:type="dxa"/>
            <w:tcBorders>
              <w:top w:val="single" w:sz="2" w:space="0" w:color="auto"/>
              <w:bottom w:val="single" w:sz="4" w:space="0" w:color="auto"/>
            </w:tcBorders>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Consorcios</w:t>
            </w:r>
          </w:p>
        </w:tc>
        <w:tc>
          <w:tcPr>
            <w:tcW w:w="899" w:type="dxa"/>
            <w:tcBorders>
              <w:top w:val="single" w:sz="2" w:space="0" w:color="auto"/>
              <w:bottom w:val="single" w:sz="4" w:space="0" w:color="auto"/>
            </w:tcBorders>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1</w:t>
            </w:r>
            <w:r w:rsidR="00582A98">
              <w:rPr>
                <w:rFonts w:ascii="Arial Narrow" w:hAnsi="Arial Narrow"/>
                <w:spacing w:val="6"/>
                <w:szCs w:val="24"/>
              </w:rPr>
              <w:t>5</w:t>
            </w:r>
          </w:p>
        </w:tc>
        <w:tc>
          <w:tcPr>
            <w:tcW w:w="900" w:type="dxa"/>
            <w:tcBorders>
              <w:top w:val="single" w:sz="2" w:space="0" w:color="auto"/>
              <w:bottom w:val="single" w:sz="4" w:space="0" w:color="auto"/>
            </w:tcBorders>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1</w:t>
            </w:r>
            <w:r w:rsidR="00582A98">
              <w:rPr>
                <w:rFonts w:ascii="Arial Narrow" w:hAnsi="Arial Narrow"/>
                <w:spacing w:val="6"/>
                <w:szCs w:val="24"/>
              </w:rPr>
              <w:t>7</w:t>
            </w:r>
          </w:p>
        </w:tc>
        <w:tc>
          <w:tcPr>
            <w:tcW w:w="900" w:type="dxa"/>
            <w:tcBorders>
              <w:top w:val="single" w:sz="2" w:space="0" w:color="auto"/>
              <w:bottom w:val="single" w:sz="4" w:space="0" w:color="auto"/>
            </w:tcBorders>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1</w:t>
            </w:r>
            <w:r w:rsidR="00582A98">
              <w:rPr>
                <w:rFonts w:ascii="Arial Narrow" w:hAnsi="Arial Narrow"/>
                <w:spacing w:val="6"/>
                <w:szCs w:val="24"/>
              </w:rPr>
              <w:t>6</w:t>
            </w:r>
          </w:p>
        </w:tc>
        <w:tc>
          <w:tcPr>
            <w:tcW w:w="900" w:type="dxa"/>
            <w:tcBorders>
              <w:top w:val="single" w:sz="2" w:space="0" w:color="auto"/>
              <w:bottom w:val="single" w:sz="4" w:space="0" w:color="auto"/>
            </w:tcBorders>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1</w:t>
            </w:r>
            <w:r w:rsidR="00582A98">
              <w:rPr>
                <w:rFonts w:ascii="Arial Narrow" w:hAnsi="Arial Narrow"/>
                <w:spacing w:val="6"/>
                <w:szCs w:val="24"/>
              </w:rPr>
              <w:t>6</w:t>
            </w:r>
          </w:p>
        </w:tc>
        <w:tc>
          <w:tcPr>
            <w:tcW w:w="900" w:type="dxa"/>
            <w:tcBorders>
              <w:top w:val="single" w:sz="2" w:space="0" w:color="auto"/>
              <w:bottom w:val="single" w:sz="4" w:space="0" w:color="auto"/>
            </w:tcBorders>
            <w:vAlign w:val="center"/>
          </w:tcPr>
          <w:p w:rsidR="001E6B7A" w:rsidRPr="001E6B7A" w:rsidRDefault="001E6B7A" w:rsidP="00582A98">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sidRPr="001E6B7A">
              <w:rPr>
                <w:rFonts w:ascii="Arial Narrow" w:hAnsi="Arial Narrow"/>
                <w:spacing w:val="6"/>
                <w:szCs w:val="24"/>
              </w:rPr>
              <w:t>1</w:t>
            </w:r>
            <w:r w:rsidR="00582A98">
              <w:rPr>
                <w:rFonts w:ascii="Arial Narrow" w:hAnsi="Arial Narrow"/>
                <w:spacing w:val="6"/>
                <w:szCs w:val="24"/>
              </w:rPr>
              <w:t>6</w:t>
            </w:r>
          </w:p>
        </w:tc>
        <w:tc>
          <w:tcPr>
            <w:tcW w:w="900" w:type="dxa"/>
            <w:tcBorders>
              <w:top w:val="single" w:sz="2" w:space="0" w:color="auto"/>
              <w:bottom w:val="single" w:sz="4" w:space="0" w:color="auto"/>
            </w:tcBorders>
            <w:vAlign w:val="center"/>
          </w:tcPr>
          <w:p w:rsidR="001E6B7A" w:rsidRPr="001E6B7A" w:rsidRDefault="00114989" w:rsidP="001242D2">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pacing w:val="6"/>
                <w:szCs w:val="24"/>
              </w:rPr>
              <w:t>15</w:t>
            </w:r>
            <w:r w:rsidR="001242D2">
              <w:rPr>
                <w:rFonts w:ascii="Arial Narrow" w:hAnsi="Arial Narrow"/>
                <w:spacing w:val="6"/>
                <w:szCs w:val="24"/>
              </w:rPr>
              <w:t>*</w:t>
            </w:r>
          </w:p>
        </w:tc>
      </w:tr>
      <w:tr w:rsidR="001E6B7A" w:rsidRPr="001E6B7A" w:rsidTr="001E6B7A">
        <w:trPr>
          <w:trHeight w:val="255"/>
          <w:jc w:val="center"/>
        </w:trPr>
        <w:tc>
          <w:tcPr>
            <w:tcW w:w="3414"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1E6B7A">
              <w:rPr>
                <w:rFonts w:ascii="Arial" w:hAnsi="Arial"/>
                <w:spacing w:val="6"/>
                <w:sz w:val="18"/>
                <w:szCs w:val="24"/>
              </w:rPr>
              <w:t>Total</w:t>
            </w:r>
          </w:p>
        </w:tc>
        <w:tc>
          <w:tcPr>
            <w:tcW w:w="899" w:type="dxa"/>
            <w:tcBorders>
              <w:top w:val="single" w:sz="4" w:space="0" w:color="auto"/>
              <w:bottom w:val="single" w:sz="4" w:space="0" w:color="auto"/>
            </w:tcBorders>
            <w:shd w:val="clear" w:color="auto" w:fill="FABF8F" w:themeFill="accent6" w:themeFillTint="99"/>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13</w:t>
            </w:r>
            <w:r w:rsidR="00582A98">
              <w:rPr>
                <w:rFonts w:ascii="Arial" w:hAnsi="Arial"/>
                <w:spacing w:val="6"/>
                <w:sz w:val="18"/>
                <w:szCs w:val="24"/>
              </w:rPr>
              <w:t>2</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13</w:t>
            </w:r>
            <w:r w:rsidR="00582A98">
              <w:rPr>
                <w:rFonts w:ascii="Arial" w:hAnsi="Arial"/>
                <w:spacing w:val="6"/>
                <w:sz w:val="18"/>
                <w:szCs w:val="24"/>
              </w:rPr>
              <w:t>5</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13</w:t>
            </w:r>
            <w:r w:rsidR="00582A98">
              <w:rPr>
                <w:rFonts w:ascii="Arial" w:hAnsi="Arial"/>
                <w:spacing w:val="6"/>
                <w:sz w:val="18"/>
                <w:szCs w:val="24"/>
              </w:rPr>
              <w:t>6</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582A9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fldChar w:fldCharType="begin"/>
            </w:r>
            <w:r w:rsidRPr="001E6B7A">
              <w:rPr>
                <w:rFonts w:ascii="Arial" w:hAnsi="Arial"/>
                <w:spacing w:val="6"/>
                <w:sz w:val="18"/>
                <w:szCs w:val="24"/>
              </w:rPr>
              <w:instrText xml:space="preserve"> =SUM(ABOVE) </w:instrText>
            </w:r>
            <w:r w:rsidRPr="001E6B7A">
              <w:rPr>
                <w:rFonts w:ascii="Arial" w:hAnsi="Arial"/>
                <w:spacing w:val="6"/>
                <w:sz w:val="18"/>
                <w:szCs w:val="24"/>
              </w:rPr>
              <w:fldChar w:fldCharType="separate"/>
            </w:r>
            <w:r w:rsidR="00582A98">
              <w:rPr>
                <w:rFonts w:ascii="Arial" w:hAnsi="Arial"/>
                <w:noProof/>
                <w:spacing w:val="6"/>
                <w:sz w:val="18"/>
                <w:szCs w:val="24"/>
              </w:rPr>
              <w:t>139</w:t>
            </w:r>
            <w:r w:rsidRPr="001E6B7A">
              <w:rPr>
                <w:rFonts w:ascii="Arial" w:hAnsi="Arial"/>
                <w:spacing w:val="6"/>
                <w:sz w:val="18"/>
                <w:szCs w:val="24"/>
              </w:rPr>
              <w:fldChar w:fldCharType="end"/>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E6B7A" w:rsidP="00582A98">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1E6B7A">
              <w:rPr>
                <w:rFonts w:ascii="Arial" w:hAnsi="Arial"/>
                <w:spacing w:val="6"/>
                <w:sz w:val="18"/>
                <w:szCs w:val="24"/>
              </w:rPr>
              <w:fldChar w:fldCharType="begin"/>
            </w:r>
            <w:r w:rsidRPr="001E6B7A">
              <w:rPr>
                <w:rFonts w:ascii="Arial" w:hAnsi="Arial"/>
                <w:spacing w:val="6"/>
                <w:sz w:val="18"/>
                <w:szCs w:val="24"/>
              </w:rPr>
              <w:instrText xml:space="preserve"> =SUM(ABOVE) </w:instrText>
            </w:r>
            <w:r w:rsidRPr="001E6B7A">
              <w:rPr>
                <w:rFonts w:ascii="Arial" w:hAnsi="Arial"/>
                <w:spacing w:val="6"/>
                <w:sz w:val="18"/>
                <w:szCs w:val="24"/>
              </w:rPr>
              <w:fldChar w:fldCharType="separate"/>
            </w:r>
            <w:r w:rsidRPr="001E6B7A">
              <w:rPr>
                <w:rFonts w:ascii="Arial" w:hAnsi="Arial"/>
                <w:noProof/>
                <w:spacing w:val="6"/>
                <w:sz w:val="18"/>
                <w:szCs w:val="24"/>
              </w:rPr>
              <w:t>14</w:t>
            </w:r>
            <w:r w:rsidRPr="001E6B7A">
              <w:rPr>
                <w:rFonts w:ascii="Arial" w:hAnsi="Arial"/>
                <w:spacing w:val="6"/>
                <w:sz w:val="18"/>
                <w:szCs w:val="24"/>
              </w:rPr>
              <w:fldChar w:fldCharType="end"/>
            </w:r>
            <w:r w:rsidR="00582A98">
              <w:rPr>
                <w:rFonts w:ascii="Arial" w:hAnsi="Arial"/>
                <w:spacing w:val="6"/>
                <w:sz w:val="18"/>
                <w:szCs w:val="24"/>
              </w:rPr>
              <w:t>1</w:t>
            </w:r>
          </w:p>
        </w:tc>
        <w:tc>
          <w:tcPr>
            <w:tcW w:w="900" w:type="dxa"/>
            <w:tcBorders>
              <w:top w:val="single" w:sz="4" w:space="0" w:color="auto"/>
              <w:bottom w:val="single" w:sz="4" w:space="0" w:color="auto"/>
            </w:tcBorders>
            <w:shd w:val="clear" w:color="auto" w:fill="FABF8F" w:themeFill="accent6" w:themeFillTint="99"/>
            <w:vAlign w:val="center"/>
          </w:tcPr>
          <w:p w:rsidR="001E6B7A" w:rsidRPr="001E6B7A" w:rsidRDefault="001242D2" w:rsidP="00114989">
            <w:pPr>
              <w:keepLines/>
              <w:tabs>
                <w:tab w:val="right" w:pos="2835"/>
                <w:tab w:val="right" w:pos="3969"/>
                <w:tab w:val="right" w:pos="5103"/>
                <w:tab w:val="right" w:pos="6237"/>
                <w:tab w:val="right" w:pos="7371"/>
              </w:tabs>
              <w:spacing w:after="0"/>
              <w:ind w:left="-174" w:right="66" w:firstLine="0"/>
              <w:jc w:val="right"/>
              <w:rPr>
                <w:rFonts w:ascii="Arial" w:hAnsi="Arial"/>
                <w:spacing w:val="6"/>
                <w:sz w:val="18"/>
                <w:szCs w:val="24"/>
              </w:rPr>
            </w:pPr>
            <w:r>
              <w:rPr>
                <w:rFonts w:ascii="Arial" w:hAnsi="Arial"/>
                <w:spacing w:val="6"/>
                <w:sz w:val="18"/>
                <w:szCs w:val="24"/>
              </w:rPr>
              <w:t>1</w:t>
            </w:r>
            <w:r w:rsidR="00114989">
              <w:rPr>
                <w:rFonts w:ascii="Arial" w:hAnsi="Arial"/>
                <w:spacing w:val="6"/>
                <w:sz w:val="18"/>
                <w:szCs w:val="24"/>
              </w:rPr>
              <w:t>43</w:t>
            </w:r>
          </w:p>
        </w:tc>
      </w:tr>
    </w:tbl>
    <w:p w:rsidR="001242D2" w:rsidRPr="001242D2" w:rsidRDefault="001242D2" w:rsidP="00A323B2">
      <w:pPr>
        <w:tabs>
          <w:tab w:val="left" w:pos="1335"/>
        </w:tabs>
        <w:spacing w:before="60" w:after="0"/>
        <w:ind w:left="11" w:firstLine="0"/>
        <w:rPr>
          <w:rFonts w:ascii="Arial" w:hAnsi="Arial" w:cs="Arial"/>
          <w:spacing w:val="6"/>
          <w:sz w:val="16"/>
          <w:szCs w:val="16"/>
        </w:rPr>
      </w:pPr>
      <w:r>
        <w:rPr>
          <w:rFonts w:ascii="Arial" w:hAnsi="Arial" w:cs="Arial"/>
          <w:spacing w:val="6"/>
          <w:sz w:val="16"/>
          <w:szCs w:val="16"/>
        </w:rPr>
        <w:t>*</w:t>
      </w:r>
      <w:r w:rsidR="00114989">
        <w:rPr>
          <w:rFonts w:ascii="Arial" w:hAnsi="Arial" w:cs="Arial"/>
          <w:spacing w:val="6"/>
          <w:sz w:val="16"/>
          <w:szCs w:val="16"/>
        </w:rPr>
        <w:t>Se incluyen todos los consorcios existentes, ya que ninguno se ha clasificado como local a la fecha de redacción de este informe</w:t>
      </w:r>
      <w:r w:rsidRPr="001242D2">
        <w:rPr>
          <w:rFonts w:ascii="Arial" w:hAnsi="Arial" w:cs="Arial"/>
          <w:spacing w:val="6"/>
          <w:sz w:val="16"/>
          <w:szCs w:val="16"/>
        </w:rPr>
        <w:t>.</w:t>
      </w:r>
    </w:p>
    <w:p w:rsidR="001E6B7A" w:rsidRPr="001E6B7A" w:rsidRDefault="001E6B7A" w:rsidP="00582A98">
      <w:pPr>
        <w:pStyle w:val="texto"/>
        <w:spacing w:before="240"/>
      </w:pPr>
      <w:r w:rsidRPr="001E6B7A">
        <w:t xml:space="preserve">En 2014, respecto a 2013, desapareció </w:t>
      </w:r>
      <w:r w:rsidR="006C2AEE">
        <w:t>el organismo autónomo del Ayunt</w:t>
      </w:r>
      <w:r w:rsidR="006C2AEE">
        <w:t>a</w:t>
      </w:r>
      <w:r w:rsidR="006C2AEE">
        <w:t>miento de Puente la Reina Patrimonio Municipal del Suelo</w:t>
      </w:r>
      <w:r w:rsidR="001242D2">
        <w:t>,</w:t>
      </w:r>
      <w:r w:rsidR="006C2AEE">
        <w:t xml:space="preserve"> la Sociedad Mun</w:t>
      </w:r>
      <w:r w:rsidR="006C2AEE">
        <w:t>i</w:t>
      </w:r>
      <w:r w:rsidR="001242D2">
        <w:t>c</w:t>
      </w:r>
      <w:r w:rsidR="006C2AEE">
        <w:t>ipal de Gestión Urbanística Berrioplano S.L. de este ayuntamiento</w:t>
      </w:r>
      <w:r w:rsidR="001242D2">
        <w:t xml:space="preserve"> y el Co</w:t>
      </w:r>
      <w:r w:rsidR="001242D2">
        <w:t>n</w:t>
      </w:r>
      <w:r w:rsidR="001242D2">
        <w:t>sorcio Turístico de B</w:t>
      </w:r>
      <w:r w:rsidR="00455EC0">
        <w:t>e</w:t>
      </w:r>
      <w:r w:rsidR="001242D2">
        <w:t xml:space="preserve">rtiz; </w:t>
      </w:r>
      <w:r w:rsidR="006C2AEE">
        <w:t xml:space="preserve">por otro lado, constan por primera vez en el Registro de Entidades Locales las siguientes sociedades: </w:t>
      </w:r>
      <w:r w:rsidRPr="001E6B7A">
        <w:t>la Sociedad Municipal Gast</w:t>
      </w:r>
      <w:r w:rsidRPr="001E6B7A">
        <w:t>i</w:t>
      </w:r>
      <w:r w:rsidRPr="001E6B7A">
        <w:t>zun para la gestión de las instalaciones deportivas en el Ayuntamiento de Ay</w:t>
      </w:r>
      <w:r w:rsidRPr="001E6B7A">
        <w:t>e</w:t>
      </w:r>
      <w:r w:rsidRPr="001E6B7A">
        <w:t>gui</w:t>
      </w:r>
      <w:r w:rsidR="006C2AEE">
        <w:t>, Panificadora Harinera Echalar S.L., Lesaka Oilartegi S.L., Zugarramurdiko Garapena S.L y en Lekunberri Aralar Irratia S.L.</w:t>
      </w:r>
    </w:p>
    <w:p w:rsidR="001E6B7A" w:rsidRPr="001E6B7A" w:rsidRDefault="001E6B7A" w:rsidP="001E6B7A">
      <w:pPr>
        <w:pStyle w:val="texto"/>
      </w:pPr>
      <w:r w:rsidRPr="001E6B7A">
        <w:t xml:space="preserve">La estructura del sector público local de Navarra a 31 de diciembre del 2014 era la siguiente: </w:t>
      </w:r>
    </w:p>
    <w:p w:rsidR="001E6B7A" w:rsidRPr="001E6B7A" w:rsidRDefault="001E6B7A" w:rsidP="001242D2">
      <w:pPr>
        <w:tabs>
          <w:tab w:val="center" w:pos="2835"/>
          <w:tab w:val="center" w:pos="3969"/>
          <w:tab w:val="center" w:pos="5103"/>
          <w:tab w:val="center" w:pos="6237"/>
          <w:tab w:val="center" w:pos="7371"/>
        </w:tabs>
        <w:suppressAutoHyphens/>
        <w:spacing w:after="0"/>
        <w:ind w:left="-378" w:firstLine="284"/>
        <w:rPr>
          <w:rFonts w:ascii="Gill Sans MT" w:hAnsi="Gill Sans MT"/>
          <w:b/>
          <w:bCs/>
          <w:color w:val="000000"/>
          <w:spacing w:val="6"/>
          <w:sz w:val="26"/>
          <w:szCs w:val="24"/>
          <w:highlight w:val="yellow"/>
        </w:rPr>
      </w:pPr>
      <w:r w:rsidRPr="001E6B7A">
        <w:rPr>
          <w:rFonts w:ascii="Gill Sans MT" w:hAnsi="Gill Sans MT"/>
          <w:noProof/>
          <w:spacing w:val="6"/>
          <w:sz w:val="26"/>
          <w:szCs w:val="24"/>
          <w:lang w:val="es-ES" w:eastAsia="es-ES"/>
        </w:rPr>
        <mc:AlternateContent>
          <mc:Choice Requires="wps">
            <w:drawing>
              <wp:anchor distT="0" distB="0" distL="114300" distR="114300" simplePos="0" relativeHeight="251665920" behindDoc="0" locked="0" layoutInCell="1" allowOverlap="1" wp14:anchorId="013D0BAA" wp14:editId="1DF51801">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rsidR="00071E4A" w:rsidRPr="00D05EAF" w:rsidRDefault="00071E4A" w:rsidP="001E6B7A">
                            <w:pPr>
                              <w:spacing w:before="100" w:after="0"/>
                              <w:ind w:firstLine="0"/>
                              <w:jc w:val="center"/>
                              <w:rPr>
                                <w:rFonts w:ascii="Arial" w:hAnsi="Arial" w:cs="Arial"/>
                                <w:lang w:val="es-ES"/>
                              </w:rPr>
                            </w:pPr>
                            <w:r w:rsidRPr="00D05EAF">
                              <w:rPr>
                                <w:rFonts w:ascii="Arial" w:hAnsi="Arial" w:cs="Arial"/>
                                <w:lang w:val="es-ES"/>
                              </w:rPr>
                              <w:t>Sector Público Local</w:t>
                            </w:r>
                          </w:p>
                          <w:p w:rsidR="00071E4A" w:rsidRPr="00D05EAF" w:rsidRDefault="00071E4A" w:rsidP="001E6B7A">
                            <w:pPr>
                              <w:spacing w:before="60" w:after="40"/>
                              <w:ind w:firstLine="0"/>
                              <w:jc w:val="center"/>
                              <w:rPr>
                                <w:rFonts w:ascii="Arial" w:hAnsi="Arial" w:cs="Arial"/>
                                <w:lang w:val="es-ES"/>
                              </w:rPr>
                            </w:pPr>
                            <w:r w:rsidRPr="00D05EAF">
                              <w:rPr>
                                <w:rFonts w:ascii="Arial" w:hAnsi="Arial" w:cs="Arial"/>
                                <w:lang w:val="es-ES"/>
                              </w:rPr>
                              <w:t>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70.8pt;margin-top:4.65pt;width:130.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" strokeweight=".25pt">
                <v:textbox inset="1pt,1pt,1pt,1pt">
                  <w:txbxContent>
                    <w:p w:rsidR="00071E4A" w:rsidRPr="00D05EAF" w:rsidRDefault="00071E4A" w:rsidP="001E6B7A">
                      <w:pPr>
                        <w:spacing w:before="100" w:after="0"/>
                        <w:ind w:firstLine="0"/>
                        <w:jc w:val="center"/>
                        <w:rPr>
                          <w:rFonts w:ascii="Arial" w:hAnsi="Arial" w:cs="Arial"/>
                          <w:lang w:val="es-ES"/>
                        </w:rPr>
                      </w:pPr>
                      <w:r w:rsidRPr="00D05EAF">
                        <w:rPr>
                          <w:rFonts w:ascii="Arial" w:hAnsi="Arial" w:cs="Arial"/>
                          <w:lang w:val="es-ES"/>
                        </w:rPr>
                        <w:t>Sector Público Local</w:t>
                      </w:r>
                    </w:p>
                    <w:p w:rsidR="00071E4A" w:rsidRPr="00D05EAF" w:rsidRDefault="00071E4A" w:rsidP="001E6B7A">
                      <w:pPr>
                        <w:spacing w:before="60" w:after="40"/>
                        <w:ind w:firstLine="0"/>
                        <w:jc w:val="center"/>
                        <w:rPr>
                          <w:rFonts w:ascii="Arial" w:hAnsi="Arial" w:cs="Arial"/>
                          <w:lang w:val="es-ES"/>
                        </w:rPr>
                      </w:pPr>
                      <w:r w:rsidRPr="00D05EAF">
                        <w:rPr>
                          <w:rFonts w:ascii="Arial" w:hAnsi="Arial" w:cs="Arial"/>
                          <w:lang w:val="es-ES"/>
                        </w:rPr>
                        <w:t>de Navarra</w:t>
                      </w:r>
                    </w:p>
                  </w:txbxContent>
                </v:textbox>
              </v:rect>
            </w:pict>
          </mc:Fallback>
        </mc:AlternateContent>
      </w:r>
    </w:p>
    <w:p w:rsidR="001E6B7A" w:rsidRPr="001E6B7A"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spacing w:val="6"/>
          <w:sz w:val="26"/>
          <w:szCs w:val="24"/>
          <w:lang w:val="es-ES" w:eastAsia="es-ES"/>
        </w:rPr>
        <mc:AlternateContent>
          <mc:Choice Requires="wps">
            <w:drawing>
              <wp:anchor distT="0" distB="0" distL="114300" distR="114300" simplePos="0" relativeHeight="251659776" behindDoc="0" locked="0" layoutInCell="1" allowOverlap="1" wp14:anchorId="42A84DEB" wp14:editId="4DC20291">
                <wp:simplePos x="0" y="0"/>
                <wp:positionH relativeFrom="column">
                  <wp:posOffset>3058160</wp:posOffset>
                </wp:positionH>
                <wp:positionV relativeFrom="paragraph">
                  <wp:posOffset>222250</wp:posOffset>
                </wp:positionV>
                <wp:extent cx="8255" cy="1061085"/>
                <wp:effectExtent l="0" t="0" r="29845" b="2476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06108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17.5pt" to="241.4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" strokeweight=".25pt">
                <v:stroke startarrowwidth="narrow" startarrowlength="short" endarrowwidth="narrow" endarrowlength="short"/>
              </v:line>
            </w:pict>
          </mc:Fallback>
        </mc:AlternateContent>
      </w:r>
    </w:p>
    <w:p w:rsidR="001E6B7A" w:rsidRPr="001E6B7A" w:rsidRDefault="00D757D2"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2848" behindDoc="0" locked="0" layoutInCell="1" allowOverlap="1" wp14:anchorId="2B8EF176" wp14:editId="25D1FA82">
                <wp:simplePos x="0" y="0"/>
                <wp:positionH relativeFrom="column">
                  <wp:posOffset>5198745</wp:posOffset>
                </wp:positionH>
                <wp:positionV relativeFrom="paragraph">
                  <wp:posOffset>240665</wp:posOffset>
                </wp:positionV>
                <wp:extent cx="6985" cy="325755"/>
                <wp:effectExtent l="0" t="0" r="31115" b="1714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257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5pt" to="409.9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xKQIAAGQ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" strokeweight=".25pt">
                <v:stroke startarrowwidth="narrow" startarrowlength="short" endarrowwidth="narrow" endarrowlength="short"/>
              </v:line>
            </w:pict>
          </mc:Fallback>
        </mc:AlternateContent>
      </w:r>
      <w:r w:rsidR="00A9598B"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0800" behindDoc="0" locked="0" layoutInCell="1" allowOverlap="1" wp14:anchorId="6DA7B318" wp14:editId="558E9667">
                <wp:simplePos x="0" y="0"/>
                <wp:positionH relativeFrom="column">
                  <wp:posOffset>772160</wp:posOffset>
                </wp:positionH>
                <wp:positionV relativeFrom="paragraph">
                  <wp:posOffset>244475</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r w:rsidR="00A9598B"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1824" behindDoc="0" locked="0" layoutInCell="1" allowOverlap="1" wp14:anchorId="5A2CE2D4" wp14:editId="0706D10F">
                <wp:simplePos x="0" y="0"/>
                <wp:positionH relativeFrom="column">
                  <wp:posOffset>773430</wp:posOffset>
                </wp:positionH>
                <wp:positionV relativeFrom="paragraph">
                  <wp:posOffset>241300</wp:posOffset>
                </wp:positionV>
                <wp:extent cx="0" cy="990600"/>
                <wp:effectExtent l="0" t="0" r="19050" b="1905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9pt" to="6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" strokeweight=".25pt"/>
            </w:pict>
          </mc:Fallback>
        </mc:AlternateContent>
      </w:r>
    </w:p>
    <w:p w:rsidR="001E6B7A" w:rsidRPr="001E6B7A" w:rsidRDefault="002A23BB"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8992" behindDoc="0" locked="0" layoutInCell="1" allowOverlap="1" wp14:anchorId="7C7FB855" wp14:editId="4ACF86EB">
                <wp:simplePos x="0" y="0"/>
                <wp:positionH relativeFrom="column">
                  <wp:posOffset>288290</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rsidR="00071E4A" w:rsidRPr="00D05EAF" w:rsidRDefault="00071E4A" w:rsidP="001E6B7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Municipios: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2.7pt;margin-top:21.55pt;width:66.2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" strokeweight=".25pt">
                <v:textbox inset="1pt,1pt,1pt,1pt">
                  <w:txbxContent>
                    <w:p w:rsidR="00071E4A" w:rsidRPr="00D05EAF" w:rsidRDefault="00071E4A" w:rsidP="001E6B7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Municipios: 272</w:t>
                      </w:r>
                    </w:p>
                  </w:txbxContent>
                </v:textbox>
              </v:rect>
            </w:pict>
          </mc:Fallback>
        </mc:AlternateContent>
      </w:r>
    </w:p>
    <w:p w:rsidR="001E6B7A" w:rsidRPr="001E6B7A" w:rsidRDefault="00A9598B"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10"/>
          <w:szCs w:val="10"/>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7968" behindDoc="0" locked="0" layoutInCell="1" allowOverlap="1" wp14:anchorId="7DEC40A4" wp14:editId="6B78D3A1">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rsidR="00071E4A" w:rsidRPr="00D05EAF" w:rsidRDefault="00071E4A" w:rsidP="001E6B7A">
                            <w:pPr>
                              <w:spacing w:before="60" w:after="0"/>
                              <w:ind w:firstLine="0"/>
                              <w:jc w:val="center"/>
                              <w:rPr>
                                <w:rFonts w:ascii="Arial Narrow" w:hAnsi="Arial Narrow" w:cs="GillSans"/>
                                <w:sz w:val="18"/>
                                <w:szCs w:val="18"/>
                              </w:rPr>
                            </w:pPr>
                            <w:r w:rsidRPr="00D05EAF">
                              <w:rPr>
                                <w:rFonts w:ascii="Arial Narrow" w:hAnsi="Arial Narrow" w:cs="GillSans"/>
                                <w:sz w:val="18"/>
                                <w:szCs w:val="18"/>
                              </w:rPr>
                              <w:t xml:space="preserve">Entidades </w:t>
                            </w:r>
                          </w:p>
                          <w:p w:rsidR="00071E4A" w:rsidRPr="00D05EAF" w:rsidRDefault="00071E4A" w:rsidP="001E6B7A">
                            <w:pPr>
                              <w:spacing w:after="100"/>
                              <w:ind w:firstLine="0"/>
                              <w:jc w:val="center"/>
                              <w:rPr>
                                <w:rFonts w:ascii="Arial Narrow" w:hAnsi="Arial Narrow" w:cs="GillSans"/>
                                <w:sz w:val="18"/>
                                <w:szCs w:val="18"/>
                              </w:rPr>
                            </w:pPr>
                            <w:r w:rsidRPr="00D05EAF">
                              <w:rPr>
                                <w:rFonts w:ascii="Arial Narrow" w:hAnsi="Arial Narrow" w:cs="GillSans"/>
                                <w:sz w:val="18"/>
                                <w:szCs w:val="18"/>
                              </w:rPr>
                              <w:t xml:space="preserve"> supramunicipales: 8</w:t>
                            </w:r>
                            <w:r>
                              <w:rPr>
                                <w:rFonts w:ascii="Arial Narrow" w:hAnsi="Arial Narrow" w:cs="GillSans"/>
                                <w:sz w:val="18"/>
                                <w:szCs w:val="18"/>
                              </w:rP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02.05pt;margin-top:1pt;width:80.25pt;height:2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" strokeweight=".25pt">
                <v:textbox inset="1pt,1pt,1pt,1pt">
                  <w:txbxContent>
                    <w:p w:rsidR="00071E4A" w:rsidRPr="00D05EAF" w:rsidRDefault="00071E4A" w:rsidP="001E6B7A">
                      <w:pPr>
                        <w:spacing w:before="60" w:after="0"/>
                        <w:ind w:firstLine="0"/>
                        <w:jc w:val="center"/>
                        <w:rPr>
                          <w:rFonts w:ascii="Arial Narrow" w:hAnsi="Arial Narrow" w:cs="GillSans"/>
                          <w:sz w:val="18"/>
                          <w:szCs w:val="18"/>
                        </w:rPr>
                      </w:pPr>
                      <w:r w:rsidRPr="00D05EAF">
                        <w:rPr>
                          <w:rFonts w:ascii="Arial Narrow" w:hAnsi="Arial Narrow" w:cs="GillSans"/>
                          <w:sz w:val="18"/>
                          <w:szCs w:val="18"/>
                        </w:rPr>
                        <w:t xml:space="preserve">Entidades </w:t>
                      </w:r>
                    </w:p>
                    <w:p w:rsidR="00071E4A" w:rsidRPr="00D05EAF" w:rsidRDefault="00071E4A" w:rsidP="001E6B7A">
                      <w:pPr>
                        <w:spacing w:after="100"/>
                        <w:ind w:firstLine="0"/>
                        <w:jc w:val="center"/>
                        <w:rPr>
                          <w:rFonts w:ascii="Arial Narrow" w:hAnsi="Arial Narrow" w:cs="GillSans"/>
                          <w:sz w:val="18"/>
                          <w:szCs w:val="18"/>
                        </w:rPr>
                      </w:pPr>
                      <w:r w:rsidRPr="00D05EAF">
                        <w:rPr>
                          <w:rFonts w:ascii="Arial Narrow" w:hAnsi="Arial Narrow" w:cs="GillSans"/>
                          <w:sz w:val="18"/>
                          <w:szCs w:val="18"/>
                        </w:rPr>
                        <w:t xml:space="preserve"> </w:t>
                      </w:r>
                      <w:proofErr w:type="gramStart"/>
                      <w:r w:rsidRPr="00D05EAF">
                        <w:rPr>
                          <w:rFonts w:ascii="Arial Narrow" w:hAnsi="Arial Narrow" w:cs="GillSans"/>
                          <w:sz w:val="18"/>
                          <w:szCs w:val="18"/>
                        </w:rPr>
                        <w:t>supramunicipales</w:t>
                      </w:r>
                      <w:proofErr w:type="gramEnd"/>
                      <w:r w:rsidRPr="00D05EAF">
                        <w:rPr>
                          <w:rFonts w:ascii="Arial Narrow" w:hAnsi="Arial Narrow" w:cs="GillSans"/>
                          <w:sz w:val="18"/>
                          <w:szCs w:val="18"/>
                        </w:rPr>
                        <w:t>: 8</w:t>
                      </w:r>
                      <w:r>
                        <w:rPr>
                          <w:rFonts w:ascii="Arial Narrow" w:hAnsi="Arial Narrow" w:cs="GillSans"/>
                          <w:sz w:val="18"/>
                          <w:szCs w:val="18"/>
                        </w:rPr>
                        <w:t>4</w:t>
                      </w:r>
                    </w:p>
                  </w:txbxContent>
                </v:textbox>
              </v:rect>
            </w:pict>
          </mc:Fallback>
        </mc:AlternateContent>
      </w:r>
      <w:r w:rsidR="006C5084"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6944" behindDoc="0" locked="0" layoutInCell="1" allowOverlap="1" wp14:anchorId="178BA77B" wp14:editId="63A4CE82">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rsidR="00071E4A" w:rsidRPr="00D05EAF" w:rsidRDefault="00071E4A" w:rsidP="001E6B7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Concejos: 34</w:t>
                            </w:r>
                            <w:r>
                              <w:rPr>
                                <w:rFonts w:ascii="Arial Narrow" w:hAnsi="Arial Narrow" w:cs="GillSans"/>
                                <w:sz w:val="18"/>
                                <w:szCs w:val="18"/>
                              </w:rP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373.3pt;margin-top:.7pt;width:66.3pt;height:2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" strokeweight=".25pt">
                <v:textbox inset="1pt,1pt,1pt,1pt">
                  <w:txbxContent>
                    <w:p w:rsidR="00071E4A" w:rsidRPr="00D05EAF" w:rsidRDefault="00071E4A" w:rsidP="001E6B7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Concejos: 34</w:t>
                      </w:r>
                      <w:r>
                        <w:rPr>
                          <w:rFonts w:ascii="Arial Narrow" w:hAnsi="Arial Narrow" w:cs="GillSans"/>
                          <w:sz w:val="18"/>
                          <w:szCs w:val="18"/>
                        </w:rPr>
                        <w:t>7</w:t>
                      </w:r>
                    </w:p>
                  </w:txbxContent>
                </v:textbox>
              </v:rect>
            </w:pict>
          </mc:Fallback>
        </mc:AlternateContent>
      </w:r>
    </w:p>
    <w:p w:rsidR="001E6B7A" w:rsidRPr="001E6B7A"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1E6B7A" w:rsidRPr="001E6B7A" w:rsidRDefault="00EC175B"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3088" behindDoc="0" locked="0" layoutInCell="1" allowOverlap="1" wp14:anchorId="277C2121" wp14:editId="600FC800">
                <wp:simplePos x="0" y="0"/>
                <wp:positionH relativeFrom="column">
                  <wp:posOffset>3829050</wp:posOffset>
                </wp:positionH>
                <wp:positionV relativeFrom="paragraph">
                  <wp:posOffset>10795</wp:posOffset>
                </wp:positionV>
                <wp:extent cx="12065" cy="815340"/>
                <wp:effectExtent l="0" t="0" r="26035" b="2286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153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85pt" to="302.4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" strokeweight=".25pt">
                <v:stroke startarrowwidth="narrow" startarrowlength="short" endarrowwidth="narrow" endarrowlength="short"/>
              </v:line>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56703" behindDoc="0" locked="0" layoutInCell="1" allowOverlap="1" wp14:anchorId="627A913A" wp14:editId="1322574F">
                <wp:simplePos x="0" y="0"/>
                <wp:positionH relativeFrom="column">
                  <wp:posOffset>2277110</wp:posOffset>
                </wp:positionH>
                <wp:positionV relativeFrom="paragraph">
                  <wp:posOffset>8890</wp:posOffset>
                </wp:positionV>
                <wp:extent cx="12065" cy="815340"/>
                <wp:effectExtent l="0" t="0" r="26035" b="2286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153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7pt" to="180.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" strokeweight=".25pt">
                <v:stroke startarrowwidth="narrow" startarrowlength="short" endarrowwidth="narrow" endarrowlength="short"/>
              </v:line>
            </w:pict>
          </mc:Fallback>
        </mc:AlternateContent>
      </w:r>
      <w:r w:rsidR="00D757D2"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4896" behindDoc="0" locked="0" layoutInCell="1" allowOverlap="1" wp14:anchorId="26EAFECD" wp14:editId="203DD577">
                <wp:simplePos x="0" y="0"/>
                <wp:positionH relativeFrom="column">
                  <wp:posOffset>2279650</wp:posOffset>
                </wp:positionH>
                <wp:positionV relativeFrom="paragraph">
                  <wp:posOffset>3175</wp:posOffset>
                </wp:positionV>
                <wp:extent cx="1571625" cy="0"/>
                <wp:effectExtent l="0" t="0" r="9525" b="190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5pt" to="30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" strokeweight=".25pt">
                <v:stroke startarrowwidth="narrow" startarrowlength="short" endarrowwidth="narrow" endarrowlength="short"/>
              </v:line>
            </w:pict>
          </mc:Fallback>
        </mc:AlternateContent>
      </w:r>
      <w:r w:rsidR="00D757D2"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85376" behindDoc="0" locked="0" layoutInCell="1" allowOverlap="1" wp14:anchorId="7F330BA5" wp14:editId="6452BBD7">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rsidR="00071E4A" w:rsidRPr="006B60F8" w:rsidRDefault="00071E4A" w:rsidP="001E6B7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Agrupaciones municipios: 1</w:t>
                            </w:r>
                            <w:r>
                              <w:rPr>
                                <w:rFonts w:ascii="Arial Narrow" w:hAnsi="Arial Narrow" w:cs="GillSans"/>
                                <w:sz w:val="18"/>
                                <w:szCs w:val="18"/>
                              </w:rPr>
                              <w:t>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257.2pt;margin-top:13.15pt;width:96.85pt;height:29.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" strokeweight=".25pt">
                <v:textbox inset="1pt,1pt,1pt,1pt">
                  <w:txbxContent>
                    <w:p w:rsidR="00071E4A" w:rsidRPr="006B60F8" w:rsidRDefault="00071E4A" w:rsidP="001E6B7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Agrupaciones municipios: 1</w:t>
                      </w:r>
                      <w:r>
                        <w:rPr>
                          <w:rFonts w:ascii="Arial Narrow" w:hAnsi="Arial Narrow" w:cs="GillSans"/>
                          <w:sz w:val="18"/>
                          <w:szCs w:val="18"/>
                        </w:rPr>
                        <w:t>9</w:t>
                      </w:r>
                    </w:p>
                  </w:txbxContent>
                </v:textbox>
              </v:rect>
            </w:pict>
          </mc:Fallback>
        </mc:AlternateContent>
      </w:r>
      <w:r w:rsidR="00A9598B"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4112" behindDoc="0" locked="0" layoutInCell="1" allowOverlap="1" wp14:anchorId="11637376" wp14:editId="2F514392">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rsidR="00071E4A" w:rsidRPr="006B60F8" w:rsidRDefault="00071E4A" w:rsidP="001E6B7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Mancomunidades: 65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140.5pt;margin-top:13pt;width:93.9pt;height:2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" strokeweight=".25pt">
                <v:textbox inset="1pt,1pt,1pt,1pt">
                  <w:txbxContent>
                    <w:p w:rsidR="00071E4A" w:rsidRPr="006B60F8" w:rsidRDefault="00071E4A" w:rsidP="001E6B7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Mancomunidades: 65</w:t>
                      </w:r>
                    </w:p>
                  </w:txbxContent>
                </v:textbox>
              </v:rect>
            </w:pict>
          </mc:Fallback>
        </mc:AlternateContent>
      </w:r>
      <w:r w:rsidR="00A9598B"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0016" behindDoc="0" locked="0" layoutInCell="1" allowOverlap="1" wp14:anchorId="5B99F960" wp14:editId="3D00C0B3">
                <wp:simplePos x="0" y="0"/>
                <wp:positionH relativeFrom="column">
                  <wp:posOffset>1270</wp:posOffset>
                </wp:positionH>
                <wp:positionV relativeFrom="paragraph">
                  <wp:posOffset>146050</wp:posOffset>
                </wp:positionV>
                <wp:extent cx="1433195" cy="561975"/>
                <wp:effectExtent l="0" t="0" r="14605" b="285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561975"/>
                        </a:xfrm>
                        <a:prstGeom prst="rect">
                          <a:avLst/>
                        </a:prstGeom>
                        <a:solidFill>
                          <a:srgbClr val="FFFFFF"/>
                        </a:solidFill>
                        <a:ln w="3175">
                          <a:solidFill>
                            <a:srgbClr val="000000"/>
                          </a:solidFill>
                          <a:miter lim="800000"/>
                          <a:headEnd/>
                          <a:tailEnd/>
                        </a:ln>
                      </wps:spPr>
                      <wps:txbx>
                        <w:txbxContent>
                          <w:p w:rsidR="00071E4A" w:rsidRPr="00D05EAF" w:rsidRDefault="00071E4A" w:rsidP="001E6B7A">
                            <w:pPr>
                              <w:spacing w:before="20" w:after="0"/>
                              <w:ind w:left="14" w:firstLine="0"/>
                              <w:jc w:val="center"/>
                              <w:rPr>
                                <w:rFonts w:ascii="Arial Narrow" w:hAnsi="Arial Narrow" w:cs="GillSans Light"/>
                                <w:sz w:val="18"/>
                                <w:szCs w:val="18"/>
                                <w:highlight w:val="yellow"/>
                              </w:rPr>
                            </w:pPr>
                            <w:r w:rsidRPr="00D05EAF">
                              <w:rPr>
                                <w:rFonts w:ascii="Arial Narrow" w:hAnsi="Arial Narrow" w:cs="GillSans Light"/>
                                <w:sz w:val="18"/>
                                <w:szCs w:val="18"/>
                              </w:rPr>
                              <w:t>Organismos autónomos: 6</w:t>
                            </w:r>
                            <w:r>
                              <w:rPr>
                                <w:rFonts w:ascii="Arial Narrow" w:hAnsi="Arial Narrow" w:cs="GillSans Light"/>
                                <w:sz w:val="18"/>
                                <w:szCs w:val="18"/>
                              </w:rPr>
                              <w:t>2</w:t>
                            </w:r>
                          </w:p>
                          <w:p w:rsidR="00071E4A" w:rsidRPr="00D05EAF" w:rsidRDefault="00071E4A" w:rsidP="001E6B7A">
                            <w:pPr>
                              <w:spacing w:before="20" w:after="0"/>
                              <w:ind w:left="14" w:firstLine="0"/>
                              <w:jc w:val="center"/>
                              <w:rPr>
                                <w:rFonts w:ascii="Arial Narrow" w:hAnsi="Arial Narrow" w:cs="GillSans Light"/>
                                <w:sz w:val="18"/>
                                <w:szCs w:val="18"/>
                              </w:rPr>
                            </w:pPr>
                            <w:r w:rsidRPr="00D05EAF">
                              <w:rPr>
                                <w:rFonts w:ascii="Arial Narrow" w:hAnsi="Arial Narrow" w:cs="GillSans Light"/>
                                <w:sz w:val="18"/>
                                <w:szCs w:val="18"/>
                              </w:rPr>
                              <w:t>Sociedades mercantiles: 4</w:t>
                            </w:r>
                            <w:r>
                              <w:rPr>
                                <w:rFonts w:ascii="Arial Narrow" w:hAnsi="Arial Narrow" w:cs="GillSans Light"/>
                                <w:sz w:val="18"/>
                                <w:szCs w:val="18"/>
                              </w:rPr>
                              <w:t>7</w:t>
                            </w:r>
                          </w:p>
                          <w:p w:rsidR="00071E4A" w:rsidRDefault="00071E4A" w:rsidP="001E6B7A">
                            <w:pPr>
                              <w:spacing w:after="0"/>
                              <w:ind w:left="14" w:firstLine="0"/>
                              <w:jc w:val="center"/>
                              <w:rPr>
                                <w:rFonts w:ascii="Arial Narrow" w:hAnsi="Arial Narrow" w:cs="GillSans Light"/>
                                <w:sz w:val="18"/>
                                <w:szCs w:val="18"/>
                              </w:rPr>
                            </w:pPr>
                            <w:r w:rsidRPr="00D05EAF">
                              <w:rPr>
                                <w:rFonts w:ascii="Arial Narrow" w:hAnsi="Arial Narrow" w:cs="GillSans Light"/>
                                <w:sz w:val="18"/>
                                <w:szCs w:val="18"/>
                              </w:rPr>
                              <w:t>Fundaciones: 9</w:t>
                            </w:r>
                          </w:p>
                          <w:p w:rsidR="00071E4A" w:rsidRPr="00D05EAF" w:rsidRDefault="00071E4A" w:rsidP="001E6B7A">
                            <w:pPr>
                              <w:spacing w:after="0"/>
                              <w:ind w:left="14" w:firstLine="0"/>
                              <w:jc w:val="center"/>
                              <w:rPr>
                                <w:rFonts w:ascii="Arial Narrow" w:hAnsi="Arial Narrow" w:cs="GillSans Light"/>
                                <w:sz w:val="18"/>
                                <w:szCs w:val="18"/>
                              </w:rPr>
                            </w:pPr>
                            <w:r>
                              <w:rPr>
                                <w:rFonts w:ascii="Arial Narrow" w:hAnsi="Arial Narrow" w:cs="GillSans Light"/>
                                <w:sz w:val="18"/>
                                <w:szCs w:val="18"/>
                              </w:rPr>
                              <w:t>Consorcios: 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1pt;margin-top:11.5pt;width:112.8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" strokeweight=".25pt">
                <v:textbox inset="1pt,1pt,1pt,1pt">
                  <w:txbxContent>
                    <w:p w:rsidR="00071E4A" w:rsidRPr="00D05EAF" w:rsidRDefault="00071E4A" w:rsidP="001E6B7A">
                      <w:pPr>
                        <w:spacing w:before="20" w:after="0"/>
                        <w:ind w:left="14" w:firstLine="0"/>
                        <w:jc w:val="center"/>
                        <w:rPr>
                          <w:rFonts w:ascii="Arial Narrow" w:hAnsi="Arial Narrow" w:cs="GillSans Light"/>
                          <w:sz w:val="18"/>
                          <w:szCs w:val="18"/>
                          <w:highlight w:val="yellow"/>
                        </w:rPr>
                      </w:pPr>
                      <w:r w:rsidRPr="00D05EAF">
                        <w:rPr>
                          <w:rFonts w:ascii="Arial Narrow" w:hAnsi="Arial Narrow" w:cs="GillSans Light"/>
                          <w:sz w:val="18"/>
                          <w:szCs w:val="18"/>
                        </w:rPr>
                        <w:t>Organismos autónomos: 6</w:t>
                      </w:r>
                      <w:r>
                        <w:rPr>
                          <w:rFonts w:ascii="Arial Narrow" w:hAnsi="Arial Narrow" w:cs="GillSans Light"/>
                          <w:sz w:val="18"/>
                          <w:szCs w:val="18"/>
                        </w:rPr>
                        <w:t>2</w:t>
                      </w:r>
                    </w:p>
                    <w:p w:rsidR="00071E4A" w:rsidRPr="00D05EAF" w:rsidRDefault="00071E4A" w:rsidP="001E6B7A">
                      <w:pPr>
                        <w:spacing w:before="20" w:after="0"/>
                        <w:ind w:left="14" w:firstLine="0"/>
                        <w:jc w:val="center"/>
                        <w:rPr>
                          <w:rFonts w:ascii="Arial Narrow" w:hAnsi="Arial Narrow" w:cs="GillSans Light"/>
                          <w:sz w:val="18"/>
                          <w:szCs w:val="18"/>
                        </w:rPr>
                      </w:pPr>
                      <w:r w:rsidRPr="00D05EAF">
                        <w:rPr>
                          <w:rFonts w:ascii="Arial Narrow" w:hAnsi="Arial Narrow" w:cs="GillSans Light"/>
                          <w:sz w:val="18"/>
                          <w:szCs w:val="18"/>
                        </w:rPr>
                        <w:t>Sociedades mercantiles: 4</w:t>
                      </w:r>
                      <w:r>
                        <w:rPr>
                          <w:rFonts w:ascii="Arial Narrow" w:hAnsi="Arial Narrow" w:cs="GillSans Light"/>
                          <w:sz w:val="18"/>
                          <w:szCs w:val="18"/>
                        </w:rPr>
                        <w:t>7</w:t>
                      </w:r>
                    </w:p>
                    <w:p w:rsidR="00071E4A" w:rsidRDefault="00071E4A" w:rsidP="001E6B7A">
                      <w:pPr>
                        <w:spacing w:after="0"/>
                        <w:ind w:left="14" w:firstLine="0"/>
                        <w:jc w:val="center"/>
                        <w:rPr>
                          <w:rFonts w:ascii="Arial Narrow" w:hAnsi="Arial Narrow" w:cs="GillSans Light"/>
                          <w:sz w:val="18"/>
                          <w:szCs w:val="18"/>
                        </w:rPr>
                      </w:pPr>
                      <w:r w:rsidRPr="00D05EAF">
                        <w:rPr>
                          <w:rFonts w:ascii="Arial Narrow" w:hAnsi="Arial Narrow" w:cs="GillSans Light"/>
                          <w:sz w:val="18"/>
                          <w:szCs w:val="18"/>
                        </w:rPr>
                        <w:t>Fundaciones: 9</w:t>
                      </w:r>
                    </w:p>
                    <w:p w:rsidR="00071E4A" w:rsidRPr="00D05EAF" w:rsidRDefault="00071E4A" w:rsidP="001E6B7A">
                      <w:pPr>
                        <w:spacing w:after="0"/>
                        <w:ind w:left="14" w:firstLine="0"/>
                        <w:jc w:val="center"/>
                        <w:rPr>
                          <w:rFonts w:ascii="Arial Narrow" w:hAnsi="Arial Narrow" w:cs="GillSans Light"/>
                          <w:sz w:val="18"/>
                          <w:szCs w:val="18"/>
                        </w:rPr>
                      </w:pPr>
                      <w:r>
                        <w:rPr>
                          <w:rFonts w:ascii="Arial Narrow" w:hAnsi="Arial Narrow" w:cs="GillSans Light"/>
                          <w:sz w:val="18"/>
                          <w:szCs w:val="18"/>
                        </w:rPr>
                        <w:t>Consorcios: 15</w:t>
                      </w:r>
                    </w:p>
                  </w:txbxContent>
                </v:textbox>
              </v:rect>
            </w:pict>
          </mc:Fallback>
        </mc:AlternateContent>
      </w:r>
    </w:p>
    <w:p w:rsidR="001E6B7A" w:rsidRPr="001E6B7A"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1E6B7A" w:rsidRPr="001E6B7A" w:rsidRDefault="00A9598B"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6160" behindDoc="0" locked="0" layoutInCell="1" allowOverlap="1" wp14:anchorId="488FBD1B" wp14:editId="4D56825C">
                <wp:simplePos x="0" y="0"/>
                <wp:positionH relativeFrom="column">
                  <wp:posOffset>3267710</wp:posOffset>
                </wp:positionH>
                <wp:positionV relativeFrom="paragraph">
                  <wp:posOffset>271145</wp:posOffset>
                </wp:positionV>
                <wp:extent cx="1337310" cy="326390"/>
                <wp:effectExtent l="0" t="0" r="15240" b="1651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326390"/>
                        </a:xfrm>
                        <a:prstGeom prst="rect">
                          <a:avLst/>
                        </a:prstGeom>
                        <a:solidFill>
                          <a:srgbClr val="FFFFFF"/>
                        </a:solidFill>
                        <a:ln w="3175">
                          <a:solidFill>
                            <a:srgbClr val="000000"/>
                          </a:solidFill>
                          <a:miter lim="800000"/>
                          <a:headEnd/>
                          <a:tailEnd/>
                        </a:ln>
                      </wps:spPr>
                      <wps:txbx>
                        <w:txbxContent>
                          <w:p w:rsidR="00071E4A" w:rsidRDefault="00071E4A" w:rsidP="00D757D2">
                            <w:pPr>
                              <w:spacing w:before="20" w:after="0"/>
                              <w:ind w:left="-142" w:right="-45" w:firstLine="0"/>
                              <w:jc w:val="center"/>
                              <w:rPr>
                                <w:rFonts w:ascii="Arial Narrow" w:hAnsi="Arial Narrow" w:cs="GillSans Light"/>
                                <w:sz w:val="18"/>
                                <w:szCs w:val="18"/>
                              </w:rPr>
                            </w:pPr>
                            <w:r w:rsidRPr="00D05EAF">
                              <w:rPr>
                                <w:rFonts w:ascii="Arial Narrow" w:hAnsi="Arial Narrow" w:cs="GillSans Light"/>
                                <w:sz w:val="18"/>
                                <w:szCs w:val="18"/>
                              </w:rPr>
                              <w:t>Organismos autónomos: 1</w:t>
                            </w:r>
                          </w:p>
                          <w:p w:rsidR="00071E4A" w:rsidRPr="00D757D2" w:rsidRDefault="00071E4A" w:rsidP="00D757D2">
                            <w:pPr>
                              <w:spacing w:before="20" w:after="0"/>
                              <w:ind w:left="-142" w:right="-45" w:firstLine="0"/>
                              <w:jc w:val="center"/>
                              <w:rPr>
                                <w:rFonts w:ascii="Arial Narrow" w:hAnsi="Arial Narrow" w:cs="GillSans Light"/>
                                <w:sz w:val="18"/>
                                <w:szCs w:val="18"/>
                              </w:rPr>
                            </w:pPr>
                            <w:r w:rsidRPr="00D757D2">
                              <w:rPr>
                                <w:rFonts w:ascii="Arial Narrow" w:hAnsi="Arial Narrow" w:cs="GillSans Light"/>
                                <w:sz w:val="18"/>
                                <w:szCs w:val="18"/>
                              </w:rPr>
                              <w:t>Socied. mercantiles: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4" style="position:absolute;left:0;text-align:left;margin-left:257.3pt;margin-top:21.35pt;width:105.3pt;height:2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" strokeweight=".25pt">
                <v:textbox inset="1pt,1pt,1pt,1pt">
                  <w:txbxContent>
                    <w:p w:rsidR="00071E4A" w:rsidRDefault="00071E4A" w:rsidP="00D757D2">
                      <w:pPr>
                        <w:spacing w:before="20" w:after="0"/>
                        <w:ind w:left="-142" w:right="-45" w:firstLine="0"/>
                        <w:jc w:val="center"/>
                        <w:rPr>
                          <w:rFonts w:ascii="Arial Narrow" w:hAnsi="Arial Narrow" w:cs="GillSans Light"/>
                          <w:sz w:val="18"/>
                          <w:szCs w:val="18"/>
                        </w:rPr>
                      </w:pPr>
                      <w:r w:rsidRPr="00D05EAF">
                        <w:rPr>
                          <w:rFonts w:ascii="Arial Narrow" w:hAnsi="Arial Narrow" w:cs="GillSans Light"/>
                          <w:sz w:val="18"/>
                          <w:szCs w:val="18"/>
                        </w:rPr>
                        <w:t>Organismos autónomos: 1</w:t>
                      </w:r>
                    </w:p>
                    <w:p w:rsidR="00071E4A" w:rsidRPr="00D757D2" w:rsidRDefault="00071E4A" w:rsidP="00D757D2">
                      <w:pPr>
                        <w:spacing w:before="20" w:after="0"/>
                        <w:ind w:left="-142" w:right="-45" w:firstLine="0"/>
                        <w:jc w:val="center"/>
                        <w:rPr>
                          <w:rFonts w:ascii="Arial Narrow" w:hAnsi="Arial Narrow" w:cs="GillSans Light"/>
                          <w:sz w:val="18"/>
                          <w:szCs w:val="18"/>
                        </w:rPr>
                      </w:pPr>
                      <w:proofErr w:type="spellStart"/>
                      <w:r w:rsidRPr="00D757D2">
                        <w:rPr>
                          <w:rFonts w:ascii="Arial Narrow" w:hAnsi="Arial Narrow" w:cs="GillSans Light"/>
                          <w:sz w:val="18"/>
                          <w:szCs w:val="18"/>
                        </w:rPr>
                        <w:t>Socied</w:t>
                      </w:r>
                      <w:proofErr w:type="spellEnd"/>
                      <w:r w:rsidRPr="00D757D2">
                        <w:rPr>
                          <w:rFonts w:ascii="Arial Narrow" w:hAnsi="Arial Narrow" w:cs="GillSans Light"/>
                          <w:sz w:val="18"/>
                          <w:szCs w:val="18"/>
                        </w:rPr>
                        <w:t>. mercantiles: 5</w:t>
                      </w:r>
                    </w:p>
                  </w:txbxContent>
                </v:textbox>
              </v:rect>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1040" behindDoc="0" locked="0" layoutInCell="1" allowOverlap="1" wp14:anchorId="326E36BB" wp14:editId="493670BC">
                <wp:simplePos x="0" y="0"/>
                <wp:positionH relativeFrom="column">
                  <wp:posOffset>1662430</wp:posOffset>
                </wp:positionH>
                <wp:positionV relativeFrom="paragraph">
                  <wp:posOffset>253365</wp:posOffset>
                </wp:positionV>
                <wp:extent cx="1315085" cy="345440"/>
                <wp:effectExtent l="0" t="0" r="18415" b="1651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45440"/>
                        </a:xfrm>
                        <a:prstGeom prst="rect">
                          <a:avLst/>
                        </a:prstGeom>
                        <a:solidFill>
                          <a:srgbClr val="FFFFFF"/>
                        </a:solidFill>
                        <a:ln w="3175">
                          <a:solidFill>
                            <a:srgbClr val="000000"/>
                          </a:solidFill>
                          <a:miter lim="800000"/>
                          <a:headEnd/>
                          <a:tailEnd/>
                        </a:ln>
                      </wps:spPr>
                      <wps:txbx>
                        <w:txbxContent>
                          <w:p w:rsidR="00071E4A" w:rsidRPr="00D05EAF" w:rsidRDefault="00071E4A" w:rsidP="001E6B7A">
                            <w:pPr>
                              <w:spacing w:before="60" w:after="0"/>
                              <w:ind w:firstLine="0"/>
                              <w:jc w:val="center"/>
                              <w:rPr>
                                <w:rFonts w:ascii="Arial Narrow" w:hAnsi="Arial Narrow" w:cs="GillSans Light"/>
                                <w:sz w:val="18"/>
                                <w:szCs w:val="18"/>
                              </w:rPr>
                            </w:pPr>
                            <w:r w:rsidRPr="00D05EAF">
                              <w:rPr>
                                <w:rFonts w:ascii="Arial Narrow" w:hAnsi="Arial Narrow" w:cs="GillSans Light"/>
                                <w:sz w:val="18"/>
                                <w:szCs w:val="18"/>
                              </w:rPr>
                              <w:t>Organismos autónomos: 2</w:t>
                            </w:r>
                          </w:p>
                          <w:p w:rsidR="00071E4A" w:rsidRPr="00D05EAF" w:rsidRDefault="00071E4A" w:rsidP="001E6B7A">
                            <w:pPr>
                              <w:spacing w:before="20" w:after="0"/>
                              <w:ind w:firstLine="0"/>
                              <w:jc w:val="center"/>
                              <w:rPr>
                                <w:rFonts w:ascii="Arial Narrow" w:hAnsi="Arial Narrow" w:cs="GillSans Light"/>
                                <w:sz w:val="18"/>
                                <w:szCs w:val="18"/>
                              </w:rPr>
                            </w:pPr>
                            <w:r w:rsidRPr="00D05EAF">
                              <w:rPr>
                                <w:rFonts w:ascii="Arial Narrow" w:hAnsi="Arial Narrow" w:cs="GillSans Light"/>
                                <w:sz w:val="18"/>
                                <w:szCs w:val="18"/>
                              </w:rPr>
                              <w:t>Sociedades mercantiles: 7</w:t>
                            </w:r>
                          </w:p>
                          <w:p w:rsidR="00071E4A" w:rsidRPr="00D05EAF" w:rsidRDefault="00071E4A" w:rsidP="001E6B7A">
                            <w:pPr>
                              <w:spacing w:before="140" w:after="100"/>
                              <w:jc w:val="center"/>
                              <w:rPr>
                                <w:rFonts w:ascii="Gill Sans MT" w:hAnsi="Gill Sans MT" w:cs="GillSans"/>
                                <w:sz w:val="18"/>
                                <w:szCs w:val="18"/>
                              </w:rPr>
                            </w:pPr>
                          </w:p>
                          <w:p w:rsidR="00071E4A" w:rsidRPr="00725B83" w:rsidRDefault="00071E4A" w:rsidP="001E6B7A">
                            <w:pPr>
                              <w:spacing w:before="140" w:after="100"/>
                              <w:jc w:val="center"/>
                              <w:rPr>
                                <w:rFonts w:ascii="Gill Sans MT" w:hAnsi="Gill Sans MT" w:cs="GillSans"/>
                                <w:sz w:val="16"/>
                                <w:szCs w:val="16"/>
                              </w:rPr>
                            </w:pPr>
                            <w:r w:rsidRPr="00725B83">
                              <w:rPr>
                                <w:rFonts w:ascii="Gill Sans MT" w:hAnsi="Gill Sans MT" w:cs="GillSans"/>
                                <w:sz w:val="14"/>
                                <w:szCs w:val="14"/>
                              </w:rPr>
                              <w:t>Socied. mercantiles: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130.9pt;margin-top:19.95pt;width:103.5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" strokeweight=".25pt">
                <v:textbox inset="1pt,1pt,1pt,1pt">
                  <w:txbxContent>
                    <w:p w:rsidR="00071E4A" w:rsidRPr="00D05EAF" w:rsidRDefault="00071E4A" w:rsidP="001E6B7A">
                      <w:pPr>
                        <w:spacing w:before="60" w:after="0"/>
                        <w:ind w:firstLine="0"/>
                        <w:jc w:val="center"/>
                        <w:rPr>
                          <w:rFonts w:ascii="Arial Narrow" w:hAnsi="Arial Narrow" w:cs="GillSans Light"/>
                          <w:sz w:val="18"/>
                          <w:szCs w:val="18"/>
                        </w:rPr>
                      </w:pPr>
                      <w:r w:rsidRPr="00D05EAF">
                        <w:rPr>
                          <w:rFonts w:ascii="Arial Narrow" w:hAnsi="Arial Narrow" w:cs="GillSans Light"/>
                          <w:sz w:val="18"/>
                          <w:szCs w:val="18"/>
                        </w:rPr>
                        <w:t>Organismos autónomos: 2</w:t>
                      </w:r>
                    </w:p>
                    <w:p w:rsidR="00071E4A" w:rsidRPr="00D05EAF" w:rsidRDefault="00071E4A" w:rsidP="001E6B7A">
                      <w:pPr>
                        <w:spacing w:before="20" w:after="0"/>
                        <w:ind w:firstLine="0"/>
                        <w:jc w:val="center"/>
                        <w:rPr>
                          <w:rFonts w:ascii="Arial Narrow" w:hAnsi="Arial Narrow" w:cs="GillSans Light"/>
                          <w:sz w:val="18"/>
                          <w:szCs w:val="18"/>
                        </w:rPr>
                      </w:pPr>
                      <w:r w:rsidRPr="00D05EAF">
                        <w:rPr>
                          <w:rFonts w:ascii="Arial Narrow" w:hAnsi="Arial Narrow" w:cs="GillSans Light"/>
                          <w:sz w:val="18"/>
                          <w:szCs w:val="18"/>
                        </w:rPr>
                        <w:t>Sociedades mercantiles: 7</w:t>
                      </w:r>
                    </w:p>
                    <w:p w:rsidR="00071E4A" w:rsidRPr="00D05EAF" w:rsidRDefault="00071E4A" w:rsidP="001E6B7A">
                      <w:pPr>
                        <w:spacing w:before="140" w:after="100"/>
                        <w:jc w:val="center"/>
                        <w:rPr>
                          <w:rFonts w:ascii="Gill Sans MT" w:hAnsi="Gill Sans MT" w:cs="GillSans"/>
                          <w:sz w:val="18"/>
                          <w:szCs w:val="18"/>
                        </w:rPr>
                      </w:pPr>
                    </w:p>
                    <w:p w:rsidR="00071E4A" w:rsidRPr="00725B83" w:rsidRDefault="00071E4A" w:rsidP="001E6B7A">
                      <w:pPr>
                        <w:spacing w:before="140" w:after="100"/>
                        <w:jc w:val="center"/>
                        <w:rPr>
                          <w:rFonts w:ascii="Gill Sans MT" w:hAnsi="Gill Sans MT" w:cs="GillSans"/>
                          <w:sz w:val="16"/>
                          <w:szCs w:val="16"/>
                        </w:rPr>
                      </w:pPr>
                      <w:r w:rsidRPr="00725B83">
                        <w:rPr>
                          <w:rFonts w:ascii="Gill Sans MT" w:hAnsi="Gill Sans MT" w:cs="GillSans"/>
                          <w:sz w:val="14"/>
                          <w:szCs w:val="14"/>
                        </w:rPr>
                        <w:t>Socied. mercantiles: 5</w:t>
                      </w:r>
                    </w:p>
                  </w:txbxContent>
                </v:textbox>
              </v:rect>
            </w:pict>
          </mc:Fallback>
        </mc:AlternateContent>
      </w:r>
    </w:p>
    <w:p w:rsidR="001E6B7A" w:rsidRPr="001E6B7A" w:rsidRDefault="001E6B7A" w:rsidP="001242D2">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1E6B7A" w:rsidRPr="001E6B7A" w:rsidRDefault="001E6B7A" w:rsidP="001242D2">
      <w:pPr>
        <w:tabs>
          <w:tab w:val="center" w:pos="2835"/>
          <w:tab w:val="center" w:pos="3969"/>
          <w:tab w:val="center" w:pos="5103"/>
          <w:tab w:val="center" w:pos="6237"/>
          <w:tab w:val="center" w:pos="7371"/>
        </w:tabs>
        <w:suppressAutoHyphens/>
        <w:spacing w:after="100"/>
        <w:ind w:left="-378" w:firstLine="284"/>
        <w:rPr>
          <w:rFonts w:ascii="Gill Sans MT" w:hAnsi="Gill Sans MT"/>
          <w:spacing w:val="6"/>
          <w:sz w:val="16"/>
          <w:szCs w:val="16"/>
          <w:highlight w:val="yellow"/>
        </w:rPr>
      </w:pPr>
    </w:p>
    <w:p w:rsidR="001242D2" w:rsidRDefault="001242D2">
      <w:pPr>
        <w:spacing w:after="0"/>
        <w:ind w:firstLine="0"/>
        <w:jc w:val="left"/>
        <w:rPr>
          <w:spacing w:val="6"/>
          <w:sz w:val="26"/>
          <w:szCs w:val="24"/>
        </w:rPr>
      </w:pPr>
      <w:r>
        <w:br w:type="page"/>
      </w:r>
    </w:p>
    <w:p w:rsidR="001E6B7A" w:rsidRPr="001E6B7A" w:rsidRDefault="001E6B7A" w:rsidP="001E6B7A">
      <w:pPr>
        <w:pStyle w:val="texto"/>
        <w:spacing w:after="240"/>
      </w:pPr>
      <w:r w:rsidRPr="001E6B7A">
        <w:lastRenderedPageBreak/>
        <w:t>La población a 1 de enero de 2014 de los 272 municipios de Navarra, 640.790 habitantes según datos del censo oficial, presentaba la siguiente distr</w:t>
      </w:r>
      <w:r w:rsidRPr="001E6B7A">
        <w:t>i</w:t>
      </w:r>
      <w:r w:rsidRPr="001E6B7A">
        <w:t>bución:</w:t>
      </w:r>
    </w:p>
    <w:tbl>
      <w:tblPr>
        <w:tblW w:w="8776" w:type="dxa"/>
        <w:jc w:val="center"/>
        <w:tblInd w:w="72" w:type="dxa"/>
        <w:tblLook w:val="01E0" w:firstRow="1" w:lastRow="1" w:firstColumn="1" w:lastColumn="1" w:noHBand="0" w:noVBand="0"/>
      </w:tblPr>
      <w:tblGrid>
        <w:gridCol w:w="2646"/>
        <w:gridCol w:w="1589"/>
        <w:gridCol w:w="1502"/>
        <w:gridCol w:w="1626"/>
        <w:gridCol w:w="1413"/>
      </w:tblGrid>
      <w:tr w:rsidR="001E6B7A" w:rsidRPr="001E6B7A" w:rsidTr="001E6B7A">
        <w:trPr>
          <w:trHeight w:val="255"/>
          <w:jc w:val="center"/>
        </w:trPr>
        <w:tc>
          <w:tcPr>
            <w:tcW w:w="2646"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1E6B7A">
              <w:rPr>
                <w:rFonts w:ascii="Arial" w:hAnsi="Arial"/>
                <w:spacing w:val="6"/>
                <w:sz w:val="18"/>
                <w:szCs w:val="18"/>
              </w:rPr>
              <w:t>Tramo de población</w:t>
            </w:r>
          </w:p>
        </w:tc>
        <w:tc>
          <w:tcPr>
            <w:tcW w:w="1589"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Número de</w:t>
            </w:r>
          </w:p>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municipios</w:t>
            </w:r>
          </w:p>
        </w:tc>
        <w:tc>
          <w:tcPr>
            <w:tcW w:w="1502"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 municipios sobre total</w:t>
            </w:r>
          </w:p>
        </w:tc>
        <w:tc>
          <w:tcPr>
            <w:tcW w:w="1626"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Población</w:t>
            </w:r>
          </w:p>
        </w:tc>
        <w:tc>
          <w:tcPr>
            <w:tcW w:w="1413"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 población</w:t>
            </w:r>
          </w:p>
          <w:p w:rsidR="001E6B7A" w:rsidRPr="001E6B7A" w:rsidRDefault="001E6B7A" w:rsidP="001E6B7A">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sobre total</w:t>
            </w:r>
          </w:p>
        </w:tc>
      </w:tr>
      <w:tr w:rsidR="001E6B7A" w:rsidRPr="001E6B7A" w:rsidTr="001E6B7A">
        <w:trPr>
          <w:trHeight w:val="198"/>
          <w:jc w:val="center"/>
        </w:trPr>
        <w:tc>
          <w:tcPr>
            <w:tcW w:w="2646" w:type="dxa"/>
            <w:tcBorders>
              <w:top w:val="single" w:sz="4"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&lt;100</w:t>
            </w:r>
          </w:p>
        </w:tc>
        <w:tc>
          <w:tcPr>
            <w:tcW w:w="1589" w:type="dxa"/>
            <w:tcBorders>
              <w:top w:val="single" w:sz="4"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40</w:t>
            </w:r>
          </w:p>
        </w:tc>
        <w:tc>
          <w:tcPr>
            <w:tcW w:w="1502" w:type="dxa"/>
            <w:tcBorders>
              <w:top w:val="single" w:sz="4"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15</w:t>
            </w:r>
          </w:p>
        </w:tc>
        <w:tc>
          <w:tcPr>
            <w:tcW w:w="1626" w:type="dxa"/>
            <w:tcBorders>
              <w:top w:val="single" w:sz="4"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2.510</w:t>
            </w:r>
          </w:p>
        </w:tc>
        <w:tc>
          <w:tcPr>
            <w:tcW w:w="1413" w:type="dxa"/>
            <w:tcBorders>
              <w:top w:val="single" w:sz="4"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0,4</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100-199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53</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19</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7.583</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1,2</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200-499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59</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22</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19.216</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3,0</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500-999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34</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13</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24.311</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3,8</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1.000-1.999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25</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9</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33.375</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5,2</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2.000-2.999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24</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9</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59.538</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9,3</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3.000-4.999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15</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6</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57.341</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8,9</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5.000-9.999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12</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4</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87.993</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13,7</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10.000-24.999</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8</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3</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117.695</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18,4</w:t>
            </w:r>
          </w:p>
        </w:tc>
      </w:tr>
      <w:tr w:rsidR="001E6B7A" w:rsidRPr="001E6B7A" w:rsidTr="001E6B7A">
        <w:trPr>
          <w:trHeight w:val="198"/>
          <w:jc w:val="center"/>
        </w:trPr>
        <w:tc>
          <w:tcPr>
            <w:tcW w:w="2646" w:type="dxa"/>
            <w:tcBorders>
              <w:top w:val="single" w:sz="2" w:space="0" w:color="auto"/>
              <w:bottom w:val="single" w:sz="2"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25.000-50.000</w:t>
            </w:r>
          </w:p>
        </w:tc>
        <w:tc>
          <w:tcPr>
            <w:tcW w:w="1589"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1</w:t>
            </w:r>
          </w:p>
        </w:tc>
        <w:tc>
          <w:tcPr>
            <w:tcW w:w="1502"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0,4</w:t>
            </w:r>
          </w:p>
        </w:tc>
        <w:tc>
          <w:tcPr>
            <w:tcW w:w="1626" w:type="dxa"/>
            <w:tcBorders>
              <w:top w:val="single" w:sz="2" w:space="0" w:color="auto"/>
              <w:bottom w:val="single" w:sz="2"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35.062</w:t>
            </w:r>
          </w:p>
        </w:tc>
        <w:tc>
          <w:tcPr>
            <w:tcW w:w="1413" w:type="dxa"/>
            <w:tcBorders>
              <w:top w:val="single" w:sz="2" w:space="0" w:color="auto"/>
              <w:bottom w:val="single" w:sz="2"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5,5</w:t>
            </w:r>
          </w:p>
        </w:tc>
      </w:tr>
      <w:tr w:rsidR="001E6B7A" w:rsidRPr="001E6B7A" w:rsidTr="001E6B7A">
        <w:trPr>
          <w:trHeight w:val="198"/>
          <w:jc w:val="center"/>
        </w:trPr>
        <w:tc>
          <w:tcPr>
            <w:tcW w:w="2646" w:type="dxa"/>
            <w:tcBorders>
              <w:top w:val="single" w:sz="2" w:space="0" w:color="auto"/>
              <w:bottom w:val="single" w:sz="4" w:space="0" w:color="auto"/>
            </w:tcBorders>
            <w:shd w:val="clear" w:color="auto" w:fill="FFFFFF"/>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Más de 50.000</w:t>
            </w:r>
          </w:p>
        </w:tc>
        <w:tc>
          <w:tcPr>
            <w:tcW w:w="1589" w:type="dxa"/>
            <w:tcBorders>
              <w:top w:val="single" w:sz="2" w:space="0" w:color="auto"/>
              <w:bottom w:val="single" w:sz="4" w:space="0" w:color="auto"/>
            </w:tcBorders>
            <w:shd w:val="clear" w:color="auto" w:fill="FFFFFF"/>
            <w:vAlign w:val="center"/>
          </w:tcPr>
          <w:p w:rsidR="001E6B7A" w:rsidRPr="001E6B7A" w:rsidRDefault="001E6B7A" w:rsidP="001E6B7A">
            <w:pPr>
              <w:spacing w:after="0"/>
              <w:jc w:val="right"/>
              <w:rPr>
                <w:sz w:val="24"/>
                <w:szCs w:val="24"/>
                <w:lang w:eastAsia="es-ES"/>
              </w:rPr>
            </w:pPr>
            <w:r w:rsidRPr="001E6B7A">
              <w:rPr>
                <w:rFonts w:ascii="Arial Narrow" w:hAnsi="Arial Narrow"/>
                <w:lang w:eastAsia="es-ES"/>
              </w:rPr>
              <w:t>1</w:t>
            </w:r>
          </w:p>
        </w:tc>
        <w:tc>
          <w:tcPr>
            <w:tcW w:w="1502" w:type="dxa"/>
            <w:tcBorders>
              <w:top w:val="single" w:sz="2" w:space="0" w:color="auto"/>
              <w:bottom w:val="single" w:sz="4"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0,4</w:t>
            </w:r>
          </w:p>
        </w:tc>
        <w:tc>
          <w:tcPr>
            <w:tcW w:w="1626" w:type="dxa"/>
            <w:tcBorders>
              <w:top w:val="single" w:sz="2" w:space="0" w:color="auto"/>
              <w:bottom w:val="single" w:sz="4" w:space="0" w:color="auto"/>
            </w:tcBorders>
            <w:shd w:val="clear" w:color="auto" w:fill="FFFFFF"/>
            <w:vAlign w:val="center"/>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196.166</w:t>
            </w:r>
          </w:p>
        </w:tc>
        <w:tc>
          <w:tcPr>
            <w:tcW w:w="1413" w:type="dxa"/>
            <w:tcBorders>
              <w:top w:val="single" w:sz="2" w:space="0" w:color="auto"/>
              <w:bottom w:val="single" w:sz="4" w:space="0" w:color="auto"/>
            </w:tcBorders>
            <w:shd w:val="clear" w:color="auto" w:fill="FFFFFF"/>
            <w:vAlign w:val="bottom"/>
          </w:tcPr>
          <w:p w:rsidR="001E6B7A" w:rsidRPr="001E6B7A" w:rsidRDefault="001E6B7A" w:rsidP="001E6B7A">
            <w:pPr>
              <w:spacing w:after="0"/>
              <w:jc w:val="right"/>
              <w:rPr>
                <w:rFonts w:ascii="Arial Narrow" w:hAnsi="Arial Narrow"/>
                <w:lang w:eastAsia="es-ES"/>
              </w:rPr>
            </w:pPr>
            <w:r w:rsidRPr="001E6B7A">
              <w:rPr>
                <w:rFonts w:ascii="Arial Narrow" w:hAnsi="Arial Narrow"/>
                <w:lang w:eastAsia="es-ES"/>
              </w:rPr>
              <w:t>30,6</w:t>
            </w:r>
          </w:p>
        </w:tc>
      </w:tr>
      <w:tr w:rsidR="001E6B7A" w:rsidRPr="001E6B7A" w:rsidTr="001E6B7A">
        <w:trPr>
          <w:trHeight w:val="255"/>
          <w:jc w:val="center"/>
        </w:trPr>
        <w:tc>
          <w:tcPr>
            <w:tcW w:w="2646"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1E6B7A">
              <w:rPr>
                <w:rFonts w:ascii="Arial" w:hAnsi="Arial"/>
                <w:spacing w:val="6"/>
                <w:sz w:val="18"/>
                <w:szCs w:val="18"/>
              </w:rPr>
              <w:t>Total</w:t>
            </w:r>
          </w:p>
        </w:tc>
        <w:tc>
          <w:tcPr>
            <w:tcW w:w="1589"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spacing w:after="0"/>
              <w:jc w:val="right"/>
              <w:rPr>
                <w:sz w:val="18"/>
                <w:szCs w:val="18"/>
                <w:lang w:eastAsia="es-ES"/>
              </w:rPr>
            </w:pPr>
            <w:r w:rsidRPr="001E6B7A">
              <w:rPr>
                <w:rFonts w:ascii="Arial" w:hAnsi="Arial" w:cs="Arial"/>
                <w:sz w:val="18"/>
                <w:szCs w:val="18"/>
                <w:lang w:eastAsia="es-ES"/>
              </w:rPr>
              <w:t>272</w:t>
            </w:r>
          </w:p>
        </w:tc>
        <w:tc>
          <w:tcPr>
            <w:tcW w:w="1502"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spacing w:after="0"/>
              <w:jc w:val="right"/>
              <w:rPr>
                <w:rFonts w:ascii="Arial" w:hAnsi="Arial" w:cs="Arial"/>
                <w:sz w:val="18"/>
                <w:szCs w:val="18"/>
                <w:lang w:eastAsia="es-ES"/>
              </w:rPr>
            </w:pPr>
            <w:r w:rsidRPr="001E6B7A">
              <w:rPr>
                <w:rFonts w:ascii="Arial" w:hAnsi="Arial" w:cs="Arial"/>
                <w:sz w:val="18"/>
                <w:szCs w:val="18"/>
                <w:lang w:eastAsia="es-ES"/>
              </w:rPr>
              <w:t>100</w:t>
            </w:r>
          </w:p>
        </w:tc>
        <w:tc>
          <w:tcPr>
            <w:tcW w:w="1626"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spacing w:after="0"/>
              <w:jc w:val="right"/>
              <w:rPr>
                <w:sz w:val="18"/>
                <w:szCs w:val="18"/>
                <w:lang w:eastAsia="es-ES"/>
              </w:rPr>
            </w:pPr>
            <w:r w:rsidRPr="001E6B7A">
              <w:rPr>
                <w:rFonts w:ascii="Arial" w:hAnsi="Arial" w:cs="Arial"/>
                <w:sz w:val="18"/>
                <w:szCs w:val="18"/>
                <w:lang w:eastAsia="es-ES"/>
              </w:rPr>
              <w:t>640.790</w:t>
            </w:r>
          </w:p>
        </w:tc>
        <w:tc>
          <w:tcPr>
            <w:tcW w:w="1413" w:type="dxa"/>
            <w:tcBorders>
              <w:top w:val="single" w:sz="4" w:space="0" w:color="auto"/>
              <w:bottom w:val="single" w:sz="4" w:space="0" w:color="auto"/>
            </w:tcBorders>
            <w:shd w:val="clear" w:color="auto" w:fill="FABF8F" w:themeFill="accent6" w:themeFillTint="99"/>
            <w:vAlign w:val="center"/>
          </w:tcPr>
          <w:p w:rsidR="001E6B7A" w:rsidRPr="001E6B7A" w:rsidRDefault="001E6B7A" w:rsidP="001E6B7A">
            <w:pPr>
              <w:spacing w:after="0"/>
              <w:jc w:val="right"/>
              <w:rPr>
                <w:rFonts w:ascii="Arial" w:hAnsi="Arial" w:cs="Arial"/>
                <w:sz w:val="18"/>
                <w:szCs w:val="18"/>
                <w:lang w:eastAsia="es-ES"/>
              </w:rPr>
            </w:pPr>
            <w:r w:rsidRPr="001E6B7A">
              <w:rPr>
                <w:rFonts w:ascii="Arial" w:hAnsi="Arial" w:cs="Arial"/>
                <w:sz w:val="18"/>
                <w:szCs w:val="18"/>
                <w:lang w:eastAsia="es-ES"/>
              </w:rPr>
              <w:t>100</w:t>
            </w:r>
          </w:p>
        </w:tc>
      </w:tr>
    </w:tbl>
    <w:p w:rsidR="001E6B7A" w:rsidRPr="001E6B7A" w:rsidRDefault="001E6B7A" w:rsidP="001E6B7A">
      <w:pPr>
        <w:pStyle w:val="texto"/>
        <w:spacing w:before="240"/>
      </w:pPr>
      <w:r w:rsidRPr="001E6B7A">
        <w:t>El 68,4 por ciento de los municipios de Navarra (186 municipios) tiene m</w:t>
      </w:r>
      <w:r w:rsidRPr="001E6B7A">
        <w:t>e</w:t>
      </w:r>
      <w:r w:rsidRPr="001E6B7A">
        <w:t xml:space="preserve">nos de 1.000 habitantes. </w:t>
      </w:r>
      <w:r w:rsidRPr="009522A3">
        <w:t xml:space="preserve">El 55 </w:t>
      </w:r>
      <w:r w:rsidRPr="001E6B7A">
        <w:t>por ciento de la población navarra se concentra en la comarca de Pamplona y el 30,6 por ciento del total corresponde a Pa</w:t>
      </w:r>
      <w:r w:rsidRPr="001E6B7A">
        <w:t>m</w:t>
      </w:r>
      <w:r w:rsidRPr="001E6B7A">
        <w:t>plona.</w:t>
      </w:r>
    </w:p>
    <w:p w:rsidR="001E6B7A" w:rsidRPr="001E6B7A" w:rsidRDefault="001E6B7A" w:rsidP="001E6B7A">
      <w:pPr>
        <w:pStyle w:val="texto"/>
      </w:pPr>
      <w:r w:rsidRPr="001E6B7A">
        <w:t>Tal y como viene reiterando esta Cámara en sus informes, la reducida d</w:t>
      </w:r>
      <w:r w:rsidRPr="001E6B7A">
        <w:t>i</w:t>
      </w:r>
      <w:r w:rsidRPr="001E6B7A">
        <w:t>mensión poblacional suele conllevar unos recursos limitados, humanos y fina</w:t>
      </w:r>
      <w:r w:rsidRPr="001E6B7A">
        <w:t>n</w:t>
      </w:r>
      <w:r w:rsidRPr="001E6B7A">
        <w:t>cieros y la ausencia de una estructura administrativa adecuada y suficiente para la gestión de sus competencias, lo cual dificulta la prestación de servicios con eficiencia, economía, eficacia y calidad.</w:t>
      </w:r>
    </w:p>
    <w:p w:rsidR="001E6B7A" w:rsidRPr="001E6B7A" w:rsidRDefault="001E6B7A" w:rsidP="001E6B7A">
      <w:pPr>
        <w:pStyle w:val="atitulo2"/>
        <w:spacing w:before="240"/>
      </w:pPr>
      <w:bookmarkStart w:id="21" w:name="_Toc399916261"/>
      <w:bookmarkStart w:id="22" w:name="_Toc465686684"/>
      <w:bookmarkStart w:id="23" w:name="_Toc467847955"/>
      <w:r w:rsidRPr="001E6B7A">
        <w:t>III.2. Medidas legislativas planteadas para la racionalización del sector público local</w:t>
      </w:r>
      <w:bookmarkEnd w:id="21"/>
      <w:bookmarkEnd w:id="22"/>
      <w:bookmarkEnd w:id="23"/>
      <w:r w:rsidRPr="001E6B7A">
        <w:t xml:space="preserve"> </w:t>
      </w:r>
    </w:p>
    <w:p w:rsidR="001E6B7A" w:rsidRPr="001E6B7A" w:rsidRDefault="001E6B7A" w:rsidP="001E6B7A">
      <w:pPr>
        <w:pStyle w:val="texto"/>
        <w:rPr>
          <w:rFonts w:cs="Arial"/>
        </w:rPr>
      </w:pPr>
      <w:r w:rsidRPr="001E6B7A">
        <w:rPr>
          <w:rFonts w:cs="Arial"/>
        </w:rPr>
        <w:t>El 24 de octubre de 2012 el Gobierno de Navarra aprobó el proyecto de Ley Foral de Reorganización de la Administración Local de Navarra con los objet</w:t>
      </w:r>
      <w:r w:rsidRPr="001E6B7A">
        <w:rPr>
          <w:rFonts w:cs="Arial"/>
        </w:rPr>
        <w:t>i</w:t>
      </w:r>
      <w:r w:rsidRPr="001E6B7A">
        <w:rPr>
          <w:rFonts w:cs="Arial"/>
        </w:rPr>
        <w:t>vos de: racionalizar y mejorar la gestión económica y la prestación de los se</w:t>
      </w:r>
      <w:r w:rsidRPr="001E6B7A">
        <w:rPr>
          <w:rFonts w:cs="Arial"/>
        </w:rPr>
        <w:t>r</w:t>
      </w:r>
      <w:r w:rsidRPr="001E6B7A">
        <w:rPr>
          <w:rFonts w:cs="Arial"/>
        </w:rPr>
        <w:t>vicios municipales, lograr la máxima igualdad posible en la recepción de los servicios por los ciudadanos y ordenar territorialmente el mapa administrativo y funcional de la Administración Local de Navarra.</w:t>
      </w:r>
    </w:p>
    <w:p w:rsidR="001E6B7A" w:rsidRPr="001E6B7A" w:rsidRDefault="001E6B7A" w:rsidP="001E6B7A">
      <w:pPr>
        <w:pStyle w:val="texto"/>
      </w:pPr>
      <w:r w:rsidRPr="001E6B7A">
        <w:t>Algunas de las medidas propuestas para alcanzar estos objetivos son:</w:t>
      </w:r>
    </w:p>
    <w:p w:rsidR="001E6B7A" w:rsidRPr="00C72BE1" w:rsidRDefault="001E6B7A" w:rsidP="00C72BE1">
      <w:pPr>
        <w:numPr>
          <w:ilvl w:val="0"/>
          <w:numId w:val="2"/>
        </w:numPr>
        <w:tabs>
          <w:tab w:val="clear" w:pos="1948"/>
          <w:tab w:val="left" w:pos="480"/>
          <w:tab w:val="num" w:pos="600"/>
          <w:tab w:val="num" w:pos="720"/>
          <w:tab w:val="num" w:pos="5040"/>
        </w:tabs>
        <w:ind w:left="0" w:firstLine="290"/>
        <w:rPr>
          <w:rFonts w:cs="Arial"/>
          <w:spacing w:val="6"/>
          <w:sz w:val="26"/>
          <w:szCs w:val="24"/>
        </w:rPr>
      </w:pPr>
      <w:r w:rsidRPr="00C72BE1">
        <w:rPr>
          <w:rFonts w:cs="Arial"/>
          <w:spacing w:val="6"/>
          <w:sz w:val="26"/>
          <w:szCs w:val="24"/>
        </w:rPr>
        <w:t xml:space="preserve">Fomentar la fusión voluntaria de municipios y su integración en estructuras intermunicipales de prestación de servicios. </w:t>
      </w:r>
    </w:p>
    <w:p w:rsidR="001E6B7A" w:rsidRPr="00C72BE1" w:rsidRDefault="001E6B7A" w:rsidP="00C72BE1">
      <w:pPr>
        <w:numPr>
          <w:ilvl w:val="0"/>
          <w:numId w:val="2"/>
        </w:numPr>
        <w:tabs>
          <w:tab w:val="clear" w:pos="1948"/>
          <w:tab w:val="left" w:pos="480"/>
          <w:tab w:val="num" w:pos="600"/>
          <w:tab w:val="num" w:pos="720"/>
          <w:tab w:val="num" w:pos="5040"/>
        </w:tabs>
        <w:ind w:left="0" w:firstLine="290"/>
        <w:rPr>
          <w:rFonts w:cs="Arial"/>
          <w:spacing w:val="6"/>
          <w:sz w:val="26"/>
          <w:szCs w:val="24"/>
        </w:rPr>
      </w:pPr>
      <w:r w:rsidRPr="00C72BE1">
        <w:rPr>
          <w:rFonts w:cs="Arial"/>
          <w:spacing w:val="6"/>
          <w:sz w:val="26"/>
          <w:szCs w:val="24"/>
        </w:rPr>
        <w:t>Crear agrupaciones de servicios administrativos para el ejercicio de las funciones de secretaría e intervención.</w:t>
      </w:r>
    </w:p>
    <w:p w:rsidR="001E6B7A" w:rsidRPr="00C72BE1" w:rsidRDefault="001E6B7A" w:rsidP="00C72BE1">
      <w:pPr>
        <w:numPr>
          <w:ilvl w:val="0"/>
          <w:numId w:val="2"/>
        </w:numPr>
        <w:tabs>
          <w:tab w:val="clear" w:pos="1948"/>
          <w:tab w:val="left" w:pos="480"/>
          <w:tab w:val="num" w:pos="600"/>
          <w:tab w:val="num" w:pos="720"/>
          <w:tab w:val="num" w:pos="5040"/>
        </w:tabs>
        <w:ind w:left="0" w:firstLine="290"/>
        <w:rPr>
          <w:rFonts w:cs="Arial"/>
          <w:spacing w:val="6"/>
          <w:sz w:val="26"/>
          <w:szCs w:val="24"/>
        </w:rPr>
      </w:pPr>
      <w:r w:rsidRPr="00C72BE1">
        <w:rPr>
          <w:rFonts w:cs="Arial"/>
          <w:spacing w:val="6"/>
          <w:sz w:val="26"/>
          <w:szCs w:val="24"/>
        </w:rPr>
        <w:t>Crear seis mancomunidades de interés general que agrupen a las existentes.</w:t>
      </w:r>
    </w:p>
    <w:p w:rsidR="001E6B7A" w:rsidRPr="00C72BE1" w:rsidRDefault="001E6B7A" w:rsidP="00C72BE1">
      <w:pPr>
        <w:numPr>
          <w:ilvl w:val="0"/>
          <w:numId w:val="2"/>
        </w:numPr>
        <w:tabs>
          <w:tab w:val="clear" w:pos="1948"/>
          <w:tab w:val="left" w:pos="480"/>
          <w:tab w:val="num" w:pos="600"/>
          <w:tab w:val="num" w:pos="720"/>
          <w:tab w:val="num" w:pos="5040"/>
        </w:tabs>
        <w:ind w:left="0" w:firstLine="290"/>
        <w:rPr>
          <w:rFonts w:cs="Arial"/>
          <w:spacing w:val="6"/>
          <w:sz w:val="26"/>
          <w:szCs w:val="24"/>
        </w:rPr>
      </w:pPr>
      <w:r w:rsidRPr="00C72BE1">
        <w:rPr>
          <w:rFonts w:cs="Arial"/>
          <w:spacing w:val="6"/>
          <w:sz w:val="26"/>
          <w:szCs w:val="24"/>
        </w:rPr>
        <w:lastRenderedPageBreak/>
        <w:t>Mantener los concejos con las siguientes peculiaridades. Se extinguirán cuando la población de un concejo mayor de 1.000 habitantes sea superior a la del resto del municipio al que pertenece; cuando no se presente candidatura a</w:t>
      </w:r>
      <w:r w:rsidRPr="00C72BE1">
        <w:rPr>
          <w:rFonts w:cs="Arial"/>
          <w:spacing w:val="6"/>
          <w:sz w:val="26"/>
          <w:szCs w:val="24"/>
        </w:rPr>
        <w:t>l</w:t>
      </w:r>
      <w:r w:rsidRPr="00C72BE1">
        <w:rPr>
          <w:rFonts w:cs="Arial"/>
          <w:spacing w:val="6"/>
          <w:sz w:val="26"/>
          <w:szCs w:val="24"/>
        </w:rPr>
        <w:t>guna en procesos electorales; si incumplen sus obligaciones administrativas; y si tienen menos de 16 habitantes, entre otras causas. No se podrán crear nuevos concejos.</w:t>
      </w:r>
    </w:p>
    <w:p w:rsidR="001E6B7A" w:rsidRPr="00C72BE1" w:rsidRDefault="001E6B7A" w:rsidP="00C72BE1">
      <w:pPr>
        <w:numPr>
          <w:ilvl w:val="0"/>
          <w:numId w:val="2"/>
        </w:numPr>
        <w:tabs>
          <w:tab w:val="clear" w:pos="1948"/>
          <w:tab w:val="left" w:pos="480"/>
          <w:tab w:val="num" w:pos="600"/>
          <w:tab w:val="num" w:pos="720"/>
          <w:tab w:val="num" w:pos="5040"/>
        </w:tabs>
        <w:ind w:left="0" w:firstLine="290"/>
        <w:rPr>
          <w:rFonts w:cs="Arial"/>
          <w:spacing w:val="6"/>
          <w:sz w:val="26"/>
          <w:szCs w:val="24"/>
        </w:rPr>
      </w:pPr>
      <w:r w:rsidRPr="00C72BE1">
        <w:rPr>
          <w:rFonts w:cs="Arial"/>
          <w:spacing w:val="6"/>
          <w:sz w:val="26"/>
          <w:szCs w:val="24"/>
        </w:rPr>
        <w:t>Reducción de las 11 agrupaciones tradicionales existentes a cuatro.</w:t>
      </w:r>
    </w:p>
    <w:p w:rsidR="001E6B7A" w:rsidRPr="00C72BE1" w:rsidRDefault="001E6B7A" w:rsidP="00C72BE1">
      <w:pPr>
        <w:pStyle w:val="texto"/>
      </w:pPr>
      <w:r w:rsidRPr="00C72BE1">
        <w:t>El Pleno del Parlamento aprobó el 19 de septiembre de 2013 la proposición de Ley Foral de Bases para la Reorganización, Simplificación, Modernización y Democratización de la Administración Local, en el cual se contemplan ent</w:t>
      </w:r>
      <w:r w:rsidRPr="00C72BE1">
        <w:t>i</w:t>
      </w:r>
      <w:r w:rsidRPr="00C72BE1">
        <w:t xml:space="preserve">dades como el distrito administrativo, las mancomunidades de interés general o el área metropolitana de Pamplona. </w:t>
      </w:r>
    </w:p>
    <w:p w:rsidR="001E6B7A" w:rsidRPr="001E6B7A" w:rsidRDefault="001E6B7A" w:rsidP="009020CB">
      <w:pPr>
        <w:pStyle w:val="texto"/>
      </w:pPr>
      <w:r w:rsidRPr="001E6B7A">
        <w:t>Ambas propuestas legislativas incorporan la previsión de aprobar un nuevo modelo de financiación de las entidades locales.</w:t>
      </w:r>
    </w:p>
    <w:p w:rsidR="001E6B7A" w:rsidRPr="001E6B7A" w:rsidRDefault="001E6B7A" w:rsidP="001E6B7A">
      <w:pPr>
        <w:tabs>
          <w:tab w:val="center" w:pos="2835"/>
          <w:tab w:val="center" w:pos="3969"/>
          <w:tab w:val="center" w:pos="5103"/>
          <w:tab w:val="center" w:pos="6237"/>
          <w:tab w:val="center" w:pos="7371"/>
        </w:tabs>
        <w:ind w:firstLine="284"/>
        <w:rPr>
          <w:spacing w:val="6"/>
          <w:sz w:val="26"/>
          <w:szCs w:val="24"/>
        </w:rPr>
      </w:pPr>
      <w:r w:rsidRPr="001E6B7A">
        <w:rPr>
          <w:spacing w:val="6"/>
          <w:sz w:val="26"/>
          <w:szCs w:val="24"/>
        </w:rPr>
        <w:t>Tanto el proyecto de ley aprobado por el Gobierno en 2012 como la propos</w:t>
      </w:r>
      <w:r w:rsidRPr="001E6B7A">
        <w:rPr>
          <w:spacing w:val="6"/>
          <w:sz w:val="26"/>
          <w:szCs w:val="24"/>
        </w:rPr>
        <w:t>i</w:t>
      </w:r>
      <w:r w:rsidRPr="001E6B7A">
        <w:rPr>
          <w:spacing w:val="6"/>
          <w:sz w:val="26"/>
          <w:szCs w:val="24"/>
        </w:rPr>
        <w:t xml:space="preserve">ción de Ley aprobada por el Parlamento en 2013 se debatieron en la ponencia parlamentaria aprobada el 29 de octubre de 2013 por la Comisión de Desarrollo Rural, Medio Ambiente y Administración Local. </w:t>
      </w:r>
    </w:p>
    <w:p w:rsidR="001E6B7A" w:rsidRPr="001E6B7A" w:rsidRDefault="001E6B7A" w:rsidP="009020CB">
      <w:pPr>
        <w:pStyle w:val="texto"/>
      </w:pPr>
      <w:r w:rsidRPr="001E6B7A">
        <w:t>El 13 de junio de 2014 el Parlamento acordó alargar seis meses la ponencia, cuya finalización estaba prevista para el 16 de junio de 2014. Esta ponencia concluyó sin acuerdo por lo que, a la fecha de redacción de este informe, sigue pendiente de aprobación la ley foral que aborde la reorganización de las entid</w:t>
      </w:r>
      <w:r w:rsidRPr="001E6B7A">
        <w:t>a</w:t>
      </w:r>
      <w:r w:rsidRPr="001E6B7A">
        <w:t xml:space="preserve">des locales de Navarra. </w:t>
      </w:r>
    </w:p>
    <w:p w:rsidR="001E6B7A" w:rsidRPr="00C72BE1" w:rsidRDefault="001E6B7A" w:rsidP="00C72BE1">
      <w:pPr>
        <w:pStyle w:val="texto"/>
      </w:pPr>
      <w:r w:rsidRPr="00C72BE1">
        <w:t>El 31 de diciembre de 2013 entró en vigor la Ley 27/2013, de 27 de dicie</w:t>
      </w:r>
      <w:r w:rsidRPr="00C72BE1">
        <w:t>m</w:t>
      </w:r>
      <w:r w:rsidRPr="00C72BE1">
        <w:t>bre, de Racionalización y Sostenibilidad de la Administración Local. La Disp</w:t>
      </w:r>
      <w:r w:rsidRPr="00C72BE1">
        <w:t>o</w:t>
      </w:r>
      <w:r w:rsidRPr="00C72BE1">
        <w:t xml:space="preserve">sición Adicional segunda de esta Ley regula algunas especificidades aplicables a la Comunidad Foral de Navarra en relación con la </w:t>
      </w:r>
      <w:r w:rsidR="003F5435" w:rsidRPr="00C72BE1">
        <w:t xml:space="preserve">forma de </w:t>
      </w:r>
      <w:r w:rsidRPr="00C72BE1">
        <w:t>prestación de se</w:t>
      </w:r>
      <w:r w:rsidRPr="00C72BE1">
        <w:t>r</w:t>
      </w:r>
      <w:r w:rsidRPr="00C72BE1">
        <w:t>vicios</w:t>
      </w:r>
      <w:r w:rsidR="003F5435" w:rsidRPr="00C72BE1">
        <w:t xml:space="preserve"> y la atribución de competencias a las distintas entidades locales</w:t>
      </w:r>
      <w:r w:rsidRPr="00C72BE1">
        <w:t>.</w:t>
      </w:r>
    </w:p>
    <w:p w:rsidR="001E6B7A" w:rsidRPr="00C72BE1" w:rsidRDefault="001E6B7A" w:rsidP="00C72BE1">
      <w:pPr>
        <w:pStyle w:val="texto"/>
      </w:pPr>
      <w:r w:rsidRPr="00C72BE1">
        <w:t>El 2 de diciembre de 2014 el Parlamento de Navarra aprobó la Ley Foral 23/2014, de modificación de la Ley Foral 6/1990, de Administración Local de Navarra. Esta ley tiene por objeto mantener las competencias de las entidades locales de Navarra</w:t>
      </w:r>
      <w:r w:rsidR="0019499B">
        <w:t xml:space="preserve">, establecer cuestiones provisionales respecto a determinadas competencias mientras no se aborde la reestructuración local, </w:t>
      </w:r>
      <w:r w:rsidRPr="00C72BE1">
        <w:t>y regular otras cuestiones del ámbito municipal que pueden verse afectadas por la Ley 27/2013, de 27 de diciembre, de Racionalización y Sostenibilidad de la Adm</w:t>
      </w:r>
      <w:r w:rsidRPr="00C72BE1">
        <w:t>i</w:t>
      </w:r>
      <w:r w:rsidRPr="00C72BE1">
        <w:t xml:space="preserve">nistración Local, si bien esta ley no aborda los aspectos más importantes de la reorganización de las entidades locales. </w:t>
      </w:r>
    </w:p>
    <w:p w:rsidR="003F5435" w:rsidRPr="00C72BE1" w:rsidRDefault="003F5435" w:rsidP="00C72BE1">
      <w:pPr>
        <w:pStyle w:val="texto"/>
      </w:pPr>
      <w:r w:rsidRPr="00C72BE1">
        <w:t>En febrero de 2016, el Gobierno inició un proceso de participación para d</w:t>
      </w:r>
      <w:r w:rsidRPr="00C72BE1">
        <w:t>e</w:t>
      </w:r>
      <w:r w:rsidRPr="00C72BE1">
        <w:t>finir la nueva organización de la Administración Local de Navarra. En dicho proceso van a participar el propio Gobierno, con la Dirección de Administr</w:t>
      </w:r>
      <w:r w:rsidRPr="00C72BE1">
        <w:t>a</w:t>
      </w:r>
      <w:r w:rsidRPr="00C72BE1">
        <w:lastRenderedPageBreak/>
        <w:t>ción Local como agente coordinador, las entidades locales con la Federación Navarra de Municipios y Concejos como agente coordinador, los grupos parl</w:t>
      </w:r>
      <w:r w:rsidRPr="00C72BE1">
        <w:t>a</w:t>
      </w:r>
      <w:r w:rsidRPr="00C72BE1">
        <w:t>mentarios, varios expertos y asesores en la materia, funcionarios con experie</w:t>
      </w:r>
      <w:r w:rsidRPr="00C72BE1">
        <w:t>n</w:t>
      </w:r>
      <w:r w:rsidRPr="00C72BE1">
        <w:t>cia en este ámbito y otros actores territoriales.</w:t>
      </w:r>
    </w:p>
    <w:p w:rsidR="003F5435" w:rsidRPr="00C72BE1" w:rsidRDefault="003F5435" w:rsidP="00C72BE1">
      <w:pPr>
        <w:pStyle w:val="texto"/>
      </w:pPr>
      <w:r w:rsidRPr="00C72BE1">
        <w:t>En concreto se han establecido tres grupos de trabajo que</w:t>
      </w:r>
      <w:r w:rsidR="00CD4E82" w:rsidRPr="00C72BE1">
        <w:t xml:space="preserve"> abordarán princ</w:t>
      </w:r>
      <w:r w:rsidR="00CD4E82" w:rsidRPr="00C72BE1">
        <w:t>i</w:t>
      </w:r>
      <w:r w:rsidR="00CD4E82" w:rsidRPr="00C72BE1">
        <w:t>palmente temas referidos a las competencias locales, el mapa local y la fina</w:t>
      </w:r>
      <w:r w:rsidR="00CD4E82" w:rsidRPr="00C72BE1">
        <w:t>n</w:t>
      </w:r>
      <w:r w:rsidR="00CD4E82" w:rsidRPr="00C72BE1">
        <w:t>ciación de las entidades locales</w:t>
      </w:r>
      <w:r w:rsidRPr="00C72BE1">
        <w:t xml:space="preserve"> durante un periodo de dos años</w:t>
      </w:r>
      <w:r w:rsidR="00CD4E82" w:rsidRPr="00C72BE1">
        <w:t>. Transcurrido este periodo, el Gobierno de Navarra por medio de Administración Local, la</w:t>
      </w:r>
      <w:r w:rsidR="00CD4E82" w:rsidRPr="00C72BE1">
        <w:t>n</w:t>
      </w:r>
      <w:r w:rsidR="00CD4E82" w:rsidRPr="00C72BE1">
        <w:t>zará las correspondientes propuestas legislativas para que el Parlamento pueda ejecutarlas en 2018.</w:t>
      </w:r>
    </w:p>
    <w:p w:rsidR="001E6B7A" w:rsidRPr="001E6B7A" w:rsidRDefault="001E6B7A" w:rsidP="001E6B7A">
      <w:pPr>
        <w:pStyle w:val="atitulo2"/>
        <w:spacing w:before="240"/>
      </w:pPr>
      <w:bookmarkStart w:id="24" w:name="_Toc291067878"/>
      <w:bookmarkStart w:id="25" w:name="_Toc399916262"/>
      <w:bookmarkStart w:id="26" w:name="_Toc465686685"/>
      <w:bookmarkStart w:id="27" w:name="_Toc467847956"/>
      <w:r w:rsidRPr="001E6B7A">
        <w:t>III.3. Normativa</w:t>
      </w:r>
      <w:bookmarkEnd w:id="24"/>
      <w:bookmarkEnd w:id="25"/>
      <w:bookmarkEnd w:id="26"/>
      <w:bookmarkEnd w:id="27"/>
      <w:r w:rsidRPr="001E6B7A">
        <w:t xml:space="preserve"> </w:t>
      </w:r>
    </w:p>
    <w:p w:rsidR="001E6B7A" w:rsidRPr="001E6B7A" w:rsidRDefault="001E6B7A" w:rsidP="009020CB">
      <w:pPr>
        <w:pStyle w:val="texto"/>
      </w:pPr>
      <w:r w:rsidRPr="001E6B7A">
        <w:t>La normativa básica a la que están sujetas las entidades locales de Navarra durante el año 2014 está integrada, principalmente, por las siguientes dispos</w:t>
      </w:r>
      <w:r w:rsidRPr="001E6B7A">
        <w:t>i</w:t>
      </w:r>
      <w:r w:rsidRPr="001E6B7A">
        <w:t>ciones legales y reglamentarias:</w:t>
      </w:r>
    </w:p>
    <w:p w:rsidR="001E6B7A" w:rsidRPr="001E6B7A" w:rsidRDefault="001E6B7A" w:rsidP="009020CB">
      <w:pPr>
        <w:pStyle w:val="texto"/>
      </w:pPr>
      <w:r w:rsidRPr="001E6B7A">
        <w:t>Ley Foral 6/1990, de 2 de julio, de la Administración Local de Navarra.</w:t>
      </w:r>
    </w:p>
    <w:p w:rsidR="001E6B7A" w:rsidRPr="001E6B7A" w:rsidRDefault="001E6B7A" w:rsidP="009020CB">
      <w:pPr>
        <w:pStyle w:val="texto"/>
      </w:pPr>
      <w:r w:rsidRPr="001E6B7A">
        <w:t>Ley 7/1985, de 2 de abril, Reguladora de las Bases del Régimen Local.</w:t>
      </w:r>
    </w:p>
    <w:p w:rsidR="001E6B7A" w:rsidRPr="001E6B7A" w:rsidRDefault="001E6B7A" w:rsidP="009020CB">
      <w:pPr>
        <w:pStyle w:val="texto"/>
      </w:pPr>
      <w:r w:rsidRPr="001E6B7A">
        <w:t>Ley Foral 2/1995, de l0 de marzo, de Haciendas Locales de Navarra.</w:t>
      </w:r>
    </w:p>
    <w:p w:rsidR="001E6B7A" w:rsidRPr="001E6B7A" w:rsidRDefault="001E6B7A" w:rsidP="009020CB">
      <w:pPr>
        <w:pStyle w:val="texto"/>
      </w:pPr>
      <w:r w:rsidRPr="001E6B7A">
        <w:t>Decreto Foral 270/1998, Decreto Foral 271/1998, Decreto Foral 272/1998 y Decreto Foral 273/1998, todos de 21 de septiembre, de presupuesto y gasto p</w:t>
      </w:r>
      <w:r w:rsidRPr="001E6B7A">
        <w:t>ú</w:t>
      </w:r>
      <w:r w:rsidRPr="001E6B7A">
        <w:t>blico, de estructura presupuestaria, de aprobación de la Instrucción de Contab</w:t>
      </w:r>
      <w:r w:rsidRPr="001E6B7A">
        <w:t>i</w:t>
      </w:r>
      <w:r w:rsidRPr="001E6B7A">
        <w:t>lidad General y de Contabilidad Simplificada para la Administración Local de Navarra, respectivamente.</w:t>
      </w:r>
    </w:p>
    <w:p w:rsidR="0019499B" w:rsidRPr="0019499B" w:rsidRDefault="001E6B7A" w:rsidP="0019499B">
      <w:pPr>
        <w:pStyle w:val="texto"/>
      </w:pPr>
      <w:r w:rsidRPr="001E6B7A">
        <w:t>Plan General de Contabilidad Pública adaptado a la Administración Local, aprobado por Orden Ministerial, de 17 de julio de 1990, del Ministerio de Ec</w:t>
      </w:r>
      <w:r w:rsidRPr="001E6B7A">
        <w:t>o</w:t>
      </w:r>
      <w:r w:rsidRPr="001E6B7A">
        <w:t>nomía y Hacienda. (Regla 425 DF 272/1998 Instrucción general contabilidad).</w:t>
      </w:r>
    </w:p>
    <w:p w:rsidR="0019499B" w:rsidRPr="0019499B" w:rsidRDefault="0019499B" w:rsidP="0019499B">
      <w:pPr>
        <w:pStyle w:val="texto"/>
      </w:pPr>
      <w:r w:rsidRPr="0019499B">
        <w:t>Ley Orgánica 2/2012, de 27 de abril, de Estabilidad Presupuestaria y Sost</w:t>
      </w:r>
      <w:r w:rsidRPr="0019499B">
        <w:t>e</w:t>
      </w:r>
      <w:r w:rsidRPr="0019499B">
        <w:t>nibilidad Financiera, modificada por Ley Orgánica 4/2012, de 28 de septie</w:t>
      </w:r>
      <w:r w:rsidRPr="0019499B">
        <w:t>m</w:t>
      </w:r>
      <w:r w:rsidRPr="0019499B">
        <w:t>bre.</w:t>
      </w:r>
    </w:p>
    <w:p w:rsidR="0019499B" w:rsidRPr="0019499B" w:rsidRDefault="0019499B" w:rsidP="0019499B">
      <w:pPr>
        <w:pStyle w:val="texto"/>
      </w:pPr>
      <w:r w:rsidRPr="0019499B">
        <w:t xml:space="preserve">Ley 27/2013, de 27 de diciembre, de racionalización y sostenibilidad de la Administración Local. </w:t>
      </w:r>
    </w:p>
    <w:p w:rsidR="001E6B7A" w:rsidRDefault="001E6B7A" w:rsidP="009020CB">
      <w:pPr>
        <w:pStyle w:val="texto"/>
      </w:pPr>
      <w:r w:rsidRPr="001E6B7A">
        <w:t>Bases de ejecución del presupuesto del 2014.</w:t>
      </w:r>
    </w:p>
    <w:p w:rsidR="00CD4E82" w:rsidRPr="001E6B7A" w:rsidRDefault="00CD4E82" w:rsidP="00CD4E82">
      <w:pPr>
        <w:pStyle w:val="texto"/>
      </w:pPr>
      <w:r>
        <w:t>Junto a esta legislación básic</w:t>
      </w:r>
      <w:r w:rsidRPr="001E6B7A">
        <w:t>a</w:t>
      </w:r>
      <w:r>
        <w:t>, tiene incidencia en las entidades locales la legislación de estabilidad presupuestaria, sostenibilidad financiera, así como la legislación sectorial que le es aplicable en las distintas áreas de gestión (contr</w:t>
      </w:r>
      <w:r>
        <w:t>a</w:t>
      </w:r>
      <w:r>
        <w:t xml:space="preserve">tación, subvenciones, ordenanzas fiscales, etc.). En el </w:t>
      </w:r>
      <w:r w:rsidR="00560E8D">
        <w:t>anexo 1</w:t>
      </w:r>
      <w:r>
        <w:t xml:space="preserve"> que acompaña a este informe se puede consultar de f</w:t>
      </w:r>
      <w:bookmarkStart w:id="28" w:name="_GoBack"/>
      <w:bookmarkEnd w:id="28"/>
      <w:r>
        <w:t>orma detallada esta normativa.</w:t>
      </w:r>
      <w:r w:rsidRPr="001E6B7A">
        <w:t xml:space="preserve"> </w:t>
      </w:r>
    </w:p>
    <w:p w:rsidR="001E6B7A" w:rsidRPr="001E6B7A" w:rsidRDefault="001E6B7A" w:rsidP="001E6B7A">
      <w:pPr>
        <w:keepNext/>
        <w:spacing w:after="240"/>
        <w:ind w:firstLine="0"/>
        <w:rPr>
          <w:rFonts w:ascii="Arial" w:hAnsi="Arial"/>
          <w:i/>
          <w:iCs/>
          <w:color w:val="000000"/>
          <w:spacing w:val="10"/>
          <w:kern w:val="28"/>
          <w:sz w:val="25"/>
          <w:szCs w:val="26"/>
        </w:rPr>
      </w:pPr>
      <w:r w:rsidRPr="001E6B7A">
        <w:rPr>
          <w:b/>
          <w:spacing w:val="6"/>
          <w:sz w:val="26"/>
          <w:szCs w:val="24"/>
        </w:rPr>
        <w:br w:type="page"/>
      </w:r>
    </w:p>
    <w:p w:rsidR="007E3BFE" w:rsidRPr="007E3BFE" w:rsidRDefault="007E3BFE" w:rsidP="007E3BFE">
      <w:pPr>
        <w:pStyle w:val="atitulo1"/>
      </w:pPr>
      <w:bookmarkStart w:id="29" w:name="_Toc399916263"/>
      <w:bookmarkStart w:id="30" w:name="_Toc465686686"/>
      <w:bookmarkStart w:id="31" w:name="_Toc467847957"/>
      <w:r w:rsidRPr="007E3BFE">
        <w:lastRenderedPageBreak/>
        <w:t>IV. Memoria-resumen de las actuaciones de fiscalización de entes locales</w:t>
      </w:r>
      <w:bookmarkEnd w:id="29"/>
      <w:bookmarkEnd w:id="30"/>
      <w:bookmarkEnd w:id="31"/>
    </w:p>
    <w:p w:rsidR="007E3BFE" w:rsidRPr="007E3BFE" w:rsidRDefault="007E3BFE" w:rsidP="007E3BFE">
      <w:pPr>
        <w:pStyle w:val="texto"/>
        <w:rPr>
          <w:lang w:val="es-ES"/>
        </w:rPr>
      </w:pPr>
      <w:r w:rsidRPr="007E3BFE">
        <w:t>Esta Cámara realizó la fiscalización de regularidad (financiera y de legal</w:t>
      </w:r>
      <w:r w:rsidRPr="007E3BFE">
        <w:t>i</w:t>
      </w:r>
      <w:r w:rsidRPr="007E3BFE">
        <w:t xml:space="preserve">dad) de la cuenta general del año 2014 de 15 </w:t>
      </w:r>
      <w:r w:rsidR="00694DB0">
        <w:t>entidades locales</w:t>
      </w:r>
      <w:r w:rsidRPr="007E3BFE">
        <w:t xml:space="preserve">: </w:t>
      </w:r>
      <w:r w:rsidRPr="007E3BFE">
        <w:rPr>
          <w:lang w:val="es-ES"/>
        </w:rPr>
        <w:t>Ansoáin, Ara</w:t>
      </w:r>
      <w:r w:rsidRPr="007E3BFE">
        <w:rPr>
          <w:lang w:val="es-ES"/>
        </w:rPr>
        <w:t>n</w:t>
      </w:r>
      <w:r w:rsidRPr="007E3BFE">
        <w:rPr>
          <w:lang w:val="es-ES"/>
        </w:rPr>
        <w:t>guren, Barañáin, Bazt</w:t>
      </w:r>
      <w:r>
        <w:rPr>
          <w:lang w:val="es-ES"/>
        </w:rPr>
        <w:t>a</w:t>
      </w:r>
      <w:r w:rsidRPr="007E3BFE">
        <w:rPr>
          <w:lang w:val="es-ES"/>
        </w:rPr>
        <w:t>n, Berriozar, Burlada, Concejo de Patern</w:t>
      </w:r>
      <w:r>
        <w:rPr>
          <w:lang w:val="es-ES"/>
        </w:rPr>
        <w:t>á</w:t>
      </w:r>
      <w:r w:rsidRPr="007E3BFE">
        <w:rPr>
          <w:lang w:val="es-ES"/>
        </w:rPr>
        <w:t>in, Egüés, E</w:t>
      </w:r>
      <w:r w:rsidRPr="007E3BFE">
        <w:rPr>
          <w:lang w:val="es-ES"/>
        </w:rPr>
        <w:t>s</w:t>
      </w:r>
      <w:r w:rsidRPr="007E3BFE">
        <w:rPr>
          <w:lang w:val="es-ES"/>
        </w:rPr>
        <w:t>tella, Los Arcos, Pamplona, Tafalla, Tudela, Villava y Zizur Mayor.</w:t>
      </w:r>
    </w:p>
    <w:p w:rsidR="007E3BFE" w:rsidRPr="007E3BFE" w:rsidRDefault="007E3BFE" w:rsidP="007E3BFE">
      <w:pPr>
        <w:pStyle w:val="texto"/>
        <w:spacing w:after="240"/>
      </w:pPr>
      <w:r w:rsidRPr="007E3BFE">
        <w:t>A continuación se muestran algunos datos de los anteriores entes locales:</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5"/>
        <w:gridCol w:w="994"/>
        <w:gridCol w:w="924"/>
        <w:gridCol w:w="1204"/>
        <w:gridCol w:w="1096"/>
        <w:gridCol w:w="1096"/>
        <w:gridCol w:w="686"/>
        <w:gridCol w:w="840"/>
        <w:gridCol w:w="745"/>
        <w:gridCol w:w="1102"/>
      </w:tblGrid>
      <w:tr w:rsidR="007E3BFE" w:rsidRPr="007E3BFE" w:rsidTr="000E1FC1">
        <w:trPr>
          <w:trHeight w:val="198"/>
          <w:jc w:val="center"/>
        </w:trPr>
        <w:tc>
          <w:tcPr>
            <w:tcW w:w="1545" w:type="dxa"/>
            <w:vMerge w:val="restart"/>
            <w:tcBorders>
              <w:left w:val="nil"/>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Municipio</w:t>
            </w:r>
          </w:p>
        </w:tc>
        <w:tc>
          <w:tcPr>
            <w:tcW w:w="994" w:type="dxa"/>
            <w:vMerge w:val="restart"/>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Fecha </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emisión </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highlight w:val="yellow"/>
              </w:rPr>
            </w:pPr>
            <w:r w:rsidRPr="007E3BFE">
              <w:rPr>
                <w:rFonts w:ascii="Arial" w:hAnsi="Arial"/>
                <w:spacing w:val="6"/>
                <w:sz w:val="16"/>
                <w:szCs w:val="16"/>
              </w:rPr>
              <w:t>informe</w:t>
            </w:r>
          </w:p>
        </w:tc>
        <w:tc>
          <w:tcPr>
            <w:tcW w:w="924" w:type="dxa"/>
            <w:vMerge w:val="restart"/>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Población</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censo </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highlight w:val="yellow"/>
              </w:rPr>
            </w:pPr>
            <w:r w:rsidRPr="007E3BFE">
              <w:rPr>
                <w:rFonts w:ascii="Arial" w:hAnsi="Arial"/>
                <w:spacing w:val="6"/>
                <w:sz w:val="16"/>
                <w:szCs w:val="16"/>
              </w:rPr>
              <w:t>01-01-14</w:t>
            </w:r>
          </w:p>
        </w:tc>
        <w:tc>
          <w:tcPr>
            <w:tcW w:w="1204" w:type="dxa"/>
            <w:vMerge w:val="restart"/>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Obligaciones reconocidas</w:t>
            </w:r>
          </w:p>
        </w:tc>
        <w:tc>
          <w:tcPr>
            <w:tcW w:w="1096" w:type="dxa"/>
            <w:vMerge w:val="restart"/>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Derechos reconocidos</w:t>
            </w:r>
          </w:p>
        </w:tc>
        <w:tc>
          <w:tcPr>
            <w:tcW w:w="1096" w:type="dxa"/>
            <w:vMerge w:val="restart"/>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Personal a 31/12/2014</w:t>
            </w:r>
          </w:p>
        </w:tc>
        <w:tc>
          <w:tcPr>
            <w:tcW w:w="3373" w:type="dxa"/>
            <w:gridSpan w:val="4"/>
            <w:tcBorders>
              <w:left w:val="single" w:sz="2" w:space="0" w:color="auto"/>
              <w:bottom w:val="single" w:sz="2" w:space="0" w:color="auto"/>
              <w:right w:val="nil"/>
            </w:tcBorders>
            <w:shd w:val="clear" w:color="auto" w:fill="FABF8F" w:themeFill="accent6" w:themeFillTint="99"/>
            <w:vAlign w:val="center"/>
          </w:tcPr>
          <w:p w:rsidR="007E3BFE" w:rsidRPr="007E3BFE" w:rsidRDefault="007E3BFE" w:rsidP="007E3BFE">
            <w:pPr>
              <w:keepLines/>
              <w:tabs>
                <w:tab w:val="right" w:pos="3969"/>
                <w:tab w:val="right" w:pos="5103"/>
                <w:tab w:val="right" w:pos="6237"/>
                <w:tab w:val="right" w:pos="7371"/>
              </w:tabs>
              <w:spacing w:after="0"/>
              <w:ind w:left="-80" w:firstLine="0"/>
              <w:jc w:val="center"/>
              <w:rPr>
                <w:rFonts w:ascii="Arial" w:hAnsi="Arial"/>
                <w:spacing w:val="6"/>
                <w:sz w:val="16"/>
                <w:szCs w:val="16"/>
              </w:rPr>
            </w:pPr>
            <w:r w:rsidRPr="007E3BFE">
              <w:rPr>
                <w:rFonts w:ascii="Arial" w:hAnsi="Arial"/>
                <w:spacing w:val="6"/>
                <w:sz w:val="16"/>
                <w:szCs w:val="16"/>
              </w:rPr>
              <w:t>Entes dependientes</w:t>
            </w:r>
          </w:p>
        </w:tc>
      </w:tr>
      <w:tr w:rsidR="007E3BFE" w:rsidRPr="007E3BFE" w:rsidTr="000E1FC1">
        <w:trPr>
          <w:trHeight w:val="198"/>
          <w:jc w:val="center"/>
        </w:trPr>
        <w:tc>
          <w:tcPr>
            <w:tcW w:w="1545" w:type="dxa"/>
            <w:vMerge/>
            <w:tcBorders>
              <w:left w:val="nil"/>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7"/>
                <w:szCs w:val="17"/>
              </w:rPr>
            </w:pPr>
          </w:p>
        </w:tc>
        <w:tc>
          <w:tcPr>
            <w:tcW w:w="994" w:type="dxa"/>
            <w:vMerge/>
            <w:tcBorders>
              <w:left w:val="single" w:sz="2" w:space="0" w:color="auto"/>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highlight w:val="yellow"/>
              </w:rPr>
            </w:pPr>
          </w:p>
        </w:tc>
        <w:tc>
          <w:tcPr>
            <w:tcW w:w="924" w:type="dxa"/>
            <w:vMerge/>
            <w:tcBorders>
              <w:left w:val="single" w:sz="2" w:space="0" w:color="auto"/>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highlight w:val="yellow"/>
              </w:rPr>
            </w:pPr>
          </w:p>
        </w:tc>
        <w:tc>
          <w:tcPr>
            <w:tcW w:w="1204" w:type="dxa"/>
            <w:vMerge/>
            <w:tcBorders>
              <w:left w:val="single" w:sz="2" w:space="0" w:color="auto"/>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rPr>
            </w:pPr>
          </w:p>
        </w:tc>
        <w:tc>
          <w:tcPr>
            <w:tcW w:w="1096" w:type="dxa"/>
            <w:vMerge/>
            <w:tcBorders>
              <w:left w:val="single" w:sz="2" w:space="0" w:color="auto"/>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rPr>
            </w:pPr>
          </w:p>
        </w:tc>
        <w:tc>
          <w:tcPr>
            <w:tcW w:w="1096" w:type="dxa"/>
            <w:vMerge/>
            <w:tcBorders>
              <w:left w:val="single" w:sz="2" w:space="0" w:color="auto"/>
              <w:right w:val="single" w:sz="2" w:space="0" w:color="auto"/>
            </w:tcBorders>
            <w:shd w:val="clear" w:color="auto" w:fill="FFCC99"/>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rPr>
            </w:pPr>
          </w:p>
        </w:tc>
        <w:tc>
          <w:tcPr>
            <w:tcW w:w="686" w:type="dxa"/>
            <w:tcBorders>
              <w:top w:val="single" w:sz="2"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OOAA</w:t>
            </w:r>
          </w:p>
        </w:tc>
        <w:tc>
          <w:tcPr>
            <w:tcW w:w="840" w:type="dxa"/>
            <w:tcBorders>
              <w:top w:val="single" w:sz="2"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Empresa</w:t>
            </w:r>
          </w:p>
        </w:tc>
        <w:tc>
          <w:tcPr>
            <w:tcW w:w="745" w:type="dxa"/>
            <w:tcBorders>
              <w:top w:val="single" w:sz="2"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left="-53" w:firstLine="0"/>
              <w:jc w:val="right"/>
              <w:rPr>
                <w:rFonts w:ascii="Arial" w:hAnsi="Arial"/>
                <w:spacing w:val="6"/>
                <w:sz w:val="16"/>
                <w:szCs w:val="16"/>
              </w:rPr>
            </w:pPr>
            <w:r w:rsidRPr="007E3BFE">
              <w:rPr>
                <w:rFonts w:ascii="Arial" w:hAnsi="Arial"/>
                <w:spacing w:val="6"/>
                <w:sz w:val="16"/>
                <w:szCs w:val="16"/>
              </w:rPr>
              <w:t>Fundac.</w:t>
            </w:r>
          </w:p>
        </w:tc>
        <w:tc>
          <w:tcPr>
            <w:tcW w:w="1102" w:type="dxa"/>
            <w:tcBorders>
              <w:top w:val="single" w:sz="2" w:space="0" w:color="auto"/>
              <w:left w:val="single" w:sz="2" w:space="0" w:color="auto"/>
              <w:right w:val="nil"/>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w:hAnsi="Arial"/>
                <w:spacing w:val="6"/>
                <w:sz w:val="16"/>
                <w:szCs w:val="16"/>
              </w:rPr>
            </w:pPr>
            <w:r w:rsidRPr="007E3BFE">
              <w:rPr>
                <w:rFonts w:ascii="Arial" w:hAnsi="Arial"/>
                <w:spacing w:val="6"/>
                <w:sz w:val="16"/>
                <w:szCs w:val="16"/>
              </w:rPr>
              <w:t>Ente pblco. empresarial</w:t>
            </w: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Ansoáin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04/02/2016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10.861</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6.799.721</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7.689.219</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70</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highlight w:val="yellow"/>
              </w:rPr>
            </w:pPr>
            <w:r w:rsidRPr="007E3BFE">
              <w:rPr>
                <w:rFonts w:ascii="Arial Narrow" w:hAnsi="Arial Narrow"/>
                <w:spacing w:val="6"/>
                <w:sz w:val="18"/>
                <w:szCs w:val="18"/>
              </w:rPr>
              <w:t>1</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highlight w:val="yellow"/>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highlight w:val="yellow"/>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highlight w:val="yellow"/>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Aranguren</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19/11/2015</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8.982</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11.482.590</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11.868.818</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66</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highlight w:val="yellow"/>
              </w:rPr>
            </w:pP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highlight w:val="yellow"/>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highlight w:val="yellow"/>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Barañáin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12/11/2015</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20.458</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15.123.908</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18.452.397</w:t>
            </w:r>
          </w:p>
        </w:tc>
        <w:tc>
          <w:tcPr>
            <w:tcW w:w="1096" w:type="dxa"/>
            <w:tcBorders>
              <w:left w:val="single" w:sz="2" w:space="0" w:color="auto"/>
              <w:right w:val="single" w:sz="2" w:space="0" w:color="auto"/>
            </w:tcBorders>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154</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Baz</w:t>
            </w:r>
            <w:r w:rsidR="000B40E9">
              <w:rPr>
                <w:rFonts w:ascii="Arial Narrow" w:hAnsi="Arial Narrow"/>
                <w:spacing w:val="6"/>
                <w:sz w:val="18"/>
                <w:szCs w:val="18"/>
              </w:rPr>
              <w:t>tan</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31/05/2016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7.848</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8.267.195</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8.177.606</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141</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Berriozar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22/03/2016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9.625</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6.193.419</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6.050.629</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101</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Burlada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11/03/2016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18.237</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14.832.533</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15.140.802</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211</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w:t>
            </w: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0B40E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Concejo Patern</w:t>
            </w:r>
            <w:r w:rsidR="000B40E9">
              <w:rPr>
                <w:rFonts w:ascii="Arial Narrow" w:hAnsi="Arial Narrow"/>
                <w:spacing w:val="6"/>
                <w:sz w:val="18"/>
                <w:szCs w:val="18"/>
              </w:rPr>
              <w:t>á</w:t>
            </w:r>
            <w:r w:rsidRPr="007E3BFE">
              <w:rPr>
                <w:rFonts w:ascii="Arial Narrow" w:hAnsi="Arial Narrow"/>
                <w:spacing w:val="6"/>
                <w:sz w:val="18"/>
                <w:szCs w:val="18"/>
              </w:rPr>
              <w:t>in</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28/04/2016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357</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59.364</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48.992</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0</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Egüés</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22/12/2015</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19.014</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9.469.895</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10.327.905</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122</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Estella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18/03/2016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13.695</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10.791.242</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11.552.921</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150</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Los Arcos</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02/03/2016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1.167</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1.965.578</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2.155.721</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9</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Pamplona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10/11/2015</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196.166</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192.190.702</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193.918.711</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1616</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5</w:t>
            </w: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Tafalla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16/03/2016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10.966</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10.228.677</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10.560.840</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161</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Tudela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02/10/2015</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35.062</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34.934.881</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35.582.840</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329</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r w:rsidRPr="007E3BFE">
              <w:rPr>
                <w:rFonts w:ascii="Arial Narrow" w:hAnsi="Arial Narrow"/>
                <w:spacing w:val="6"/>
                <w:sz w:val="18"/>
                <w:szCs w:val="18"/>
              </w:rPr>
              <w:t>1</w:t>
            </w: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Villava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21/03/2016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10.211</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7.347.571</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8.237.062</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107</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rPr>
            </w:pPr>
          </w:p>
        </w:tc>
      </w:tr>
      <w:tr w:rsidR="007E3BFE" w:rsidRPr="007E3BFE" w:rsidTr="000E1FC1">
        <w:trPr>
          <w:trHeight w:val="198"/>
          <w:jc w:val="center"/>
        </w:trPr>
        <w:tc>
          <w:tcPr>
            <w:tcW w:w="1545" w:type="dxa"/>
            <w:tcBorders>
              <w:left w:val="nil"/>
              <w:right w:val="single" w:sz="2" w:space="0" w:color="auto"/>
            </w:tcBorders>
            <w:noWrap/>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 xml:space="preserve">Zizur Mayor </w:t>
            </w:r>
          </w:p>
        </w:tc>
        <w:tc>
          <w:tcPr>
            <w:tcW w:w="99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22/03/2016</w:t>
            </w:r>
          </w:p>
        </w:tc>
        <w:tc>
          <w:tcPr>
            <w:tcW w:w="92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14.253</w:t>
            </w:r>
          </w:p>
        </w:tc>
        <w:tc>
          <w:tcPr>
            <w:tcW w:w="1204" w:type="dxa"/>
            <w:tcBorders>
              <w:left w:val="single" w:sz="2" w:space="0" w:color="auto"/>
              <w:right w:val="single" w:sz="2" w:space="0" w:color="auto"/>
            </w:tcBorders>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12.474.725</w:t>
            </w:r>
          </w:p>
        </w:tc>
        <w:tc>
          <w:tcPr>
            <w:tcW w:w="109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10.755.287</w:t>
            </w:r>
          </w:p>
        </w:tc>
        <w:tc>
          <w:tcPr>
            <w:tcW w:w="1096" w:type="dxa"/>
            <w:tcBorders>
              <w:left w:val="single" w:sz="2" w:space="0" w:color="auto"/>
              <w:right w:val="single" w:sz="2" w:space="0" w:color="auto"/>
            </w:tcBorders>
            <w:vAlign w:val="bottom"/>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119</w:t>
            </w:r>
          </w:p>
        </w:tc>
        <w:tc>
          <w:tcPr>
            <w:tcW w:w="686"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w:t>
            </w:r>
          </w:p>
        </w:tc>
        <w:tc>
          <w:tcPr>
            <w:tcW w:w="840"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highlight w:val="yellow"/>
              </w:rPr>
            </w:pPr>
          </w:p>
        </w:tc>
        <w:tc>
          <w:tcPr>
            <w:tcW w:w="745" w:type="dxa"/>
            <w:tcBorders>
              <w:left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highlight w:val="yellow"/>
              </w:rPr>
            </w:pPr>
          </w:p>
        </w:tc>
        <w:tc>
          <w:tcPr>
            <w:tcW w:w="1102" w:type="dxa"/>
            <w:tcBorders>
              <w:left w:val="single" w:sz="2" w:space="0" w:color="auto"/>
              <w:right w:val="nil"/>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Narrow" w:hAnsi="Arial Narrow"/>
                <w:spacing w:val="6"/>
                <w:sz w:val="18"/>
                <w:szCs w:val="18"/>
                <w:highlight w:val="yellow"/>
              </w:rPr>
            </w:pPr>
          </w:p>
        </w:tc>
      </w:tr>
      <w:tr w:rsidR="007E3BFE" w:rsidRPr="007E3BFE" w:rsidTr="000E1FC1">
        <w:trPr>
          <w:trHeight w:val="255"/>
          <w:jc w:val="center"/>
        </w:trPr>
        <w:tc>
          <w:tcPr>
            <w:tcW w:w="2539" w:type="dxa"/>
            <w:gridSpan w:val="2"/>
            <w:tcBorders>
              <w:left w:val="nil"/>
              <w:right w:val="single" w:sz="2" w:space="0" w:color="auto"/>
            </w:tcBorders>
            <w:shd w:val="clear" w:color="auto" w:fill="FABF8F" w:themeFill="accent6" w:themeFillTint="99"/>
            <w:noWrap/>
            <w:vAlign w:val="center"/>
          </w:tcPr>
          <w:p w:rsidR="007E3BFE" w:rsidRPr="007E3BFE" w:rsidRDefault="007E3BFE" w:rsidP="007E3BFE">
            <w:pPr>
              <w:keepLines/>
              <w:tabs>
                <w:tab w:val="right" w:pos="2835"/>
                <w:tab w:val="right" w:pos="3969"/>
                <w:tab w:val="right" w:pos="5103"/>
                <w:tab w:val="right" w:pos="6237"/>
                <w:tab w:val="right" w:pos="7371"/>
              </w:tabs>
              <w:spacing w:after="0"/>
              <w:ind w:right="-92" w:firstLine="0"/>
              <w:jc w:val="left"/>
              <w:rPr>
                <w:rFonts w:ascii="Arial" w:hAnsi="Arial"/>
                <w:spacing w:val="6"/>
                <w:sz w:val="16"/>
                <w:szCs w:val="16"/>
              </w:rPr>
            </w:pPr>
            <w:r w:rsidRPr="007E3BFE">
              <w:rPr>
                <w:rFonts w:ascii="Arial" w:hAnsi="Arial"/>
                <w:spacing w:val="6"/>
                <w:sz w:val="16"/>
                <w:szCs w:val="16"/>
              </w:rPr>
              <w:t>Total EELL fiscalizados</w:t>
            </w:r>
          </w:p>
        </w:tc>
        <w:tc>
          <w:tcPr>
            <w:tcW w:w="924" w:type="dxa"/>
            <w:tcBorders>
              <w:left w:val="single" w:sz="2" w:space="0" w:color="auto"/>
              <w:right w:val="single" w:sz="2" w:space="0" w:color="auto"/>
            </w:tcBorders>
            <w:shd w:val="clear" w:color="auto" w:fill="FABF8F" w:themeFill="accent6" w:themeFillTint="99"/>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376.902</w:t>
            </w:r>
          </w:p>
        </w:tc>
        <w:tc>
          <w:tcPr>
            <w:tcW w:w="1204" w:type="dxa"/>
            <w:tcBorders>
              <w:left w:val="single" w:sz="2" w:space="0" w:color="auto"/>
              <w:right w:val="single" w:sz="2" w:space="0" w:color="auto"/>
            </w:tcBorders>
            <w:shd w:val="clear" w:color="auto" w:fill="FABF8F" w:themeFill="accent6" w:themeFillTint="99"/>
            <w:noWrap/>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342.162.001</w:t>
            </w:r>
          </w:p>
        </w:tc>
        <w:tc>
          <w:tcPr>
            <w:tcW w:w="1096" w:type="dxa"/>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350.519.750</w:t>
            </w:r>
          </w:p>
        </w:tc>
        <w:tc>
          <w:tcPr>
            <w:tcW w:w="1096" w:type="dxa"/>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3.356</w:t>
            </w:r>
          </w:p>
        </w:tc>
        <w:tc>
          <w:tcPr>
            <w:tcW w:w="686" w:type="dxa"/>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17</w:t>
            </w:r>
          </w:p>
        </w:tc>
        <w:tc>
          <w:tcPr>
            <w:tcW w:w="840" w:type="dxa"/>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14</w:t>
            </w:r>
          </w:p>
        </w:tc>
        <w:tc>
          <w:tcPr>
            <w:tcW w:w="745" w:type="dxa"/>
            <w:tcBorders>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4</w:t>
            </w:r>
          </w:p>
        </w:tc>
        <w:tc>
          <w:tcPr>
            <w:tcW w:w="1102" w:type="dxa"/>
            <w:tcBorders>
              <w:left w:val="single" w:sz="2" w:space="0" w:color="auto"/>
              <w:right w:val="nil"/>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left="-739" w:firstLine="0"/>
              <w:jc w:val="right"/>
              <w:rPr>
                <w:rFonts w:ascii="Arial" w:hAnsi="Arial"/>
                <w:spacing w:val="6"/>
                <w:sz w:val="16"/>
                <w:szCs w:val="16"/>
              </w:rPr>
            </w:pPr>
            <w:r w:rsidRPr="007E3BFE">
              <w:rPr>
                <w:rFonts w:ascii="Arial" w:hAnsi="Arial"/>
                <w:spacing w:val="6"/>
                <w:sz w:val="16"/>
                <w:szCs w:val="16"/>
              </w:rPr>
              <w:t>1</w:t>
            </w:r>
          </w:p>
        </w:tc>
      </w:tr>
    </w:tbl>
    <w:p w:rsidR="007E3BFE" w:rsidRPr="007E3BFE" w:rsidRDefault="007E3BFE" w:rsidP="007E3BFE">
      <w:pPr>
        <w:pStyle w:val="texto"/>
        <w:spacing w:before="240"/>
      </w:pPr>
      <w:r w:rsidRPr="007E3BFE">
        <w:t>Los ingresos de las entidades fiscalizadas representan el 47 por ciento de los ingresos del total del sector público local de Navarra y sus gastos el 48 por ciento.</w:t>
      </w:r>
    </w:p>
    <w:p w:rsidR="007E3BFE" w:rsidRPr="007E3BFE" w:rsidRDefault="007E3BFE" w:rsidP="007E3BFE">
      <w:pPr>
        <w:pStyle w:val="texto"/>
        <w:rPr>
          <w:spacing w:val="4"/>
        </w:rPr>
      </w:pPr>
      <w:r w:rsidRPr="007E3BFE">
        <w:rPr>
          <w:spacing w:val="4"/>
        </w:rPr>
        <w:t xml:space="preserve">Los entes dependientes de estos municipios eran 17 organismos autónomos, 14 empresas públicas, cuatro fundaciones y un ente público empresarial. </w:t>
      </w:r>
    </w:p>
    <w:p w:rsidR="007E3BFE" w:rsidRPr="007E3BFE" w:rsidRDefault="007E3BFE" w:rsidP="007E3BFE">
      <w:pPr>
        <w:pStyle w:val="texto"/>
      </w:pPr>
      <w:r w:rsidRPr="007E3BFE">
        <w:t>El objetivo de las fiscalizaciones de regularidad fue emitir una opinión ace</w:t>
      </w:r>
      <w:r w:rsidRPr="007E3BFE">
        <w:t>r</w:t>
      </w:r>
      <w:r w:rsidRPr="007E3BFE">
        <w:t>ca de:</w:t>
      </w:r>
    </w:p>
    <w:p w:rsidR="007E3BFE" w:rsidRPr="007E3BFE" w:rsidRDefault="007E3BFE" w:rsidP="007E3BFE">
      <w:pPr>
        <w:numPr>
          <w:ilvl w:val="0"/>
          <w:numId w:val="2"/>
        </w:numPr>
        <w:tabs>
          <w:tab w:val="clear" w:pos="1948"/>
          <w:tab w:val="left" w:pos="480"/>
          <w:tab w:val="num" w:pos="600"/>
          <w:tab w:val="num" w:pos="720"/>
          <w:tab w:val="num" w:pos="5040"/>
        </w:tabs>
        <w:ind w:left="0" w:firstLine="289"/>
        <w:rPr>
          <w:rFonts w:eastAsia="ITCCentury Book"/>
          <w:spacing w:val="6"/>
          <w:sz w:val="26"/>
          <w:szCs w:val="24"/>
        </w:rPr>
      </w:pPr>
      <w:r w:rsidRPr="007E3BFE">
        <w:rPr>
          <w:rFonts w:eastAsia="ITCCentury Book"/>
          <w:spacing w:val="6"/>
          <w:sz w:val="26"/>
          <w:szCs w:val="24"/>
        </w:rPr>
        <w:t>Si la cuenta general de la entidad local correspondiente al ejercicio 2014 expresaba, en sus aspectos significativos, la imagen fiel del patrimonio, de la situación económico-financiera, de la liquidación del presupuesto y del result</w:t>
      </w:r>
      <w:r w:rsidRPr="007E3BFE">
        <w:rPr>
          <w:rFonts w:eastAsia="ITCCentury Book"/>
          <w:spacing w:val="6"/>
          <w:sz w:val="26"/>
          <w:szCs w:val="24"/>
        </w:rPr>
        <w:t>a</w:t>
      </w:r>
      <w:r w:rsidRPr="007E3BFE">
        <w:rPr>
          <w:rFonts w:eastAsia="ITCCentury Book"/>
          <w:spacing w:val="6"/>
          <w:sz w:val="26"/>
          <w:szCs w:val="24"/>
        </w:rPr>
        <w:t>do económico a 31 de diciembre del 2014, conforme a los principios y criterios contables contenidos en el marco de información financiera pública aplicable.</w:t>
      </w:r>
    </w:p>
    <w:p w:rsidR="007E3BFE" w:rsidRPr="007E3BFE" w:rsidRDefault="007E3BFE" w:rsidP="007E3BFE">
      <w:pPr>
        <w:numPr>
          <w:ilvl w:val="0"/>
          <w:numId w:val="2"/>
        </w:numPr>
        <w:tabs>
          <w:tab w:val="clear" w:pos="1948"/>
          <w:tab w:val="left" w:pos="480"/>
          <w:tab w:val="num" w:pos="600"/>
          <w:tab w:val="num" w:pos="720"/>
          <w:tab w:val="num" w:pos="5040"/>
        </w:tabs>
        <w:ind w:left="0" w:firstLine="289"/>
        <w:rPr>
          <w:rFonts w:eastAsia="ITCCentury Book"/>
          <w:spacing w:val="6"/>
          <w:sz w:val="26"/>
          <w:szCs w:val="24"/>
        </w:rPr>
      </w:pPr>
      <w:r w:rsidRPr="007E3BFE">
        <w:rPr>
          <w:rFonts w:eastAsia="ITCCentury Book"/>
          <w:spacing w:val="6"/>
          <w:sz w:val="26"/>
          <w:szCs w:val="24"/>
        </w:rPr>
        <w:t>El cumplimiento de la legalidad durante el ejercicio 2014.</w:t>
      </w:r>
    </w:p>
    <w:p w:rsidR="007E3BFE" w:rsidRPr="007E3BFE" w:rsidRDefault="007E3BFE" w:rsidP="007E3BFE">
      <w:pPr>
        <w:numPr>
          <w:ilvl w:val="0"/>
          <w:numId w:val="2"/>
        </w:numPr>
        <w:tabs>
          <w:tab w:val="clear" w:pos="1948"/>
          <w:tab w:val="left" w:pos="480"/>
          <w:tab w:val="num" w:pos="600"/>
          <w:tab w:val="num" w:pos="720"/>
          <w:tab w:val="num" w:pos="5040"/>
        </w:tabs>
        <w:ind w:left="0" w:firstLine="289"/>
        <w:rPr>
          <w:rFonts w:eastAsia="ITCCentury Book"/>
          <w:spacing w:val="6"/>
          <w:sz w:val="26"/>
          <w:szCs w:val="24"/>
        </w:rPr>
      </w:pPr>
      <w:r w:rsidRPr="007E3BFE">
        <w:rPr>
          <w:rFonts w:eastAsia="ITCCentury Book"/>
          <w:spacing w:val="6"/>
          <w:sz w:val="26"/>
          <w:szCs w:val="24"/>
        </w:rPr>
        <w:t>La situación financiera de cada entidad a 31 de diciembre de 2014.</w:t>
      </w:r>
    </w:p>
    <w:p w:rsidR="007E3BFE" w:rsidRPr="007E3BFE" w:rsidRDefault="007E3BFE" w:rsidP="007E3BFE">
      <w:pPr>
        <w:numPr>
          <w:ilvl w:val="0"/>
          <w:numId w:val="2"/>
        </w:numPr>
        <w:tabs>
          <w:tab w:val="clear" w:pos="1948"/>
          <w:tab w:val="left" w:pos="480"/>
          <w:tab w:val="num" w:pos="600"/>
          <w:tab w:val="num" w:pos="720"/>
          <w:tab w:val="num" w:pos="5040"/>
        </w:tabs>
        <w:ind w:left="0" w:firstLine="289"/>
        <w:rPr>
          <w:rFonts w:eastAsia="ITCCentury Book"/>
          <w:spacing w:val="6"/>
          <w:sz w:val="26"/>
          <w:szCs w:val="24"/>
        </w:rPr>
      </w:pPr>
      <w:r w:rsidRPr="007E3BFE">
        <w:rPr>
          <w:rFonts w:eastAsia="ITCCentury Book"/>
          <w:spacing w:val="6"/>
          <w:sz w:val="26"/>
          <w:szCs w:val="24"/>
        </w:rPr>
        <w:t>El cumplimiento de los objetivos de estabilidad presupuestaria y sostenib</w:t>
      </w:r>
      <w:r w:rsidRPr="007E3BFE">
        <w:rPr>
          <w:rFonts w:eastAsia="ITCCentury Book"/>
          <w:spacing w:val="6"/>
          <w:sz w:val="26"/>
          <w:szCs w:val="24"/>
        </w:rPr>
        <w:t>i</w:t>
      </w:r>
      <w:r w:rsidRPr="007E3BFE">
        <w:rPr>
          <w:rFonts w:eastAsia="ITCCentury Book"/>
          <w:spacing w:val="6"/>
          <w:sz w:val="26"/>
          <w:szCs w:val="24"/>
        </w:rPr>
        <w:t>lidad financiera.</w:t>
      </w:r>
    </w:p>
    <w:p w:rsidR="007E3BFE" w:rsidRPr="007E3BFE" w:rsidRDefault="007E3BFE" w:rsidP="007E3BFE">
      <w:pPr>
        <w:numPr>
          <w:ilvl w:val="0"/>
          <w:numId w:val="2"/>
        </w:numPr>
        <w:tabs>
          <w:tab w:val="clear" w:pos="1948"/>
          <w:tab w:val="left" w:pos="480"/>
          <w:tab w:val="num" w:pos="600"/>
          <w:tab w:val="num" w:pos="720"/>
          <w:tab w:val="num" w:pos="5040"/>
        </w:tabs>
        <w:ind w:left="0" w:firstLine="289"/>
        <w:rPr>
          <w:rFonts w:eastAsia="ITCCentury Book"/>
          <w:spacing w:val="6"/>
          <w:sz w:val="26"/>
          <w:szCs w:val="24"/>
        </w:rPr>
      </w:pPr>
      <w:r w:rsidRPr="007E3BFE">
        <w:rPr>
          <w:rFonts w:eastAsia="ITCCentury Book"/>
          <w:spacing w:val="6"/>
          <w:sz w:val="26"/>
          <w:szCs w:val="24"/>
        </w:rPr>
        <w:lastRenderedPageBreak/>
        <w:t>En las auditorías recurrentes, seguimiento de recomendaciones del informe correspondiente al ejercicio 2013.</w:t>
      </w:r>
    </w:p>
    <w:p w:rsidR="007E3BFE" w:rsidRPr="007E3BFE" w:rsidRDefault="007E3BFE" w:rsidP="007E3BFE">
      <w:pPr>
        <w:pStyle w:val="texto"/>
      </w:pPr>
      <w:r w:rsidRPr="007E3BFE">
        <w:t>Los resultados de las fiscalizaciones se recogieron en los correspondientes informes que se publicaron en el boletín oficial del Parlamento de Navarra y en la página web de esta Cámara.</w:t>
      </w:r>
    </w:p>
    <w:p w:rsidR="007E3BFE" w:rsidRPr="007E3BFE" w:rsidRDefault="007E3BFE" w:rsidP="007E3BFE">
      <w:pPr>
        <w:pStyle w:val="texto"/>
      </w:pPr>
      <w:r w:rsidRPr="007E3BFE">
        <w:t>La opinión sobre la cuenta general de 2014 fue favorable en dos de las ent</w:t>
      </w:r>
      <w:r w:rsidRPr="007E3BFE">
        <w:t>i</w:t>
      </w:r>
      <w:r w:rsidRPr="007E3BFE">
        <w:t>dades fiscalizadas; en las 13 restantes fue favorable con alguna salvedad. Las principales salvedades emitidas fueron:</w:t>
      </w:r>
    </w:p>
    <w:p w:rsidR="007E3BFE" w:rsidRPr="007E3BFE" w:rsidRDefault="007E3BFE" w:rsidP="007E3BFE">
      <w:pPr>
        <w:numPr>
          <w:ilvl w:val="0"/>
          <w:numId w:val="2"/>
        </w:numPr>
        <w:tabs>
          <w:tab w:val="clear" w:pos="1948"/>
          <w:tab w:val="left" w:pos="480"/>
          <w:tab w:val="num" w:pos="600"/>
          <w:tab w:val="num" w:pos="720"/>
          <w:tab w:val="num" w:pos="5040"/>
        </w:tabs>
        <w:ind w:left="0" w:firstLine="289"/>
        <w:rPr>
          <w:rFonts w:eastAsia="ITCCentury Book"/>
          <w:spacing w:val="6"/>
          <w:sz w:val="26"/>
          <w:szCs w:val="24"/>
        </w:rPr>
      </w:pPr>
      <w:r w:rsidRPr="007E3BFE">
        <w:rPr>
          <w:rFonts w:eastAsia="ITCCentury Book"/>
          <w:spacing w:val="6"/>
          <w:sz w:val="26"/>
          <w:szCs w:val="24"/>
        </w:rPr>
        <w:t>Existencia de un inventario sin actualizar (nueve entidades).</w:t>
      </w:r>
    </w:p>
    <w:p w:rsidR="007E3BFE" w:rsidRPr="007E3BFE" w:rsidRDefault="007E3BFE" w:rsidP="007E3BFE">
      <w:pPr>
        <w:numPr>
          <w:ilvl w:val="0"/>
          <w:numId w:val="2"/>
        </w:numPr>
        <w:tabs>
          <w:tab w:val="clear" w:pos="1948"/>
          <w:tab w:val="left" w:pos="480"/>
          <w:tab w:val="num" w:pos="600"/>
          <w:tab w:val="num" w:pos="720"/>
          <w:tab w:val="num" w:pos="5040"/>
        </w:tabs>
        <w:ind w:left="0" w:firstLine="289"/>
        <w:rPr>
          <w:rFonts w:eastAsia="ITCCentury Book"/>
          <w:spacing w:val="6"/>
          <w:sz w:val="26"/>
          <w:szCs w:val="24"/>
        </w:rPr>
      </w:pPr>
      <w:r w:rsidRPr="007E3BFE">
        <w:rPr>
          <w:rFonts w:eastAsia="ITCCentury Book"/>
          <w:spacing w:val="6"/>
          <w:sz w:val="26"/>
          <w:szCs w:val="24"/>
        </w:rPr>
        <w:t>La falta de registro de las obligaciones actuariales derivadas de los mod</w:t>
      </w:r>
      <w:r w:rsidRPr="007E3BFE">
        <w:rPr>
          <w:rFonts w:eastAsia="ITCCentury Book"/>
          <w:spacing w:val="6"/>
          <w:sz w:val="26"/>
          <w:szCs w:val="24"/>
        </w:rPr>
        <w:t>e</w:t>
      </w:r>
      <w:r w:rsidRPr="007E3BFE">
        <w:rPr>
          <w:rFonts w:eastAsia="ITCCentury Book"/>
          <w:spacing w:val="6"/>
          <w:sz w:val="26"/>
          <w:szCs w:val="24"/>
        </w:rPr>
        <w:t>los de pensiones del personal funcionario (en las tres entidades que cuentan con sistema de previsión propio).</w:t>
      </w:r>
    </w:p>
    <w:p w:rsidR="007E3BFE" w:rsidRPr="007E3BFE" w:rsidRDefault="007E3BFE" w:rsidP="007E3BFE">
      <w:pPr>
        <w:pStyle w:val="texto"/>
      </w:pPr>
      <w:r w:rsidRPr="007E3BFE">
        <w:t>En cuanto al cumplimiento de la legalidad, en 13 de l</w:t>
      </w:r>
      <w:r w:rsidR="00694DB0">
        <w:t>a</w:t>
      </w:r>
      <w:r w:rsidRPr="007E3BFE">
        <w:t xml:space="preserve">s 15 </w:t>
      </w:r>
      <w:r w:rsidR="00694DB0">
        <w:t>entidades locale</w:t>
      </w:r>
      <w:r w:rsidRPr="007E3BFE">
        <w:t>s se emitió opinión favorable y en las dos restantes la opinión fue favorable con salvedades; en un caso estas salvedades hacían referencia a la falta de cumpl</w:t>
      </w:r>
      <w:r w:rsidRPr="007E3BFE">
        <w:t>i</w:t>
      </w:r>
      <w:r w:rsidRPr="007E3BFE">
        <w:t>miento de las normas contables presupuestarias, y en el otro a la justificación deficiente de algunos gastos.</w:t>
      </w:r>
    </w:p>
    <w:p w:rsidR="007E3BFE" w:rsidRPr="007E3BFE" w:rsidRDefault="007E3BFE" w:rsidP="007E3BFE">
      <w:pPr>
        <w:pStyle w:val="texto"/>
      </w:pPr>
      <w:r w:rsidRPr="007E3BFE">
        <w:t>Respecto a la estabilidad presupuestaria y sostenibilidad financiera, 10 ent</w:t>
      </w:r>
      <w:r w:rsidRPr="007E3BFE">
        <w:t>i</w:t>
      </w:r>
      <w:r w:rsidRPr="007E3BFE">
        <w:t>dades cumplieron con todos los requisitos establecidos por la normativa; dos presentaban necesidades de financiación pero tenían un plan económico-financiero para solventar esta situación; en un caso no fue posible calcular el plazo medio de pago a proveedores, en otro caso no se alcanzaban los requis</w:t>
      </w:r>
      <w:r w:rsidRPr="007E3BFE">
        <w:t>i</w:t>
      </w:r>
      <w:r w:rsidRPr="007E3BFE">
        <w:t>tos establecidos, y finalmente, en otra entidad no se pudo obtener información al respecto.</w:t>
      </w:r>
    </w:p>
    <w:p w:rsidR="007E3BFE" w:rsidRDefault="007E3BFE" w:rsidP="007E3BFE">
      <w:pPr>
        <w:pStyle w:val="texto"/>
      </w:pPr>
      <w:r w:rsidRPr="007E3BFE">
        <w:t>Además de la fiscalización de regularidad de est</w:t>
      </w:r>
      <w:r w:rsidR="00694DB0">
        <w:t>a</w:t>
      </w:r>
      <w:r w:rsidRPr="007E3BFE">
        <w:t xml:space="preserve">s 15 </w:t>
      </w:r>
      <w:r w:rsidR="00694DB0">
        <w:t>entidades locale</w:t>
      </w:r>
      <w:r w:rsidRPr="007E3BFE">
        <w:t xml:space="preserve">s se emitió un informe en el que se realizó un análisis de la situación financiera del Ayuntamiento de Mendigorría incluyendo el ejercicio 2014. </w:t>
      </w:r>
    </w:p>
    <w:p w:rsidR="00694DB0" w:rsidRPr="007E3BFE" w:rsidRDefault="00694DB0" w:rsidP="007E3BFE">
      <w:pPr>
        <w:pStyle w:val="texto"/>
        <w:rPr>
          <w:lang w:val="es-ES"/>
        </w:rPr>
      </w:pPr>
      <w:r>
        <w:t>Finalmente, en junio de 2016, esta Cámara emitió un informe sobre la inc</w:t>
      </w:r>
      <w:r>
        <w:t>i</w:t>
      </w:r>
      <w:r>
        <w:t>dencia de la Ley Orgánica 2/2012 de Estabilidad Presupuestaria y Sostenibil</w:t>
      </w:r>
      <w:r>
        <w:t>i</w:t>
      </w:r>
      <w:r>
        <w:t>dad Financiera en el personal de las Administraciones Públicas en el periodo 2012-2015.</w:t>
      </w:r>
      <w:r w:rsidR="00933908">
        <w:t xml:space="preserve"> En este informe se incluyó el análisis del personal de los ayunt</w:t>
      </w:r>
      <w:r w:rsidR="00933908">
        <w:t>a</w:t>
      </w:r>
      <w:r w:rsidR="00933908">
        <w:t>mientos de: Ansoáin, Barañáin, Berriozar, Burlada, Estella, Valle de Egüés, Pamplona, Tafalla, Tudela, Villava y Zizur Mayor.</w:t>
      </w:r>
    </w:p>
    <w:p w:rsidR="007E3BFE" w:rsidRPr="007E3BFE" w:rsidRDefault="007E3BFE" w:rsidP="007E3BFE">
      <w:pPr>
        <w:pStyle w:val="texto"/>
      </w:pPr>
      <w:r w:rsidRPr="007E3BFE">
        <w:t>Las principales recomendaciones que esta Cámara emitió en sus informes de fiscalización del año 2014 fueron:</w:t>
      </w:r>
    </w:p>
    <w:p w:rsidR="007E3BFE" w:rsidRPr="007E3BFE" w:rsidRDefault="007E3BFE" w:rsidP="007E3BFE">
      <w:pPr>
        <w:tabs>
          <w:tab w:val="center" w:pos="2835"/>
          <w:tab w:val="center" w:pos="3969"/>
          <w:tab w:val="center" w:pos="5103"/>
          <w:tab w:val="center" w:pos="6237"/>
          <w:tab w:val="center" w:pos="7371"/>
        </w:tabs>
        <w:suppressAutoHyphens/>
        <w:spacing w:before="240" w:after="240"/>
        <w:ind w:firstLine="284"/>
        <w:rPr>
          <w:rFonts w:ascii="Arial" w:hAnsi="Arial" w:cs="Arial"/>
          <w:spacing w:val="6"/>
          <w:sz w:val="24"/>
          <w:szCs w:val="24"/>
        </w:rPr>
      </w:pPr>
      <w:r w:rsidRPr="007E3BFE">
        <w:rPr>
          <w:rFonts w:ascii="Arial" w:hAnsi="Arial" w:cs="Arial"/>
          <w:spacing w:val="6"/>
          <w:sz w:val="24"/>
          <w:szCs w:val="24"/>
        </w:rPr>
        <w:t xml:space="preserve">Presupuesto general y cuenta general </w:t>
      </w:r>
    </w:p>
    <w:p w:rsidR="007E3BFE" w:rsidRPr="007E3BFE" w:rsidRDefault="007E3BFE" w:rsidP="007E3BFE">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7E3BFE">
        <w:rPr>
          <w:rFonts w:cs="Arial"/>
          <w:i/>
          <w:spacing w:val="6"/>
          <w:sz w:val="26"/>
          <w:szCs w:val="24"/>
        </w:rPr>
        <w:t>Aprobar el presupuesto general antes del comienzo del ejercicio al que se refiera (siete entidades).</w:t>
      </w:r>
    </w:p>
    <w:p w:rsidR="007E3BFE" w:rsidRPr="007E3BFE" w:rsidRDefault="007E3BFE" w:rsidP="007E3BFE">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7E3BFE">
        <w:rPr>
          <w:rFonts w:cs="Arial"/>
          <w:i/>
          <w:spacing w:val="6"/>
          <w:sz w:val="26"/>
          <w:szCs w:val="24"/>
        </w:rPr>
        <w:lastRenderedPageBreak/>
        <w:t>Aprobar la cuenta general antes del 1 de septiembre del ejercicio siguiente (cuatro entidades).</w:t>
      </w:r>
    </w:p>
    <w:p w:rsidR="007E3BFE" w:rsidRPr="007E3BFE" w:rsidRDefault="007E3BFE" w:rsidP="007E3BFE">
      <w:pPr>
        <w:tabs>
          <w:tab w:val="center" w:pos="2835"/>
          <w:tab w:val="center" w:pos="3969"/>
          <w:tab w:val="center" w:pos="5103"/>
          <w:tab w:val="center" w:pos="6237"/>
          <w:tab w:val="center" w:pos="7371"/>
        </w:tabs>
        <w:suppressAutoHyphens/>
        <w:spacing w:before="240" w:after="240"/>
        <w:ind w:firstLine="284"/>
        <w:rPr>
          <w:rFonts w:ascii="Arial" w:hAnsi="Arial" w:cs="Arial"/>
          <w:spacing w:val="6"/>
          <w:sz w:val="24"/>
          <w:szCs w:val="24"/>
        </w:rPr>
      </w:pPr>
      <w:r w:rsidRPr="007E3BFE">
        <w:rPr>
          <w:rFonts w:ascii="Arial" w:hAnsi="Arial" w:cs="Arial"/>
          <w:spacing w:val="6"/>
          <w:sz w:val="24"/>
          <w:szCs w:val="24"/>
        </w:rPr>
        <w:t>Inmovilizado e inventario</w:t>
      </w:r>
    </w:p>
    <w:p w:rsidR="007E3BFE" w:rsidRPr="007E3BFE" w:rsidRDefault="007E3BFE" w:rsidP="007E3BFE">
      <w:pPr>
        <w:tabs>
          <w:tab w:val="center" w:pos="2835"/>
          <w:tab w:val="center" w:pos="3969"/>
          <w:tab w:val="center" w:pos="5103"/>
          <w:tab w:val="center" w:pos="6237"/>
          <w:tab w:val="center" w:pos="7371"/>
        </w:tabs>
        <w:ind w:firstLine="284"/>
        <w:rPr>
          <w:i/>
          <w:spacing w:val="6"/>
          <w:sz w:val="26"/>
          <w:szCs w:val="24"/>
        </w:rPr>
      </w:pPr>
      <w:r w:rsidRPr="007E3BFE">
        <w:rPr>
          <w:i/>
          <w:spacing w:val="6"/>
          <w:sz w:val="26"/>
          <w:szCs w:val="24"/>
        </w:rPr>
        <w:t>Aprobar un inventario actualizado de bienes y derechos, establecer un si</w:t>
      </w:r>
      <w:r w:rsidRPr="007E3BFE">
        <w:rPr>
          <w:i/>
          <w:spacing w:val="6"/>
          <w:sz w:val="26"/>
          <w:szCs w:val="24"/>
        </w:rPr>
        <w:t>s</w:t>
      </w:r>
      <w:r w:rsidRPr="007E3BFE">
        <w:rPr>
          <w:i/>
          <w:spacing w:val="6"/>
          <w:sz w:val="26"/>
          <w:szCs w:val="24"/>
        </w:rPr>
        <w:t>tema de control y archivo del mismo y conciliarlo con el inmovilizado contab</w:t>
      </w:r>
      <w:r w:rsidRPr="007E3BFE">
        <w:rPr>
          <w:i/>
          <w:spacing w:val="6"/>
          <w:sz w:val="26"/>
          <w:szCs w:val="24"/>
        </w:rPr>
        <w:t>i</w:t>
      </w:r>
      <w:r w:rsidRPr="007E3BFE">
        <w:rPr>
          <w:i/>
          <w:spacing w:val="6"/>
          <w:sz w:val="26"/>
          <w:szCs w:val="24"/>
        </w:rPr>
        <w:t>lizado (diez entidades).</w:t>
      </w:r>
    </w:p>
    <w:p w:rsidR="007E3BFE" w:rsidRPr="007E3BFE" w:rsidRDefault="007E3BFE" w:rsidP="007E3BFE">
      <w:pPr>
        <w:tabs>
          <w:tab w:val="center" w:pos="2835"/>
          <w:tab w:val="center" w:pos="3969"/>
          <w:tab w:val="center" w:pos="5103"/>
          <w:tab w:val="center" w:pos="6237"/>
          <w:tab w:val="center" w:pos="7371"/>
        </w:tabs>
        <w:suppressAutoHyphens/>
        <w:spacing w:before="240" w:after="240"/>
        <w:ind w:firstLine="284"/>
        <w:rPr>
          <w:rFonts w:ascii="Arial" w:hAnsi="Arial" w:cs="Arial"/>
          <w:spacing w:val="6"/>
          <w:sz w:val="24"/>
          <w:szCs w:val="24"/>
        </w:rPr>
      </w:pPr>
      <w:r w:rsidRPr="007E3BFE">
        <w:rPr>
          <w:rFonts w:ascii="Arial" w:hAnsi="Arial" w:cs="Arial"/>
          <w:spacing w:val="6"/>
          <w:sz w:val="24"/>
          <w:szCs w:val="24"/>
        </w:rPr>
        <w:t>Personal</w:t>
      </w:r>
    </w:p>
    <w:p w:rsidR="007E3BFE" w:rsidRPr="007E3BFE" w:rsidRDefault="007E3BFE" w:rsidP="007E3BFE">
      <w:pPr>
        <w:tabs>
          <w:tab w:val="center" w:pos="2835"/>
          <w:tab w:val="center" w:pos="3969"/>
          <w:tab w:val="center" w:pos="5103"/>
          <w:tab w:val="center" w:pos="6237"/>
          <w:tab w:val="center" w:pos="7371"/>
        </w:tabs>
        <w:ind w:firstLine="284"/>
        <w:rPr>
          <w:i/>
          <w:spacing w:val="6"/>
          <w:sz w:val="26"/>
          <w:szCs w:val="24"/>
        </w:rPr>
      </w:pPr>
      <w:r w:rsidRPr="007E3BFE">
        <w:rPr>
          <w:i/>
          <w:spacing w:val="6"/>
          <w:sz w:val="26"/>
          <w:szCs w:val="24"/>
        </w:rPr>
        <w:t>Analizar la temporalidad de los puestos vacantes en plantilla y, cuando las disposiciones legales y presupuestarias lo permitan, atender con contrataci</w:t>
      </w:r>
      <w:r w:rsidRPr="007E3BFE">
        <w:rPr>
          <w:i/>
          <w:spacing w:val="6"/>
          <w:sz w:val="26"/>
          <w:szCs w:val="24"/>
        </w:rPr>
        <w:t>o</w:t>
      </w:r>
      <w:r w:rsidRPr="007E3BFE">
        <w:rPr>
          <w:i/>
          <w:spacing w:val="6"/>
          <w:sz w:val="26"/>
          <w:szCs w:val="24"/>
        </w:rPr>
        <w:t>nes estables de personal las actividades y servicios municipales estructurales y de carácter fijo (siete entidades).</w:t>
      </w:r>
    </w:p>
    <w:p w:rsidR="007E3BFE" w:rsidRPr="007E3BFE" w:rsidRDefault="007E3BFE" w:rsidP="007E3BFE">
      <w:pPr>
        <w:tabs>
          <w:tab w:val="center" w:pos="2835"/>
          <w:tab w:val="center" w:pos="3969"/>
          <w:tab w:val="center" w:pos="5103"/>
          <w:tab w:val="center" w:pos="6237"/>
          <w:tab w:val="center" w:pos="7371"/>
        </w:tabs>
        <w:suppressAutoHyphens/>
        <w:spacing w:before="240" w:after="240"/>
        <w:ind w:firstLine="284"/>
        <w:rPr>
          <w:rFonts w:ascii="Arial" w:hAnsi="Arial" w:cs="Arial"/>
          <w:spacing w:val="6"/>
          <w:sz w:val="24"/>
          <w:szCs w:val="24"/>
        </w:rPr>
      </w:pPr>
      <w:r w:rsidRPr="007E3BFE">
        <w:rPr>
          <w:rFonts w:ascii="Arial" w:hAnsi="Arial" w:cs="Arial"/>
          <w:spacing w:val="6"/>
          <w:sz w:val="24"/>
          <w:szCs w:val="24"/>
        </w:rPr>
        <w:t>Contratación administrativa</w:t>
      </w:r>
    </w:p>
    <w:p w:rsidR="007E3BFE" w:rsidRPr="007E3BFE" w:rsidRDefault="007E3BFE" w:rsidP="007E3BFE">
      <w:pPr>
        <w:tabs>
          <w:tab w:val="center" w:pos="2835"/>
          <w:tab w:val="center" w:pos="3969"/>
          <w:tab w:val="center" w:pos="5103"/>
          <w:tab w:val="center" w:pos="6237"/>
          <w:tab w:val="center" w:pos="7371"/>
        </w:tabs>
        <w:ind w:firstLine="284"/>
        <w:rPr>
          <w:i/>
          <w:spacing w:val="6"/>
          <w:sz w:val="26"/>
          <w:szCs w:val="24"/>
        </w:rPr>
      </w:pPr>
      <w:r w:rsidRPr="007E3BFE">
        <w:rPr>
          <w:i/>
          <w:spacing w:val="6"/>
          <w:sz w:val="26"/>
          <w:szCs w:val="24"/>
        </w:rPr>
        <w:t>Preparar las nuevas licitaciones de los contratos teniendo en cuenta la fecha de vencimiento de los anteriores (tres entidades).</w:t>
      </w:r>
    </w:p>
    <w:p w:rsidR="007E3BFE" w:rsidRPr="007E3BFE" w:rsidRDefault="007E3BFE" w:rsidP="007E3BFE">
      <w:pPr>
        <w:tabs>
          <w:tab w:val="center" w:pos="2835"/>
          <w:tab w:val="center" w:pos="3969"/>
          <w:tab w:val="center" w:pos="5103"/>
          <w:tab w:val="center" w:pos="6237"/>
          <w:tab w:val="center" w:pos="7371"/>
        </w:tabs>
        <w:suppressAutoHyphens/>
        <w:spacing w:before="240" w:after="240"/>
        <w:ind w:firstLine="284"/>
        <w:rPr>
          <w:rFonts w:ascii="Arial" w:hAnsi="Arial" w:cs="Arial"/>
          <w:spacing w:val="6"/>
          <w:sz w:val="24"/>
          <w:szCs w:val="24"/>
        </w:rPr>
      </w:pPr>
      <w:r w:rsidRPr="007E3BFE">
        <w:rPr>
          <w:rFonts w:ascii="Arial" w:hAnsi="Arial" w:cs="Arial"/>
          <w:spacing w:val="6"/>
          <w:sz w:val="24"/>
          <w:szCs w:val="24"/>
        </w:rPr>
        <w:t>Subvenciones concedidas</w:t>
      </w:r>
    </w:p>
    <w:p w:rsidR="007E3BFE" w:rsidRPr="007E3BFE" w:rsidRDefault="007E3BFE" w:rsidP="007E3BFE">
      <w:pPr>
        <w:tabs>
          <w:tab w:val="center" w:pos="2835"/>
          <w:tab w:val="center" w:pos="3969"/>
          <w:tab w:val="center" w:pos="5103"/>
          <w:tab w:val="center" w:pos="6237"/>
          <w:tab w:val="center" w:pos="7371"/>
        </w:tabs>
        <w:ind w:firstLine="284"/>
        <w:rPr>
          <w:i/>
          <w:spacing w:val="6"/>
          <w:sz w:val="26"/>
          <w:szCs w:val="24"/>
        </w:rPr>
      </w:pPr>
      <w:r w:rsidRPr="007E3BFE">
        <w:rPr>
          <w:i/>
          <w:spacing w:val="6"/>
          <w:sz w:val="26"/>
          <w:szCs w:val="24"/>
        </w:rPr>
        <w:t>Aprobar una ordenanza general reguladora de concesión de subvenciones (cinco entidades).</w:t>
      </w:r>
    </w:p>
    <w:p w:rsidR="007E3BFE" w:rsidRPr="007E3BFE" w:rsidRDefault="007E3BFE" w:rsidP="007E3BFE">
      <w:pPr>
        <w:tabs>
          <w:tab w:val="center" w:pos="2835"/>
          <w:tab w:val="center" w:pos="3969"/>
          <w:tab w:val="center" w:pos="5103"/>
          <w:tab w:val="center" w:pos="6237"/>
          <w:tab w:val="center" w:pos="7371"/>
        </w:tabs>
        <w:suppressAutoHyphens/>
        <w:spacing w:before="240" w:after="240"/>
        <w:ind w:firstLine="284"/>
        <w:rPr>
          <w:rFonts w:ascii="Arial" w:hAnsi="Arial" w:cs="Arial"/>
          <w:spacing w:val="6"/>
          <w:sz w:val="24"/>
          <w:szCs w:val="24"/>
        </w:rPr>
      </w:pPr>
      <w:r w:rsidRPr="007E3BFE">
        <w:rPr>
          <w:rFonts w:ascii="Arial" w:hAnsi="Arial" w:cs="Arial"/>
          <w:spacing w:val="6"/>
          <w:sz w:val="24"/>
          <w:szCs w:val="24"/>
        </w:rPr>
        <w:t>Ingresos presupuestarios</w:t>
      </w:r>
    </w:p>
    <w:p w:rsidR="007E3BFE" w:rsidRPr="007E3BFE" w:rsidRDefault="007E3BFE" w:rsidP="007E3BFE">
      <w:pPr>
        <w:tabs>
          <w:tab w:val="center" w:pos="2835"/>
          <w:tab w:val="center" w:pos="3969"/>
          <w:tab w:val="center" w:pos="5103"/>
          <w:tab w:val="center" w:pos="6237"/>
          <w:tab w:val="center" w:pos="7371"/>
        </w:tabs>
        <w:ind w:firstLine="284"/>
        <w:rPr>
          <w:i/>
          <w:spacing w:val="6"/>
          <w:sz w:val="26"/>
          <w:szCs w:val="24"/>
        </w:rPr>
      </w:pPr>
      <w:r w:rsidRPr="007E3BFE">
        <w:rPr>
          <w:i/>
          <w:spacing w:val="6"/>
          <w:sz w:val="26"/>
          <w:szCs w:val="24"/>
        </w:rPr>
        <w:t>Revisar la ponencia de valoración en el marco de las previsiones de la Ley Foral 12/2006, de 21 de noviembre, del Registro de la Riqueza Territorial y de los Catastros de Navarra (cuatro entidades).</w:t>
      </w:r>
    </w:p>
    <w:p w:rsidR="007E3BFE" w:rsidRPr="007E3BFE" w:rsidRDefault="007E3BFE" w:rsidP="007E3BFE">
      <w:pPr>
        <w:tabs>
          <w:tab w:val="center" w:pos="2835"/>
          <w:tab w:val="center" w:pos="3969"/>
          <w:tab w:val="center" w:pos="5103"/>
          <w:tab w:val="center" w:pos="6237"/>
          <w:tab w:val="center" w:pos="7371"/>
        </w:tabs>
        <w:suppressAutoHyphens/>
        <w:spacing w:before="240" w:after="240"/>
        <w:ind w:firstLine="284"/>
        <w:rPr>
          <w:rFonts w:ascii="Arial" w:hAnsi="Arial" w:cs="Arial"/>
          <w:spacing w:val="6"/>
          <w:sz w:val="24"/>
          <w:szCs w:val="24"/>
        </w:rPr>
      </w:pPr>
      <w:r w:rsidRPr="007E3BFE">
        <w:rPr>
          <w:rFonts w:ascii="Arial" w:hAnsi="Arial" w:cs="Arial"/>
          <w:spacing w:val="6"/>
          <w:sz w:val="24"/>
          <w:szCs w:val="24"/>
        </w:rPr>
        <w:t>Urbanismo</w:t>
      </w:r>
    </w:p>
    <w:p w:rsidR="007E3BFE" w:rsidRPr="007E3BFE" w:rsidRDefault="007E3BFE" w:rsidP="007E3BFE">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7E3BFE">
        <w:rPr>
          <w:rFonts w:cs="Arial"/>
          <w:i/>
          <w:spacing w:val="6"/>
          <w:sz w:val="26"/>
          <w:szCs w:val="24"/>
        </w:rPr>
        <w:t>Adaptar el planeamiento a la Ley Foral 35/2002 de Ordenación del Terr</w:t>
      </w:r>
      <w:r w:rsidRPr="007E3BFE">
        <w:rPr>
          <w:rFonts w:cs="Arial"/>
          <w:i/>
          <w:spacing w:val="6"/>
          <w:sz w:val="26"/>
          <w:szCs w:val="24"/>
        </w:rPr>
        <w:t>i</w:t>
      </w:r>
      <w:r w:rsidRPr="007E3BFE">
        <w:rPr>
          <w:rFonts w:cs="Arial"/>
          <w:i/>
          <w:spacing w:val="6"/>
          <w:sz w:val="26"/>
          <w:szCs w:val="24"/>
        </w:rPr>
        <w:t>torio y Urbanismo (cinco entidades).</w:t>
      </w:r>
    </w:p>
    <w:p w:rsidR="007E3BFE" w:rsidRPr="007E3BFE" w:rsidRDefault="007E3BFE" w:rsidP="007E3BFE">
      <w:pPr>
        <w:numPr>
          <w:ilvl w:val="0"/>
          <w:numId w:val="2"/>
        </w:numPr>
        <w:tabs>
          <w:tab w:val="clear" w:pos="1948"/>
          <w:tab w:val="num" w:pos="360"/>
          <w:tab w:val="left" w:pos="480"/>
          <w:tab w:val="num" w:pos="600"/>
          <w:tab w:val="num" w:pos="720"/>
          <w:tab w:val="num" w:pos="1320"/>
        </w:tabs>
        <w:ind w:left="0" w:firstLine="289"/>
        <w:rPr>
          <w:rFonts w:cs="Arial"/>
          <w:i/>
          <w:spacing w:val="6"/>
          <w:sz w:val="26"/>
          <w:szCs w:val="24"/>
        </w:rPr>
      </w:pPr>
      <w:r w:rsidRPr="007E3BFE">
        <w:rPr>
          <w:rFonts w:cs="Arial"/>
          <w:i/>
          <w:spacing w:val="6"/>
          <w:sz w:val="26"/>
          <w:szCs w:val="24"/>
        </w:rPr>
        <w:t>Constituir y gestionar el Patrimonio municipal del suelo de forma separ</w:t>
      </w:r>
      <w:r w:rsidRPr="007E3BFE">
        <w:rPr>
          <w:rFonts w:cs="Arial"/>
          <w:i/>
          <w:spacing w:val="6"/>
          <w:sz w:val="26"/>
          <w:szCs w:val="24"/>
        </w:rPr>
        <w:t>a</w:t>
      </w:r>
      <w:r w:rsidRPr="007E3BFE">
        <w:rPr>
          <w:rFonts w:cs="Arial"/>
          <w:i/>
          <w:spacing w:val="6"/>
          <w:sz w:val="26"/>
          <w:szCs w:val="24"/>
        </w:rPr>
        <w:t>da del resto de bienes y crear el Registro del Patrimonio municipal del suelo (cinco entidades).</w:t>
      </w:r>
    </w:p>
    <w:p w:rsidR="007E3BFE" w:rsidRPr="007E3BFE" w:rsidRDefault="007E3BFE" w:rsidP="007E3BFE">
      <w:pPr>
        <w:keepNext/>
        <w:spacing w:after="240"/>
        <w:ind w:firstLine="0"/>
        <w:rPr>
          <w:rFonts w:ascii="Arial" w:hAnsi="Arial"/>
          <w:bCs/>
          <w:iCs/>
          <w:color w:val="000000"/>
          <w:spacing w:val="10"/>
          <w:kern w:val="28"/>
          <w:sz w:val="25"/>
          <w:szCs w:val="26"/>
        </w:rPr>
      </w:pPr>
      <w:r w:rsidRPr="007E3BFE">
        <w:rPr>
          <w:highlight w:val="yellow"/>
        </w:rPr>
        <w:br w:type="page"/>
      </w:r>
    </w:p>
    <w:p w:rsidR="007E3BFE" w:rsidRPr="007E3BFE" w:rsidRDefault="007E3BFE" w:rsidP="00A57494">
      <w:pPr>
        <w:pStyle w:val="atitulo1"/>
      </w:pPr>
      <w:bookmarkStart w:id="32" w:name="_Toc398207038"/>
      <w:bookmarkStart w:id="33" w:name="_Toc399916264"/>
      <w:bookmarkStart w:id="34" w:name="_Toc465686687"/>
      <w:bookmarkStart w:id="35" w:name="_Toc467847958"/>
      <w:r w:rsidRPr="007E3BFE">
        <w:lastRenderedPageBreak/>
        <w:t>V. Situación financiera del sector público local</w:t>
      </w:r>
      <w:bookmarkEnd w:id="32"/>
      <w:bookmarkEnd w:id="33"/>
      <w:bookmarkEnd w:id="34"/>
      <w:bookmarkEnd w:id="35"/>
    </w:p>
    <w:p w:rsidR="007E3BFE" w:rsidRPr="007E3BFE" w:rsidRDefault="007E3BFE" w:rsidP="00A57494">
      <w:pPr>
        <w:pStyle w:val="texto"/>
      </w:pPr>
      <w:r w:rsidRPr="007E3BFE">
        <w:t>El análisis de la situación financiera del sector público local del año 2014 e</w:t>
      </w:r>
      <w:r w:rsidRPr="007E3BFE">
        <w:t>s</w:t>
      </w:r>
      <w:r w:rsidRPr="007E3BFE">
        <w:t>tá basado en el apartado uno del informe de la Dirección General de Admini</w:t>
      </w:r>
      <w:r w:rsidRPr="007E3BFE">
        <w:t>s</w:t>
      </w:r>
      <w:r w:rsidRPr="007E3BFE">
        <w:t>tración local</w:t>
      </w:r>
      <w:r w:rsidR="00694DB0">
        <w:t>, que adjuntamos en el anexo 2 de este informe</w:t>
      </w:r>
      <w:r w:rsidRPr="007E3BFE">
        <w:t>. Se presenta la i</w:t>
      </w:r>
      <w:r w:rsidRPr="007E3BFE">
        <w:t>n</w:t>
      </w:r>
      <w:r w:rsidRPr="007E3BFE">
        <w:t>formación consolidada de los entes locales (municipios, concejos, mancomun</w:t>
      </w:r>
      <w:r w:rsidRPr="007E3BFE">
        <w:t>i</w:t>
      </w:r>
      <w:r w:rsidRPr="007E3BFE">
        <w:t>dades y agrupaciones tradicionales y municipales) con sus organismos autón</w:t>
      </w:r>
      <w:r w:rsidRPr="007E3BFE">
        <w:t>o</w:t>
      </w:r>
      <w:r w:rsidRPr="007E3BFE">
        <w:t xml:space="preserve">mos. </w:t>
      </w:r>
    </w:p>
    <w:p w:rsidR="007E3BFE" w:rsidRPr="007E3BFE" w:rsidRDefault="007E3BFE" w:rsidP="00A57494">
      <w:pPr>
        <w:pStyle w:val="atitulo2"/>
        <w:spacing w:before="240"/>
      </w:pPr>
      <w:bookmarkStart w:id="36" w:name="_Toc465686688"/>
      <w:bookmarkStart w:id="37" w:name="_Toc467847959"/>
      <w:r w:rsidRPr="007E3BFE">
        <w:t>V.1. Ingresos</w:t>
      </w:r>
      <w:bookmarkEnd w:id="36"/>
      <w:bookmarkEnd w:id="37"/>
    </w:p>
    <w:p w:rsidR="007E3BFE" w:rsidRPr="007E3BFE" w:rsidRDefault="007E3BFE" w:rsidP="00A57494">
      <w:pPr>
        <w:pStyle w:val="texto"/>
      </w:pPr>
      <w:r w:rsidRPr="007E3BFE">
        <w:t>Se muestra a continuación la ejecución presupuestaria de los ingresos del sector público local:</w:t>
      </w:r>
    </w:p>
    <w:p w:rsidR="007E3BFE" w:rsidRPr="007E3BFE" w:rsidRDefault="00CC365F" w:rsidP="007E3BFE">
      <w:pPr>
        <w:keepLines/>
        <w:spacing w:after="60"/>
        <w:ind w:firstLine="0"/>
        <w:jc w:val="right"/>
        <w:rPr>
          <w:rFonts w:ascii="Arial" w:hAnsi="Arial"/>
          <w:spacing w:val="6"/>
          <w:sz w:val="16"/>
          <w:szCs w:val="16"/>
        </w:rPr>
      </w:pPr>
      <w:r w:rsidRPr="007E3BFE">
        <w:rPr>
          <w:rFonts w:ascii="Arial" w:hAnsi="Arial"/>
          <w:spacing w:val="6"/>
          <w:sz w:val="16"/>
          <w:szCs w:val="16"/>
        </w:rPr>
        <w:t xml:space="preserve"> </w:t>
      </w:r>
      <w:r w:rsidR="007E3BFE" w:rsidRPr="007E3BFE">
        <w:rPr>
          <w:rFonts w:ascii="Arial" w:hAnsi="Arial"/>
          <w:spacing w:val="6"/>
          <w:sz w:val="16"/>
          <w:szCs w:val="16"/>
        </w:rPr>
        <w:t>(En millones de euros)</w:t>
      </w:r>
    </w:p>
    <w:tbl>
      <w:tblPr>
        <w:tblW w:w="8853" w:type="dxa"/>
        <w:jc w:val="center"/>
        <w:tblLook w:val="01E0" w:firstRow="1" w:lastRow="1" w:firstColumn="1" w:lastColumn="1" w:noHBand="0" w:noVBand="0"/>
      </w:tblPr>
      <w:tblGrid>
        <w:gridCol w:w="305"/>
        <w:gridCol w:w="3117"/>
        <w:gridCol w:w="1160"/>
        <w:gridCol w:w="1008"/>
        <w:gridCol w:w="1077"/>
        <w:gridCol w:w="1007"/>
        <w:gridCol w:w="1179"/>
      </w:tblGrid>
      <w:tr w:rsidR="007E3BFE" w:rsidRPr="007E3BFE" w:rsidTr="00A57494">
        <w:trPr>
          <w:trHeight w:val="255"/>
          <w:jc w:val="center"/>
        </w:trPr>
        <w:tc>
          <w:tcPr>
            <w:tcW w:w="3405" w:type="dxa"/>
            <w:gridSpan w:val="2"/>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right="122" w:firstLine="0"/>
              <w:jc w:val="left"/>
              <w:rPr>
                <w:rFonts w:ascii="Arial" w:hAnsi="Arial"/>
                <w:spacing w:val="6"/>
                <w:sz w:val="16"/>
                <w:szCs w:val="16"/>
              </w:rPr>
            </w:pPr>
            <w:r w:rsidRPr="007E3BFE">
              <w:rPr>
                <w:rFonts w:ascii="Arial" w:hAnsi="Arial"/>
                <w:spacing w:val="6"/>
                <w:sz w:val="16"/>
                <w:szCs w:val="16"/>
              </w:rPr>
              <w:t>Capítulo</w:t>
            </w:r>
          </w:p>
        </w:tc>
        <w:tc>
          <w:tcPr>
            <w:tcW w:w="1161"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Previsiones definitivas</w:t>
            </w:r>
          </w:p>
        </w:tc>
        <w:tc>
          <w:tcPr>
            <w:tcW w:w="1011"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Ingresos 2014</w:t>
            </w:r>
          </w:p>
        </w:tc>
        <w:tc>
          <w:tcPr>
            <w:tcW w:w="1082"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 s/ total </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ingresos</w:t>
            </w:r>
          </w:p>
        </w:tc>
        <w:tc>
          <w:tcPr>
            <w:tcW w:w="1008"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ejecución</w:t>
            </w:r>
          </w:p>
        </w:tc>
        <w:tc>
          <w:tcPr>
            <w:tcW w:w="1186"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variación ingresos 2014/13</w:t>
            </w:r>
          </w:p>
        </w:tc>
      </w:tr>
      <w:tr w:rsidR="007E3BFE" w:rsidRPr="007E3BFE" w:rsidTr="00A57494">
        <w:trPr>
          <w:trHeight w:val="198"/>
          <w:jc w:val="center"/>
        </w:trPr>
        <w:tc>
          <w:tcPr>
            <w:tcW w:w="24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1</w:t>
            </w:r>
          </w:p>
        </w:tc>
        <w:tc>
          <w:tcPr>
            <w:tcW w:w="316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Impuestos directos</w:t>
            </w:r>
          </w:p>
        </w:tc>
        <w:tc>
          <w:tcPr>
            <w:tcW w:w="116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176,74</w:t>
            </w:r>
          </w:p>
        </w:tc>
        <w:tc>
          <w:tcPr>
            <w:tcW w:w="101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185,97</w:t>
            </w:r>
          </w:p>
        </w:tc>
        <w:tc>
          <w:tcPr>
            <w:tcW w:w="1082"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24,91</w:t>
            </w:r>
          </w:p>
        </w:tc>
        <w:tc>
          <w:tcPr>
            <w:tcW w:w="1008"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105,22</w:t>
            </w:r>
          </w:p>
        </w:tc>
        <w:tc>
          <w:tcPr>
            <w:tcW w:w="1186"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1,3</w:t>
            </w:r>
          </w:p>
        </w:tc>
      </w:tr>
      <w:tr w:rsidR="007E3BFE" w:rsidRPr="007E3BFE" w:rsidTr="00A57494">
        <w:trPr>
          <w:trHeight w:val="198"/>
          <w:jc w:val="center"/>
        </w:trPr>
        <w:tc>
          <w:tcPr>
            <w:tcW w:w="24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2</w:t>
            </w:r>
          </w:p>
        </w:tc>
        <w:tc>
          <w:tcPr>
            <w:tcW w:w="3164"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Impuestos indirectos</w:t>
            </w:r>
          </w:p>
        </w:tc>
        <w:tc>
          <w:tcPr>
            <w:tcW w:w="116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17,23</w:t>
            </w:r>
          </w:p>
        </w:tc>
        <w:tc>
          <w:tcPr>
            <w:tcW w:w="101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14,20</w:t>
            </w:r>
          </w:p>
        </w:tc>
        <w:tc>
          <w:tcPr>
            <w:tcW w:w="1082"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1,90</w:t>
            </w:r>
          </w:p>
        </w:tc>
        <w:tc>
          <w:tcPr>
            <w:tcW w:w="1008"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82,44</w:t>
            </w:r>
          </w:p>
        </w:tc>
        <w:tc>
          <w:tcPr>
            <w:tcW w:w="1186"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-7,3</w:t>
            </w:r>
          </w:p>
        </w:tc>
      </w:tr>
      <w:tr w:rsidR="007E3BFE" w:rsidRPr="007E3BFE" w:rsidTr="00A57494">
        <w:trPr>
          <w:trHeight w:val="198"/>
          <w:jc w:val="center"/>
        </w:trPr>
        <w:tc>
          <w:tcPr>
            <w:tcW w:w="24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3</w:t>
            </w:r>
          </w:p>
        </w:tc>
        <w:tc>
          <w:tcPr>
            <w:tcW w:w="3164"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Tasas, precios públicos y otros ingresos</w:t>
            </w:r>
          </w:p>
        </w:tc>
        <w:tc>
          <w:tcPr>
            <w:tcW w:w="116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144,93</w:t>
            </w:r>
          </w:p>
        </w:tc>
        <w:tc>
          <w:tcPr>
            <w:tcW w:w="101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148,61</w:t>
            </w:r>
          </w:p>
        </w:tc>
        <w:tc>
          <w:tcPr>
            <w:tcW w:w="1082"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19,90</w:t>
            </w:r>
          </w:p>
        </w:tc>
        <w:tc>
          <w:tcPr>
            <w:tcW w:w="1008"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102,54</w:t>
            </w:r>
          </w:p>
        </w:tc>
        <w:tc>
          <w:tcPr>
            <w:tcW w:w="1186"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2,1</w:t>
            </w:r>
          </w:p>
        </w:tc>
      </w:tr>
      <w:tr w:rsidR="007E3BFE" w:rsidRPr="007E3BFE" w:rsidTr="00A57494">
        <w:trPr>
          <w:trHeight w:val="198"/>
          <w:jc w:val="center"/>
        </w:trPr>
        <w:tc>
          <w:tcPr>
            <w:tcW w:w="24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4</w:t>
            </w:r>
          </w:p>
        </w:tc>
        <w:tc>
          <w:tcPr>
            <w:tcW w:w="3164"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Transferencias corrientes</w:t>
            </w:r>
          </w:p>
        </w:tc>
        <w:tc>
          <w:tcPr>
            <w:tcW w:w="116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294,49</w:t>
            </w:r>
          </w:p>
        </w:tc>
        <w:tc>
          <w:tcPr>
            <w:tcW w:w="101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295,98</w:t>
            </w:r>
          </w:p>
        </w:tc>
        <w:tc>
          <w:tcPr>
            <w:tcW w:w="1082"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39,64</w:t>
            </w:r>
          </w:p>
        </w:tc>
        <w:tc>
          <w:tcPr>
            <w:tcW w:w="1008"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100,50</w:t>
            </w:r>
          </w:p>
        </w:tc>
        <w:tc>
          <w:tcPr>
            <w:tcW w:w="1186"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0,9</w:t>
            </w:r>
          </w:p>
        </w:tc>
      </w:tr>
      <w:tr w:rsidR="007E3BFE" w:rsidRPr="007E3BFE" w:rsidTr="00A57494">
        <w:trPr>
          <w:trHeight w:val="198"/>
          <w:jc w:val="center"/>
        </w:trPr>
        <w:tc>
          <w:tcPr>
            <w:tcW w:w="24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5</w:t>
            </w:r>
          </w:p>
        </w:tc>
        <w:tc>
          <w:tcPr>
            <w:tcW w:w="316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Ingresos patrimoniales</w:t>
            </w:r>
          </w:p>
        </w:tc>
        <w:tc>
          <w:tcPr>
            <w:tcW w:w="116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48,51</w:t>
            </w:r>
          </w:p>
        </w:tc>
        <w:tc>
          <w:tcPr>
            <w:tcW w:w="101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48,86</w:t>
            </w:r>
          </w:p>
        </w:tc>
        <w:tc>
          <w:tcPr>
            <w:tcW w:w="1082"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6,54</w:t>
            </w:r>
          </w:p>
        </w:tc>
        <w:tc>
          <w:tcPr>
            <w:tcW w:w="1008"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100,73</w:t>
            </w:r>
          </w:p>
        </w:tc>
        <w:tc>
          <w:tcPr>
            <w:tcW w:w="1186"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4,9</w:t>
            </w:r>
          </w:p>
        </w:tc>
      </w:tr>
      <w:tr w:rsidR="007E3BFE" w:rsidRPr="007E3BFE" w:rsidTr="00A57494">
        <w:trPr>
          <w:trHeight w:val="255"/>
          <w:jc w:val="center"/>
        </w:trPr>
        <w:tc>
          <w:tcPr>
            <w:tcW w:w="241"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316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Ingresos corrientes</w:t>
            </w:r>
          </w:p>
        </w:tc>
        <w:tc>
          <w:tcPr>
            <w:tcW w:w="1161"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681,89</w:t>
            </w:r>
          </w:p>
        </w:tc>
        <w:tc>
          <w:tcPr>
            <w:tcW w:w="1011"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693,62</w:t>
            </w:r>
          </w:p>
        </w:tc>
        <w:tc>
          <w:tcPr>
            <w:tcW w:w="1082"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92,89</w:t>
            </w:r>
          </w:p>
        </w:tc>
        <w:tc>
          <w:tcPr>
            <w:tcW w:w="1008"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101,72</w:t>
            </w:r>
          </w:p>
        </w:tc>
        <w:tc>
          <w:tcPr>
            <w:tcW w:w="1186"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1,4</w:t>
            </w:r>
          </w:p>
        </w:tc>
      </w:tr>
      <w:tr w:rsidR="007E3BFE" w:rsidRPr="007E3BFE" w:rsidTr="00A57494">
        <w:trPr>
          <w:trHeight w:val="198"/>
          <w:jc w:val="center"/>
        </w:trPr>
        <w:tc>
          <w:tcPr>
            <w:tcW w:w="24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6</w:t>
            </w:r>
          </w:p>
        </w:tc>
        <w:tc>
          <w:tcPr>
            <w:tcW w:w="316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Enajenación inversiones</w:t>
            </w:r>
          </w:p>
        </w:tc>
        <w:tc>
          <w:tcPr>
            <w:tcW w:w="116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11,35</w:t>
            </w:r>
          </w:p>
        </w:tc>
        <w:tc>
          <w:tcPr>
            <w:tcW w:w="101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7,48</w:t>
            </w:r>
          </w:p>
        </w:tc>
        <w:tc>
          <w:tcPr>
            <w:tcW w:w="1082"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1,00</w:t>
            </w:r>
          </w:p>
        </w:tc>
        <w:tc>
          <w:tcPr>
            <w:tcW w:w="1008"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65,87</w:t>
            </w:r>
          </w:p>
        </w:tc>
        <w:tc>
          <w:tcPr>
            <w:tcW w:w="1186"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-6,8</w:t>
            </w:r>
          </w:p>
        </w:tc>
      </w:tr>
      <w:tr w:rsidR="007E3BFE" w:rsidRPr="007E3BFE" w:rsidTr="00A57494">
        <w:trPr>
          <w:trHeight w:val="198"/>
          <w:jc w:val="center"/>
        </w:trPr>
        <w:tc>
          <w:tcPr>
            <w:tcW w:w="24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7</w:t>
            </w:r>
          </w:p>
        </w:tc>
        <w:tc>
          <w:tcPr>
            <w:tcW w:w="316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Transferencias de capital</w:t>
            </w:r>
          </w:p>
        </w:tc>
        <w:tc>
          <w:tcPr>
            <w:tcW w:w="116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71,77</w:t>
            </w:r>
          </w:p>
        </w:tc>
        <w:tc>
          <w:tcPr>
            <w:tcW w:w="101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39,66</w:t>
            </w:r>
          </w:p>
        </w:tc>
        <w:tc>
          <w:tcPr>
            <w:tcW w:w="1082"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5,32</w:t>
            </w:r>
          </w:p>
        </w:tc>
        <w:tc>
          <w:tcPr>
            <w:tcW w:w="1008"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55,26</w:t>
            </w:r>
          </w:p>
        </w:tc>
        <w:tc>
          <w:tcPr>
            <w:tcW w:w="1186"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-8,3</w:t>
            </w:r>
          </w:p>
        </w:tc>
      </w:tr>
      <w:tr w:rsidR="007E3BFE" w:rsidRPr="007E3BFE" w:rsidTr="00A57494">
        <w:trPr>
          <w:trHeight w:val="255"/>
          <w:jc w:val="center"/>
        </w:trPr>
        <w:tc>
          <w:tcPr>
            <w:tcW w:w="241"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316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Ingresos de capital</w:t>
            </w:r>
          </w:p>
        </w:tc>
        <w:tc>
          <w:tcPr>
            <w:tcW w:w="1161"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83,12</w:t>
            </w:r>
          </w:p>
        </w:tc>
        <w:tc>
          <w:tcPr>
            <w:tcW w:w="1011"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47,14</w:t>
            </w:r>
          </w:p>
        </w:tc>
        <w:tc>
          <w:tcPr>
            <w:tcW w:w="1082"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6,32</w:t>
            </w:r>
          </w:p>
        </w:tc>
        <w:tc>
          <w:tcPr>
            <w:tcW w:w="1008"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56,71</w:t>
            </w:r>
          </w:p>
        </w:tc>
        <w:tc>
          <w:tcPr>
            <w:tcW w:w="1186"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-8,1</w:t>
            </w:r>
          </w:p>
        </w:tc>
      </w:tr>
      <w:tr w:rsidR="007E3BFE" w:rsidRPr="007E3BFE" w:rsidTr="00A57494">
        <w:trPr>
          <w:trHeight w:val="198"/>
          <w:jc w:val="center"/>
        </w:trPr>
        <w:tc>
          <w:tcPr>
            <w:tcW w:w="24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8</w:t>
            </w:r>
          </w:p>
        </w:tc>
        <w:tc>
          <w:tcPr>
            <w:tcW w:w="316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Variación de activos financieros</w:t>
            </w:r>
          </w:p>
        </w:tc>
        <w:tc>
          <w:tcPr>
            <w:tcW w:w="116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59,82</w:t>
            </w:r>
          </w:p>
        </w:tc>
        <w:tc>
          <w:tcPr>
            <w:tcW w:w="101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2,71</w:t>
            </w:r>
          </w:p>
        </w:tc>
        <w:tc>
          <w:tcPr>
            <w:tcW w:w="1082"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0,36</w:t>
            </w:r>
          </w:p>
        </w:tc>
        <w:tc>
          <w:tcPr>
            <w:tcW w:w="1008"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4,54</w:t>
            </w:r>
          </w:p>
        </w:tc>
        <w:tc>
          <w:tcPr>
            <w:tcW w:w="1186" w:type="dxa"/>
            <w:tcBorders>
              <w:top w:val="single" w:sz="4" w:space="0" w:color="auto"/>
              <w:bottom w:val="single" w:sz="2" w:space="0" w:color="auto"/>
            </w:tcBorders>
            <w:vAlign w:val="center"/>
          </w:tcPr>
          <w:p w:rsidR="007E3BFE" w:rsidRPr="007E3BFE" w:rsidRDefault="009522A3"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0,2</w:t>
            </w:r>
          </w:p>
        </w:tc>
      </w:tr>
      <w:tr w:rsidR="007E3BFE" w:rsidRPr="007E3BFE" w:rsidTr="00A57494">
        <w:trPr>
          <w:trHeight w:val="198"/>
          <w:jc w:val="center"/>
        </w:trPr>
        <w:tc>
          <w:tcPr>
            <w:tcW w:w="24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9</w:t>
            </w:r>
          </w:p>
        </w:tc>
        <w:tc>
          <w:tcPr>
            <w:tcW w:w="316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Variación de pasivos financieros</w:t>
            </w:r>
          </w:p>
        </w:tc>
        <w:tc>
          <w:tcPr>
            <w:tcW w:w="116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16,58</w:t>
            </w:r>
          </w:p>
        </w:tc>
        <w:tc>
          <w:tcPr>
            <w:tcW w:w="101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3,22</w:t>
            </w:r>
          </w:p>
        </w:tc>
        <w:tc>
          <w:tcPr>
            <w:tcW w:w="1082"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0,43</w:t>
            </w:r>
          </w:p>
        </w:tc>
        <w:tc>
          <w:tcPr>
            <w:tcW w:w="1008"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19,41</w:t>
            </w:r>
          </w:p>
        </w:tc>
        <w:tc>
          <w:tcPr>
            <w:tcW w:w="1186"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-12,5</w:t>
            </w:r>
          </w:p>
        </w:tc>
      </w:tr>
      <w:tr w:rsidR="007E3BFE" w:rsidRPr="007E3BFE" w:rsidTr="00A57494">
        <w:trPr>
          <w:trHeight w:val="255"/>
          <w:jc w:val="center"/>
        </w:trPr>
        <w:tc>
          <w:tcPr>
            <w:tcW w:w="3405" w:type="dxa"/>
            <w:gridSpan w:val="2"/>
            <w:tcBorders>
              <w:top w:val="single" w:sz="4" w:space="0" w:color="auto"/>
              <w:bottom w:val="single" w:sz="2" w:space="0" w:color="auto"/>
            </w:tcBorders>
            <w:vAlign w:val="center"/>
          </w:tcPr>
          <w:p w:rsidR="007E3BFE" w:rsidRPr="007E3BFE" w:rsidRDefault="009522A3" w:rsidP="00240A69">
            <w:pPr>
              <w:keepLines/>
              <w:tabs>
                <w:tab w:val="left" w:pos="428"/>
                <w:tab w:val="right" w:pos="3969"/>
                <w:tab w:val="right" w:pos="5103"/>
                <w:tab w:val="right" w:pos="6237"/>
                <w:tab w:val="right" w:pos="7371"/>
              </w:tabs>
              <w:spacing w:after="0"/>
              <w:ind w:firstLine="0"/>
              <w:jc w:val="center"/>
              <w:rPr>
                <w:rFonts w:ascii="Arial" w:hAnsi="Arial" w:cs="Arial"/>
                <w:spacing w:val="6"/>
                <w:sz w:val="16"/>
                <w:szCs w:val="16"/>
              </w:rPr>
            </w:pPr>
            <w:r>
              <w:rPr>
                <w:rFonts w:ascii="Arial" w:hAnsi="Arial" w:cs="Arial"/>
                <w:spacing w:val="6"/>
                <w:sz w:val="16"/>
                <w:szCs w:val="16"/>
              </w:rPr>
              <w:t xml:space="preserve">  </w:t>
            </w:r>
            <w:r w:rsidR="00240A69">
              <w:rPr>
                <w:rFonts w:ascii="Arial" w:hAnsi="Arial" w:cs="Arial"/>
                <w:spacing w:val="6"/>
                <w:sz w:val="16"/>
                <w:szCs w:val="16"/>
              </w:rPr>
              <w:t xml:space="preserve">  </w:t>
            </w:r>
            <w:r w:rsidR="007E3BFE" w:rsidRPr="007E3BFE">
              <w:rPr>
                <w:rFonts w:ascii="Arial" w:hAnsi="Arial" w:cs="Arial"/>
                <w:spacing w:val="6"/>
                <w:sz w:val="16"/>
                <w:szCs w:val="16"/>
              </w:rPr>
              <w:t>Ingresos de operaciones financieras</w:t>
            </w:r>
          </w:p>
        </w:tc>
        <w:tc>
          <w:tcPr>
            <w:tcW w:w="116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76,40</w:t>
            </w:r>
          </w:p>
        </w:tc>
        <w:tc>
          <w:tcPr>
            <w:tcW w:w="101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5,93</w:t>
            </w:r>
          </w:p>
        </w:tc>
        <w:tc>
          <w:tcPr>
            <w:tcW w:w="1082"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0,79</w:t>
            </w:r>
          </w:p>
        </w:tc>
        <w:tc>
          <w:tcPr>
            <w:tcW w:w="1008"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7,76</w:t>
            </w:r>
          </w:p>
        </w:tc>
        <w:tc>
          <w:tcPr>
            <w:tcW w:w="1186"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-7,2</w:t>
            </w:r>
          </w:p>
        </w:tc>
      </w:tr>
      <w:tr w:rsidR="007E3BFE" w:rsidRPr="007E3BFE" w:rsidTr="00A57494">
        <w:trPr>
          <w:trHeight w:val="255"/>
          <w:jc w:val="center"/>
        </w:trPr>
        <w:tc>
          <w:tcPr>
            <w:tcW w:w="3405" w:type="dxa"/>
            <w:gridSpan w:val="2"/>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Total ingresos</w:t>
            </w:r>
          </w:p>
        </w:tc>
        <w:tc>
          <w:tcPr>
            <w:tcW w:w="1161"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841,41</w:t>
            </w:r>
          </w:p>
        </w:tc>
        <w:tc>
          <w:tcPr>
            <w:tcW w:w="1011"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746,69</w:t>
            </w:r>
          </w:p>
        </w:tc>
        <w:tc>
          <w:tcPr>
            <w:tcW w:w="1082"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100</w:t>
            </w:r>
          </w:p>
        </w:tc>
        <w:tc>
          <w:tcPr>
            <w:tcW w:w="1008"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88,74</w:t>
            </w:r>
          </w:p>
        </w:tc>
        <w:tc>
          <w:tcPr>
            <w:tcW w:w="1186"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0,6</w:t>
            </w:r>
          </w:p>
        </w:tc>
      </w:tr>
    </w:tbl>
    <w:p w:rsidR="007E3BFE" w:rsidRPr="007E3BFE" w:rsidRDefault="007E3BFE" w:rsidP="00A57494">
      <w:pPr>
        <w:pStyle w:val="texto"/>
        <w:spacing w:before="240"/>
      </w:pPr>
      <w:r w:rsidRPr="007E3BFE">
        <w:t>Las previsiones definitivas de ingresos para el ejercicio 2014 ascendieron a 841,41 millones de euros y presentan un grado de ejecución del 89 por ciento. Mientras que los ingresos corrientes se ejecutaron en un 102 por ciento de las previsiones, destaca la baja ejecución de los ingresos previstos por operaciones financieras y de los ingresos de capital que se ejecutaron en un ocho y un 57 por ciento, respectivamente.</w:t>
      </w:r>
    </w:p>
    <w:p w:rsidR="007E3BFE" w:rsidRPr="007E3BFE" w:rsidRDefault="007E3BFE" w:rsidP="00A57494">
      <w:pPr>
        <w:pStyle w:val="texto"/>
      </w:pPr>
      <w:r w:rsidRPr="007E3BFE">
        <w:t>En 2014 los ingresos del conjunto de entidades del sector público local a</w:t>
      </w:r>
      <w:r w:rsidRPr="007E3BFE">
        <w:t>s</w:t>
      </w:r>
      <w:r w:rsidRPr="007E3BFE">
        <w:t>cendieron a 746,69 millones, de los cuales el 93 por ciento fueron ingresos c</w:t>
      </w:r>
      <w:r w:rsidRPr="007E3BFE">
        <w:t>o</w:t>
      </w:r>
      <w:r w:rsidRPr="007E3BFE">
        <w:t>rrientes, principalmente transferencias corrientes e impuestos. Los ingresos de capital representan el seis por ciento del total de ingresos y el restante uno por ciento procede de ingresos por operaciones financieras.</w:t>
      </w:r>
    </w:p>
    <w:p w:rsidR="007E3BFE" w:rsidRPr="007E3BFE" w:rsidRDefault="007E3BFE" w:rsidP="00A57494">
      <w:pPr>
        <w:pStyle w:val="texto"/>
      </w:pPr>
      <w:r w:rsidRPr="007E3BFE">
        <w:t>El 84 por ciento del total de ingresos corresponde a los ayuntamientos, el 14 por ciento a las mancomunidades y un dos por ciento a los concejos.</w:t>
      </w:r>
    </w:p>
    <w:p w:rsidR="007E3BFE" w:rsidRPr="007E3BFE" w:rsidRDefault="007E3BFE" w:rsidP="00A57494">
      <w:pPr>
        <w:pStyle w:val="texto"/>
      </w:pPr>
      <w:r w:rsidRPr="007E3BFE">
        <w:t>Los ingresos totales de 2014 se mantuvieron en niveles similares a los de 2013 aumentando ligeramente un 0,6 por ciento; la variación por tipo de ingr</w:t>
      </w:r>
      <w:r w:rsidRPr="007E3BFE">
        <w:t>e</w:t>
      </w:r>
      <w:r w:rsidRPr="007E3BFE">
        <w:lastRenderedPageBreak/>
        <w:t xml:space="preserve">so fue dispar, así, los corrientes aumentaron un 1,4 por ciento, y los de capital y financieros disminuyeron un ocho y un siete por ciento respectivamente. </w:t>
      </w:r>
    </w:p>
    <w:p w:rsidR="007E3BFE" w:rsidRPr="007E3BFE" w:rsidRDefault="007E3BFE" w:rsidP="00A57494">
      <w:pPr>
        <w:pStyle w:val="atitulo2"/>
        <w:spacing w:before="240"/>
      </w:pPr>
      <w:bookmarkStart w:id="38" w:name="_Toc465686689"/>
      <w:bookmarkStart w:id="39" w:name="_Toc467847960"/>
      <w:r w:rsidRPr="007E3BFE">
        <w:t>V.2. Gastos</w:t>
      </w:r>
      <w:bookmarkEnd w:id="38"/>
      <w:bookmarkEnd w:id="39"/>
    </w:p>
    <w:p w:rsidR="007E3BFE" w:rsidRPr="007E3BFE" w:rsidRDefault="007E3BFE" w:rsidP="00A57494">
      <w:pPr>
        <w:pStyle w:val="texto"/>
      </w:pPr>
      <w:r w:rsidRPr="007E3BFE">
        <w:t>En lo que se refiere a los gastos, se presenta a continuación un cuadro res</w:t>
      </w:r>
      <w:r w:rsidRPr="007E3BFE">
        <w:t>u</w:t>
      </w:r>
      <w:r w:rsidRPr="007E3BFE">
        <w:t>men de los mismos:</w:t>
      </w:r>
    </w:p>
    <w:p w:rsidR="007E3BFE" w:rsidRPr="007E3BFE" w:rsidRDefault="00CC365F" w:rsidP="007E3BFE">
      <w:pPr>
        <w:keepLines/>
        <w:spacing w:after="60"/>
        <w:ind w:firstLine="0"/>
        <w:jc w:val="right"/>
        <w:rPr>
          <w:rFonts w:ascii="Arial" w:hAnsi="Arial"/>
          <w:spacing w:val="6"/>
          <w:sz w:val="16"/>
          <w:szCs w:val="16"/>
        </w:rPr>
      </w:pPr>
      <w:r w:rsidRPr="007E3BFE">
        <w:rPr>
          <w:rFonts w:ascii="Arial" w:hAnsi="Arial"/>
          <w:spacing w:val="6"/>
          <w:sz w:val="16"/>
          <w:szCs w:val="16"/>
        </w:rPr>
        <w:t xml:space="preserve"> </w:t>
      </w:r>
      <w:r w:rsidR="007E3BFE" w:rsidRPr="007E3BFE">
        <w:rPr>
          <w:rFonts w:ascii="Arial" w:hAnsi="Arial"/>
          <w:spacing w:val="6"/>
          <w:sz w:val="16"/>
          <w:szCs w:val="16"/>
        </w:rPr>
        <w:t>(En millones de euros)</w:t>
      </w:r>
    </w:p>
    <w:tbl>
      <w:tblPr>
        <w:tblW w:w="8911" w:type="dxa"/>
        <w:jc w:val="center"/>
        <w:tblLook w:val="01E0" w:firstRow="1" w:lastRow="1" w:firstColumn="1" w:lastColumn="1" w:noHBand="0" w:noVBand="0"/>
      </w:tblPr>
      <w:tblGrid>
        <w:gridCol w:w="3414"/>
        <w:gridCol w:w="1174"/>
        <w:gridCol w:w="1030"/>
        <w:gridCol w:w="1027"/>
        <w:gridCol w:w="1050"/>
        <w:gridCol w:w="1216"/>
      </w:tblGrid>
      <w:tr w:rsidR="007E3BFE" w:rsidRPr="007E3BFE" w:rsidTr="00A57494">
        <w:trPr>
          <w:trHeight w:val="255"/>
          <w:jc w:val="center"/>
        </w:trPr>
        <w:tc>
          <w:tcPr>
            <w:tcW w:w="3414"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Capítulo</w:t>
            </w:r>
          </w:p>
        </w:tc>
        <w:tc>
          <w:tcPr>
            <w:tcW w:w="1174"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Créditos definitivos</w:t>
            </w:r>
          </w:p>
        </w:tc>
        <w:tc>
          <w:tcPr>
            <w:tcW w:w="1030"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Gastos</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2014</w:t>
            </w:r>
          </w:p>
        </w:tc>
        <w:tc>
          <w:tcPr>
            <w:tcW w:w="1027"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 s/ total </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gastos</w:t>
            </w:r>
          </w:p>
        </w:tc>
        <w:tc>
          <w:tcPr>
            <w:tcW w:w="1050"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 </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ejecución</w:t>
            </w:r>
          </w:p>
        </w:tc>
        <w:tc>
          <w:tcPr>
            <w:tcW w:w="1216"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variación</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gastos</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2014/13</w:t>
            </w:r>
          </w:p>
        </w:tc>
      </w:tr>
      <w:tr w:rsidR="007E3BFE" w:rsidRPr="007E3BFE" w:rsidTr="00A57494">
        <w:trPr>
          <w:trHeight w:val="255"/>
          <w:jc w:val="center"/>
        </w:trPr>
        <w:tc>
          <w:tcPr>
            <w:tcW w:w="341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1 Gastos de personal</w:t>
            </w:r>
          </w:p>
        </w:tc>
        <w:tc>
          <w:tcPr>
            <w:tcW w:w="117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265,87</w:t>
            </w:r>
          </w:p>
        </w:tc>
        <w:tc>
          <w:tcPr>
            <w:tcW w:w="1030"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256,24</w:t>
            </w:r>
          </w:p>
        </w:tc>
        <w:tc>
          <w:tcPr>
            <w:tcW w:w="1027"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35,6</w:t>
            </w:r>
          </w:p>
        </w:tc>
        <w:tc>
          <w:tcPr>
            <w:tcW w:w="1050"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96,4</w:t>
            </w:r>
          </w:p>
        </w:tc>
        <w:tc>
          <w:tcPr>
            <w:tcW w:w="1216"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-0,1</w:t>
            </w:r>
          </w:p>
        </w:tc>
      </w:tr>
      <w:tr w:rsidR="007E3BFE" w:rsidRPr="007E3BFE" w:rsidTr="00A57494">
        <w:trPr>
          <w:trHeight w:val="255"/>
          <w:jc w:val="center"/>
        </w:trPr>
        <w:tc>
          <w:tcPr>
            <w:tcW w:w="3414"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2 Compra de bienes corrientes y servicios</w:t>
            </w:r>
          </w:p>
        </w:tc>
        <w:tc>
          <w:tcPr>
            <w:tcW w:w="1174"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276,50</w:t>
            </w:r>
          </w:p>
        </w:tc>
        <w:tc>
          <w:tcPr>
            <w:tcW w:w="1030"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256,64</w:t>
            </w:r>
          </w:p>
        </w:tc>
        <w:tc>
          <w:tcPr>
            <w:tcW w:w="1027"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35,7</w:t>
            </w:r>
          </w:p>
        </w:tc>
        <w:tc>
          <w:tcPr>
            <w:tcW w:w="1050"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92,8</w:t>
            </w:r>
          </w:p>
        </w:tc>
        <w:tc>
          <w:tcPr>
            <w:tcW w:w="1216"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-0,5</w:t>
            </w:r>
          </w:p>
        </w:tc>
      </w:tr>
      <w:tr w:rsidR="007E3BFE" w:rsidRPr="007E3BFE" w:rsidTr="00A57494">
        <w:trPr>
          <w:trHeight w:val="255"/>
          <w:jc w:val="center"/>
        </w:trPr>
        <w:tc>
          <w:tcPr>
            <w:tcW w:w="3414"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3 Gastos financieros</w:t>
            </w:r>
          </w:p>
        </w:tc>
        <w:tc>
          <w:tcPr>
            <w:tcW w:w="1174"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8,26</w:t>
            </w:r>
          </w:p>
        </w:tc>
        <w:tc>
          <w:tcPr>
            <w:tcW w:w="1030"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6,48</w:t>
            </w:r>
          </w:p>
        </w:tc>
        <w:tc>
          <w:tcPr>
            <w:tcW w:w="1027"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0,9</w:t>
            </w:r>
          </w:p>
        </w:tc>
        <w:tc>
          <w:tcPr>
            <w:tcW w:w="1050"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78,5</w:t>
            </w:r>
          </w:p>
        </w:tc>
        <w:tc>
          <w:tcPr>
            <w:tcW w:w="1216"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-13,3</w:t>
            </w:r>
          </w:p>
        </w:tc>
      </w:tr>
      <w:tr w:rsidR="007E3BFE" w:rsidRPr="007E3BFE" w:rsidTr="00A57494">
        <w:trPr>
          <w:trHeight w:val="255"/>
          <w:jc w:val="center"/>
        </w:trPr>
        <w:tc>
          <w:tcPr>
            <w:tcW w:w="341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4 Transferencias corrientes</w:t>
            </w:r>
          </w:p>
        </w:tc>
        <w:tc>
          <w:tcPr>
            <w:tcW w:w="117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76,03</w:t>
            </w:r>
          </w:p>
        </w:tc>
        <w:tc>
          <w:tcPr>
            <w:tcW w:w="1030"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70,91</w:t>
            </w:r>
          </w:p>
        </w:tc>
        <w:tc>
          <w:tcPr>
            <w:tcW w:w="1027"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9,9</w:t>
            </w:r>
          </w:p>
        </w:tc>
        <w:tc>
          <w:tcPr>
            <w:tcW w:w="1050"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93,3</w:t>
            </w:r>
          </w:p>
        </w:tc>
        <w:tc>
          <w:tcPr>
            <w:tcW w:w="1216"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3,1</w:t>
            </w:r>
          </w:p>
        </w:tc>
      </w:tr>
      <w:tr w:rsidR="007E3BFE" w:rsidRPr="007E3BFE" w:rsidTr="00A57494">
        <w:trPr>
          <w:trHeight w:val="255"/>
          <w:jc w:val="center"/>
        </w:trPr>
        <w:tc>
          <w:tcPr>
            <w:tcW w:w="341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sidRPr="007E3BFE">
              <w:rPr>
                <w:rFonts w:ascii="Arial" w:hAnsi="Arial" w:cs="Arial"/>
                <w:spacing w:val="6"/>
                <w:sz w:val="16"/>
                <w:szCs w:val="16"/>
              </w:rPr>
              <w:t>Gastos corrientes</w:t>
            </w:r>
          </w:p>
        </w:tc>
        <w:tc>
          <w:tcPr>
            <w:tcW w:w="117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626,67</w:t>
            </w:r>
          </w:p>
        </w:tc>
        <w:tc>
          <w:tcPr>
            <w:tcW w:w="1030"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590,27</w:t>
            </w:r>
          </w:p>
        </w:tc>
        <w:tc>
          <w:tcPr>
            <w:tcW w:w="1027"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82,0</w:t>
            </w:r>
          </w:p>
        </w:tc>
        <w:tc>
          <w:tcPr>
            <w:tcW w:w="1050"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94,2</w:t>
            </w:r>
          </w:p>
        </w:tc>
        <w:tc>
          <w:tcPr>
            <w:tcW w:w="1216"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-0,1</w:t>
            </w:r>
          </w:p>
        </w:tc>
      </w:tr>
      <w:tr w:rsidR="007E3BFE" w:rsidRPr="007E3BFE" w:rsidTr="00A57494">
        <w:trPr>
          <w:trHeight w:val="255"/>
          <w:jc w:val="center"/>
        </w:trPr>
        <w:tc>
          <w:tcPr>
            <w:tcW w:w="341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6 Inversiones reales</w:t>
            </w:r>
          </w:p>
        </w:tc>
        <w:tc>
          <w:tcPr>
            <w:tcW w:w="117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157,09</w:t>
            </w:r>
          </w:p>
        </w:tc>
        <w:tc>
          <w:tcPr>
            <w:tcW w:w="1030"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83,64</w:t>
            </w:r>
          </w:p>
        </w:tc>
        <w:tc>
          <w:tcPr>
            <w:tcW w:w="1027"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11,6</w:t>
            </w:r>
          </w:p>
        </w:tc>
        <w:tc>
          <w:tcPr>
            <w:tcW w:w="1050"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53,2</w:t>
            </w:r>
          </w:p>
        </w:tc>
        <w:tc>
          <w:tcPr>
            <w:tcW w:w="1216"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-6,7</w:t>
            </w:r>
          </w:p>
        </w:tc>
      </w:tr>
      <w:tr w:rsidR="007E3BFE" w:rsidRPr="007E3BFE" w:rsidTr="00A57494">
        <w:trPr>
          <w:trHeight w:val="255"/>
          <w:jc w:val="center"/>
        </w:trPr>
        <w:tc>
          <w:tcPr>
            <w:tcW w:w="341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7 Transferencias de capital</w:t>
            </w:r>
          </w:p>
        </w:tc>
        <w:tc>
          <w:tcPr>
            <w:tcW w:w="117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12,07</w:t>
            </w:r>
          </w:p>
        </w:tc>
        <w:tc>
          <w:tcPr>
            <w:tcW w:w="1030"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10,83</w:t>
            </w:r>
          </w:p>
        </w:tc>
        <w:tc>
          <w:tcPr>
            <w:tcW w:w="1027"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1,5</w:t>
            </w:r>
          </w:p>
        </w:tc>
        <w:tc>
          <w:tcPr>
            <w:tcW w:w="1050"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89,7</w:t>
            </w:r>
          </w:p>
        </w:tc>
        <w:tc>
          <w:tcPr>
            <w:tcW w:w="1216"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16,6</w:t>
            </w:r>
          </w:p>
        </w:tc>
      </w:tr>
      <w:tr w:rsidR="007E3BFE" w:rsidRPr="007E3BFE" w:rsidTr="00A57494">
        <w:trPr>
          <w:trHeight w:val="255"/>
          <w:jc w:val="center"/>
        </w:trPr>
        <w:tc>
          <w:tcPr>
            <w:tcW w:w="341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sidRPr="007E3BFE">
              <w:rPr>
                <w:rFonts w:ascii="Arial" w:hAnsi="Arial" w:cs="Arial"/>
                <w:spacing w:val="6"/>
                <w:sz w:val="16"/>
                <w:szCs w:val="16"/>
              </w:rPr>
              <w:t>Gastos de capital</w:t>
            </w:r>
          </w:p>
        </w:tc>
        <w:tc>
          <w:tcPr>
            <w:tcW w:w="117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169,16</w:t>
            </w:r>
          </w:p>
        </w:tc>
        <w:tc>
          <w:tcPr>
            <w:tcW w:w="1030"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94,47</w:t>
            </w:r>
          </w:p>
        </w:tc>
        <w:tc>
          <w:tcPr>
            <w:tcW w:w="1027"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13,1</w:t>
            </w:r>
          </w:p>
        </w:tc>
        <w:tc>
          <w:tcPr>
            <w:tcW w:w="1050"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55,8</w:t>
            </w:r>
          </w:p>
        </w:tc>
        <w:tc>
          <w:tcPr>
            <w:tcW w:w="1216"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-4,5</w:t>
            </w:r>
          </w:p>
        </w:tc>
      </w:tr>
      <w:tr w:rsidR="007E3BFE" w:rsidRPr="007E3BFE" w:rsidTr="00A57494">
        <w:trPr>
          <w:trHeight w:val="255"/>
          <w:jc w:val="center"/>
        </w:trPr>
        <w:tc>
          <w:tcPr>
            <w:tcW w:w="341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8 Variación de activos financieros</w:t>
            </w:r>
          </w:p>
        </w:tc>
        <w:tc>
          <w:tcPr>
            <w:tcW w:w="1174"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4,98</w:t>
            </w:r>
          </w:p>
        </w:tc>
        <w:tc>
          <w:tcPr>
            <w:tcW w:w="1030"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2,50</w:t>
            </w:r>
          </w:p>
        </w:tc>
        <w:tc>
          <w:tcPr>
            <w:tcW w:w="1027"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0,3</w:t>
            </w:r>
          </w:p>
        </w:tc>
        <w:tc>
          <w:tcPr>
            <w:tcW w:w="1050"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50,2</w:t>
            </w:r>
          </w:p>
        </w:tc>
        <w:tc>
          <w:tcPr>
            <w:tcW w:w="1216"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-42,1</w:t>
            </w:r>
          </w:p>
        </w:tc>
      </w:tr>
      <w:tr w:rsidR="007E3BFE" w:rsidRPr="007E3BFE" w:rsidTr="00A57494">
        <w:trPr>
          <w:trHeight w:val="255"/>
          <w:jc w:val="center"/>
        </w:trPr>
        <w:tc>
          <w:tcPr>
            <w:tcW w:w="341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9 Variación de pasivos financieros</w:t>
            </w:r>
          </w:p>
        </w:tc>
        <w:tc>
          <w:tcPr>
            <w:tcW w:w="1174"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33,88</w:t>
            </w:r>
          </w:p>
        </w:tc>
        <w:tc>
          <w:tcPr>
            <w:tcW w:w="1030"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32,46</w:t>
            </w:r>
          </w:p>
        </w:tc>
        <w:tc>
          <w:tcPr>
            <w:tcW w:w="1027"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4,5</w:t>
            </w:r>
          </w:p>
        </w:tc>
        <w:tc>
          <w:tcPr>
            <w:tcW w:w="1050"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95,8</w:t>
            </w:r>
          </w:p>
        </w:tc>
        <w:tc>
          <w:tcPr>
            <w:tcW w:w="1216"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7E3BFE">
              <w:rPr>
                <w:rFonts w:ascii="Arial Narrow" w:hAnsi="Arial Narrow" w:cs="Arial"/>
                <w:spacing w:val="6"/>
                <w:sz w:val="18"/>
                <w:szCs w:val="18"/>
              </w:rPr>
              <w:t>6,0</w:t>
            </w:r>
          </w:p>
        </w:tc>
      </w:tr>
      <w:tr w:rsidR="007E3BFE" w:rsidRPr="007E3BFE" w:rsidTr="00A57494">
        <w:trPr>
          <w:trHeight w:val="255"/>
          <w:jc w:val="center"/>
        </w:trPr>
        <w:tc>
          <w:tcPr>
            <w:tcW w:w="341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204" w:right="-6" w:firstLine="0"/>
              <w:jc w:val="left"/>
              <w:rPr>
                <w:rFonts w:ascii="Arial" w:hAnsi="Arial" w:cs="Arial"/>
                <w:spacing w:val="6"/>
                <w:sz w:val="16"/>
                <w:szCs w:val="16"/>
              </w:rPr>
            </w:pPr>
            <w:r w:rsidRPr="007E3BFE">
              <w:rPr>
                <w:rFonts w:ascii="Arial" w:hAnsi="Arial" w:cs="Arial"/>
                <w:spacing w:val="6"/>
                <w:sz w:val="16"/>
                <w:szCs w:val="16"/>
              </w:rPr>
              <w:t>Gastos de operaciones financieras</w:t>
            </w:r>
          </w:p>
        </w:tc>
        <w:tc>
          <w:tcPr>
            <w:tcW w:w="1174"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38,86</w:t>
            </w:r>
          </w:p>
        </w:tc>
        <w:tc>
          <w:tcPr>
            <w:tcW w:w="1030"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34,96</w:t>
            </w:r>
          </w:p>
        </w:tc>
        <w:tc>
          <w:tcPr>
            <w:tcW w:w="1027"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4,9</w:t>
            </w:r>
          </w:p>
        </w:tc>
        <w:tc>
          <w:tcPr>
            <w:tcW w:w="1050"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90,0</w:t>
            </w:r>
          </w:p>
        </w:tc>
        <w:tc>
          <w:tcPr>
            <w:tcW w:w="1216" w:type="dxa"/>
            <w:tcBorders>
              <w:top w:val="single" w:sz="4"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0,1</w:t>
            </w:r>
          </w:p>
        </w:tc>
      </w:tr>
      <w:tr w:rsidR="007E3BFE" w:rsidRPr="007E3BFE" w:rsidTr="00A57494">
        <w:trPr>
          <w:trHeight w:val="255"/>
          <w:jc w:val="center"/>
        </w:trPr>
        <w:tc>
          <w:tcPr>
            <w:tcW w:w="3414"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Total gastos</w:t>
            </w:r>
          </w:p>
        </w:tc>
        <w:tc>
          <w:tcPr>
            <w:tcW w:w="1174"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834,69</w:t>
            </w:r>
          </w:p>
        </w:tc>
        <w:tc>
          <w:tcPr>
            <w:tcW w:w="1030"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719,70</w:t>
            </w:r>
          </w:p>
        </w:tc>
        <w:tc>
          <w:tcPr>
            <w:tcW w:w="1027"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100</w:t>
            </w:r>
          </w:p>
        </w:tc>
        <w:tc>
          <w:tcPr>
            <w:tcW w:w="1050"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86,2</w:t>
            </w:r>
          </w:p>
        </w:tc>
        <w:tc>
          <w:tcPr>
            <w:tcW w:w="1216"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-0,67</w:t>
            </w:r>
          </w:p>
        </w:tc>
      </w:tr>
    </w:tbl>
    <w:p w:rsidR="007E3BFE" w:rsidRPr="007E3BFE" w:rsidRDefault="007E3BFE" w:rsidP="00A57494">
      <w:pPr>
        <w:pStyle w:val="texto"/>
        <w:spacing w:before="240"/>
      </w:pPr>
      <w:r w:rsidRPr="007E3BFE">
        <w:t>Los créditos definitivos para el ejercicio 2014 ascendieron a 834,69 millones de euros y se ejecutaron en un 86 por ciento. Los gastos corrientes presentan un grado de ejecución del 94 por ciento y los gastos por operaciones financieras del 90 por ciento. Por el contrario, el grado de ejecución de los gastos de cap</w:t>
      </w:r>
      <w:r w:rsidRPr="007E3BFE">
        <w:t>i</w:t>
      </w:r>
      <w:r w:rsidRPr="007E3BFE">
        <w:t>tal fue del 56 por ciento de los créditos definitivos.</w:t>
      </w:r>
    </w:p>
    <w:p w:rsidR="007E3BFE" w:rsidRPr="007E3BFE" w:rsidRDefault="007E3BFE" w:rsidP="00A57494">
      <w:pPr>
        <w:pStyle w:val="texto"/>
      </w:pPr>
      <w:r w:rsidRPr="007E3BFE">
        <w:t>Los gastos del sector público local en 2014 ascendieron a 719,70 millones de euros, de los cuales destacan los gastos en bienes corrientes y servicios y los gastos de personal con porcentajes ligeramente superiores al 35 por ciento s</w:t>
      </w:r>
      <w:r w:rsidRPr="007E3BFE">
        <w:t>o</w:t>
      </w:r>
      <w:r w:rsidRPr="007E3BFE">
        <w:t>bre el total de gastos reconocidos. Las inversiones representan el 12 por ciento del total de gastos.</w:t>
      </w:r>
    </w:p>
    <w:p w:rsidR="007E3BFE" w:rsidRPr="007E3BFE" w:rsidRDefault="007E3BFE" w:rsidP="00A57494">
      <w:pPr>
        <w:pStyle w:val="texto"/>
      </w:pPr>
      <w:r w:rsidRPr="007E3BFE">
        <w:t>Si atendemos a la clasificación funcional de estos gastos, un 15,8 por ciento se dedica a seguridad y protección social, un 14,6 por ciento se corresponden con vivienda y urbanismo, un 13,9 por ciento a bienestar comunitario, un 13,2 por ciento corresponde a cultura y deporte, un 10,8 por ciento a la administr</w:t>
      </w:r>
      <w:r w:rsidRPr="007E3BFE">
        <w:t>a</w:t>
      </w:r>
      <w:r w:rsidRPr="007E3BFE">
        <w:t>ción general de la entidad, un 8,7 por ciento a educación y el resto se reparte entre seguridad y protección civil, carga y administración financiera y prom</w:t>
      </w:r>
      <w:r w:rsidRPr="007E3BFE">
        <w:t>o</w:t>
      </w:r>
      <w:r w:rsidRPr="007E3BFE">
        <w:t xml:space="preserve">ción social, entre otros. Esta distribución del gasto es prácticamente la misma que en 2013. </w:t>
      </w:r>
    </w:p>
    <w:p w:rsidR="007E3BFE" w:rsidRPr="007E3BFE" w:rsidRDefault="007E3BFE" w:rsidP="00A57494">
      <w:pPr>
        <w:pStyle w:val="texto"/>
      </w:pPr>
      <w:r w:rsidRPr="007E3BFE">
        <w:t>El 84 por ciento de los gastos corresponden a ayuntamientos, un 14 por cie</w:t>
      </w:r>
      <w:r w:rsidRPr="007E3BFE">
        <w:t>n</w:t>
      </w:r>
      <w:r w:rsidRPr="007E3BFE">
        <w:t>to a mancomunidades y un dos por ciento a concejos, porcentajes similares a la distribución de los ingresos entre las citadas entidades locales.</w:t>
      </w:r>
    </w:p>
    <w:p w:rsidR="007E3BFE" w:rsidRPr="007E3BFE" w:rsidRDefault="007E3BFE" w:rsidP="00A57494">
      <w:pPr>
        <w:pStyle w:val="texto"/>
      </w:pPr>
      <w:r w:rsidRPr="007E3BFE">
        <w:lastRenderedPageBreak/>
        <w:t xml:space="preserve">Los gastos reconocidos en 2014 fueron prácticamente los mismos que en 2013 disminuyendo un 0,7 por ciento respecto a ese ejercicio. </w:t>
      </w:r>
    </w:p>
    <w:p w:rsidR="007E3BFE" w:rsidRPr="007E3BFE" w:rsidRDefault="007E3BFE" w:rsidP="00A57494">
      <w:pPr>
        <w:pStyle w:val="atitulo2"/>
        <w:spacing w:before="240"/>
      </w:pPr>
      <w:bookmarkStart w:id="40" w:name="_Toc465686690"/>
      <w:bookmarkStart w:id="41" w:name="_Toc467847961"/>
      <w:r w:rsidRPr="007E3BFE">
        <w:t>V.3. Situación financiera</w:t>
      </w:r>
      <w:bookmarkEnd w:id="40"/>
      <w:bookmarkEnd w:id="41"/>
    </w:p>
    <w:p w:rsidR="007E3BFE" w:rsidRPr="007E3BFE" w:rsidRDefault="007E3BFE" w:rsidP="00A57494">
      <w:pPr>
        <w:pStyle w:val="texto"/>
        <w:spacing w:after="240"/>
      </w:pPr>
      <w:r w:rsidRPr="007E3BFE">
        <w:t>A continuación se muestra la evolución de algunos indicadores de la situ</w:t>
      </w:r>
      <w:r w:rsidRPr="007E3BFE">
        <w:t>a</w:t>
      </w:r>
      <w:r w:rsidRPr="007E3BFE">
        <w:t>ción financiera de las entidades locales en los años 2010-2014:</w:t>
      </w:r>
    </w:p>
    <w:tbl>
      <w:tblPr>
        <w:tblW w:w="8763" w:type="dxa"/>
        <w:jc w:val="center"/>
        <w:tblInd w:w="-327" w:type="dxa"/>
        <w:tblCellMar>
          <w:left w:w="70" w:type="dxa"/>
          <w:right w:w="70" w:type="dxa"/>
        </w:tblCellMar>
        <w:tblLook w:val="04A0" w:firstRow="1" w:lastRow="0" w:firstColumn="1" w:lastColumn="0" w:noHBand="0" w:noVBand="1"/>
      </w:tblPr>
      <w:tblGrid>
        <w:gridCol w:w="3133"/>
        <w:gridCol w:w="734"/>
        <w:gridCol w:w="733"/>
        <w:gridCol w:w="733"/>
        <w:gridCol w:w="824"/>
        <w:gridCol w:w="824"/>
        <w:gridCol w:w="891"/>
        <w:gridCol w:w="891"/>
      </w:tblGrid>
      <w:tr w:rsidR="007E3BFE" w:rsidRPr="007E3BFE" w:rsidTr="00833FAA">
        <w:trPr>
          <w:trHeight w:val="20"/>
          <w:jc w:val="center"/>
        </w:trPr>
        <w:tc>
          <w:tcPr>
            <w:tcW w:w="3133" w:type="dxa"/>
            <w:tcBorders>
              <w:top w:val="single" w:sz="4" w:space="0" w:color="auto"/>
              <w:bottom w:val="single" w:sz="4" w:space="0" w:color="auto"/>
            </w:tcBorders>
            <w:shd w:val="clear" w:color="000000" w:fill="FABF8F"/>
            <w:vAlign w:val="center"/>
            <w:hideMark/>
          </w:tcPr>
          <w:p w:rsidR="007E3BFE" w:rsidRPr="007E3BFE" w:rsidRDefault="007E3BFE" w:rsidP="007E3BFE">
            <w:pPr>
              <w:spacing w:after="0" w:line="240" w:lineRule="atLeast"/>
              <w:ind w:firstLine="0"/>
              <w:jc w:val="left"/>
              <w:rPr>
                <w:rFonts w:ascii="Arial" w:hAnsi="Arial" w:cs="Arial"/>
                <w:color w:val="000000"/>
                <w:sz w:val="18"/>
                <w:szCs w:val="18"/>
                <w:lang w:val="es-ES" w:eastAsia="es-ES"/>
              </w:rPr>
            </w:pPr>
            <w:r w:rsidRPr="007E3BFE">
              <w:rPr>
                <w:rFonts w:ascii="Arial" w:hAnsi="Arial" w:cs="Arial"/>
                <w:color w:val="000000"/>
                <w:sz w:val="18"/>
                <w:szCs w:val="18"/>
                <w:lang w:eastAsia="es-ES"/>
              </w:rPr>
              <w:t>Indicadores</w:t>
            </w:r>
          </w:p>
        </w:tc>
        <w:tc>
          <w:tcPr>
            <w:tcW w:w="734" w:type="dxa"/>
            <w:tcBorders>
              <w:top w:val="single" w:sz="4" w:space="0" w:color="auto"/>
              <w:bottom w:val="single" w:sz="4" w:space="0" w:color="auto"/>
            </w:tcBorders>
            <w:shd w:val="clear" w:color="000000" w:fill="FABF8F"/>
            <w:vAlign w:val="center"/>
            <w:hideMark/>
          </w:tcPr>
          <w:p w:rsidR="007E3BFE" w:rsidRPr="007E3BFE" w:rsidRDefault="007E3BFE" w:rsidP="007E3BFE">
            <w:pPr>
              <w:spacing w:after="0" w:line="240" w:lineRule="atLeast"/>
              <w:ind w:firstLine="0"/>
              <w:jc w:val="right"/>
              <w:rPr>
                <w:rFonts w:ascii="Arial" w:hAnsi="Arial" w:cs="Arial"/>
                <w:color w:val="000000"/>
                <w:sz w:val="18"/>
                <w:szCs w:val="18"/>
                <w:lang w:val="es-ES" w:eastAsia="es-ES"/>
              </w:rPr>
            </w:pPr>
            <w:r w:rsidRPr="007E3BFE">
              <w:rPr>
                <w:rFonts w:ascii="Arial" w:hAnsi="Arial" w:cs="Arial"/>
                <w:color w:val="000000"/>
                <w:sz w:val="18"/>
                <w:szCs w:val="18"/>
                <w:lang w:val="es-ES" w:eastAsia="es-ES"/>
              </w:rPr>
              <w:t>2010</w:t>
            </w:r>
          </w:p>
        </w:tc>
        <w:tc>
          <w:tcPr>
            <w:tcW w:w="733" w:type="dxa"/>
            <w:tcBorders>
              <w:top w:val="single" w:sz="4" w:space="0" w:color="auto"/>
              <w:bottom w:val="single" w:sz="4" w:space="0" w:color="auto"/>
            </w:tcBorders>
            <w:shd w:val="clear" w:color="000000" w:fill="FABF8F"/>
            <w:vAlign w:val="center"/>
            <w:hideMark/>
          </w:tcPr>
          <w:p w:rsidR="007E3BFE" w:rsidRPr="007E3BFE" w:rsidRDefault="007E3BFE" w:rsidP="007E3BFE">
            <w:pPr>
              <w:spacing w:after="0" w:line="240" w:lineRule="atLeast"/>
              <w:ind w:firstLine="0"/>
              <w:jc w:val="right"/>
              <w:rPr>
                <w:rFonts w:ascii="Arial" w:hAnsi="Arial" w:cs="Arial"/>
                <w:color w:val="000000"/>
                <w:sz w:val="18"/>
                <w:szCs w:val="18"/>
                <w:lang w:val="es-ES" w:eastAsia="es-ES"/>
              </w:rPr>
            </w:pPr>
            <w:r w:rsidRPr="007E3BFE">
              <w:rPr>
                <w:rFonts w:ascii="Arial" w:hAnsi="Arial" w:cs="Arial"/>
                <w:color w:val="000000"/>
                <w:sz w:val="18"/>
                <w:szCs w:val="18"/>
                <w:lang w:eastAsia="es-ES"/>
              </w:rPr>
              <w:t>2011</w:t>
            </w:r>
          </w:p>
        </w:tc>
        <w:tc>
          <w:tcPr>
            <w:tcW w:w="733" w:type="dxa"/>
            <w:tcBorders>
              <w:top w:val="single" w:sz="4" w:space="0" w:color="auto"/>
              <w:bottom w:val="single" w:sz="4" w:space="0" w:color="auto"/>
            </w:tcBorders>
            <w:shd w:val="clear" w:color="000000" w:fill="FABF8F"/>
            <w:vAlign w:val="center"/>
            <w:hideMark/>
          </w:tcPr>
          <w:p w:rsidR="007E3BFE" w:rsidRPr="007E3BFE" w:rsidRDefault="007E3BFE" w:rsidP="007E3BFE">
            <w:pPr>
              <w:spacing w:after="0" w:line="240" w:lineRule="atLeast"/>
              <w:ind w:firstLine="0"/>
              <w:jc w:val="right"/>
              <w:rPr>
                <w:rFonts w:ascii="Arial" w:hAnsi="Arial" w:cs="Arial"/>
                <w:color w:val="000000"/>
                <w:sz w:val="18"/>
                <w:szCs w:val="18"/>
                <w:lang w:val="es-ES" w:eastAsia="es-ES"/>
              </w:rPr>
            </w:pPr>
            <w:r w:rsidRPr="007E3BFE">
              <w:rPr>
                <w:rFonts w:ascii="Arial" w:hAnsi="Arial" w:cs="Arial"/>
                <w:color w:val="000000"/>
                <w:sz w:val="18"/>
                <w:szCs w:val="18"/>
                <w:lang w:eastAsia="es-ES"/>
              </w:rPr>
              <w:t>2012</w:t>
            </w:r>
          </w:p>
        </w:tc>
        <w:tc>
          <w:tcPr>
            <w:tcW w:w="824" w:type="dxa"/>
            <w:tcBorders>
              <w:top w:val="single" w:sz="4" w:space="0" w:color="auto"/>
              <w:bottom w:val="single" w:sz="4" w:space="0" w:color="auto"/>
            </w:tcBorders>
            <w:shd w:val="clear" w:color="000000" w:fill="FABF8F"/>
            <w:vAlign w:val="center"/>
            <w:hideMark/>
          </w:tcPr>
          <w:p w:rsidR="007E3BFE" w:rsidRPr="007E3BFE" w:rsidRDefault="007E3BFE" w:rsidP="007E3BFE">
            <w:pPr>
              <w:spacing w:after="0" w:line="240" w:lineRule="atLeast"/>
              <w:ind w:firstLine="0"/>
              <w:jc w:val="right"/>
              <w:rPr>
                <w:rFonts w:ascii="Arial" w:hAnsi="Arial" w:cs="Arial"/>
                <w:color w:val="000000"/>
                <w:sz w:val="18"/>
                <w:szCs w:val="18"/>
                <w:lang w:val="es-ES" w:eastAsia="es-ES"/>
              </w:rPr>
            </w:pPr>
            <w:r w:rsidRPr="007E3BFE">
              <w:rPr>
                <w:rFonts w:ascii="Arial" w:hAnsi="Arial" w:cs="Arial"/>
                <w:color w:val="000000"/>
                <w:sz w:val="18"/>
                <w:szCs w:val="18"/>
                <w:lang w:eastAsia="es-ES"/>
              </w:rPr>
              <w:t>2013</w:t>
            </w:r>
          </w:p>
        </w:tc>
        <w:tc>
          <w:tcPr>
            <w:tcW w:w="824" w:type="dxa"/>
            <w:tcBorders>
              <w:top w:val="single" w:sz="4" w:space="0" w:color="auto"/>
              <w:bottom w:val="single" w:sz="4" w:space="0" w:color="auto"/>
            </w:tcBorders>
            <w:shd w:val="clear" w:color="auto" w:fill="FABF8F" w:themeFill="accent6" w:themeFillTint="99"/>
            <w:vAlign w:val="center"/>
            <w:hideMark/>
          </w:tcPr>
          <w:p w:rsidR="007E3BFE" w:rsidRPr="007E3BFE" w:rsidRDefault="007E3BFE" w:rsidP="007E3BFE">
            <w:pPr>
              <w:spacing w:after="0" w:line="240" w:lineRule="atLeast"/>
              <w:ind w:firstLine="0"/>
              <w:jc w:val="right"/>
              <w:rPr>
                <w:rFonts w:ascii="Arial" w:hAnsi="Arial" w:cs="Arial"/>
                <w:color w:val="000000"/>
                <w:sz w:val="18"/>
                <w:szCs w:val="18"/>
                <w:lang w:val="es-ES" w:eastAsia="es-ES"/>
              </w:rPr>
            </w:pPr>
            <w:r w:rsidRPr="007E3BFE">
              <w:rPr>
                <w:rFonts w:ascii="Arial" w:hAnsi="Arial" w:cs="Arial"/>
                <w:color w:val="000000"/>
                <w:sz w:val="18"/>
                <w:szCs w:val="18"/>
                <w:lang w:eastAsia="es-ES"/>
              </w:rPr>
              <w:t>2014</w:t>
            </w:r>
          </w:p>
        </w:tc>
        <w:tc>
          <w:tcPr>
            <w:tcW w:w="891" w:type="dxa"/>
            <w:tcBorders>
              <w:top w:val="single" w:sz="4" w:space="0" w:color="auto"/>
              <w:bottom w:val="single" w:sz="4" w:space="0" w:color="auto"/>
            </w:tcBorders>
            <w:shd w:val="clear" w:color="auto" w:fill="FABF8F" w:themeFill="accent6" w:themeFillTint="99"/>
          </w:tcPr>
          <w:p w:rsidR="007E3BFE" w:rsidRPr="007E3BFE" w:rsidRDefault="007E3BFE" w:rsidP="00A57494">
            <w:pPr>
              <w:spacing w:after="0" w:line="240" w:lineRule="atLeast"/>
              <w:ind w:left="-51" w:right="-38" w:firstLine="0"/>
              <w:jc w:val="right"/>
              <w:rPr>
                <w:rFonts w:ascii="Arial" w:hAnsi="Arial" w:cs="Arial"/>
                <w:color w:val="000000"/>
                <w:sz w:val="18"/>
                <w:szCs w:val="18"/>
                <w:lang w:eastAsia="es-ES"/>
              </w:rPr>
            </w:pPr>
            <w:r w:rsidRPr="007E3BFE">
              <w:rPr>
                <w:rFonts w:ascii="Arial" w:hAnsi="Arial" w:cs="Arial"/>
                <w:color w:val="000000"/>
                <w:sz w:val="18"/>
                <w:szCs w:val="18"/>
                <w:lang w:eastAsia="es-ES"/>
              </w:rPr>
              <w:t>%</w:t>
            </w:r>
            <w:r w:rsidR="00A57494">
              <w:rPr>
                <w:rFonts w:ascii="Arial" w:hAnsi="Arial" w:cs="Arial"/>
                <w:color w:val="000000"/>
                <w:sz w:val="18"/>
                <w:szCs w:val="18"/>
                <w:lang w:eastAsia="es-ES"/>
              </w:rPr>
              <w:t xml:space="preserve"> variac.</w:t>
            </w:r>
            <w:r w:rsidRPr="007E3BFE">
              <w:rPr>
                <w:rFonts w:ascii="Arial" w:hAnsi="Arial" w:cs="Arial"/>
                <w:color w:val="000000"/>
                <w:sz w:val="18"/>
                <w:szCs w:val="18"/>
                <w:lang w:eastAsia="es-ES"/>
              </w:rPr>
              <w:t xml:space="preserve"> </w:t>
            </w:r>
          </w:p>
          <w:p w:rsidR="007E3BFE" w:rsidRPr="007E3BFE" w:rsidRDefault="007E3BFE" w:rsidP="00A57494">
            <w:pPr>
              <w:spacing w:after="0" w:line="240" w:lineRule="atLeast"/>
              <w:ind w:left="-51" w:right="-38" w:firstLine="0"/>
              <w:jc w:val="right"/>
              <w:rPr>
                <w:rFonts w:ascii="Arial" w:hAnsi="Arial" w:cs="Arial"/>
                <w:color w:val="000000"/>
                <w:sz w:val="18"/>
                <w:szCs w:val="18"/>
                <w:lang w:eastAsia="es-ES"/>
              </w:rPr>
            </w:pPr>
            <w:r w:rsidRPr="007E3BFE">
              <w:rPr>
                <w:rFonts w:ascii="Arial" w:hAnsi="Arial" w:cs="Arial"/>
                <w:color w:val="000000"/>
                <w:sz w:val="18"/>
                <w:szCs w:val="18"/>
                <w:lang w:eastAsia="es-ES"/>
              </w:rPr>
              <w:t>2014/10</w:t>
            </w:r>
          </w:p>
        </w:tc>
        <w:tc>
          <w:tcPr>
            <w:tcW w:w="891" w:type="dxa"/>
            <w:tcBorders>
              <w:top w:val="single" w:sz="4" w:space="0" w:color="auto"/>
              <w:bottom w:val="single" w:sz="4" w:space="0" w:color="auto"/>
            </w:tcBorders>
            <w:shd w:val="clear" w:color="auto" w:fill="FABF8F" w:themeFill="accent6" w:themeFillTint="99"/>
            <w:noWrap/>
            <w:hideMark/>
          </w:tcPr>
          <w:p w:rsidR="007E3BFE" w:rsidRPr="007E3BFE" w:rsidRDefault="00A57494" w:rsidP="00A57494">
            <w:pPr>
              <w:spacing w:after="0" w:line="240" w:lineRule="atLeast"/>
              <w:ind w:left="-74" w:firstLine="0"/>
              <w:jc w:val="right"/>
              <w:rPr>
                <w:rFonts w:ascii="Arial" w:hAnsi="Arial" w:cs="Arial"/>
                <w:color w:val="000000"/>
                <w:sz w:val="18"/>
                <w:szCs w:val="18"/>
                <w:lang w:eastAsia="es-ES"/>
              </w:rPr>
            </w:pPr>
            <w:r>
              <w:rPr>
                <w:rFonts w:ascii="Arial" w:hAnsi="Arial" w:cs="Arial"/>
                <w:color w:val="000000"/>
                <w:sz w:val="18"/>
                <w:szCs w:val="18"/>
                <w:lang w:eastAsia="es-ES"/>
              </w:rPr>
              <w:t>% variac.</w:t>
            </w:r>
          </w:p>
          <w:p w:rsidR="007E3BFE" w:rsidRPr="007E3BFE" w:rsidRDefault="007E3BFE" w:rsidP="00A57494">
            <w:pPr>
              <w:spacing w:after="0" w:line="240" w:lineRule="atLeast"/>
              <w:ind w:left="-74" w:firstLine="0"/>
              <w:jc w:val="right"/>
              <w:rPr>
                <w:rFonts w:ascii="Arial" w:hAnsi="Arial" w:cs="Arial"/>
                <w:color w:val="000000"/>
                <w:sz w:val="18"/>
                <w:szCs w:val="18"/>
                <w:lang w:eastAsia="es-ES"/>
              </w:rPr>
            </w:pPr>
            <w:r w:rsidRPr="007E3BFE">
              <w:rPr>
                <w:rFonts w:ascii="Arial" w:hAnsi="Arial" w:cs="Arial"/>
                <w:color w:val="000000"/>
                <w:sz w:val="18"/>
                <w:szCs w:val="18"/>
                <w:lang w:eastAsia="es-ES"/>
              </w:rPr>
              <w:t>2014/13</w:t>
            </w:r>
          </w:p>
        </w:tc>
      </w:tr>
      <w:tr w:rsidR="007E3BFE" w:rsidRPr="007E3BFE" w:rsidTr="00833FAA">
        <w:trPr>
          <w:trHeight w:val="20"/>
          <w:jc w:val="center"/>
        </w:trPr>
        <w:tc>
          <w:tcPr>
            <w:tcW w:w="3133" w:type="dxa"/>
            <w:tcBorders>
              <w:top w:val="single" w:sz="4"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lang w:eastAsia="es-ES"/>
              </w:rPr>
              <w:t>Total Ingresos</w:t>
            </w:r>
          </w:p>
        </w:tc>
        <w:tc>
          <w:tcPr>
            <w:tcW w:w="734" w:type="dxa"/>
            <w:tcBorders>
              <w:top w:val="single" w:sz="4"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953,24</w:t>
            </w:r>
          </w:p>
        </w:tc>
        <w:tc>
          <w:tcPr>
            <w:tcW w:w="733" w:type="dxa"/>
            <w:tcBorders>
              <w:top w:val="single" w:sz="4"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864,83</w:t>
            </w:r>
          </w:p>
        </w:tc>
        <w:tc>
          <w:tcPr>
            <w:tcW w:w="733" w:type="dxa"/>
            <w:tcBorders>
              <w:top w:val="single" w:sz="4"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785,77</w:t>
            </w:r>
          </w:p>
        </w:tc>
        <w:tc>
          <w:tcPr>
            <w:tcW w:w="824" w:type="dxa"/>
            <w:tcBorders>
              <w:top w:val="single" w:sz="4"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741,93</w:t>
            </w:r>
          </w:p>
        </w:tc>
        <w:tc>
          <w:tcPr>
            <w:tcW w:w="824" w:type="dxa"/>
            <w:tcBorders>
              <w:top w:val="single" w:sz="4"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746,69</w:t>
            </w:r>
          </w:p>
        </w:tc>
        <w:tc>
          <w:tcPr>
            <w:tcW w:w="891" w:type="dxa"/>
            <w:tcBorders>
              <w:top w:val="single" w:sz="4"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-22</w:t>
            </w:r>
          </w:p>
        </w:tc>
        <w:tc>
          <w:tcPr>
            <w:tcW w:w="891" w:type="dxa"/>
            <w:tcBorders>
              <w:top w:val="single" w:sz="4"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0,6</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lang w:eastAsia="es-ES"/>
              </w:rPr>
              <w:t>Total Gastos</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956,57</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841,12</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744,4</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724,57</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719,70</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-25</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-0,7</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lang w:eastAsia="es-ES"/>
              </w:rPr>
              <w:t>Ingresos tributarios</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338,78</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347,63</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336,92</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344,39</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348,78</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3</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1,3</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lang w:eastAsia="es-ES"/>
              </w:rPr>
              <w:t>Ingresos por transferencias</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393,73</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306,7</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372,84</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336,54</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335,64</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-15</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-0,3</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lang w:eastAsia="es-ES"/>
              </w:rPr>
              <w:t>Gastos de funcionamiento</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592,57</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594,12</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567,81</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583,27</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583,79</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-1</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0,1</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lang w:eastAsia="es-ES"/>
              </w:rPr>
              <w:t>Gasto en inversiones</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298,03</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191,42</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120,51</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98,9</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lang w:eastAsia="es-ES"/>
              </w:rPr>
              <w:t>94,47</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-68</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-4,5</w:t>
            </w:r>
          </w:p>
        </w:tc>
      </w:tr>
      <w:tr w:rsidR="00D006FA" w:rsidRPr="007E3BFE" w:rsidTr="00833FAA">
        <w:trPr>
          <w:trHeight w:val="20"/>
          <w:jc w:val="center"/>
        </w:trPr>
        <w:tc>
          <w:tcPr>
            <w:tcW w:w="3133" w:type="dxa"/>
            <w:tcBorders>
              <w:top w:val="single" w:sz="2" w:space="0" w:color="auto"/>
              <w:bottom w:val="single" w:sz="2" w:space="0" w:color="auto"/>
            </w:tcBorders>
            <w:shd w:val="clear" w:color="auto" w:fill="auto"/>
            <w:vAlign w:val="center"/>
          </w:tcPr>
          <w:p w:rsidR="00D006FA" w:rsidRPr="007E3BFE" w:rsidRDefault="00D006FA" w:rsidP="007E3BFE">
            <w:pPr>
              <w:spacing w:after="0" w:line="240" w:lineRule="atLeast"/>
              <w:ind w:firstLine="0"/>
              <w:jc w:val="left"/>
              <w:rPr>
                <w:rFonts w:ascii="Arial Narrow" w:hAnsi="Arial Narrow"/>
                <w:color w:val="000000"/>
                <w:lang w:eastAsia="es-ES"/>
              </w:rPr>
            </w:pPr>
            <w:r>
              <w:rPr>
                <w:rFonts w:ascii="Arial Narrow" w:hAnsi="Arial Narrow"/>
                <w:color w:val="000000"/>
                <w:lang w:eastAsia="es-ES"/>
              </w:rPr>
              <w:t>Resultado no financiero</w:t>
            </w:r>
          </w:p>
        </w:tc>
        <w:tc>
          <w:tcPr>
            <w:tcW w:w="734" w:type="dxa"/>
            <w:tcBorders>
              <w:top w:val="single" w:sz="2" w:space="0" w:color="auto"/>
              <w:bottom w:val="single" w:sz="2" w:space="0" w:color="auto"/>
            </w:tcBorders>
            <w:shd w:val="clear" w:color="auto" w:fill="auto"/>
            <w:vAlign w:val="center"/>
          </w:tcPr>
          <w:p w:rsidR="00D006FA" w:rsidRPr="007E3BFE" w:rsidRDefault="00D006FA" w:rsidP="007E3BFE">
            <w:pPr>
              <w:spacing w:after="0" w:line="240" w:lineRule="atLeast"/>
              <w:ind w:firstLine="0"/>
              <w:jc w:val="right"/>
              <w:rPr>
                <w:rFonts w:ascii="Arial Narrow" w:hAnsi="Arial Narrow"/>
                <w:color w:val="000000"/>
                <w:lang w:eastAsia="es-ES"/>
              </w:rPr>
            </w:pPr>
            <w:r>
              <w:rPr>
                <w:rFonts w:ascii="Arial Narrow" w:hAnsi="Arial Narrow"/>
                <w:color w:val="000000"/>
                <w:lang w:eastAsia="es-ES"/>
              </w:rPr>
              <w:t>-21,10</w:t>
            </w:r>
          </w:p>
        </w:tc>
        <w:tc>
          <w:tcPr>
            <w:tcW w:w="733" w:type="dxa"/>
            <w:tcBorders>
              <w:top w:val="single" w:sz="2" w:space="0" w:color="auto"/>
              <w:bottom w:val="single" w:sz="2" w:space="0" w:color="auto"/>
            </w:tcBorders>
            <w:shd w:val="clear" w:color="auto" w:fill="auto"/>
            <w:vAlign w:val="center"/>
          </w:tcPr>
          <w:p w:rsidR="00D006FA" w:rsidRPr="007E3BFE" w:rsidRDefault="00D006FA" w:rsidP="007E3BFE">
            <w:pPr>
              <w:spacing w:after="0" w:line="240" w:lineRule="atLeast"/>
              <w:ind w:firstLine="0"/>
              <w:jc w:val="right"/>
              <w:rPr>
                <w:rFonts w:ascii="Arial Narrow" w:hAnsi="Arial Narrow"/>
                <w:color w:val="000000"/>
                <w:lang w:eastAsia="es-ES"/>
              </w:rPr>
            </w:pPr>
            <w:r>
              <w:rPr>
                <w:rFonts w:ascii="Arial Narrow" w:hAnsi="Arial Narrow"/>
                <w:color w:val="000000"/>
                <w:lang w:eastAsia="es-ES"/>
              </w:rPr>
              <w:t>28,97</w:t>
            </w:r>
          </w:p>
        </w:tc>
        <w:tc>
          <w:tcPr>
            <w:tcW w:w="733" w:type="dxa"/>
            <w:tcBorders>
              <w:top w:val="single" w:sz="2" w:space="0" w:color="auto"/>
              <w:bottom w:val="single" w:sz="2" w:space="0" w:color="auto"/>
            </w:tcBorders>
            <w:shd w:val="clear" w:color="auto" w:fill="auto"/>
            <w:vAlign w:val="center"/>
          </w:tcPr>
          <w:p w:rsidR="00D006FA" w:rsidRPr="007E3BFE" w:rsidRDefault="00D006FA" w:rsidP="007E3BFE">
            <w:pPr>
              <w:spacing w:after="0" w:line="240" w:lineRule="atLeast"/>
              <w:ind w:firstLine="0"/>
              <w:jc w:val="right"/>
              <w:rPr>
                <w:rFonts w:ascii="Arial Narrow" w:hAnsi="Arial Narrow"/>
                <w:color w:val="000000"/>
                <w:lang w:eastAsia="es-ES"/>
              </w:rPr>
            </w:pPr>
            <w:r>
              <w:rPr>
                <w:rFonts w:ascii="Arial Narrow" w:hAnsi="Arial Narrow"/>
                <w:color w:val="000000"/>
                <w:lang w:eastAsia="es-ES"/>
              </w:rPr>
              <w:t>48,42</w:t>
            </w:r>
          </w:p>
        </w:tc>
        <w:tc>
          <w:tcPr>
            <w:tcW w:w="824" w:type="dxa"/>
            <w:tcBorders>
              <w:top w:val="single" w:sz="2" w:space="0" w:color="auto"/>
              <w:bottom w:val="single" w:sz="2" w:space="0" w:color="auto"/>
            </w:tcBorders>
            <w:shd w:val="clear" w:color="auto" w:fill="auto"/>
            <w:vAlign w:val="center"/>
          </w:tcPr>
          <w:p w:rsidR="00D006FA" w:rsidRPr="007E3BFE" w:rsidRDefault="00D006FA" w:rsidP="007E3BFE">
            <w:pPr>
              <w:spacing w:after="0" w:line="240" w:lineRule="atLeast"/>
              <w:ind w:firstLine="0"/>
              <w:jc w:val="right"/>
              <w:rPr>
                <w:rFonts w:ascii="Arial Narrow" w:hAnsi="Arial Narrow"/>
                <w:color w:val="000000"/>
                <w:lang w:eastAsia="es-ES"/>
              </w:rPr>
            </w:pPr>
            <w:r>
              <w:rPr>
                <w:rFonts w:ascii="Arial Narrow" w:hAnsi="Arial Narrow"/>
                <w:color w:val="000000"/>
                <w:lang w:eastAsia="es-ES"/>
              </w:rPr>
              <w:t>45,89</w:t>
            </w:r>
          </w:p>
        </w:tc>
        <w:tc>
          <w:tcPr>
            <w:tcW w:w="824" w:type="dxa"/>
            <w:tcBorders>
              <w:top w:val="single" w:sz="2" w:space="0" w:color="auto"/>
              <w:bottom w:val="single" w:sz="2" w:space="0" w:color="auto"/>
            </w:tcBorders>
            <w:shd w:val="clear" w:color="auto" w:fill="auto"/>
            <w:vAlign w:val="center"/>
          </w:tcPr>
          <w:p w:rsidR="00D006FA" w:rsidRPr="007E3BFE" w:rsidRDefault="00D006FA" w:rsidP="007E3BFE">
            <w:pPr>
              <w:spacing w:after="0" w:line="240" w:lineRule="atLeast"/>
              <w:ind w:firstLine="0"/>
              <w:jc w:val="right"/>
              <w:rPr>
                <w:rFonts w:ascii="Arial Narrow" w:hAnsi="Arial Narrow"/>
                <w:color w:val="000000"/>
                <w:lang w:eastAsia="es-ES"/>
              </w:rPr>
            </w:pPr>
            <w:r>
              <w:rPr>
                <w:rFonts w:ascii="Arial Narrow" w:hAnsi="Arial Narrow"/>
                <w:color w:val="000000"/>
                <w:lang w:eastAsia="es-ES"/>
              </w:rPr>
              <w:t>56,02</w:t>
            </w:r>
          </w:p>
        </w:tc>
        <w:tc>
          <w:tcPr>
            <w:tcW w:w="891" w:type="dxa"/>
            <w:tcBorders>
              <w:top w:val="single" w:sz="2" w:space="0" w:color="auto"/>
              <w:bottom w:val="single" w:sz="2" w:space="0" w:color="auto"/>
            </w:tcBorders>
            <w:vAlign w:val="bottom"/>
          </w:tcPr>
          <w:p w:rsidR="00D006FA" w:rsidRPr="007E3BFE" w:rsidRDefault="00D006FA" w:rsidP="00A57494">
            <w:pPr>
              <w:spacing w:after="0" w:line="240" w:lineRule="atLeast"/>
              <w:ind w:left="-51" w:right="-38" w:firstLine="0"/>
              <w:jc w:val="right"/>
              <w:rPr>
                <w:rFonts w:ascii="Arial Narrow" w:hAnsi="Arial Narrow"/>
                <w:color w:val="000000"/>
                <w:lang w:eastAsia="es-ES"/>
              </w:rPr>
            </w:pPr>
            <w:r>
              <w:rPr>
                <w:rFonts w:ascii="Arial Narrow" w:hAnsi="Arial Narrow"/>
                <w:color w:val="000000"/>
                <w:lang w:eastAsia="es-ES"/>
              </w:rPr>
              <w:t>-365</w:t>
            </w:r>
          </w:p>
        </w:tc>
        <w:tc>
          <w:tcPr>
            <w:tcW w:w="891" w:type="dxa"/>
            <w:tcBorders>
              <w:top w:val="single" w:sz="2" w:space="0" w:color="auto"/>
              <w:bottom w:val="single" w:sz="2" w:space="0" w:color="auto"/>
            </w:tcBorders>
            <w:shd w:val="clear" w:color="auto" w:fill="auto"/>
            <w:vAlign w:val="center"/>
          </w:tcPr>
          <w:p w:rsidR="00D006FA" w:rsidRPr="007E3BFE" w:rsidRDefault="00D006FA" w:rsidP="00A57494">
            <w:pPr>
              <w:spacing w:after="0" w:line="240" w:lineRule="atLeast"/>
              <w:ind w:left="-74" w:firstLine="0"/>
              <w:jc w:val="right"/>
              <w:rPr>
                <w:rFonts w:ascii="Arial Narrow" w:hAnsi="Arial Narrow"/>
                <w:color w:val="000000"/>
                <w:lang w:val="es-ES" w:eastAsia="es-ES"/>
              </w:rPr>
            </w:pPr>
            <w:r>
              <w:rPr>
                <w:rFonts w:ascii="Arial Narrow" w:hAnsi="Arial Narrow"/>
                <w:color w:val="000000"/>
                <w:lang w:val="es-ES" w:eastAsia="es-ES"/>
              </w:rPr>
              <w:t>22</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 xml:space="preserve">Ahorro bruto </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79,01</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85,49</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102,98</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100,97</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109,83</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39</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8,8</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Carga financiera</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36,59</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39,23</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39,31</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38,08</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38,94</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6</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2,3</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 xml:space="preserve">Ahorro neto </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42,42</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46,26</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63,67</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62,89</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70,89</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67</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12,7</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Nivel de endeudamiento</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5,45%</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5,76%</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5,86%</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5,57%</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5,61%</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3</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0,7</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Límite de endeudamiento</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11,77%</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12,56%</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15,35%</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14,76%</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15,83%</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34</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7,2</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Capacidad de endeudamiento</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6,32%</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6,80%</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9,49%</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9,19%</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10,22%</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62</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11,2</w:t>
            </w:r>
          </w:p>
        </w:tc>
      </w:tr>
      <w:tr w:rsidR="007E3BFE" w:rsidRPr="007E3BFE" w:rsidTr="00833FAA">
        <w:trPr>
          <w:trHeight w:val="20"/>
          <w:jc w:val="center"/>
        </w:trPr>
        <w:tc>
          <w:tcPr>
            <w:tcW w:w="31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Deuda viva</w:t>
            </w:r>
          </w:p>
        </w:tc>
        <w:tc>
          <w:tcPr>
            <w:tcW w:w="73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383,51</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401,24</w:t>
            </w:r>
          </w:p>
        </w:tc>
        <w:tc>
          <w:tcPr>
            <w:tcW w:w="733"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400,42</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382,45</w:t>
            </w:r>
          </w:p>
        </w:tc>
        <w:tc>
          <w:tcPr>
            <w:tcW w:w="824" w:type="dxa"/>
            <w:tcBorders>
              <w:top w:val="single" w:sz="2" w:space="0" w:color="auto"/>
              <w:bottom w:val="single" w:sz="2"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336,76</w:t>
            </w:r>
          </w:p>
        </w:tc>
        <w:tc>
          <w:tcPr>
            <w:tcW w:w="891" w:type="dxa"/>
            <w:tcBorders>
              <w:top w:val="single" w:sz="2" w:space="0" w:color="auto"/>
              <w:bottom w:val="single" w:sz="2"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-12</w:t>
            </w:r>
          </w:p>
        </w:tc>
        <w:tc>
          <w:tcPr>
            <w:tcW w:w="891" w:type="dxa"/>
            <w:tcBorders>
              <w:top w:val="single" w:sz="2" w:space="0" w:color="auto"/>
              <w:bottom w:val="single" w:sz="2"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-11,9</w:t>
            </w:r>
          </w:p>
        </w:tc>
      </w:tr>
      <w:tr w:rsidR="007E3BFE" w:rsidRPr="007E3BFE" w:rsidTr="00833FAA">
        <w:trPr>
          <w:trHeight w:val="20"/>
          <w:jc w:val="center"/>
        </w:trPr>
        <w:tc>
          <w:tcPr>
            <w:tcW w:w="3133" w:type="dxa"/>
            <w:tcBorders>
              <w:top w:val="single" w:sz="2" w:space="0" w:color="auto"/>
              <w:bottom w:val="single" w:sz="4" w:space="0" w:color="auto"/>
            </w:tcBorders>
            <w:shd w:val="clear" w:color="auto" w:fill="auto"/>
            <w:vAlign w:val="center"/>
            <w:hideMark/>
          </w:tcPr>
          <w:p w:rsidR="007E3BFE" w:rsidRPr="007E3BFE" w:rsidRDefault="007E3BFE" w:rsidP="0058205E">
            <w:pPr>
              <w:spacing w:after="0" w:line="240" w:lineRule="atLeast"/>
              <w:ind w:firstLine="0"/>
              <w:jc w:val="left"/>
              <w:rPr>
                <w:rFonts w:ascii="Arial Narrow" w:hAnsi="Arial Narrow"/>
                <w:color w:val="000000"/>
                <w:lang w:val="es-ES" w:eastAsia="es-ES"/>
              </w:rPr>
            </w:pPr>
            <w:r w:rsidRPr="007E3BFE">
              <w:rPr>
                <w:rFonts w:ascii="Arial Narrow" w:hAnsi="Arial Narrow"/>
                <w:color w:val="000000"/>
                <w:spacing w:val="6"/>
                <w:lang w:eastAsia="es-ES"/>
              </w:rPr>
              <w:t>Reman</w:t>
            </w:r>
            <w:r w:rsidR="0058205E">
              <w:rPr>
                <w:rFonts w:ascii="Arial Narrow" w:hAnsi="Arial Narrow"/>
                <w:color w:val="000000"/>
                <w:spacing w:val="6"/>
                <w:lang w:eastAsia="es-ES"/>
              </w:rPr>
              <w:t>ente</w:t>
            </w:r>
            <w:r w:rsidRPr="007E3BFE">
              <w:rPr>
                <w:rFonts w:ascii="Arial Narrow" w:hAnsi="Arial Narrow"/>
                <w:color w:val="000000"/>
                <w:spacing w:val="6"/>
                <w:lang w:eastAsia="es-ES"/>
              </w:rPr>
              <w:t xml:space="preserve"> Tesorería gastos grales.</w:t>
            </w:r>
          </w:p>
        </w:tc>
        <w:tc>
          <w:tcPr>
            <w:tcW w:w="734" w:type="dxa"/>
            <w:tcBorders>
              <w:top w:val="single" w:sz="2" w:space="0" w:color="auto"/>
              <w:bottom w:val="single" w:sz="4"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102,46</w:t>
            </w:r>
          </w:p>
        </w:tc>
        <w:tc>
          <w:tcPr>
            <w:tcW w:w="733" w:type="dxa"/>
            <w:tcBorders>
              <w:top w:val="single" w:sz="2" w:space="0" w:color="auto"/>
              <w:bottom w:val="single" w:sz="4"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104,85</w:t>
            </w:r>
          </w:p>
        </w:tc>
        <w:tc>
          <w:tcPr>
            <w:tcW w:w="733" w:type="dxa"/>
            <w:tcBorders>
              <w:top w:val="single" w:sz="2" w:space="0" w:color="auto"/>
              <w:bottom w:val="single" w:sz="4"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132,86</w:t>
            </w:r>
          </w:p>
        </w:tc>
        <w:tc>
          <w:tcPr>
            <w:tcW w:w="824" w:type="dxa"/>
            <w:tcBorders>
              <w:top w:val="single" w:sz="2" w:space="0" w:color="auto"/>
              <w:bottom w:val="single" w:sz="4"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142,27</w:t>
            </w:r>
          </w:p>
        </w:tc>
        <w:tc>
          <w:tcPr>
            <w:tcW w:w="824" w:type="dxa"/>
            <w:tcBorders>
              <w:top w:val="single" w:sz="2" w:space="0" w:color="auto"/>
              <w:bottom w:val="single" w:sz="4" w:space="0" w:color="auto"/>
            </w:tcBorders>
            <w:shd w:val="clear" w:color="auto" w:fill="auto"/>
            <w:vAlign w:val="center"/>
            <w:hideMark/>
          </w:tcPr>
          <w:p w:rsidR="007E3BFE" w:rsidRPr="007E3BFE" w:rsidRDefault="007E3BFE" w:rsidP="007E3BFE">
            <w:pPr>
              <w:spacing w:after="0" w:line="240" w:lineRule="atLeast"/>
              <w:ind w:firstLine="0"/>
              <w:jc w:val="right"/>
              <w:rPr>
                <w:rFonts w:ascii="Arial Narrow" w:hAnsi="Arial Narrow"/>
                <w:color w:val="000000"/>
                <w:lang w:val="es-ES" w:eastAsia="es-ES"/>
              </w:rPr>
            </w:pPr>
            <w:r w:rsidRPr="007E3BFE">
              <w:rPr>
                <w:rFonts w:ascii="Arial Narrow" w:hAnsi="Arial Narrow"/>
                <w:color w:val="000000"/>
                <w:spacing w:val="6"/>
                <w:lang w:eastAsia="es-ES"/>
              </w:rPr>
              <w:t>169,07</w:t>
            </w:r>
          </w:p>
        </w:tc>
        <w:tc>
          <w:tcPr>
            <w:tcW w:w="891" w:type="dxa"/>
            <w:tcBorders>
              <w:top w:val="single" w:sz="2" w:space="0" w:color="auto"/>
              <w:bottom w:val="single" w:sz="4" w:space="0" w:color="auto"/>
            </w:tcBorders>
            <w:vAlign w:val="bottom"/>
          </w:tcPr>
          <w:p w:rsidR="007E3BFE" w:rsidRPr="007E3BFE" w:rsidRDefault="007E3BFE" w:rsidP="00A57494">
            <w:pPr>
              <w:spacing w:after="0" w:line="240" w:lineRule="atLeast"/>
              <w:ind w:left="-51" w:right="-38" w:firstLine="0"/>
              <w:jc w:val="right"/>
              <w:rPr>
                <w:rFonts w:ascii="Arial Narrow" w:hAnsi="Arial Narrow"/>
                <w:color w:val="000000"/>
                <w:lang w:eastAsia="es-ES"/>
              </w:rPr>
            </w:pPr>
            <w:r w:rsidRPr="007E3BFE">
              <w:rPr>
                <w:rFonts w:ascii="Arial Narrow" w:hAnsi="Arial Narrow"/>
                <w:color w:val="000000"/>
                <w:lang w:eastAsia="es-ES"/>
              </w:rPr>
              <w:t>65</w:t>
            </w:r>
          </w:p>
        </w:tc>
        <w:tc>
          <w:tcPr>
            <w:tcW w:w="891" w:type="dxa"/>
            <w:tcBorders>
              <w:top w:val="single" w:sz="2" w:space="0" w:color="auto"/>
              <w:bottom w:val="single" w:sz="4" w:space="0" w:color="auto"/>
            </w:tcBorders>
            <w:shd w:val="clear" w:color="auto" w:fill="auto"/>
            <w:vAlign w:val="center"/>
            <w:hideMark/>
          </w:tcPr>
          <w:p w:rsidR="007E3BFE" w:rsidRPr="007E3BFE" w:rsidRDefault="007E3BFE" w:rsidP="00A57494">
            <w:pPr>
              <w:spacing w:after="0" w:line="240" w:lineRule="atLeast"/>
              <w:ind w:left="-74" w:firstLine="0"/>
              <w:jc w:val="right"/>
              <w:rPr>
                <w:rFonts w:ascii="Arial Narrow" w:hAnsi="Arial Narrow"/>
                <w:color w:val="000000"/>
                <w:lang w:val="es-ES" w:eastAsia="es-ES"/>
              </w:rPr>
            </w:pPr>
            <w:r w:rsidRPr="007E3BFE">
              <w:rPr>
                <w:rFonts w:ascii="Arial Narrow" w:hAnsi="Arial Narrow"/>
                <w:color w:val="000000"/>
                <w:lang w:val="es-ES" w:eastAsia="es-ES"/>
              </w:rPr>
              <w:t>18,8</w:t>
            </w:r>
          </w:p>
        </w:tc>
      </w:tr>
    </w:tbl>
    <w:p w:rsidR="007E3BFE" w:rsidRPr="007E3BFE" w:rsidRDefault="007E3BFE" w:rsidP="00A57494">
      <w:pPr>
        <w:pStyle w:val="texto"/>
        <w:spacing w:before="240"/>
      </w:pPr>
      <w:r w:rsidRPr="007E3BFE">
        <w:t>En comparación con 2013, los gastos disminuyeron y los ingresos aument</w:t>
      </w:r>
      <w:r w:rsidRPr="007E3BFE">
        <w:t>a</w:t>
      </w:r>
      <w:r w:rsidRPr="007E3BFE">
        <w:t>ron si bien en ambos casos lo hicieron ligeramente. Sin embargo la evolución respecto a 2010 sí que es significativa, ya que se aprecia una bajada de los ga</w:t>
      </w:r>
      <w:r w:rsidRPr="007E3BFE">
        <w:t>s</w:t>
      </w:r>
      <w:r w:rsidRPr="007E3BFE">
        <w:t>tos e ingresos del 25 y 22 por ciento respectivamente.</w:t>
      </w:r>
    </w:p>
    <w:p w:rsidR="007E3BFE" w:rsidRPr="007E3BFE" w:rsidRDefault="007E3BFE" w:rsidP="00A57494">
      <w:pPr>
        <w:pStyle w:val="texto"/>
      </w:pPr>
      <w:r w:rsidRPr="007E3BFE">
        <w:t>Los gastos de inversión supusieron 94,47 millones de euros, siendo el gasto que más se reduce en comparación con 2010 y 2013, con porcentajes que a</w:t>
      </w:r>
      <w:r w:rsidRPr="007E3BFE">
        <w:t>l</w:t>
      </w:r>
      <w:r w:rsidRPr="007E3BFE">
        <w:t>canzan el 68 y el 4,5 por ciento.</w:t>
      </w:r>
    </w:p>
    <w:p w:rsidR="007E3BFE" w:rsidRPr="007E3BFE" w:rsidRDefault="007E3BFE" w:rsidP="00A57494">
      <w:pPr>
        <w:pStyle w:val="texto"/>
      </w:pPr>
      <w:r w:rsidRPr="007E3BFE">
        <w:t>En 2014, el sector público local generó un ahorro neto de recursos ordinarios de 70,89 millones de euros, una vez atendidos los gastos de funcionamiento y la carga financiera de la deuda. Este ahorro es un 13 por ciento superior al o</w:t>
      </w:r>
      <w:r w:rsidRPr="007E3BFE">
        <w:t>b</w:t>
      </w:r>
      <w:r w:rsidRPr="007E3BFE">
        <w:t>tenido en 2013 destacando su incremento en un 67 por ciento respecto a 2010.</w:t>
      </w:r>
    </w:p>
    <w:p w:rsidR="007E3BFE" w:rsidRPr="007E3BFE" w:rsidRDefault="007E3BFE" w:rsidP="00A57494">
      <w:pPr>
        <w:pStyle w:val="texto"/>
      </w:pPr>
      <w:r w:rsidRPr="007E3BFE">
        <w:t xml:space="preserve">La deuda viva de las entidades locales de Navarra en 2014 ascendía a 336,76 millones de euros, a un tipo medio de interés del 1,96 por ciento y con un plazo medio de vencimiento de 12,73 años. Respecto a 2013, se observa un descenso significativo del 12 por ciento. </w:t>
      </w:r>
    </w:p>
    <w:p w:rsidR="007E3BFE" w:rsidRPr="007E3BFE" w:rsidRDefault="007E3BFE" w:rsidP="00A57494">
      <w:pPr>
        <w:pStyle w:val="texto"/>
      </w:pPr>
      <w:r w:rsidRPr="007E3BFE">
        <w:t>El nivel de endeudamiento en 2014 se situaba en el 5,61 por ciento de los i</w:t>
      </w:r>
      <w:r w:rsidRPr="007E3BFE">
        <w:t>n</w:t>
      </w:r>
      <w:r w:rsidRPr="007E3BFE">
        <w:t>gresos corrientes, presentando una capacidad de endeudamiento de hasta el 10,22 por ciento.</w:t>
      </w:r>
    </w:p>
    <w:p w:rsidR="007E3BFE" w:rsidRPr="007E3BFE" w:rsidRDefault="007E3BFE" w:rsidP="00A57494">
      <w:pPr>
        <w:pStyle w:val="texto"/>
      </w:pPr>
      <w:r w:rsidRPr="007E3BFE">
        <w:lastRenderedPageBreak/>
        <w:t>El 91 por ciento de la deuda corresponde a los municipios y sus organismos autónomos, el 6,5 por ciento a las mancomunidades y agrupaciones, y el resto a los concejos.</w:t>
      </w:r>
    </w:p>
    <w:p w:rsidR="007E3BFE" w:rsidRPr="007E3BFE" w:rsidRDefault="007E3BFE" w:rsidP="00A57494">
      <w:pPr>
        <w:pStyle w:val="texto"/>
      </w:pPr>
      <w:r w:rsidRPr="007E3BFE">
        <w:t>El remanente de tesorería para gastos generales, excedente de recursos gen</w:t>
      </w:r>
      <w:r w:rsidRPr="007E3BFE">
        <w:t>e</w:t>
      </w:r>
      <w:r w:rsidRPr="007E3BFE">
        <w:t>rados en ejercicios anteriores, ascendió en 2014 a 169,07 millones, presentando también una evolución favorable respecto a 2010 y 2013 ya que aumentó un 19 y un 65 por ciento respectivamente.</w:t>
      </w:r>
    </w:p>
    <w:p w:rsidR="007E3BFE" w:rsidRPr="007E3BFE" w:rsidRDefault="007E3BFE" w:rsidP="00A57494">
      <w:pPr>
        <w:pStyle w:val="texto"/>
      </w:pPr>
      <w:r w:rsidRPr="007E3BFE">
        <w:t>Finalmente, en el año 2014, el sector público local presentaba una capacidad de financiación a efectos de estabilidad presupuestaria, incluyendo los ajustes correspondientes, de 29,01 millones de euros y una deuda viva del 48,55 por ciento de sus ingresos corrientes.</w:t>
      </w:r>
    </w:p>
    <w:p w:rsidR="007E3BFE" w:rsidRPr="007E3BFE" w:rsidRDefault="007E3BFE" w:rsidP="00A57494">
      <w:pPr>
        <w:pStyle w:val="atitulo1"/>
      </w:pPr>
      <w:r w:rsidRPr="007E3BFE">
        <w:rPr>
          <w:i/>
          <w:iCs/>
          <w:highlight w:val="yellow"/>
        </w:rPr>
        <w:br w:type="page"/>
      </w:r>
      <w:bookmarkStart w:id="42" w:name="_Toc399916265"/>
      <w:bookmarkStart w:id="43" w:name="_Toc465686691"/>
      <w:bookmarkStart w:id="44" w:name="_Toc467847962"/>
      <w:r w:rsidRPr="007E3BFE">
        <w:lastRenderedPageBreak/>
        <w:t>VI. Contratación administrativa</w:t>
      </w:r>
      <w:bookmarkEnd w:id="42"/>
      <w:bookmarkEnd w:id="43"/>
      <w:bookmarkEnd w:id="44"/>
    </w:p>
    <w:p w:rsidR="007E3BFE" w:rsidRPr="007E3BFE" w:rsidRDefault="007E3BFE" w:rsidP="007E3BFE">
      <w:pPr>
        <w:tabs>
          <w:tab w:val="center" w:pos="2835"/>
          <w:tab w:val="center" w:pos="3969"/>
          <w:tab w:val="center" w:pos="5103"/>
          <w:tab w:val="center" w:pos="6237"/>
          <w:tab w:val="center" w:pos="7371"/>
        </w:tabs>
        <w:spacing w:before="120" w:after="120"/>
        <w:ind w:firstLine="284"/>
        <w:rPr>
          <w:spacing w:val="6"/>
          <w:sz w:val="26"/>
          <w:szCs w:val="24"/>
        </w:rPr>
      </w:pPr>
      <w:r w:rsidRPr="007E3BFE">
        <w:rPr>
          <w:spacing w:val="6"/>
          <w:sz w:val="26"/>
          <w:szCs w:val="24"/>
        </w:rPr>
        <w:t xml:space="preserve">En este epígrafe se analizan los contratos adjudicados en el año 2014 por las entidades locales y sus entes dependientes, según la información del registro de contratos gestionado por la Junta de Contratación Pública. </w:t>
      </w:r>
    </w:p>
    <w:p w:rsidR="007E3BFE" w:rsidRPr="007E3BFE" w:rsidRDefault="007E3BFE" w:rsidP="007E3BFE">
      <w:pPr>
        <w:tabs>
          <w:tab w:val="center" w:pos="2835"/>
          <w:tab w:val="center" w:pos="3969"/>
          <w:tab w:val="center" w:pos="5103"/>
          <w:tab w:val="center" w:pos="6237"/>
          <w:tab w:val="center" w:pos="7371"/>
        </w:tabs>
        <w:spacing w:before="120" w:after="320"/>
        <w:ind w:firstLine="284"/>
        <w:rPr>
          <w:spacing w:val="6"/>
          <w:sz w:val="26"/>
          <w:szCs w:val="24"/>
        </w:rPr>
      </w:pPr>
      <w:r w:rsidRPr="007E3BFE">
        <w:rPr>
          <w:spacing w:val="6"/>
          <w:sz w:val="26"/>
          <w:szCs w:val="24"/>
        </w:rPr>
        <w:t>Los datos básicos de los contratos adjudicados por las entidades locales fu</w:t>
      </w:r>
      <w:r w:rsidRPr="007E3BFE">
        <w:rPr>
          <w:spacing w:val="6"/>
          <w:sz w:val="26"/>
          <w:szCs w:val="24"/>
        </w:rPr>
        <w:t>e</w:t>
      </w:r>
      <w:r w:rsidRPr="007E3BFE">
        <w:rPr>
          <w:spacing w:val="6"/>
          <w:sz w:val="26"/>
          <w:szCs w:val="24"/>
        </w:rPr>
        <w:t>ron los siguientes:</w:t>
      </w:r>
    </w:p>
    <w:tbl>
      <w:tblPr>
        <w:tblW w:w="9943" w:type="dxa"/>
        <w:jc w:val="center"/>
        <w:tblLayout w:type="fixed"/>
        <w:tblLook w:val="01E0" w:firstRow="1" w:lastRow="1" w:firstColumn="1" w:lastColumn="1" w:noHBand="0" w:noVBand="0"/>
      </w:tblPr>
      <w:tblGrid>
        <w:gridCol w:w="2157"/>
        <w:gridCol w:w="818"/>
        <w:gridCol w:w="1128"/>
        <w:gridCol w:w="860"/>
        <w:gridCol w:w="1087"/>
        <w:gridCol w:w="747"/>
        <w:gridCol w:w="1199"/>
        <w:gridCol w:w="830"/>
        <w:gridCol w:w="1117"/>
      </w:tblGrid>
      <w:tr w:rsidR="00A57494" w:rsidRPr="007E3BFE" w:rsidTr="0095539C">
        <w:trPr>
          <w:trHeight w:val="255"/>
          <w:jc w:val="center"/>
        </w:trPr>
        <w:tc>
          <w:tcPr>
            <w:tcW w:w="2157" w:type="dxa"/>
            <w:vMerge w:val="restart"/>
            <w:tcBorders>
              <w:top w:val="single" w:sz="4" w:space="0" w:color="auto"/>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Tipo de contrato</w:t>
            </w:r>
          </w:p>
        </w:tc>
        <w:tc>
          <w:tcPr>
            <w:tcW w:w="1946" w:type="dxa"/>
            <w:gridSpan w:val="2"/>
            <w:tcBorders>
              <w:top w:val="single" w:sz="4" w:space="0" w:color="auto"/>
              <w:left w:val="single" w:sz="2" w:space="0" w:color="auto"/>
              <w:bottom w:val="single" w:sz="2"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sidRPr="007E3BFE">
              <w:rPr>
                <w:rFonts w:ascii="Arial" w:hAnsi="Arial"/>
                <w:spacing w:val="6"/>
                <w:sz w:val="16"/>
                <w:szCs w:val="16"/>
              </w:rPr>
              <w:t>Ayuntamientos</w:t>
            </w:r>
          </w:p>
        </w:tc>
        <w:tc>
          <w:tcPr>
            <w:tcW w:w="1947" w:type="dxa"/>
            <w:gridSpan w:val="2"/>
            <w:tcBorders>
              <w:top w:val="single" w:sz="4" w:space="0" w:color="auto"/>
              <w:left w:val="single" w:sz="2" w:space="0" w:color="auto"/>
              <w:bottom w:val="single" w:sz="2"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sidRPr="007E3BFE">
              <w:rPr>
                <w:rFonts w:ascii="Arial" w:hAnsi="Arial"/>
                <w:spacing w:val="6"/>
                <w:sz w:val="16"/>
                <w:szCs w:val="16"/>
              </w:rPr>
              <w:t>Agrupaciones</w:t>
            </w:r>
          </w:p>
        </w:tc>
        <w:tc>
          <w:tcPr>
            <w:tcW w:w="1946" w:type="dxa"/>
            <w:gridSpan w:val="2"/>
            <w:tcBorders>
              <w:top w:val="single" w:sz="4" w:space="0" w:color="auto"/>
              <w:left w:val="single" w:sz="2" w:space="0" w:color="auto"/>
              <w:bottom w:val="single" w:sz="2"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sidRPr="007E3BFE">
              <w:rPr>
                <w:rFonts w:ascii="Arial" w:hAnsi="Arial"/>
                <w:spacing w:val="6"/>
                <w:sz w:val="16"/>
                <w:szCs w:val="16"/>
              </w:rPr>
              <w:t>Mancomunidades</w:t>
            </w:r>
          </w:p>
        </w:tc>
        <w:tc>
          <w:tcPr>
            <w:tcW w:w="1947" w:type="dxa"/>
            <w:gridSpan w:val="2"/>
            <w:tcBorders>
              <w:top w:val="single" w:sz="4" w:space="0" w:color="auto"/>
              <w:left w:val="single" w:sz="2" w:space="0" w:color="auto"/>
              <w:bottom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sidRPr="007E3BFE">
              <w:rPr>
                <w:rFonts w:ascii="Arial" w:hAnsi="Arial"/>
                <w:spacing w:val="6"/>
                <w:sz w:val="16"/>
                <w:szCs w:val="16"/>
              </w:rPr>
              <w:t>Total</w:t>
            </w:r>
          </w:p>
        </w:tc>
      </w:tr>
      <w:tr w:rsidR="00A57494" w:rsidRPr="007E3BFE" w:rsidTr="0095539C">
        <w:trPr>
          <w:trHeight w:val="255"/>
          <w:jc w:val="center"/>
        </w:trPr>
        <w:tc>
          <w:tcPr>
            <w:tcW w:w="2157" w:type="dxa"/>
            <w:vMerge/>
            <w:tcBorders>
              <w:bottom w:val="single" w:sz="4" w:space="0" w:color="auto"/>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818" w:type="dxa"/>
            <w:tcBorders>
              <w:top w:val="single" w:sz="2" w:space="0" w:color="auto"/>
              <w:left w:val="single" w:sz="2" w:space="0" w:color="auto"/>
              <w:bottom w:val="single" w:sz="4" w:space="0" w:color="auto"/>
            </w:tcBorders>
            <w:shd w:val="clear" w:color="auto" w:fill="FFCC99"/>
            <w:vAlign w:val="center"/>
          </w:tcPr>
          <w:p w:rsidR="007E3BFE" w:rsidRPr="007E3BFE" w:rsidRDefault="00A57494"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128" w:type="dxa"/>
            <w:tcBorders>
              <w:top w:val="single" w:sz="2" w:space="0" w:color="auto"/>
              <w:bottom w:val="single" w:sz="4"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adjudicación</w:t>
            </w:r>
          </w:p>
        </w:tc>
        <w:tc>
          <w:tcPr>
            <w:tcW w:w="860" w:type="dxa"/>
            <w:tcBorders>
              <w:top w:val="single" w:sz="2" w:space="0" w:color="auto"/>
              <w:left w:val="single" w:sz="2" w:space="0" w:color="auto"/>
              <w:bottom w:val="single" w:sz="4" w:space="0" w:color="auto"/>
            </w:tcBorders>
            <w:shd w:val="clear" w:color="auto" w:fill="FFCC99"/>
            <w:vAlign w:val="center"/>
          </w:tcPr>
          <w:p w:rsidR="007E3BFE" w:rsidRPr="007E3BFE" w:rsidRDefault="00A57494"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087" w:type="dxa"/>
            <w:tcBorders>
              <w:top w:val="single" w:sz="2" w:space="0" w:color="auto"/>
              <w:bottom w:val="single" w:sz="4"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adjudicación</w:t>
            </w:r>
          </w:p>
        </w:tc>
        <w:tc>
          <w:tcPr>
            <w:tcW w:w="747" w:type="dxa"/>
            <w:tcBorders>
              <w:top w:val="single" w:sz="2" w:space="0" w:color="auto"/>
              <w:left w:val="single" w:sz="2" w:space="0" w:color="auto"/>
              <w:bottom w:val="single" w:sz="4" w:space="0" w:color="auto"/>
            </w:tcBorders>
            <w:shd w:val="clear" w:color="auto" w:fill="FFCC99"/>
            <w:vAlign w:val="center"/>
          </w:tcPr>
          <w:p w:rsidR="007E3BFE" w:rsidRPr="007E3BFE" w:rsidRDefault="00A57494"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199" w:type="dxa"/>
            <w:tcBorders>
              <w:top w:val="single" w:sz="2" w:space="0" w:color="auto"/>
              <w:bottom w:val="single" w:sz="4"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adjudicación</w:t>
            </w:r>
          </w:p>
        </w:tc>
        <w:tc>
          <w:tcPr>
            <w:tcW w:w="830" w:type="dxa"/>
            <w:tcBorders>
              <w:top w:val="single" w:sz="2" w:space="0" w:color="auto"/>
              <w:left w:val="single" w:sz="2" w:space="0" w:color="auto"/>
              <w:bottom w:val="single" w:sz="4" w:space="0" w:color="auto"/>
            </w:tcBorders>
            <w:shd w:val="clear" w:color="auto" w:fill="FFCC99"/>
            <w:vAlign w:val="center"/>
          </w:tcPr>
          <w:p w:rsidR="007E3BFE" w:rsidRPr="007E3BFE" w:rsidRDefault="00A57494"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117" w:type="dxa"/>
            <w:tcBorders>
              <w:top w:val="single" w:sz="2" w:space="0" w:color="auto"/>
              <w:bottom w:val="single" w:sz="4"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adjudicación</w:t>
            </w:r>
          </w:p>
        </w:tc>
      </w:tr>
      <w:tr w:rsidR="00A57494" w:rsidRPr="007E3BFE" w:rsidTr="0095539C">
        <w:trPr>
          <w:trHeight w:val="198"/>
          <w:jc w:val="center"/>
        </w:trPr>
        <w:tc>
          <w:tcPr>
            <w:tcW w:w="2157" w:type="dxa"/>
            <w:tcBorders>
              <w:top w:val="single" w:sz="4"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Asistencia</w:t>
            </w:r>
          </w:p>
        </w:tc>
        <w:tc>
          <w:tcPr>
            <w:tcW w:w="818" w:type="dxa"/>
            <w:tcBorders>
              <w:top w:val="single" w:sz="4"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128</w:t>
            </w:r>
          </w:p>
        </w:tc>
        <w:tc>
          <w:tcPr>
            <w:tcW w:w="1128" w:type="dxa"/>
            <w:tcBorders>
              <w:top w:val="single" w:sz="4"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7.775.437</w:t>
            </w:r>
          </w:p>
        </w:tc>
        <w:tc>
          <w:tcPr>
            <w:tcW w:w="860" w:type="dxa"/>
            <w:tcBorders>
              <w:top w:val="single" w:sz="4"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1087" w:type="dxa"/>
            <w:tcBorders>
              <w:top w:val="single" w:sz="4"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747" w:type="dxa"/>
            <w:tcBorders>
              <w:top w:val="single" w:sz="4"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4</w:t>
            </w:r>
          </w:p>
        </w:tc>
        <w:tc>
          <w:tcPr>
            <w:tcW w:w="1199" w:type="dxa"/>
            <w:tcBorders>
              <w:top w:val="single" w:sz="4"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403.600</w:t>
            </w:r>
          </w:p>
        </w:tc>
        <w:tc>
          <w:tcPr>
            <w:tcW w:w="830" w:type="dxa"/>
            <w:tcBorders>
              <w:top w:val="single" w:sz="4"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132</w:t>
            </w:r>
          </w:p>
        </w:tc>
        <w:tc>
          <w:tcPr>
            <w:tcW w:w="1117" w:type="dxa"/>
            <w:tcBorders>
              <w:top w:val="single" w:sz="4"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8.179.037</w:t>
            </w:r>
          </w:p>
        </w:tc>
      </w:tr>
      <w:tr w:rsidR="00A57494" w:rsidRPr="007E3BFE" w:rsidTr="0095539C">
        <w:trPr>
          <w:trHeight w:val="198"/>
          <w:jc w:val="center"/>
        </w:trPr>
        <w:tc>
          <w:tcPr>
            <w:tcW w:w="2157" w:type="dxa"/>
            <w:tcBorders>
              <w:top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Obras</w:t>
            </w:r>
          </w:p>
        </w:tc>
        <w:tc>
          <w:tcPr>
            <w:tcW w:w="818"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124</w:t>
            </w:r>
          </w:p>
        </w:tc>
        <w:tc>
          <w:tcPr>
            <w:tcW w:w="1128" w:type="dxa"/>
            <w:tcBorders>
              <w:top w:val="single" w:sz="2"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17.819.599</w:t>
            </w:r>
          </w:p>
        </w:tc>
        <w:tc>
          <w:tcPr>
            <w:tcW w:w="860"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2</w:t>
            </w:r>
          </w:p>
        </w:tc>
        <w:tc>
          <w:tcPr>
            <w:tcW w:w="1087" w:type="dxa"/>
            <w:tcBorders>
              <w:top w:val="single" w:sz="2"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4.563.381</w:t>
            </w:r>
          </w:p>
        </w:tc>
        <w:tc>
          <w:tcPr>
            <w:tcW w:w="747"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4</w:t>
            </w:r>
          </w:p>
        </w:tc>
        <w:tc>
          <w:tcPr>
            <w:tcW w:w="1199" w:type="dxa"/>
            <w:tcBorders>
              <w:top w:val="single" w:sz="2"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3.672.609</w:t>
            </w:r>
          </w:p>
        </w:tc>
        <w:tc>
          <w:tcPr>
            <w:tcW w:w="830"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130</w:t>
            </w:r>
          </w:p>
        </w:tc>
        <w:tc>
          <w:tcPr>
            <w:tcW w:w="1117" w:type="dxa"/>
            <w:tcBorders>
              <w:top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26.055.589</w:t>
            </w:r>
          </w:p>
        </w:tc>
      </w:tr>
      <w:tr w:rsidR="00A57494" w:rsidRPr="007E3BFE" w:rsidTr="0095539C">
        <w:trPr>
          <w:trHeight w:val="198"/>
          <w:jc w:val="center"/>
        </w:trPr>
        <w:tc>
          <w:tcPr>
            <w:tcW w:w="2157" w:type="dxa"/>
            <w:tcBorders>
              <w:top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Suministro</w:t>
            </w:r>
          </w:p>
        </w:tc>
        <w:tc>
          <w:tcPr>
            <w:tcW w:w="818"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30</w:t>
            </w:r>
          </w:p>
        </w:tc>
        <w:tc>
          <w:tcPr>
            <w:tcW w:w="1128" w:type="dxa"/>
            <w:tcBorders>
              <w:top w:val="single" w:sz="2"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4.385.344</w:t>
            </w:r>
          </w:p>
        </w:tc>
        <w:tc>
          <w:tcPr>
            <w:tcW w:w="860"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1087" w:type="dxa"/>
            <w:tcBorders>
              <w:top w:val="single" w:sz="2"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747"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4</w:t>
            </w:r>
          </w:p>
        </w:tc>
        <w:tc>
          <w:tcPr>
            <w:tcW w:w="1199" w:type="dxa"/>
            <w:tcBorders>
              <w:top w:val="single" w:sz="2" w:space="0" w:color="auto"/>
              <w:bottom w:val="single" w:sz="2"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130.475</w:t>
            </w:r>
          </w:p>
        </w:tc>
        <w:tc>
          <w:tcPr>
            <w:tcW w:w="830" w:type="dxa"/>
            <w:tcBorders>
              <w:top w:val="single" w:sz="2" w:space="0" w:color="auto"/>
              <w:left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34</w:t>
            </w:r>
          </w:p>
        </w:tc>
        <w:tc>
          <w:tcPr>
            <w:tcW w:w="1117" w:type="dxa"/>
            <w:tcBorders>
              <w:top w:val="single" w:sz="2" w:space="0" w:color="auto"/>
              <w:bottom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4.515.819</w:t>
            </w:r>
          </w:p>
        </w:tc>
      </w:tr>
      <w:tr w:rsidR="00A57494" w:rsidRPr="007E3BFE" w:rsidTr="0058205E">
        <w:trPr>
          <w:trHeight w:val="198"/>
          <w:jc w:val="center"/>
        </w:trPr>
        <w:tc>
          <w:tcPr>
            <w:tcW w:w="2157" w:type="dxa"/>
            <w:tcBorders>
              <w:top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Concesión servicios</w:t>
            </w:r>
          </w:p>
        </w:tc>
        <w:tc>
          <w:tcPr>
            <w:tcW w:w="818" w:type="dxa"/>
            <w:tcBorders>
              <w:top w:val="single" w:sz="2" w:space="0" w:color="auto"/>
              <w:left w:val="single" w:sz="2" w:space="0" w:color="auto"/>
              <w:bottom w:val="single" w:sz="4"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15</w:t>
            </w:r>
          </w:p>
        </w:tc>
        <w:tc>
          <w:tcPr>
            <w:tcW w:w="1128" w:type="dxa"/>
            <w:tcBorders>
              <w:top w:val="single" w:sz="2" w:space="0" w:color="auto"/>
              <w:bottom w:val="single" w:sz="4"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2.655.209</w:t>
            </w:r>
          </w:p>
        </w:tc>
        <w:tc>
          <w:tcPr>
            <w:tcW w:w="860" w:type="dxa"/>
            <w:tcBorders>
              <w:top w:val="single" w:sz="2" w:space="0" w:color="auto"/>
              <w:left w:val="single" w:sz="2" w:space="0" w:color="auto"/>
              <w:bottom w:val="single" w:sz="4"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1087" w:type="dxa"/>
            <w:tcBorders>
              <w:top w:val="single" w:sz="2" w:space="0" w:color="auto"/>
              <w:bottom w:val="single" w:sz="4"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747" w:type="dxa"/>
            <w:tcBorders>
              <w:top w:val="single" w:sz="2" w:space="0" w:color="auto"/>
              <w:left w:val="single" w:sz="2" w:space="0" w:color="auto"/>
              <w:bottom w:val="single" w:sz="4"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1199" w:type="dxa"/>
            <w:tcBorders>
              <w:top w:val="single" w:sz="2" w:space="0" w:color="auto"/>
              <w:bottom w:val="single" w:sz="4" w:space="0" w:color="auto"/>
              <w:right w:val="single" w:sz="2"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p>
        </w:tc>
        <w:tc>
          <w:tcPr>
            <w:tcW w:w="830" w:type="dxa"/>
            <w:tcBorders>
              <w:top w:val="single" w:sz="2" w:space="0" w:color="auto"/>
              <w:left w:val="single" w:sz="2" w:space="0" w:color="auto"/>
              <w:bottom w:val="single" w:sz="4"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15</w:t>
            </w:r>
          </w:p>
        </w:tc>
        <w:tc>
          <w:tcPr>
            <w:tcW w:w="1117" w:type="dxa"/>
            <w:tcBorders>
              <w:top w:val="single" w:sz="2" w:space="0" w:color="auto"/>
              <w:bottom w:val="single" w:sz="4" w:space="0" w:color="auto"/>
            </w:tcBorders>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7E3BFE">
              <w:rPr>
                <w:rFonts w:ascii="Arial Narrow" w:hAnsi="Arial Narrow"/>
                <w:spacing w:val="6"/>
                <w:sz w:val="18"/>
                <w:szCs w:val="18"/>
              </w:rPr>
              <w:t>2.655.209</w:t>
            </w:r>
          </w:p>
        </w:tc>
      </w:tr>
      <w:tr w:rsidR="00A57494" w:rsidRPr="007E3BFE" w:rsidTr="0095539C">
        <w:trPr>
          <w:trHeight w:val="255"/>
          <w:jc w:val="center"/>
        </w:trPr>
        <w:tc>
          <w:tcPr>
            <w:tcW w:w="2157" w:type="dxa"/>
            <w:tcBorders>
              <w:top w:val="single" w:sz="4" w:space="0" w:color="auto"/>
              <w:bottom w:val="single" w:sz="4" w:space="0" w:color="auto"/>
              <w:right w:val="single" w:sz="2" w:space="0" w:color="auto"/>
            </w:tcBorders>
            <w:shd w:val="clear" w:color="auto" w:fill="FFCC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Total</w:t>
            </w:r>
          </w:p>
        </w:tc>
        <w:tc>
          <w:tcPr>
            <w:tcW w:w="818" w:type="dxa"/>
            <w:tcBorders>
              <w:top w:val="single" w:sz="4" w:space="0" w:color="auto"/>
              <w:left w:val="single" w:sz="2" w:space="0" w:color="auto"/>
              <w:bottom w:val="single" w:sz="4"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297</w:t>
            </w:r>
          </w:p>
        </w:tc>
        <w:tc>
          <w:tcPr>
            <w:tcW w:w="1128" w:type="dxa"/>
            <w:tcBorders>
              <w:top w:val="single" w:sz="4" w:space="0" w:color="auto"/>
              <w:bottom w:val="single" w:sz="4"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fldChar w:fldCharType="begin"/>
            </w:r>
            <w:r w:rsidRPr="007E3BFE">
              <w:rPr>
                <w:rFonts w:ascii="Arial" w:hAnsi="Arial"/>
                <w:spacing w:val="6"/>
                <w:sz w:val="16"/>
                <w:szCs w:val="16"/>
              </w:rPr>
              <w:instrText xml:space="preserve"> =SUM(ABOVE) </w:instrText>
            </w:r>
            <w:r w:rsidRPr="007E3BFE">
              <w:rPr>
                <w:rFonts w:ascii="Arial" w:hAnsi="Arial"/>
                <w:spacing w:val="6"/>
                <w:sz w:val="16"/>
                <w:szCs w:val="16"/>
              </w:rPr>
              <w:fldChar w:fldCharType="separate"/>
            </w:r>
            <w:r w:rsidRPr="007E3BFE">
              <w:rPr>
                <w:rFonts w:ascii="Arial" w:hAnsi="Arial"/>
                <w:noProof/>
                <w:spacing w:val="6"/>
                <w:sz w:val="16"/>
                <w:szCs w:val="16"/>
              </w:rPr>
              <w:t>32.635.589</w:t>
            </w:r>
            <w:r w:rsidRPr="007E3BFE">
              <w:rPr>
                <w:rFonts w:ascii="Arial" w:hAnsi="Arial"/>
                <w:spacing w:val="6"/>
                <w:sz w:val="16"/>
                <w:szCs w:val="16"/>
              </w:rPr>
              <w:fldChar w:fldCharType="end"/>
            </w:r>
          </w:p>
        </w:tc>
        <w:tc>
          <w:tcPr>
            <w:tcW w:w="860" w:type="dxa"/>
            <w:tcBorders>
              <w:top w:val="single" w:sz="4" w:space="0" w:color="auto"/>
              <w:left w:val="single" w:sz="2" w:space="0" w:color="auto"/>
              <w:bottom w:val="single" w:sz="4"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2</w:t>
            </w:r>
          </w:p>
        </w:tc>
        <w:tc>
          <w:tcPr>
            <w:tcW w:w="1087" w:type="dxa"/>
            <w:tcBorders>
              <w:top w:val="single" w:sz="4" w:space="0" w:color="auto"/>
              <w:bottom w:val="single" w:sz="4"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4.563.381</w:t>
            </w:r>
          </w:p>
        </w:tc>
        <w:tc>
          <w:tcPr>
            <w:tcW w:w="747" w:type="dxa"/>
            <w:tcBorders>
              <w:top w:val="single" w:sz="4" w:space="0" w:color="auto"/>
              <w:left w:val="single" w:sz="2" w:space="0" w:color="auto"/>
              <w:bottom w:val="single" w:sz="4"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12</w:t>
            </w:r>
          </w:p>
        </w:tc>
        <w:tc>
          <w:tcPr>
            <w:tcW w:w="1199" w:type="dxa"/>
            <w:tcBorders>
              <w:top w:val="single" w:sz="4" w:space="0" w:color="auto"/>
              <w:bottom w:val="single" w:sz="4" w:space="0" w:color="auto"/>
              <w:right w:val="single" w:sz="2"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4.206.684</w:t>
            </w:r>
          </w:p>
        </w:tc>
        <w:tc>
          <w:tcPr>
            <w:tcW w:w="830" w:type="dxa"/>
            <w:tcBorders>
              <w:top w:val="single" w:sz="4" w:space="0" w:color="auto"/>
              <w:left w:val="single" w:sz="2" w:space="0" w:color="auto"/>
              <w:bottom w:val="single" w:sz="4"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7E3BFE">
              <w:rPr>
                <w:rFonts w:ascii="Arial" w:hAnsi="Arial" w:cs="Arial"/>
                <w:spacing w:val="6"/>
                <w:sz w:val="16"/>
                <w:szCs w:val="16"/>
              </w:rPr>
              <w:t>311</w:t>
            </w:r>
          </w:p>
        </w:tc>
        <w:tc>
          <w:tcPr>
            <w:tcW w:w="1117" w:type="dxa"/>
            <w:tcBorders>
              <w:top w:val="single" w:sz="4" w:space="0" w:color="auto"/>
              <w:bottom w:val="single" w:sz="4" w:space="0" w:color="auto"/>
            </w:tcBorders>
            <w:shd w:val="clear" w:color="auto" w:fill="FFCC99"/>
            <w:vAlign w:val="center"/>
          </w:tcPr>
          <w:p w:rsidR="007E3BFE" w:rsidRPr="007E3BFE" w:rsidRDefault="007E3BFE" w:rsidP="00A57494">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7E3BFE">
              <w:rPr>
                <w:rFonts w:ascii="Arial" w:hAnsi="Arial" w:cs="Arial"/>
                <w:spacing w:val="6"/>
                <w:sz w:val="16"/>
                <w:szCs w:val="16"/>
              </w:rPr>
              <w:t>41.405.654</w:t>
            </w:r>
          </w:p>
        </w:tc>
      </w:tr>
    </w:tbl>
    <w:p w:rsidR="007E3BFE" w:rsidRPr="0095539C" w:rsidRDefault="007E3BFE" w:rsidP="0095539C">
      <w:pPr>
        <w:pStyle w:val="texto"/>
        <w:spacing w:before="240"/>
        <w:rPr>
          <w:w w:val="103"/>
        </w:rPr>
      </w:pPr>
      <w:r w:rsidRPr="0095539C">
        <w:rPr>
          <w:w w:val="103"/>
        </w:rPr>
        <w:t>En 2014, las entidades locales adjudicaron 311 contratos por un importe total de 41,41 millones. El 42 por ciento de los contratos eran de obras y r</w:t>
      </w:r>
      <w:r w:rsidRPr="0095539C">
        <w:rPr>
          <w:w w:val="103"/>
        </w:rPr>
        <w:t>e</w:t>
      </w:r>
      <w:r w:rsidRPr="0095539C">
        <w:rPr>
          <w:w w:val="103"/>
        </w:rPr>
        <w:t>presentan el 63 por ciento del importe total adjudicado. Los contratos de asi</w:t>
      </w:r>
      <w:r w:rsidRPr="0095539C">
        <w:rPr>
          <w:w w:val="103"/>
        </w:rPr>
        <w:t>s</w:t>
      </w:r>
      <w:r w:rsidRPr="0095539C">
        <w:rPr>
          <w:w w:val="103"/>
        </w:rPr>
        <w:t>tencia suponen también el 42 por ciento del total de contratos pero su importe en este caso alcanza el 20 por ciento del importe total adjudicado. Destaca que, según la información facilitada por el registro, los concejos no adjudic</w:t>
      </w:r>
      <w:r w:rsidRPr="0095539C">
        <w:rPr>
          <w:w w:val="103"/>
        </w:rPr>
        <w:t>a</w:t>
      </w:r>
      <w:r w:rsidRPr="0095539C">
        <w:rPr>
          <w:w w:val="103"/>
        </w:rPr>
        <w:t>ron ningún contrato en 2014</w:t>
      </w:r>
    </w:p>
    <w:p w:rsidR="007E3BFE" w:rsidRPr="007E3BFE" w:rsidRDefault="007E3BFE" w:rsidP="007E3BFE">
      <w:pPr>
        <w:tabs>
          <w:tab w:val="center" w:pos="2835"/>
          <w:tab w:val="center" w:pos="3969"/>
          <w:tab w:val="center" w:pos="5103"/>
          <w:tab w:val="center" w:pos="6237"/>
          <w:tab w:val="center" w:pos="7371"/>
        </w:tabs>
        <w:spacing w:after="240"/>
        <w:ind w:firstLine="284"/>
        <w:rPr>
          <w:spacing w:val="6"/>
          <w:sz w:val="26"/>
          <w:szCs w:val="24"/>
        </w:rPr>
      </w:pPr>
      <w:r w:rsidRPr="007E3BFE">
        <w:rPr>
          <w:spacing w:val="6"/>
          <w:sz w:val="26"/>
          <w:szCs w:val="24"/>
        </w:rPr>
        <w:t>En 2014, los entes dependientes de las entidades locales y otros entes adjud</w:t>
      </w:r>
      <w:r w:rsidRPr="007E3BFE">
        <w:rPr>
          <w:spacing w:val="6"/>
          <w:sz w:val="26"/>
          <w:szCs w:val="24"/>
        </w:rPr>
        <w:t>i</w:t>
      </w:r>
      <w:r w:rsidRPr="007E3BFE">
        <w:rPr>
          <w:spacing w:val="6"/>
          <w:sz w:val="26"/>
          <w:szCs w:val="24"/>
        </w:rPr>
        <w:t xml:space="preserve">caron los siguientes contratos: </w:t>
      </w:r>
    </w:p>
    <w:tbl>
      <w:tblPr>
        <w:tblW w:w="9950" w:type="dxa"/>
        <w:jc w:val="center"/>
        <w:tblLook w:val="01E0" w:firstRow="1" w:lastRow="1" w:firstColumn="1" w:lastColumn="1" w:noHBand="0" w:noVBand="0"/>
      </w:tblPr>
      <w:tblGrid>
        <w:gridCol w:w="1510"/>
        <w:gridCol w:w="822"/>
        <w:gridCol w:w="1462"/>
        <w:gridCol w:w="822"/>
        <w:gridCol w:w="1215"/>
        <w:gridCol w:w="822"/>
        <w:gridCol w:w="1205"/>
        <w:gridCol w:w="822"/>
        <w:gridCol w:w="1270"/>
      </w:tblGrid>
      <w:tr w:rsidR="00A57494" w:rsidRPr="007E3BFE" w:rsidTr="0095539C">
        <w:trPr>
          <w:trHeight w:val="198"/>
          <w:jc w:val="center"/>
        </w:trPr>
        <w:tc>
          <w:tcPr>
            <w:tcW w:w="1913" w:type="dxa"/>
            <w:vMerge w:val="restart"/>
            <w:tcBorders>
              <w:top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Tipo de contrato</w:t>
            </w:r>
          </w:p>
        </w:tc>
        <w:tc>
          <w:tcPr>
            <w:tcW w:w="2086" w:type="dxa"/>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Organismos autónomos</w:t>
            </w:r>
          </w:p>
        </w:tc>
        <w:tc>
          <w:tcPr>
            <w:tcW w:w="1949" w:type="dxa"/>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Sociedades públicas</w:t>
            </w:r>
          </w:p>
        </w:tc>
        <w:tc>
          <w:tcPr>
            <w:tcW w:w="1939" w:type="dxa"/>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Consorcios</w:t>
            </w:r>
          </w:p>
        </w:tc>
        <w:tc>
          <w:tcPr>
            <w:tcW w:w="2063" w:type="dxa"/>
            <w:gridSpan w:val="2"/>
            <w:tcBorders>
              <w:top w:val="single" w:sz="4" w:space="0" w:color="auto"/>
              <w:left w:val="single" w:sz="2" w:space="0" w:color="auto"/>
              <w:bottom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Total</w:t>
            </w:r>
          </w:p>
        </w:tc>
      </w:tr>
      <w:tr w:rsidR="00A57494" w:rsidRPr="007E3BFE" w:rsidTr="0095539C">
        <w:trPr>
          <w:trHeight w:val="198"/>
          <w:jc w:val="center"/>
        </w:trPr>
        <w:tc>
          <w:tcPr>
            <w:tcW w:w="1913" w:type="dxa"/>
            <w:vMerge/>
            <w:tcBorders>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p>
        </w:tc>
        <w:tc>
          <w:tcPr>
            <w:tcW w:w="411" w:type="dxa"/>
            <w:tcBorders>
              <w:top w:val="single" w:sz="2" w:space="0" w:color="auto"/>
              <w:left w:val="single" w:sz="2" w:space="0" w:color="auto"/>
              <w:bottom w:val="single" w:sz="4" w:space="0" w:color="auto"/>
            </w:tcBorders>
            <w:shd w:val="clear" w:color="auto" w:fill="FABF8F" w:themeFill="accent6" w:themeFillTint="99"/>
            <w:vAlign w:val="center"/>
          </w:tcPr>
          <w:p w:rsidR="007E3BFE" w:rsidRPr="007E3BFE" w:rsidRDefault="00A57494"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Número</w:t>
            </w:r>
          </w:p>
        </w:tc>
        <w:tc>
          <w:tcPr>
            <w:tcW w:w="1675" w:type="dxa"/>
            <w:tcBorders>
              <w:top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adjudicación</w:t>
            </w:r>
          </w:p>
        </w:tc>
        <w:tc>
          <w:tcPr>
            <w:tcW w:w="707" w:type="dxa"/>
            <w:tcBorders>
              <w:top w:val="single" w:sz="2" w:space="0" w:color="auto"/>
              <w:left w:val="single" w:sz="2" w:space="0" w:color="auto"/>
              <w:bottom w:val="single" w:sz="4" w:space="0" w:color="auto"/>
            </w:tcBorders>
            <w:shd w:val="clear" w:color="auto" w:fill="FABF8F" w:themeFill="accent6" w:themeFillTint="99"/>
            <w:vAlign w:val="center"/>
          </w:tcPr>
          <w:p w:rsidR="007E3BFE" w:rsidRPr="007E3BFE" w:rsidRDefault="00A57494"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Número</w:t>
            </w:r>
          </w:p>
        </w:tc>
        <w:tc>
          <w:tcPr>
            <w:tcW w:w="1242" w:type="dxa"/>
            <w:tcBorders>
              <w:top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adjudicación</w:t>
            </w:r>
          </w:p>
        </w:tc>
        <w:tc>
          <w:tcPr>
            <w:tcW w:w="714" w:type="dxa"/>
            <w:tcBorders>
              <w:top w:val="single" w:sz="2" w:space="0" w:color="auto"/>
              <w:left w:val="single" w:sz="2" w:space="0" w:color="auto"/>
              <w:bottom w:val="single" w:sz="4" w:space="0" w:color="auto"/>
            </w:tcBorders>
            <w:shd w:val="clear" w:color="auto" w:fill="FABF8F" w:themeFill="accent6" w:themeFillTint="99"/>
            <w:vAlign w:val="center"/>
          </w:tcPr>
          <w:p w:rsidR="007E3BFE" w:rsidRPr="007E3BFE" w:rsidRDefault="00A57494"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Número</w:t>
            </w:r>
          </w:p>
        </w:tc>
        <w:tc>
          <w:tcPr>
            <w:tcW w:w="1225" w:type="dxa"/>
            <w:tcBorders>
              <w:top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adjudicación</w:t>
            </w:r>
          </w:p>
        </w:tc>
        <w:tc>
          <w:tcPr>
            <w:tcW w:w="724" w:type="dxa"/>
            <w:tcBorders>
              <w:top w:val="single" w:sz="2" w:space="0" w:color="auto"/>
              <w:left w:val="single" w:sz="2" w:space="0" w:color="auto"/>
              <w:bottom w:val="single" w:sz="4" w:space="0" w:color="auto"/>
            </w:tcBorders>
            <w:shd w:val="clear" w:color="auto" w:fill="FABF8F" w:themeFill="accent6" w:themeFillTint="99"/>
            <w:vAlign w:val="center"/>
          </w:tcPr>
          <w:p w:rsidR="007E3BFE" w:rsidRPr="007E3BFE" w:rsidRDefault="00A57494"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Número</w:t>
            </w:r>
          </w:p>
        </w:tc>
        <w:tc>
          <w:tcPr>
            <w:tcW w:w="1339" w:type="dxa"/>
            <w:tcBorders>
              <w:top w:val="single" w:sz="2"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Importe</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adjudicación</w:t>
            </w:r>
          </w:p>
        </w:tc>
      </w:tr>
      <w:tr w:rsidR="00A57494" w:rsidRPr="007E3BFE" w:rsidTr="0095539C">
        <w:trPr>
          <w:trHeight w:val="198"/>
          <w:jc w:val="center"/>
        </w:trPr>
        <w:tc>
          <w:tcPr>
            <w:tcW w:w="1913" w:type="dxa"/>
            <w:tcBorders>
              <w:top w:val="single" w:sz="4"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Asistencia</w:t>
            </w:r>
          </w:p>
        </w:tc>
        <w:tc>
          <w:tcPr>
            <w:tcW w:w="411" w:type="dxa"/>
            <w:tcBorders>
              <w:top w:val="single" w:sz="4" w:space="0" w:color="auto"/>
              <w:left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1675" w:type="dxa"/>
            <w:tcBorders>
              <w:top w:val="single" w:sz="4"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561.378</w:t>
            </w:r>
          </w:p>
        </w:tc>
        <w:tc>
          <w:tcPr>
            <w:tcW w:w="707" w:type="dxa"/>
            <w:tcBorders>
              <w:top w:val="single" w:sz="4" w:space="0" w:color="auto"/>
              <w:left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w:t>
            </w:r>
          </w:p>
        </w:tc>
        <w:tc>
          <w:tcPr>
            <w:tcW w:w="1242" w:type="dxa"/>
            <w:tcBorders>
              <w:top w:val="single" w:sz="4"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41.697</w:t>
            </w:r>
          </w:p>
        </w:tc>
        <w:tc>
          <w:tcPr>
            <w:tcW w:w="714" w:type="dxa"/>
            <w:tcBorders>
              <w:top w:val="single" w:sz="4" w:space="0" w:color="auto"/>
              <w:left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1225" w:type="dxa"/>
            <w:tcBorders>
              <w:top w:val="single" w:sz="4"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84.196</w:t>
            </w:r>
          </w:p>
        </w:tc>
        <w:tc>
          <w:tcPr>
            <w:tcW w:w="724" w:type="dxa"/>
            <w:tcBorders>
              <w:top w:val="single" w:sz="4" w:space="0" w:color="auto"/>
              <w:left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w:t>
            </w:r>
          </w:p>
        </w:tc>
        <w:tc>
          <w:tcPr>
            <w:tcW w:w="1339"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687.271</w:t>
            </w:r>
          </w:p>
        </w:tc>
      </w:tr>
      <w:tr w:rsidR="00A57494" w:rsidRPr="007E3BFE" w:rsidTr="0095539C">
        <w:trPr>
          <w:trHeight w:val="198"/>
          <w:jc w:val="center"/>
        </w:trPr>
        <w:tc>
          <w:tcPr>
            <w:tcW w:w="1913" w:type="dxa"/>
            <w:tcBorders>
              <w:top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Suministro</w:t>
            </w:r>
          </w:p>
        </w:tc>
        <w:tc>
          <w:tcPr>
            <w:tcW w:w="411" w:type="dxa"/>
            <w:tcBorders>
              <w:top w:val="single" w:sz="2" w:space="0" w:color="auto"/>
              <w:left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w:t>
            </w:r>
          </w:p>
        </w:tc>
        <w:tc>
          <w:tcPr>
            <w:tcW w:w="1675" w:type="dxa"/>
            <w:tcBorders>
              <w:top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125.016</w:t>
            </w:r>
          </w:p>
        </w:tc>
        <w:tc>
          <w:tcPr>
            <w:tcW w:w="707" w:type="dxa"/>
            <w:tcBorders>
              <w:top w:val="single" w:sz="2" w:space="0" w:color="auto"/>
              <w:left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242" w:type="dxa"/>
            <w:tcBorders>
              <w:top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14" w:type="dxa"/>
            <w:tcBorders>
              <w:top w:val="single" w:sz="2" w:space="0" w:color="auto"/>
              <w:left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1225" w:type="dxa"/>
            <w:tcBorders>
              <w:top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17.237</w:t>
            </w:r>
          </w:p>
        </w:tc>
        <w:tc>
          <w:tcPr>
            <w:tcW w:w="724" w:type="dxa"/>
            <w:tcBorders>
              <w:top w:val="single" w:sz="2" w:space="0" w:color="auto"/>
              <w:left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w:t>
            </w:r>
          </w:p>
        </w:tc>
        <w:tc>
          <w:tcPr>
            <w:tcW w:w="1339"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142.253</w:t>
            </w:r>
          </w:p>
        </w:tc>
      </w:tr>
      <w:tr w:rsidR="00A57494" w:rsidRPr="007E3BFE" w:rsidTr="0095539C">
        <w:trPr>
          <w:trHeight w:val="255"/>
          <w:jc w:val="center"/>
        </w:trPr>
        <w:tc>
          <w:tcPr>
            <w:tcW w:w="1913" w:type="dxa"/>
            <w:tcBorders>
              <w:top w:val="single" w:sz="4"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 xml:space="preserve">Total </w:t>
            </w:r>
          </w:p>
        </w:tc>
        <w:tc>
          <w:tcPr>
            <w:tcW w:w="411" w:type="dxa"/>
            <w:tcBorders>
              <w:top w:val="single" w:sz="4" w:space="0" w:color="auto"/>
              <w:left w:val="single" w:sz="2"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5</w:t>
            </w:r>
          </w:p>
        </w:tc>
        <w:tc>
          <w:tcPr>
            <w:tcW w:w="1675" w:type="dxa"/>
            <w:tcBorders>
              <w:top w:val="single" w:sz="4"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686.394</w:t>
            </w:r>
          </w:p>
        </w:tc>
        <w:tc>
          <w:tcPr>
            <w:tcW w:w="707" w:type="dxa"/>
            <w:tcBorders>
              <w:top w:val="single" w:sz="4" w:space="0" w:color="auto"/>
              <w:left w:val="single" w:sz="2"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4</w:t>
            </w:r>
          </w:p>
        </w:tc>
        <w:tc>
          <w:tcPr>
            <w:tcW w:w="1242" w:type="dxa"/>
            <w:tcBorders>
              <w:top w:val="single" w:sz="4"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41.697</w:t>
            </w:r>
          </w:p>
        </w:tc>
        <w:tc>
          <w:tcPr>
            <w:tcW w:w="714" w:type="dxa"/>
            <w:tcBorders>
              <w:top w:val="single" w:sz="4" w:space="0" w:color="auto"/>
              <w:left w:val="single" w:sz="2"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3</w:t>
            </w:r>
          </w:p>
        </w:tc>
        <w:tc>
          <w:tcPr>
            <w:tcW w:w="1225" w:type="dxa"/>
            <w:tcBorders>
              <w:top w:val="single" w:sz="4"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101.433</w:t>
            </w:r>
          </w:p>
        </w:tc>
        <w:tc>
          <w:tcPr>
            <w:tcW w:w="724" w:type="dxa"/>
            <w:tcBorders>
              <w:top w:val="single" w:sz="4" w:space="0" w:color="auto"/>
              <w:left w:val="single" w:sz="2"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12</w:t>
            </w:r>
          </w:p>
        </w:tc>
        <w:tc>
          <w:tcPr>
            <w:tcW w:w="1339"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829.524</w:t>
            </w:r>
          </w:p>
        </w:tc>
      </w:tr>
    </w:tbl>
    <w:p w:rsidR="007E3BFE" w:rsidRPr="007E3BFE" w:rsidRDefault="007E3BFE" w:rsidP="0095539C">
      <w:pPr>
        <w:pStyle w:val="texto"/>
        <w:spacing w:before="240"/>
        <w:rPr>
          <w:w w:val="103"/>
        </w:rPr>
      </w:pPr>
      <w:r w:rsidRPr="007E3BFE">
        <w:rPr>
          <w:w w:val="103"/>
        </w:rPr>
        <w:t>Destaca que de los 12 contratos adjudicados en 2014, el 42 por ciento por importe de 686.394 euros, que suponen el 83 por ciento del total, correspo</w:t>
      </w:r>
      <w:r w:rsidRPr="007E3BFE">
        <w:rPr>
          <w:w w:val="103"/>
        </w:rPr>
        <w:t>n</w:t>
      </w:r>
      <w:r w:rsidRPr="007E3BFE">
        <w:rPr>
          <w:w w:val="103"/>
        </w:rPr>
        <w:t>den a organismos autónomos. Además, no se adjudicó ningún contrato de obras ni de concesión de servicios.</w:t>
      </w:r>
    </w:p>
    <w:p w:rsidR="007E3BFE" w:rsidRPr="007E3BFE" w:rsidRDefault="007E3BFE" w:rsidP="0095539C">
      <w:pPr>
        <w:pStyle w:val="texto"/>
        <w:rPr>
          <w:w w:val="103"/>
        </w:rPr>
      </w:pPr>
      <w:r w:rsidRPr="007E3BFE">
        <w:rPr>
          <w:w w:val="103"/>
        </w:rPr>
        <w:t>En resumen, en el año 2014 los entes locales y sus organismos autónomos, sociedades públicas y consorcios de los que forman parte, adjudicaron 323 contratos por un precio total de 42,24 millones de euros.</w:t>
      </w:r>
    </w:p>
    <w:p w:rsidR="007E3BFE" w:rsidRPr="007E3BFE" w:rsidRDefault="007E3BFE" w:rsidP="007E3BFE">
      <w:pPr>
        <w:tabs>
          <w:tab w:val="center" w:pos="2835"/>
          <w:tab w:val="center" w:pos="3969"/>
          <w:tab w:val="center" w:pos="5103"/>
          <w:tab w:val="center" w:pos="6237"/>
          <w:tab w:val="center" w:pos="7371"/>
        </w:tabs>
        <w:ind w:firstLine="284"/>
        <w:rPr>
          <w:spacing w:val="6"/>
          <w:w w:val="103"/>
          <w:sz w:val="26"/>
          <w:szCs w:val="24"/>
        </w:rPr>
      </w:pPr>
      <w:r w:rsidRPr="007E3BFE">
        <w:rPr>
          <w:spacing w:val="6"/>
          <w:w w:val="103"/>
          <w:sz w:val="26"/>
          <w:szCs w:val="24"/>
        </w:rPr>
        <w:br w:type="page"/>
      </w:r>
    </w:p>
    <w:p w:rsidR="007E3BFE" w:rsidRPr="0095539C" w:rsidRDefault="007E3BFE" w:rsidP="007E3BFE">
      <w:pPr>
        <w:tabs>
          <w:tab w:val="center" w:pos="2835"/>
          <w:tab w:val="center" w:pos="3969"/>
          <w:tab w:val="center" w:pos="5103"/>
          <w:tab w:val="center" w:pos="6237"/>
          <w:tab w:val="center" w:pos="7371"/>
        </w:tabs>
        <w:spacing w:after="240"/>
        <w:ind w:firstLine="284"/>
        <w:rPr>
          <w:spacing w:val="6"/>
          <w:sz w:val="26"/>
          <w:szCs w:val="24"/>
        </w:rPr>
      </w:pPr>
      <w:r w:rsidRPr="0095539C">
        <w:rPr>
          <w:spacing w:val="6"/>
          <w:sz w:val="26"/>
          <w:szCs w:val="24"/>
        </w:rPr>
        <w:lastRenderedPageBreak/>
        <w:t>A continuación, mostramos el procedimiento y criterio de adjudicación s</w:t>
      </w:r>
      <w:r w:rsidRPr="0095539C">
        <w:rPr>
          <w:spacing w:val="6"/>
          <w:sz w:val="26"/>
          <w:szCs w:val="24"/>
        </w:rPr>
        <w:t>e</w:t>
      </w:r>
      <w:r w:rsidRPr="0095539C">
        <w:rPr>
          <w:spacing w:val="6"/>
          <w:sz w:val="26"/>
          <w:szCs w:val="24"/>
        </w:rPr>
        <w:t>guidos en los contratos celebrados por las entidades locales y sus entes depe</w:t>
      </w:r>
      <w:r w:rsidRPr="0095539C">
        <w:rPr>
          <w:spacing w:val="6"/>
          <w:sz w:val="26"/>
          <w:szCs w:val="24"/>
        </w:rPr>
        <w:t>n</w:t>
      </w:r>
      <w:r w:rsidRPr="0095539C">
        <w:rPr>
          <w:spacing w:val="6"/>
          <w:sz w:val="26"/>
          <w:szCs w:val="24"/>
        </w:rPr>
        <w:t>dientes:</w:t>
      </w:r>
    </w:p>
    <w:tbl>
      <w:tblPr>
        <w:tblW w:w="9915" w:type="dxa"/>
        <w:jc w:val="center"/>
        <w:tblInd w:w="-43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24"/>
        <w:gridCol w:w="955"/>
        <w:gridCol w:w="919"/>
        <w:gridCol w:w="589"/>
        <w:gridCol w:w="955"/>
        <w:gridCol w:w="837"/>
        <w:gridCol w:w="598"/>
        <w:gridCol w:w="2198"/>
        <w:gridCol w:w="740"/>
      </w:tblGrid>
      <w:tr w:rsidR="007E3BFE" w:rsidRPr="007E3BFE" w:rsidTr="0095539C">
        <w:trPr>
          <w:trHeight w:val="198"/>
          <w:jc w:val="center"/>
        </w:trPr>
        <w:tc>
          <w:tcPr>
            <w:tcW w:w="2124" w:type="dxa"/>
            <w:vMerge w:val="restart"/>
            <w:tcBorders>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2463" w:type="dxa"/>
            <w:gridSpan w:val="3"/>
            <w:tcBorders>
              <w:left w:val="single" w:sz="2" w:space="0" w:color="auto"/>
              <w:bottom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Procedimiento abierto</w:t>
            </w:r>
          </w:p>
        </w:tc>
        <w:tc>
          <w:tcPr>
            <w:tcW w:w="2390" w:type="dxa"/>
            <w:gridSpan w:val="3"/>
            <w:tcBorders>
              <w:left w:val="single" w:sz="2" w:space="0" w:color="auto"/>
              <w:bottom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Procedimiento negociado</w:t>
            </w:r>
          </w:p>
        </w:tc>
        <w:tc>
          <w:tcPr>
            <w:tcW w:w="2198" w:type="dxa"/>
            <w:tcBorders>
              <w:left w:val="single" w:sz="2" w:space="0" w:color="auto"/>
              <w:bottom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Procedimiento restringido</w:t>
            </w:r>
          </w:p>
        </w:tc>
        <w:tc>
          <w:tcPr>
            <w:tcW w:w="740" w:type="dxa"/>
            <w:vMerge w:val="restart"/>
            <w:tcBorders>
              <w:lef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Total</w:t>
            </w:r>
          </w:p>
        </w:tc>
      </w:tr>
      <w:tr w:rsidR="007E3BFE" w:rsidRPr="007E3BFE" w:rsidTr="00833FAA">
        <w:trPr>
          <w:trHeight w:val="198"/>
          <w:jc w:val="center"/>
        </w:trPr>
        <w:tc>
          <w:tcPr>
            <w:tcW w:w="2124" w:type="dxa"/>
            <w:vMerge/>
            <w:tcBorders>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955"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Of. más</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ventajosa</w:t>
            </w:r>
          </w:p>
        </w:tc>
        <w:tc>
          <w:tcPr>
            <w:tcW w:w="919"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 xml:space="preserve">Precio </w:t>
            </w:r>
          </w:p>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más bajo</w:t>
            </w:r>
          </w:p>
        </w:tc>
        <w:tc>
          <w:tcPr>
            <w:tcW w:w="589"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N.D.</w:t>
            </w:r>
          </w:p>
        </w:tc>
        <w:tc>
          <w:tcPr>
            <w:tcW w:w="955"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Of. más</w:t>
            </w:r>
          </w:p>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ventajosa</w:t>
            </w:r>
          </w:p>
        </w:tc>
        <w:tc>
          <w:tcPr>
            <w:tcW w:w="837"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 xml:space="preserve">Precio </w:t>
            </w:r>
          </w:p>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más bajo</w:t>
            </w:r>
          </w:p>
        </w:tc>
        <w:tc>
          <w:tcPr>
            <w:tcW w:w="598"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N.D.</w:t>
            </w:r>
          </w:p>
        </w:tc>
        <w:tc>
          <w:tcPr>
            <w:tcW w:w="2198"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Of. más ventajosa</w:t>
            </w:r>
          </w:p>
        </w:tc>
        <w:tc>
          <w:tcPr>
            <w:tcW w:w="740" w:type="dxa"/>
            <w:vMerge/>
            <w:tcBorders>
              <w:left w:val="single" w:sz="2"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r>
      <w:tr w:rsidR="007E3BFE" w:rsidRPr="007E3BFE" w:rsidTr="00833FAA">
        <w:trPr>
          <w:trHeight w:val="198"/>
          <w:jc w:val="center"/>
        </w:trPr>
        <w:tc>
          <w:tcPr>
            <w:tcW w:w="2124" w:type="dxa"/>
            <w:tcBorders>
              <w:top w:val="single" w:sz="4"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Asistencia</w:t>
            </w:r>
          </w:p>
        </w:tc>
        <w:tc>
          <w:tcPr>
            <w:tcW w:w="955" w:type="dxa"/>
            <w:tcBorders>
              <w:top w:val="single" w:sz="4"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73</w:t>
            </w:r>
          </w:p>
        </w:tc>
        <w:tc>
          <w:tcPr>
            <w:tcW w:w="919" w:type="dxa"/>
            <w:tcBorders>
              <w:top w:val="single" w:sz="4"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sidRPr="007E3BFE">
              <w:rPr>
                <w:rFonts w:ascii="Arial Narrow" w:hAnsi="Arial Narrow"/>
                <w:spacing w:val="6"/>
                <w:sz w:val="18"/>
                <w:szCs w:val="18"/>
              </w:rPr>
              <w:t>9</w:t>
            </w:r>
          </w:p>
        </w:tc>
        <w:tc>
          <w:tcPr>
            <w:tcW w:w="589" w:type="dxa"/>
            <w:tcBorders>
              <w:top w:val="single" w:sz="4"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955" w:type="dxa"/>
            <w:tcBorders>
              <w:top w:val="single" w:sz="4"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42</w:t>
            </w:r>
          </w:p>
        </w:tc>
        <w:tc>
          <w:tcPr>
            <w:tcW w:w="837" w:type="dxa"/>
            <w:tcBorders>
              <w:top w:val="single" w:sz="4"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w:t>
            </w:r>
          </w:p>
        </w:tc>
        <w:tc>
          <w:tcPr>
            <w:tcW w:w="598" w:type="dxa"/>
            <w:tcBorders>
              <w:top w:val="single" w:sz="4"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2198" w:type="dxa"/>
            <w:tcBorders>
              <w:top w:val="single" w:sz="4"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740" w:type="dxa"/>
            <w:tcBorders>
              <w:top w:val="single" w:sz="4" w:space="0" w:color="auto"/>
              <w:left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140</w:t>
            </w:r>
          </w:p>
        </w:tc>
      </w:tr>
      <w:tr w:rsidR="007E3BFE" w:rsidRPr="007E3BFE" w:rsidTr="00833FAA">
        <w:trPr>
          <w:trHeight w:val="198"/>
          <w:jc w:val="center"/>
        </w:trPr>
        <w:tc>
          <w:tcPr>
            <w:tcW w:w="2124" w:type="dxa"/>
            <w:tcBorders>
              <w:top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Obras</w:t>
            </w:r>
          </w:p>
        </w:tc>
        <w:tc>
          <w:tcPr>
            <w:tcW w:w="955"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33</w:t>
            </w:r>
          </w:p>
        </w:tc>
        <w:tc>
          <w:tcPr>
            <w:tcW w:w="919"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sidRPr="007E3BFE">
              <w:rPr>
                <w:rFonts w:ascii="Arial Narrow" w:hAnsi="Arial Narrow"/>
                <w:spacing w:val="6"/>
                <w:sz w:val="18"/>
                <w:szCs w:val="18"/>
              </w:rPr>
              <w:t>13</w:t>
            </w:r>
          </w:p>
        </w:tc>
        <w:tc>
          <w:tcPr>
            <w:tcW w:w="589"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955"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59</w:t>
            </w:r>
          </w:p>
        </w:tc>
        <w:tc>
          <w:tcPr>
            <w:tcW w:w="837"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23</w:t>
            </w:r>
          </w:p>
        </w:tc>
        <w:tc>
          <w:tcPr>
            <w:tcW w:w="598"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2198"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740" w:type="dxa"/>
            <w:tcBorders>
              <w:top w:val="single" w:sz="2" w:space="0" w:color="auto"/>
              <w:left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130</w:t>
            </w:r>
          </w:p>
        </w:tc>
      </w:tr>
      <w:tr w:rsidR="007E3BFE" w:rsidRPr="007E3BFE" w:rsidTr="00833FAA">
        <w:trPr>
          <w:trHeight w:val="198"/>
          <w:jc w:val="center"/>
        </w:trPr>
        <w:tc>
          <w:tcPr>
            <w:tcW w:w="2124" w:type="dxa"/>
            <w:tcBorders>
              <w:top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Suministro</w:t>
            </w:r>
          </w:p>
        </w:tc>
        <w:tc>
          <w:tcPr>
            <w:tcW w:w="955"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24</w:t>
            </w:r>
          </w:p>
        </w:tc>
        <w:tc>
          <w:tcPr>
            <w:tcW w:w="919"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sidRPr="007E3BFE">
              <w:rPr>
                <w:rFonts w:ascii="Arial Narrow" w:hAnsi="Arial Narrow"/>
                <w:spacing w:val="6"/>
                <w:sz w:val="18"/>
                <w:szCs w:val="18"/>
              </w:rPr>
              <w:t>3</w:t>
            </w:r>
          </w:p>
        </w:tc>
        <w:tc>
          <w:tcPr>
            <w:tcW w:w="589"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955"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8</w:t>
            </w:r>
          </w:p>
        </w:tc>
        <w:tc>
          <w:tcPr>
            <w:tcW w:w="837"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w:t>
            </w:r>
          </w:p>
        </w:tc>
        <w:tc>
          <w:tcPr>
            <w:tcW w:w="598"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2198" w:type="dxa"/>
            <w:tcBorders>
              <w:top w:val="single" w:sz="2" w:space="0" w:color="auto"/>
              <w:left w:val="single" w:sz="2" w:space="0" w:color="auto"/>
              <w:bottom w:val="single" w:sz="2"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740" w:type="dxa"/>
            <w:tcBorders>
              <w:top w:val="single" w:sz="2" w:space="0" w:color="auto"/>
              <w:left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38</w:t>
            </w:r>
          </w:p>
        </w:tc>
      </w:tr>
      <w:tr w:rsidR="007E3BFE" w:rsidRPr="007E3BFE" w:rsidTr="00833FAA">
        <w:trPr>
          <w:trHeight w:val="198"/>
          <w:jc w:val="center"/>
        </w:trPr>
        <w:tc>
          <w:tcPr>
            <w:tcW w:w="2124" w:type="dxa"/>
            <w:tcBorders>
              <w:top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right="-106" w:firstLine="0"/>
              <w:jc w:val="left"/>
              <w:rPr>
                <w:rFonts w:ascii="Arial Narrow" w:hAnsi="Arial Narrow"/>
                <w:spacing w:val="6"/>
                <w:sz w:val="18"/>
                <w:szCs w:val="18"/>
              </w:rPr>
            </w:pPr>
            <w:r w:rsidRPr="007E3BFE">
              <w:rPr>
                <w:rFonts w:ascii="Arial Narrow" w:hAnsi="Arial Narrow"/>
                <w:spacing w:val="6"/>
                <w:sz w:val="18"/>
                <w:szCs w:val="18"/>
              </w:rPr>
              <w:t>Concesión servicios</w:t>
            </w:r>
          </w:p>
        </w:tc>
        <w:tc>
          <w:tcPr>
            <w:tcW w:w="955" w:type="dxa"/>
            <w:tcBorders>
              <w:top w:val="single" w:sz="2" w:space="0" w:color="auto"/>
              <w:left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15</w:t>
            </w:r>
          </w:p>
        </w:tc>
        <w:tc>
          <w:tcPr>
            <w:tcW w:w="919" w:type="dxa"/>
            <w:tcBorders>
              <w:top w:val="single" w:sz="2" w:space="0" w:color="auto"/>
              <w:left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sidRPr="007E3BFE">
              <w:rPr>
                <w:rFonts w:ascii="Arial Narrow" w:hAnsi="Arial Narrow"/>
                <w:spacing w:val="6"/>
                <w:sz w:val="18"/>
                <w:szCs w:val="18"/>
              </w:rPr>
              <w:t>-</w:t>
            </w:r>
          </w:p>
        </w:tc>
        <w:tc>
          <w:tcPr>
            <w:tcW w:w="589" w:type="dxa"/>
            <w:tcBorders>
              <w:top w:val="single" w:sz="2" w:space="0" w:color="auto"/>
              <w:left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955" w:type="dxa"/>
            <w:tcBorders>
              <w:top w:val="single" w:sz="2" w:space="0" w:color="auto"/>
              <w:left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837" w:type="dxa"/>
            <w:tcBorders>
              <w:top w:val="single" w:sz="2" w:space="0" w:color="auto"/>
              <w:left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598" w:type="dxa"/>
            <w:tcBorders>
              <w:top w:val="single" w:sz="2" w:space="0" w:color="auto"/>
              <w:left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2198" w:type="dxa"/>
            <w:tcBorders>
              <w:top w:val="single" w:sz="2" w:space="0" w:color="auto"/>
              <w:left w:val="single" w:sz="2" w:space="0" w:color="auto"/>
              <w:bottom w:val="single" w:sz="4" w:space="0" w:color="auto"/>
              <w:right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740" w:type="dxa"/>
            <w:tcBorders>
              <w:top w:val="single" w:sz="2" w:space="0" w:color="auto"/>
              <w:left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15</w:t>
            </w:r>
          </w:p>
        </w:tc>
      </w:tr>
      <w:tr w:rsidR="007E3BFE" w:rsidRPr="007E3BFE" w:rsidTr="00833FAA">
        <w:trPr>
          <w:trHeight w:val="255"/>
          <w:jc w:val="center"/>
        </w:trPr>
        <w:tc>
          <w:tcPr>
            <w:tcW w:w="2124" w:type="dxa"/>
            <w:tcBorders>
              <w:top w:val="single" w:sz="4"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Total</w:t>
            </w:r>
          </w:p>
        </w:tc>
        <w:tc>
          <w:tcPr>
            <w:tcW w:w="955" w:type="dxa"/>
            <w:tcBorders>
              <w:top w:val="single" w:sz="4"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145</w:t>
            </w:r>
          </w:p>
        </w:tc>
        <w:tc>
          <w:tcPr>
            <w:tcW w:w="919" w:type="dxa"/>
            <w:tcBorders>
              <w:top w:val="single" w:sz="4"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25</w:t>
            </w:r>
          </w:p>
        </w:tc>
        <w:tc>
          <w:tcPr>
            <w:tcW w:w="589" w:type="dxa"/>
            <w:tcBorders>
              <w:top w:val="single" w:sz="4"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w:t>
            </w:r>
          </w:p>
        </w:tc>
        <w:tc>
          <w:tcPr>
            <w:tcW w:w="955" w:type="dxa"/>
            <w:tcBorders>
              <w:top w:val="single" w:sz="4"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109</w:t>
            </w:r>
          </w:p>
        </w:tc>
        <w:tc>
          <w:tcPr>
            <w:tcW w:w="837" w:type="dxa"/>
            <w:tcBorders>
              <w:top w:val="single" w:sz="4"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40</w:t>
            </w:r>
          </w:p>
        </w:tc>
        <w:tc>
          <w:tcPr>
            <w:tcW w:w="598" w:type="dxa"/>
            <w:tcBorders>
              <w:top w:val="single" w:sz="4"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w:t>
            </w:r>
          </w:p>
        </w:tc>
        <w:tc>
          <w:tcPr>
            <w:tcW w:w="2198" w:type="dxa"/>
            <w:tcBorders>
              <w:top w:val="single" w:sz="4" w:space="0" w:color="auto"/>
              <w:left w:val="single" w:sz="2" w:space="0" w:color="auto"/>
              <w:righ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2</w:t>
            </w:r>
          </w:p>
        </w:tc>
        <w:tc>
          <w:tcPr>
            <w:tcW w:w="740" w:type="dxa"/>
            <w:tcBorders>
              <w:top w:val="single" w:sz="4" w:space="0" w:color="auto"/>
              <w:left w:val="single" w:sz="2"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323</w:t>
            </w:r>
          </w:p>
        </w:tc>
      </w:tr>
    </w:tbl>
    <w:p w:rsidR="007E3BFE" w:rsidRPr="007E3BFE" w:rsidRDefault="007E3BFE" w:rsidP="0095539C">
      <w:pPr>
        <w:pStyle w:val="texto"/>
        <w:spacing w:before="240"/>
        <w:rPr>
          <w:w w:val="103"/>
        </w:rPr>
      </w:pPr>
      <w:r w:rsidRPr="007E3BFE">
        <w:rPr>
          <w:w w:val="103"/>
        </w:rPr>
        <w:t>El 53 por ciento de los contratos se adjudicó por procedimiento abierto ut</w:t>
      </w:r>
      <w:r w:rsidRPr="007E3BFE">
        <w:rPr>
          <w:w w:val="103"/>
        </w:rPr>
        <w:t>i</w:t>
      </w:r>
      <w:r w:rsidRPr="007E3BFE">
        <w:rPr>
          <w:w w:val="103"/>
        </w:rPr>
        <w:t xml:space="preserve">lizando el criterio de oferta más ventajosa en el 85 por ciento de los casos y de precio más bajo en el 15 por ciento restante. Asimismo, el 46 por ciento del total de contratos se adjudicó por procedimiento negociado siguiendo el criterio de oferta más ventajosa en el 73 por ciento de los casos y el de precio más bajo en el resto. </w:t>
      </w:r>
    </w:p>
    <w:p w:rsidR="007E3BFE" w:rsidRPr="007E3BFE" w:rsidRDefault="007E3BFE" w:rsidP="0095539C">
      <w:pPr>
        <w:pStyle w:val="texto"/>
        <w:spacing w:after="240"/>
      </w:pPr>
      <w:r w:rsidRPr="007E3BFE">
        <w:t>Finalmente, del total de los 323 contratos adjudicados, siete contratos de obras superaban la cuantía de 600.000 euros, dos contratos de suministro se a</w:t>
      </w:r>
      <w:r w:rsidRPr="007E3BFE">
        <w:t>d</w:t>
      </w:r>
      <w:r w:rsidRPr="007E3BFE">
        <w:t>judicaron por un precio superior a 400.000 euros cada uno, y nueve contratos de asistencia y cinco de concesión superaban los 150.000 euros. El importe de adjudicación total para estos contratos, que son más significativos por su cua</w:t>
      </w:r>
      <w:r w:rsidRPr="007E3BFE">
        <w:t>n</w:t>
      </w:r>
      <w:r w:rsidRPr="007E3BFE">
        <w:t>tía, fue:</w:t>
      </w:r>
    </w:p>
    <w:tbl>
      <w:tblPr>
        <w:tblW w:w="8786" w:type="dxa"/>
        <w:jc w:val="center"/>
        <w:tblLook w:val="01E0" w:firstRow="1" w:lastRow="1" w:firstColumn="1" w:lastColumn="1" w:noHBand="0" w:noVBand="0"/>
      </w:tblPr>
      <w:tblGrid>
        <w:gridCol w:w="4363"/>
        <w:gridCol w:w="1192"/>
        <w:gridCol w:w="3231"/>
      </w:tblGrid>
      <w:tr w:rsidR="007E3BFE" w:rsidRPr="007E3BFE" w:rsidTr="00A57494">
        <w:trPr>
          <w:trHeight w:val="255"/>
          <w:jc w:val="center"/>
        </w:trPr>
        <w:tc>
          <w:tcPr>
            <w:tcW w:w="4363"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E3BFE">
              <w:rPr>
                <w:rFonts w:ascii="Arial" w:hAnsi="Arial"/>
                <w:spacing w:val="6"/>
                <w:sz w:val="18"/>
                <w:szCs w:val="24"/>
              </w:rPr>
              <w:t>Tipo de contrato</w:t>
            </w:r>
          </w:p>
        </w:tc>
        <w:tc>
          <w:tcPr>
            <w:tcW w:w="1192"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E3BFE">
              <w:rPr>
                <w:rFonts w:ascii="Arial" w:hAnsi="Arial"/>
                <w:spacing w:val="6"/>
                <w:sz w:val="18"/>
                <w:szCs w:val="24"/>
              </w:rPr>
              <w:t>Número</w:t>
            </w:r>
          </w:p>
        </w:tc>
        <w:tc>
          <w:tcPr>
            <w:tcW w:w="3231"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E3BFE">
              <w:rPr>
                <w:rFonts w:ascii="Arial" w:hAnsi="Arial"/>
                <w:spacing w:val="6"/>
                <w:sz w:val="18"/>
                <w:szCs w:val="24"/>
              </w:rPr>
              <w:t xml:space="preserve">Importe adjudicación </w:t>
            </w:r>
          </w:p>
        </w:tc>
      </w:tr>
      <w:tr w:rsidR="007E3BFE" w:rsidRPr="007E3BFE" w:rsidTr="00A57494">
        <w:trPr>
          <w:trHeight w:val="198"/>
          <w:jc w:val="center"/>
        </w:trPr>
        <w:tc>
          <w:tcPr>
            <w:tcW w:w="4363"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Obras</w:t>
            </w:r>
          </w:p>
        </w:tc>
        <w:tc>
          <w:tcPr>
            <w:tcW w:w="1192"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7</w:t>
            </w:r>
          </w:p>
        </w:tc>
        <w:tc>
          <w:tcPr>
            <w:tcW w:w="3231" w:type="dxa"/>
            <w:tcBorders>
              <w:top w:val="single" w:sz="4"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12.851.082</w:t>
            </w:r>
          </w:p>
        </w:tc>
      </w:tr>
      <w:tr w:rsidR="007E3BFE" w:rsidRPr="007E3BFE" w:rsidTr="00A57494">
        <w:trPr>
          <w:trHeight w:val="198"/>
          <w:jc w:val="center"/>
        </w:trPr>
        <w:tc>
          <w:tcPr>
            <w:tcW w:w="4363"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Asistencia</w:t>
            </w:r>
          </w:p>
        </w:tc>
        <w:tc>
          <w:tcPr>
            <w:tcW w:w="1192"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9</w:t>
            </w:r>
          </w:p>
        </w:tc>
        <w:tc>
          <w:tcPr>
            <w:tcW w:w="323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4.423.323</w:t>
            </w:r>
          </w:p>
        </w:tc>
      </w:tr>
      <w:tr w:rsidR="007E3BFE" w:rsidRPr="007E3BFE" w:rsidTr="00A57494">
        <w:trPr>
          <w:trHeight w:val="198"/>
          <w:jc w:val="center"/>
        </w:trPr>
        <w:tc>
          <w:tcPr>
            <w:tcW w:w="4363"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Concesión de servicios</w:t>
            </w:r>
          </w:p>
        </w:tc>
        <w:tc>
          <w:tcPr>
            <w:tcW w:w="1192"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5</w:t>
            </w:r>
          </w:p>
        </w:tc>
        <w:tc>
          <w:tcPr>
            <w:tcW w:w="3231" w:type="dxa"/>
            <w:tcBorders>
              <w:top w:val="single" w:sz="2" w:space="0" w:color="auto"/>
              <w:bottom w:val="single" w:sz="2"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2.447.190</w:t>
            </w:r>
          </w:p>
        </w:tc>
      </w:tr>
      <w:tr w:rsidR="007E3BFE" w:rsidRPr="007E3BFE" w:rsidTr="00A57494">
        <w:trPr>
          <w:trHeight w:val="198"/>
          <w:jc w:val="center"/>
        </w:trPr>
        <w:tc>
          <w:tcPr>
            <w:tcW w:w="4363"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Suministro</w:t>
            </w:r>
          </w:p>
        </w:tc>
        <w:tc>
          <w:tcPr>
            <w:tcW w:w="1192"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2</w:t>
            </w:r>
          </w:p>
        </w:tc>
        <w:tc>
          <w:tcPr>
            <w:tcW w:w="3231" w:type="dxa"/>
            <w:tcBorders>
              <w:top w:val="single" w:sz="2" w:space="0" w:color="auto"/>
              <w:bottom w:val="single" w:sz="4" w:space="0" w:color="auto"/>
            </w:tcBorders>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2.829.545</w:t>
            </w:r>
          </w:p>
        </w:tc>
      </w:tr>
      <w:tr w:rsidR="007E3BFE" w:rsidRPr="007E3BFE" w:rsidTr="00A57494">
        <w:trPr>
          <w:trHeight w:val="255"/>
          <w:jc w:val="center"/>
        </w:trPr>
        <w:tc>
          <w:tcPr>
            <w:tcW w:w="4363"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E3BFE">
              <w:rPr>
                <w:rFonts w:ascii="Arial" w:hAnsi="Arial"/>
                <w:spacing w:val="6"/>
                <w:sz w:val="18"/>
                <w:szCs w:val="24"/>
              </w:rPr>
              <w:t xml:space="preserve">Total </w:t>
            </w:r>
          </w:p>
        </w:tc>
        <w:tc>
          <w:tcPr>
            <w:tcW w:w="1192"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E3BFE">
              <w:rPr>
                <w:rFonts w:ascii="Arial" w:hAnsi="Arial"/>
                <w:spacing w:val="6"/>
                <w:sz w:val="18"/>
                <w:szCs w:val="24"/>
              </w:rPr>
              <w:t>23</w:t>
            </w:r>
          </w:p>
        </w:tc>
        <w:tc>
          <w:tcPr>
            <w:tcW w:w="3231" w:type="dxa"/>
            <w:tcBorders>
              <w:top w:val="single" w:sz="4" w:space="0" w:color="auto"/>
              <w:bottom w:val="single" w:sz="4" w:space="0" w:color="auto"/>
            </w:tcBorders>
            <w:shd w:val="clear" w:color="auto" w:fill="FABF8F" w:themeFill="accent6" w:themeFillTint="99"/>
            <w:vAlign w:val="center"/>
          </w:tcPr>
          <w:p w:rsidR="007E3BFE" w:rsidRPr="007E3BFE" w:rsidRDefault="007E3BFE" w:rsidP="007E3BF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E3BFE">
              <w:rPr>
                <w:rFonts w:ascii="Arial" w:hAnsi="Arial"/>
                <w:spacing w:val="6"/>
                <w:sz w:val="18"/>
                <w:szCs w:val="24"/>
              </w:rPr>
              <w:t>22.551.140</w:t>
            </w:r>
          </w:p>
        </w:tc>
      </w:tr>
    </w:tbl>
    <w:p w:rsidR="007E3BFE" w:rsidRPr="007E3BFE" w:rsidRDefault="007E3BFE" w:rsidP="007E3BFE">
      <w:pPr>
        <w:tabs>
          <w:tab w:val="center" w:pos="2835"/>
          <w:tab w:val="center" w:pos="3969"/>
          <w:tab w:val="center" w:pos="5103"/>
          <w:tab w:val="center" w:pos="6237"/>
          <w:tab w:val="center" w:pos="7371"/>
        </w:tabs>
        <w:spacing w:before="300"/>
        <w:ind w:firstLine="284"/>
        <w:rPr>
          <w:spacing w:val="6"/>
          <w:sz w:val="26"/>
          <w:szCs w:val="24"/>
        </w:rPr>
      </w:pPr>
    </w:p>
    <w:p w:rsidR="007E3BFE" w:rsidRPr="007E3BFE" w:rsidRDefault="007E3BFE" w:rsidP="007E3BFE">
      <w:pPr>
        <w:keepNext/>
        <w:spacing w:after="240"/>
        <w:ind w:firstLine="0"/>
        <w:rPr>
          <w:b/>
          <w:i/>
          <w:iCs/>
        </w:rPr>
      </w:pPr>
      <w:r w:rsidRPr="007E3BFE">
        <w:rPr>
          <w:b/>
          <w:i/>
          <w:iCs/>
          <w:highlight w:val="yellow"/>
        </w:rPr>
        <w:br w:type="page"/>
      </w:r>
      <w:bookmarkStart w:id="45" w:name="_Toc399916266"/>
    </w:p>
    <w:p w:rsidR="007E3BFE" w:rsidRPr="007E3BFE" w:rsidRDefault="007E3BFE" w:rsidP="00235AA6">
      <w:pPr>
        <w:pStyle w:val="atitulo1"/>
        <w:rPr>
          <w:rFonts w:eastAsia="Calibri"/>
          <w:lang w:val="es-ES"/>
        </w:rPr>
      </w:pPr>
      <w:bookmarkStart w:id="46" w:name="_Toc465686692"/>
      <w:bookmarkStart w:id="47" w:name="_Toc467847963"/>
      <w:r w:rsidRPr="007E3BFE">
        <w:lastRenderedPageBreak/>
        <w:t xml:space="preserve">VII. </w:t>
      </w:r>
      <w:r w:rsidRPr="007E3BFE">
        <w:rPr>
          <w:rFonts w:eastAsia="Calibri"/>
          <w:lang w:val="es-ES"/>
        </w:rPr>
        <w:t>Análisis jurídico de los acuerdos y convenios colectivos aplicables en las entidades locales más significativas de la Comunidad Foral de N</w:t>
      </w:r>
      <w:r w:rsidRPr="007E3BFE">
        <w:rPr>
          <w:rFonts w:eastAsia="Calibri"/>
          <w:lang w:val="es-ES"/>
        </w:rPr>
        <w:t>a</w:t>
      </w:r>
      <w:r w:rsidRPr="007E3BFE">
        <w:rPr>
          <w:rFonts w:eastAsia="Calibri"/>
          <w:lang w:val="es-ES"/>
        </w:rPr>
        <w:t>varra</w:t>
      </w:r>
      <w:bookmarkEnd w:id="46"/>
      <w:bookmarkEnd w:id="47"/>
    </w:p>
    <w:p w:rsidR="007E3BFE" w:rsidRPr="00235AA6" w:rsidRDefault="00560E8D" w:rsidP="00235AA6">
      <w:pPr>
        <w:pStyle w:val="texto"/>
      </w:pPr>
      <w:r>
        <w:rPr>
          <w:lang w:val="es-ES"/>
        </w:rPr>
        <w:t>E</w:t>
      </w:r>
      <w:r w:rsidR="007E3BFE" w:rsidRPr="00235AA6">
        <w:t xml:space="preserve">sta Cámara </w:t>
      </w:r>
      <w:r>
        <w:t xml:space="preserve">ha detectado </w:t>
      </w:r>
      <w:r w:rsidR="007E3BFE" w:rsidRPr="00235AA6">
        <w:t>en la fiscalización de los municipios con mayor población de Navarra la existencia de diversos acuerdos y convenios colectivos aplicables al personal de dichas entidades locales</w:t>
      </w:r>
      <w:r>
        <w:t>, cuyo contenido podría exc</w:t>
      </w:r>
      <w:r>
        <w:t>e</w:t>
      </w:r>
      <w:r>
        <w:t>der del ámbito competencial de negociación propio de las mismas</w:t>
      </w:r>
      <w:r w:rsidR="007E3BFE" w:rsidRPr="00235AA6">
        <w:t xml:space="preserve">. </w:t>
      </w:r>
    </w:p>
    <w:p w:rsidR="007E3BFE" w:rsidRPr="00235AA6" w:rsidRDefault="00560E8D" w:rsidP="00235AA6">
      <w:pPr>
        <w:pStyle w:val="texto"/>
      </w:pPr>
      <w:r>
        <w:t>H</w:t>
      </w:r>
      <w:r w:rsidR="007E3BFE" w:rsidRPr="00235AA6">
        <w:t>emos realizado un análisis jurídico sobre los acuerdos y convenios colect</w:t>
      </w:r>
      <w:r w:rsidR="007E3BFE" w:rsidRPr="00235AA6">
        <w:t>i</w:t>
      </w:r>
      <w:r w:rsidR="007E3BFE" w:rsidRPr="00235AA6">
        <w:t xml:space="preserve">vos aplicables al personal </w:t>
      </w:r>
      <w:r>
        <w:t xml:space="preserve">de una muestra </w:t>
      </w:r>
      <w:r w:rsidR="007E3BFE" w:rsidRPr="00235AA6">
        <w:t>de las entidades locales de mayor p</w:t>
      </w:r>
      <w:r w:rsidR="007E3BFE" w:rsidRPr="00235AA6">
        <w:t>o</w:t>
      </w:r>
      <w:r w:rsidR="007E3BFE" w:rsidRPr="00235AA6">
        <w:t>blación que en concreto son: Pamplona, Tudela, Barañáin, Burlada, Estella, T</w:t>
      </w:r>
      <w:r w:rsidR="007E3BFE" w:rsidRPr="00235AA6">
        <w:t>a</w:t>
      </w:r>
      <w:r w:rsidR="007E3BFE" w:rsidRPr="00235AA6">
        <w:t xml:space="preserve">falla y Valle de Egüés. </w:t>
      </w:r>
    </w:p>
    <w:p w:rsidR="007E3BFE" w:rsidRPr="00235AA6" w:rsidRDefault="007E3BFE" w:rsidP="00235AA6">
      <w:pPr>
        <w:pStyle w:val="texto"/>
      </w:pPr>
      <w:r w:rsidRPr="00235AA6">
        <w:t>Los acuerdos colectivos regulan las condiciones de trabajo de los funcion</w:t>
      </w:r>
      <w:r w:rsidRPr="00235AA6">
        <w:t>a</w:t>
      </w:r>
      <w:r w:rsidRPr="00235AA6">
        <w:t>rios del ayuntamiento respectivo, incluyendo también, en algún caso, a su pe</w:t>
      </w:r>
      <w:r w:rsidRPr="00235AA6">
        <w:t>r</w:t>
      </w:r>
      <w:r w:rsidRPr="00235AA6">
        <w:t>sonal laboral. Por otra parte, los convenios colectivos regulan las condiciones de trabajo del personal laboral de la entidad correspondiente.</w:t>
      </w:r>
    </w:p>
    <w:p w:rsidR="007E3BFE" w:rsidRPr="00235AA6" w:rsidRDefault="007E3BFE" w:rsidP="00235AA6">
      <w:pPr>
        <w:pStyle w:val="texto"/>
      </w:pPr>
      <w:r w:rsidRPr="00235AA6">
        <w:t xml:space="preserve">Además, el estatuto jurídico de los funcionarios </w:t>
      </w:r>
      <w:r w:rsidR="00560E8D">
        <w:t>viene regulado por leyes y reglamento en los que se establecen sus condiciones básicas de trabajo como garantía para asegurar al máximo el correcto ejercicio de sus funciones</w:t>
      </w:r>
      <w:r w:rsidRPr="00235AA6">
        <w:t>. Este estatuto concuerda con lo previsto en el artículo 103.3 de la Constitución que establece que “</w:t>
      </w:r>
      <w:r w:rsidRPr="00235AA6">
        <w:rPr>
          <w:i/>
        </w:rPr>
        <w:t>la ley regulará el estatuto de los funcionarios públicos”</w:t>
      </w:r>
      <w:r w:rsidRPr="00235AA6">
        <w:t>; este hecho limita notablemente la capacidad de negociación, tanto de la administr</w:t>
      </w:r>
      <w:r w:rsidRPr="00235AA6">
        <w:t>a</w:t>
      </w:r>
      <w:r w:rsidRPr="00235AA6">
        <w:t>ción como del funcionario, hasta el punto de que éste tendrá los derechos y d</w:t>
      </w:r>
      <w:r w:rsidRPr="00235AA6">
        <w:t>e</w:t>
      </w:r>
      <w:r w:rsidRPr="00235AA6">
        <w:t>beres establecidos previamente mediante ley o reglamento, sin que la admini</w:t>
      </w:r>
      <w:r w:rsidRPr="00235AA6">
        <w:t>s</w:t>
      </w:r>
      <w:r w:rsidRPr="00235AA6">
        <w:t>tración pueda ampliarlos o extenderlos más allá de lo que establezcan las pr</w:t>
      </w:r>
      <w:r w:rsidRPr="00235AA6">
        <w:t>o</w:t>
      </w:r>
      <w:r w:rsidRPr="00235AA6">
        <w:t>pias normas.</w:t>
      </w:r>
    </w:p>
    <w:p w:rsidR="007E3BFE" w:rsidRPr="00235AA6" w:rsidRDefault="007E3BFE" w:rsidP="00235AA6">
      <w:pPr>
        <w:pStyle w:val="texto"/>
      </w:pPr>
      <w:r w:rsidRPr="00235AA6">
        <w:t>Teniendo en cuenta lo anterior, destacamos las siguientes conclusiones del estudio realizado:</w:t>
      </w:r>
    </w:p>
    <w:p w:rsidR="007E3BFE" w:rsidRPr="007F7BB5" w:rsidRDefault="007E3BFE" w:rsidP="00235AA6">
      <w:pPr>
        <w:numPr>
          <w:ilvl w:val="0"/>
          <w:numId w:val="9"/>
        </w:numPr>
        <w:tabs>
          <w:tab w:val="left" w:pos="480"/>
          <w:tab w:val="num" w:pos="600"/>
          <w:tab w:val="num" w:pos="720"/>
        </w:tabs>
        <w:ind w:left="0" w:firstLine="289"/>
        <w:rPr>
          <w:spacing w:val="6"/>
          <w:sz w:val="26"/>
          <w:szCs w:val="24"/>
        </w:rPr>
      </w:pPr>
      <w:r w:rsidRPr="007F7BB5">
        <w:rPr>
          <w:spacing w:val="6"/>
          <w:sz w:val="26"/>
          <w:szCs w:val="24"/>
        </w:rPr>
        <w:t>La negociación colectiva, en el ámbito de la función pública, significa el derecho a negociar la determinación de condiciones de trabajo de los emple</w:t>
      </w:r>
      <w:r w:rsidRPr="007F7BB5">
        <w:rPr>
          <w:spacing w:val="6"/>
          <w:sz w:val="26"/>
          <w:szCs w:val="24"/>
        </w:rPr>
        <w:t>a</w:t>
      </w:r>
      <w:r w:rsidRPr="007F7BB5">
        <w:rPr>
          <w:spacing w:val="6"/>
          <w:sz w:val="26"/>
          <w:szCs w:val="24"/>
        </w:rPr>
        <w:t>dos de la Administración Pública.</w:t>
      </w:r>
    </w:p>
    <w:p w:rsidR="007E3BFE" w:rsidRPr="007E3BFE" w:rsidRDefault="007E3BFE" w:rsidP="00235AA6">
      <w:pPr>
        <w:pStyle w:val="texto"/>
        <w:rPr>
          <w:w w:val="103"/>
        </w:rPr>
      </w:pPr>
      <w:r w:rsidRPr="007E3BFE">
        <w:rPr>
          <w:w w:val="103"/>
        </w:rPr>
        <w:t>El derecho de los empleados públicos a la negociación colectiva y a la pa</w:t>
      </w:r>
      <w:r w:rsidRPr="007E3BFE">
        <w:rPr>
          <w:w w:val="103"/>
        </w:rPr>
        <w:t>r</w:t>
      </w:r>
      <w:r w:rsidRPr="007E3BFE">
        <w:rPr>
          <w:w w:val="103"/>
        </w:rPr>
        <w:t>ticipación en la determinación de sus condiciones de trabajo está reconocido, tanto en el Estatuto del Personal al Servicio de las Administraciones Públicas de Navarra (EPAPN) como en el Estatuto Básico del Empleado Público (EBEP).</w:t>
      </w:r>
    </w:p>
    <w:p w:rsidR="007E3BFE" w:rsidRPr="007F7BB5" w:rsidRDefault="007E3BFE" w:rsidP="00235AA6">
      <w:pPr>
        <w:numPr>
          <w:ilvl w:val="0"/>
          <w:numId w:val="9"/>
        </w:numPr>
        <w:tabs>
          <w:tab w:val="left" w:pos="480"/>
          <w:tab w:val="num" w:pos="600"/>
          <w:tab w:val="num" w:pos="720"/>
        </w:tabs>
        <w:ind w:left="0" w:firstLine="289"/>
        <w:rPr>
          <w:spacing w:val="6"/>
          <w:sz w:val="26"/>
          <w:szCs w:val="24"/>
        </w:rPr>
      </w:pPr>
      <w:r w:rsidRPr="007F7BB5">
        <w:rPr>
          <w:spacing w:val="6"/>
          <w:sz w:val="26"/>
          <w:szCs w:val="24"/>
        </w:rPr>
        <w:t>Existen notables diferencias entre la negociación colectiva referida al pe</w:t>
      </w:r>
      <w:r w:rsidRPr="007F7BB5">
        <w:rPr>
          <w:spacing w:val="6"/>
          <w:sz w:val="26"/>
          <w:szCs w:val="24"/>
        </w:rPr>
        <w:t>r</w:t>
      </w:r>
      <w:r w:rsidRPr="007F7BB5">
        <w:rPr>
          <w:spacing w:val="6"/>
          <w:sz w:val="26"/>
          <w:szCs w:val="24"/>
        </w:rPr>
        <w:t>sonal funcionario y la que tiene lugar en el ámbito propio del personal laboral.</w:t>
      </w:r>
    </w:p>
    <w:p w:rsidR="007E3BFE" w:rsidRPr="007E3BFE" w:rsidRDefault="007E3BFE" w:rsidP="00235AA6">
      <w:pPr>
        <w:pStyle w:val="texto"/>
        <w:rPr>
          <w:w w:val="103"/>
        </w:rPr>
      </w:pPr>
      <w:r w:rsidRPr="007E3BFE">
        <w:rPr>
          <w:w w:val="103"/>
        </w:rPr>
        <w:t>El sistema español de regulación de las condiciones de trabajo para los funcionarios públicos, mediante los estatutos de función pública, es un sist</w:t>
      </w:r>
      <w:r w:rsidRPr="007E3BFE">
        <w:rPr>
          <w:w w:val="103"/>
        </w:rPr>
        <w:t>e</w:t>
      </w:r>
      <w:r w:rsidRPr="007E3BFE">
        <w:rPr>
          <w:w w:val="103"/>
        </w:rPr>
        <w:lastRenderedPageBreak/>
        <w:t>ma muy legalizado sin apenas discrecionalidad; por el contrario, las cond</w:t>
      </w:r>
      <w:r w:rsidRPr="007E3BFE">
        <w:rPr>
          <w:w w:val="103"/>
        </w:rPr>
        <w:t>i</w:t>
      </w:r>
      <w:r w:rsidRPr="007E3BFE">
        <w:rPr>
          <w:w w:val="103"/>
        </w:rPr>
        <w:t>ciones de trabajo del personal laboral han quedado remitidas tradicionalme</w:t>
      </w:r>
      <w:r w:rsidRPr="007E3BFE">
        <w:rPr>
          <w:w w:val="103"/>
        </w:rPr>
        <w:t>n</w:t>
      </w:r>
      <w:r w:rsidRPr="007E3BFE">
        <w:rPr>
          <w:w w:val="103"/>
        </w:rPr>
        <w:t>te a la libertad de pactos, a través de la negociación, entre el empleador y los empleados, ya pertenezcan éstos al ámbito público o al privado.</w:t>
      </w:r>
    </w:p>
    <w:p w:rsidR="007E3BFE" w:rsidRPr="007E3BFE" w:rsidRDefault="007E3BFE" w:rsidP="00235AA6">
      <w:pPr>
        <w:pStyle w:val="texto"/>
        <w:rPr>
          <w:w w:val="103"/>
        </w:rPr>
      </w:pPr>
      <w:r w:rsidRPr="007E3BFE">
        <w:rPr>
          <w:w w:val="103"/>
        </w:rPr>
        <w:t>El Tribunal Supremo viene estableciendo de forma clara y reiterada que los derechos reconocidos por las leyes a los funcionarios públicos, no tienen, como sí sucede en el caso del personal laboral, carácter de mínimos mejor</w:t>
      </w:r>
      <w:r w:rsidRPr="007E3BFE">
        <w:rPr>
          <w:w w:val="103"/>
        </w:rPr>
        <w:t>a</w:t>
      </w:r>
      <w:r w:rsidRPr="007E3BFE">
        <w:rPr>
          <w:w w:val="103"/>
        </w:rPr>
        <w:t>bles, sino de condiciones legales o reglamentarias fijas no alterables por m</w:t>
      </w:r>
      <w:r w:rsidRPr="007E3BFE">
        <w:rPr>
          <w:w w:val="103"/>
        </w:rPr>
        <w:t>e</w:t>
      </w:r>
      <w:r w:rsidRPr="007E3BFE">
        <w:rPr>
          <w:w w:val="103"/>
        </w:rPr>
        <w:t>dio de la negociación colectiva.</w:t>
      </w:r>
    </w:p>
    <w:p w:rsidR="007E3BFE" w:rsidRPr="007E3BFE" w:rsidRDefault="007E3BFE" w:rsidP="00235AA6">
      <w:pPr>
        <w:pStyle w:val="texto"/>
        <w:rPr>
          <w:w w:val="103"/>
        </w:rPr>
      </w:pPr>
      <w:r w:rsidRPr="007E3BFE">
        <w:rPr>
          <w:w w:val="103"/>
        </w:rPr>
        <w:t>En efecto, en el ámbito laboral, el principio general que cabe establecer es que las normas reguladoras, salvo que expresamente dispongan lo contrario, son normas de mínimos que, por lo tanto, no impiden la negociación de m</w:t>
      </w:r>
      <w:r w:rsidRPr="007E3BFE">
        <w:rPr>
          <w:w w:val="103"/>
        </w:rPr>
        <w:t>e</w:t>
      </w:r>
      <w:r w:rsidRPr="007E3BFE">
        <w:rPr>
          <w:w w:val="103"/>
        </w:rPr>
        <w:t>joras sobre las mismas. Por el contrario, el régimen regulador de los funci</w:t>
      </w:r>
      <w:r w:rsidRPr="007E3BFE">
        <w:rPr>
          <w:w w:val="103"/>
        </w:rPr>
        <w:t>o</w:t>
      </w:r>
      <w:r w:rsidRPr="007E3BFE">
        <w:rPr>
          <w:w w:val="103"/>
        </w:rPr>
        <w:t>narios públicos se integra, en general, por normas imperativas absolutas y, por tanto, no negociables.</w:t>
      </w:r>
    </w:p>
    <w:p w:rsidR="007E3BFE" w:rsidRPr="007F7BB5" w:rsidRDefault="007E3BFE" w:rsidP="00235AA6">
      <w:pPr>
        <w:numPr>
          <w:ilvl w:val="0"/>
          <w:numId w:val="9"/>
        </w:numPr>
        <w:tabs>
          <w:tab w:val="left" w:pos="480"/>
          <w:tab w:val="num" w:pos="600"/>
          <w:tab w:val="num" w:pos="720"/>
        </w:tabs>
        <w:ind w:left="0" w:firstLine="289"/>
        <w:rPr>
          <w:spacing w:val="6"/>
          <w:sz w:val="26"/>
          <w:szCs w:val="24"/>
        </w:rPr>
      </w:pPr>
      <w:r w:rsidRPr="007F7BB5">
        <w:rPr>
          <w:spacing w:val="6"/>
          <w:sz w:val="26"/>
          <w:szCs w:val="24"/>
        </w:rPr>
        <w:t>El Tribunal Superior de Justicia de Navarra (TSJN) ha señalado en sente</w:t>
      </w:r>
      <w:r w:rsidRPr="007F7BB5">
        <w:rPr>
          <w:spacing w:val="6"/>
          <w:sz w:val="26"/>
          <w:szCs w:val="24"/>
        </w:rPr>
        <w:t>n</w:t>
      </w:r>
      <w:r w:rsidRPr="007F7BB5">
        <w:rPr>
          <w:spacing w:val="6"/>
          <w:sz w:val="26"/>
          <w:szCs w:val="24"/>
        </w:rPr>
        <w:t>cias recientes que, el EPAPN y la Ley Foral de Administración Local son las normas que determinan el régimen jurídico que deben utilizar los entes locales en materia de personal, y que, dichas normas, no pueden desplazarse por pacto.</w:t>
      </w:r>
    </w:p>
    <w:p w:rsidR="007E3BFE" w:rsidRPr="007E3BFE" w:rsidRDefault="007E3BFE" w:rsidP="00235AA6">
      <w:pPr>
        <w:pStyle w:val="texto"/>
        <w:rPr>
          <w:w w:val="103"/>
        </w:rPr>
      </w:pPr>
      <w:r w:rsidRPr="007F7BB5">
        <w:rPr>
          <w:w w:val="103"/>
        </w:rPr>
        <w:t xml:space="preserve">En el mismo sentido señala el TSJN que, cada una de las administraciones </w:t>
      </w:r>
      <w:r w:rsidRPr="007E3BFE">
        <w:rPr>
          <w:w w:val="103"/>
        </w:rPr>
        <w:t>públicas de Navarra, tiene plena competencia para establecer el régimen del personal a su servicio, de conformidad con lo dispuesto en el estatuto y en los reglamentos que lo desarrollen tal y como establece el artículo 4 del EPAPN. Por lo tanto, esta previsión también exige el respeto a las normas reglamentarias, normas que son imperativas y que no contienen un régimen de mínimos.</w:t>
      </w:r>
    </w:p>
    <w:p w:rsidR="007E3BFE" w:rsidRPr="007E3BFE" w:rsidRDefault="007E3BFE" w:rsidP="00235AA6">
      <w:pPr>
        <w:pStyle w:val="texto"/>
        <w:rPr>
          <w:w w:val="103"/>
        </w:rPr>
      </w:pPr>
      <w:r w:rsidRPr="007E3BFE">
        <w:rPr>
          <w:w w:val="103"/>
        </w:rPr>
        <w:t>En aplicación de esta doctrina, el TSJN ha anulado en parte, y solo en lo que afecta al personal funcionario, los acuerdos colectivos del Ayuntamiento de Tudela y del Ayuntamiento del Valle de Egüés.</w:t>
      </w:r>
    </w:p>
    <w:p w:rsidR="007E3BFE" w:rsidRPr="007F7BB5" w:rsidRDefault="007E3BFE" w:rsidP="00235AA6">
      <w:pPr>
        <w:numPr>
          <w:ilvl w:val="0"/>
          <w:numId w:val="9"/>
        </w:numPr>
        <w:tabs>
          <w:tab w:val="left" w:pos="480"/>
          <w:tab w:val="num" w:pos="600"/>
          <w:tab w:val="num" w:pos="720"/>
        </w:tabs>
        <w:ind w:left="0" w:firstLine="289"/>
        <w:rPr>
          <w:spacing w:val="6"/>
          <w:sz w:val="26"/>
          <w:szCs w:val="24"/>
        </w:rPr>
      </w:pPr>
      <w:r w:rsidRPr="007F7BB5">
        <w:rPr>
          <w:spacing w:val="6"/>
          <w:sz w:val="26"/>
          <w:szCs w:val="24"/>
        </w:rPr>
        <w:t>Los acuerdos colectivos examinados son de ámbito local y regulan diversos aspectos de las condiciones de trabajo de los empleados públicos: retribuci</w:t>
      </w:r>
      <w:r w:rsidRPr="007F7BB5">
        <w:rPr>
          <w:spacing w:val="6"/>
          <w:sz w:val="26"/>
          <w:szCs w:val="24"/>
        </w:rPr>
        <w:t>o</w:t>
      </w:r>
      <w:r w:rsidRPr="007F7BB5">
        <w:rPr>
          <w:spacing w:val="6"/>
          <w:sz w:val="26"/>
          <w:szCs w:val="24"/>
        </w:rPr>
        <w:t>nes, jornada laboral y horarios de trabajo, régimen de permisos, vacaciones y licencias, ayudas de acción social, promoción profesional y selección del pe</w:t>
      </w:r>
      <w:r w:rsidRPr="007F7BB5">
        <w:rPr>
          <w:spacing w:val="6"/>
          <w:sz w:val="26"/>
          <w:szCs w:val="24"/>
        </w:rPr>
        <w:t>r</w:t>
      </w:r>
      <w:r w:rsidRPr="007F7BB5">
        <w:rPr>
          <w:spacing w:val="6"/>
          <w:sz w:val="26"/>
          <w:szCs w:val="24"/>
        </w:rPr>
        <w:t>sonal, formación, etc.</w:t>
      </w:r>
    </w:p>
    <w:p w:rsidR="007E3BFE" w:rsidRPr="007E3BFE" w:rsidRDefault="007E3BFE" w:rsidP="00235AA6">
      <w:pPr>
        <w:pStyle w:val="texto"/>
        <w:rPr>
          <w:w w:val="103"/>
        </w:rPr>
      </w:pPr>
      <w:r w:rsidRPr="007E3BFE">
        <w:rPr>
          <w:w w:val="103"/>
        </w:rPr>
        <w:t>En el examen de estos acuerdos encontramos cláusulas que se ajustan al poder dispositivo de los entes locales y versan sobre materias sobre las que tienen competencia: retribuciones complementarias, distribución de la jorn</w:t>
      </w:r>
      <w:r w:rsidRPr="007E3BFE">
        <w:rPr>
          <w:w w:val="103"/>
        </w:rPr>
        <w:t>a</w:t>
      </w:r>
      <w:r w:rsidRPr="007E3BFE">
        <w:rPr>
          <w:w w:val="103"/>
        </w:rPr>
        <w:t>da anual y horarios de trabajo, ayudas sociales, distribución de las vacaciones y concreción de algunos permisos y licencias, etc.</w:t>
      </w:r>
    </w:p>
    <w:p w:rsidR="007E3BFE" w:rsidRPr="007E3BFE" w:rsidRDefault="007E3BFE" w:rsidP="00235AA6">
      <w:pPr>
        <w:pStyle w:val="texto"/>
        <w:rPr>
          <w:w w:val="103"/>
        </w:rPr>
      </w:pPr>
      <w:r w:rsidRPr="007E3BFE">
        <w:rPr>
          <w:w w:val="103"/>
        </w:rPr>
        <w:lastRenderedPageBreak/>
        <w:t>Otras cláusulas, en cambio, consideramos que, de acuerdo con la jurispr</w:t>
      </w:r>
      <w:r w:rsidRPr="007E3BFE">
        <w:rPr>
          <w:w w:val="103"/>
        </w:rPr>
        <w:t>u</w:t>
      </w:r>
      <w:r w:rsidRPr="007E3BFE">
        <w:rPr>
          <w:w w:val="103"/>
        </w:rPr>
        <w:t>dencia examinada, exceden de lo previsto en la normativa vigente y que, por tanto, los entes locales se han excedido de su ámbito competencial y/o de su poder dispositivo al incluirlas en dichos acuerdos, como son: retribuciones legalmente no previstas, ampliación de permisos y concesión de nuevos pe</w:t>
      </w:r>
      <w:r w:rsidRPr="007E3BFE">
        <w:rPr>
          <w:w w:val="103"/>
        </w:rPr>
        <w:t>r</w:t>
      </w:r>
      <w:r w:rsidRPr="007E3BFE">
        <w:rPr>
          <w:w w:val="103"/>
        </w:rPr>
        <w:t>misos sobre los previstos en el reglamento, y el reintegro de gastos sanitarios a modo de cobertura complementaria del régimen de Seguridad Social no prevista legalmente.</w:t>
      </w:r>
    </w:p>
    <w:p w:rsidR="007E3BFE" w:rsidRPr="007F7BB5" w:rsidRDefault="007E3BFE" w:rsidP="00235AA6">
      <w:pPr>
        <w:pStyle w:val="texto"/>
        <w:rPr>
          <w:w w:val="103"/>
        </w:rPr>
      </w:pPr>
      <w:r w:rsidRPr="007E3BFE">
        <w:rPr>
          <w:w w:val="103"/>
        </w:rPr>
        <w:t xml:space="preserve">Estas materias, o están sometidas a reserva de ley y, en consecuencia, sólo pueden ser determinadas definitivamente por el Parlamento de Navarra, o son competencia del Gobierno de Navarra, y requieren su oportuna aprobación y tramitación por el mismo, previa negociación en la mesa general del personal </w:t>
      </w:r>
      <w:r w:rsidRPr="007F7BB5">
        <w:rPr>
          <w:w w:val="103"/>
        </w:rPr>
        <w:t>al servicio de las administraciones públicas de Navarra.</w:t>
      </w:r>
    </w:p>
    <w:p w:rsidR="007E3BFE" w:rsidRPr="007F7BB5" w:rsidRDefault="007E3BFE" w:rsidP="00235AA6">
      <w:pPr>
        <w:numPr>
          <w:ilvl w:val="0"/>
          <w:numId w:val="9"/>
        </w:numPr>
        <w:tabs>
          <w:tab w:val="left" w:pos="480"/>
          <w:tab w:val="num" w:pos="600"/>
          <w:tab w:val="num" w:pos="720"/>
        </w:tabs>
        <w:ind w:left="0" w:firstLine="289"/>
        <w:rPr>
          <w:spacing w:val="6"/>
          <w:sz w:val="26"/>
          <w:szCs w:val="24"/>
        </w:rPr>
      </w:pPr>
      <w:r w:rsidRPr="007F7BB5">
        <w:rPr>
          <w:spacing w:val="6"/>
          <w:sz w:val="26"/>
          <w:szCs w:val="24"/>
        </w:rPr>
        <w:t>Algunos ayuntamientos han aprobado convenios colectivos que regulan las condiciones de trabajo de su personal laboral de forma similar a lo establecido en los acuerdos colectivos con los funcionarios de esa entidad. Estos convenios al tener como referencia legal el Estatuto de los Trabajadores, pueden incluir mejoras sobre lo regulado, y, en consecuencia, las mismas cláusulas que para el personal funcionario resultan excesivas por apartarse de la regulación legal, e</w:t>
      </w:r>
      <w:r w:rsidRPr="007F7BB5">
        <w:rPr>
          <w:spacing w:val="6"/>
          <w:sz w:val="26"/>
          <w:szCs w:val="24"/>
        </w:rPr>
        <w:t>s</w:t>
      </w:r>
      <w:r w:rsidRPr="007F7BB5">
        <w:rPr>
          <w:spacing w:val="6"/>
          <w:sz w:val="26"/>
          <w:szCs w:val="24"/>
        </w:rPr>
        <w:t>tarían permitidas para el personal laboral.</w:t>
      </w:r>
    </w:p>
    <w:p w:rsidR="007E3BFE" w:rsidRPr="007F7BB5" w:rsidRDefault="007E3BFE" w:rsidP="00235AA6">
      <w:pPr>
        <w:pStyle w:val="texto"/>
        <w:rPr>
          <w:w w:val="103"/>
        </w:rPr>
      </w:pPr>
      <w:r w:rsidRPr="007E3BFE">
        <w:rPr>
          <w:w w:val="103"/>
        </w:rPr>
        <w:t xml:space="preserve">En el caso de los acuerdos colectivos de los ayuntamientos de Tudela y del Valle de Egüés, que afectan tanto a su personal funcionario como al laboral, el TSJN ha anulado en parte, y solo en lo que afecta al personal funcionario, estos acuerdos colectivos. Sin embargo, dichos acuerdos siguen vigentes para el personal laboral. Esto ocasiona que en el mismo ayuntamiento el personal funcionario tenga derecho a un régimen de licencias y permisos retribuidos y </w:t>
      </w:r>
      <w:r w:rsidRPr="007F7BB5">
        <w:rPr>
          <w:w w:val="103"/>
        </w:rPr>
        <w:t>el personal laboral a otro más favorable.</w:t>
      </w:r>
    </w:p>
    <w:p w:rsidR="007E3BFE" w:rsidRPr="007F7BB5" w:rsidRDefault="007E3BFE" w:rsidP="00235AA6">
      <w:pPr>
        <w:numPr>
          <w:ilvl w:val="0"/>
          <w:numId w:val="9"/>
        </w:numPr>
        <w:tabs>
          <w:tab w:val="left" w:pos="480"/>
          <w:tab w:val="num" w:pos="600"/>
          <w:tab w:val="num" w:pos="720"/>
        </w:tabs>
        <w:ind w:left="0" w:firstLine="289"/>
        <w:rPr>
          <w:spacing w:val="6"/>
          <w:sz w:val="26"/>
          <w:szCs w:val="24"/>
        </w:rPr>
      </w:pPr>
      <w:r w:rsidRPr="007F7BB5">
        <w:rPr>
          <w:spacing w:val="6"/>
          <w:sz w:val="26"/>
          <w:szCs w:val="24"/>
        </w:rPr>
        <w:t>Como reflexiones finales debemos tener en cuenta que, los acuerdos y co</w:t>
      </w:r>
      <w:r w:rsidRPr="007F7BB5">
        <w:rPr>
          <w:spacing w:val="6"/>
          <w:sz w:val="26"/>
          <w:szCs w:val="24"/>
        </w:rPr>
        <w:t>n</w:t>
      </w:r>
      <w:r w:rsidRPr="007F7BB5">
        <w:rPr>
          <w:spacing w:val="6"/>
          <w:sz w:val="26"/>
          <w:szCs w:val="24"/>
        </w:rPr>
        <w:t>venios colectivos válidamente concluidos obligan a las partes y tienen alcance normativo para ellas, y son, en consecuencia, normas que se insertan en el o</w:t>
      </w:r>
      <w:r w:rsidRPr="007F7BB5">
        <w:rPr>
          <w:spacing w:val="6"/>
          <w:sz w:val="26"/>
          <w:szCs w:val="24"/>
        </w:rPr>
        <w:t>r</w:t>
      </w:r>
      <w:r w:rsidRPr="007F7BB5">
        <w:rPr>
          <w:spacing w:val="6"/>
          <w:sz w:val="26"/>
          <w:szCs w:val="24"/>
        </w:rPr>
        <w:t>denamiento jurídico y que obligan tanto al ayuntamiento como a los trabajad</w:t>
      </w:r>
      <w:r w:rsidRPr="007F7BB5">
        <w:rPr>
          <w:spacing w:val="6"/>
          <w:sz w:val="26"/>
          <w:szCs w:val="24"/>
        </w:rPr>
        <w:t>o</w:t>
      </w:r>
      <w:r w:rsidRPr="007F7BB5">
        <w:rPr>
          <w:spacing w:val="6"/>
          <w:sz w:val="26"/>
          <w:szCs w:val="24"/>
        </w:rPr>
        <w:t>res.</w:t>
      </w:r>
    </w:p>
    <w:p w:rsidR="007E3BFE" w:rsidRPr="007E3BFE" w:rsidRDefault="007E3BFE" w:rsidP="00235AA6">
      <w:pPr>
        <w:pStyle w:val="texto"/>
        <w:rPr>
          <w:w w:val="103"/>
        </w:rPr>
      </w:pPr>
      <w:r w:rsidRPr="007F7BB5">
        <w:rPr>
          <w:w w:val="103"/>
        </w:rPr>
        <w:t>Los actos administrativos dictados en ejecución de estos acuerdos o co</w:t>
      </w:r>
      <w:r w:rsidRPr="007F7BB5">
        <w:rPr>
          <w:w w:val="103"/>
        </w:rPr>
        <w:t>n</w:t>
      </w:r>
      <w:r w:rsidRPr="007F7BB5">
        <w:rPr>
          <w:w w:val="103"/>
        </w:rPr>
        <w:t>venios colectivos en vigor se presumen válidos y eficaces y la posible ileg</w:t>
      </w:r>
      <w:r w:rsidRPr="007F7BB5">
        <w:rPr>
          <w:w w:val="103"/>
        </w:rPr>
        <w:t>a</w:t>
      </w:r>
      <w:r w:rsidRPr="007E3BFE">
        <w:rPr>
          <w:w w:val="103"/>
        </w:rPr>
        <w:t>lidad en la que pudieran incurrir dichos acuerdos o convenios debe ser aleg</w:t>
      </w:r>
      <w:r w:rsidRPr="007E3BFE">
        <w:rPr>
          <w:w w:val="103"/>
        </w:rPr>
        <w:t>a</w:t>
      </w:r>
      <w:r w:rsidRPr="007E3BFE">
        <w:rPr>
          <w:w w:val="103"/>
        </w:rPr>
        <w:t>da ante la Jurisdicción Contencioso-administrativa, en el caso de los acue</w:t>
      </w:r>
      <w:r w:rsidRPr="007E3BFE">
        <w:rPr>
          <w:w w:val="103"/>
        </w:rPr>
        <w:t>r</w:t>
      </w:r>
      <w:r w:rsidRPr="007E3BFE">
        <w:rPr>
          <w:w w:val="103"/>
        </w:rPr>
        <w:t>dos, y ante la Jurisdicción Social, en el caso de los convenios, o, ante ambas jurisdicciones si se tratara de acuerdos o convenios que afectaran a personal funcionario y laboral.</w:t>
      </w:r>
    </w:p>
    <w:p w:rsidR="007E3BFE" w:rsidRPr="007E3BFE" w:rsidRDefault="007E3BFE" w:rsidP="00235AA6">
      <w:pPr>
        <w:pStyle w:val="texto"/>
        <w:rPr>
          <w:w w:val="103"/>
        </w:rPr>
      </w:pPr>
      <w:r w:rsidRPr="007E3BFE">
        <w:rPr>
          <w:w w:val="103"/>
        </w:rPr>
        <w:lastRenderedPageBreak/>
        <w:t>Además, en el caso de que un acuerdo o convenio colectivo se anulara por los tribunales, hay que tener en cuenta que, las sentencias firmes que los an</w:t>
      </w:r>
      <w:r w:rsidRPr="007E3BFE">
        <w:rPr>
          <w:w w:val="103"/>
        </w:rPr>
        <w:t>u</w:t>
      </w:r>
      <w:r w:rsidRPr="007E3BFE">
        <w:rPr>
          <w:w w:val="103"/>
        </w:rPr>
        <w:t>len, no afectarían a la eficacia de los actos administrativos firmes que lo h</w:t>
      </w:r>
      <w:r w:rsidRPr="007E3BFE">
        <w:rPr>
          <w:w w:val="103"/>
        </w:rPr>
        <w:t>a</w:t>
      </w:r>
      <w:r w:rsidRPr="007E3BFE">
        <w:rPr>
          <w:w w:val="103"/>
        </w:rPr>
        <w:t>yan aplicado antes de que la anulación alcanzara efectos generales.</w:t>
      </w:r>
    </w:p>
    <w:p w:rsidR="007E3BFE" w:rsidRPr="007E3BFE" w:rsidRDefault="007E3BFE" w:rsidP="00235AA6">
      <w:pPr>
        <w:pStyle w:val="texto"/>
        <w:rPr>
          <w:w w:val="103"/>
        </w:rPr>
      </w:pPr>
      <w:r w:rsidRPr="007E3BFE">
        <w:rPr>
          <w:w w:val="103"/>
        </w:rPr>
        <w:t>Por dicha razón, para evitar la existencia de normas que son válidas y ef</w:t>
      </w:r>
      <w:r w:rsidRPr="007E3BFE">
        <w:rPr>
          <w:w w:val="103"/>
        </w:rPr>
        <w:t>i</w:t>
      </w:r>
      <w:r w:rsidRPr="007E3BFE">
        <w:rPr>
          <w:w w:val="103"/>
        </w:rPr>
        <w:t>caces, pero contrarias al estatuto de la función pública, es importante que en la negociación colectiva de las condiciones de trabajo de los funcionarios p</w:t>
      </w:r>
      <w:r w:rsidRPr="007E3BFE">
        <w:rPr>
          <w:w w:val="103"/>
        </w:rPr>
        <w:t>ú</w:t>
      </w:r>
      <w:r w:rsidRPr="007E3BFE">
        <w:rPr>
          <w:w w:val="103"/>
        </w:rPr>
        <w:t>blicos se respeten los principios de legalidad y cobertura presupuestaria, además de los de obligatoriedad, buena fe negocial, publicidad y transpare</w:t>
      </w:r>
      <w:r w:rsidRPr="007E3BFE">
        <w:rPr>
          <w:w w:val="103"/>
        </w:rPr>
        <w:t>n</w:t>
      </w:r>
      <w:r w:rsidRPr="007E3BFE">
        <w:rPr>
          <w:w w:val="103"/>
        </w:rPr>
        <w:t>cia.</w:t>
      </w:r>
    </w:p>
    <w:p w:rsidR="007E3BFE" w:rsidRPr="00121457" w:rsidRDefault="007E3BFE" w:rsidP="00235AA6">
      <w:pPr>
        <w:pStyle w:val="texto"/>
        <w:rPr>
          <w:w w:val="103"/>
        </w:rPr>
      </w:pPr>
      <w:r w:rsidRPr="00121457">
        <w:rPr>
          <w:w w:val="103"/>
        </w:rPr>
        <w:t>Por otro lado, como ya se ha mencionado, una de las cuestiones que pla</w:t>
      </w:r>
      <w:r w:rsidRPr="00121457">
        <w:rPr>
          <w:w w:val="103"/>
        </w:rPr>
        <w:t>n</w:t>
      </w:r>
      <w:r w:rsidRPr="00121457">
        <w:rPr>
          <w:w w:val="103"/>
        </w:rPr>
        <w:t>tea el diferente régimen jurídico aplicable al personal funcionario y al pers</w:t>
      </w:r>
      <w:r w:rsidRPr="00121457">
        <w:rPr>
          <w:w w:val="103"/>
        </w:rPr>
        <w:t>o</w:t>
      </w:r>
      <w:r w:rsidRPr="00121457">
        <w:rPr>
          <w:w w:val="103"/>
        </w:rPr>
        <w:t>nal laboral, es que en un convenio colectivo se permite pactar mejoras sobre la regulación general que no serían admisibles para el personal funcionario.</w:t>
      </w:r>
    </w:p>
    <w:p w:rsidR="007E3BFE" w:rsidRPr="00121457" w:rsidRDefault="007E3BFE" w:rsidP="00235AA6">
      <w:pPr>
        <w:pStyle w:val="texto"/>
        <w:rPr>
          <w:w w:val="103"/>
        </w:rPr>
      </w:pPr>
      <w:r w:rsidRPr="00121457">
        <w:rPr>
          <w:w w:val="103"/>
        </w:rPr>
        <w:t>Una de las posibles opciones para solucionar esta cuestión podría ser que, para la negociación de todas aquellas materias y condiciones de trabajo c</w:t>
      </w:r>
      <w:r w:rsidRPr="00121457">
        <w:rPr>
          <w:w w:val="103"/>
        </w:rPr>
        <w:t>o</w:t>
      </w:r>
      <w:r w:rsidRPr="00121457">
        <w:rPr>
          <w:w w:val="103"/>
        </w:rPr>
        <w:t>munes al personal funcionario, estatutario y laboral de cada Administración Pública, se constituyera, tanto en el ámbito de la Comunidad Foral de Nav</w:t>
      </w:r>
      <w:r w:rsidRPr="00121457">
        <w:rPr>
          <w:w w:val="103"/>
        </w:rPr>
        <w:t>a</w:t>
      </w:r>
      <w:r w:rsidRPr="00121457">
        <w:rPr>
          <w:w w:val="103"/>
        </w:rPr>
        <w:t>rra, como en el de las respectivas entidades locales, de acuerdo con el rég</w:t>
      </w:r>
      <w:r w:rsidRPr="00121457">
        <w:rPr>
          <w:w w:val="103"/>
        </w:rPr>
        <w:t>i</w:t>
      </w:r>
      <w:r w:rsidRPr="00121457">
        <w:rPr>
          <w:w w:val="103"/>
        </w:rPr>
        <w:t>men competencial existente, una Mesa General de Negociación, de manera que, se puedan alcanzar pactos y acuerdos que contengan materias y cond</w:t>
      </w:r>
      <w:r w:rsidRPr="00121457">
        <w:rPr>
          <w:w w:val="103"/>
        </w:rPr>
        <w:t>i</w:t>
      </w:r>
      <w:r w:rsidRPr="00121457">
        <w:rPr>
          <w:w w:val="103"/>
        </w:rPr>
        <w:t>ciones generales de trabajo comunes al personal funcionario y laboral, que tendrían la consideración y efectos previstos en el estatuto de función pública para los funcionarios y en lo previsto en el estatuto de los trabajadores para el personal laboral. Es decir, para condiciones de trabajo comunes se podrían lograr idénticos acuerdos colectivos con los mismos efectos para todo el pe</w:t>
      </w:r>
      <w:r w:rsidRPr="00121457">
        <w:rPr>
          <w:w w:val="103"/>
        </w:rPr>
        <w:t>r</w:t>
      </w:r>
      <w:r w:rsidRPr="00121457">
        <w:rPr>
          <w:w w:val="103"/>
        </w:rPr>
        <w:t>sonal empleado.</w:t>
      </w:r>
    </w:p>
    <w:p w:rsidR="007E3BFE" w:rsidRPr="00121457" w:rsidRDefault="007E3BFE" w:rsidP="00235AA6">
      <w:pPr>
        <w:pStyle w:val="texto"/>
        <w:rPr>
          <w:w w:val="103"/>
        </w:rPr>
      </w:pPr>
      <w:r w:rsidRPr="00121457">
        <w:rPr>
          <w:w w:val="103"/>
        </w:rPr>
        <w:t>Igualmente, se podría también contemplar la negociación de condiciones  comunes de trabajo a todo el personal de los entes locales de Navarra.</w:t>
      </w:r>
    </w:p>
    <w:p w:rsidR="007E3BFE" w:rsidRPr="00121457" w:rsidRDefault="007E3BFE" w:rsidP="00235AA6">
      <w:pPr>
        <w:pStyle w:val="texto"/>
        <w:rPr>
          <w:w w:val="103"/>
        </w:rPr>
      </w:pPr>
      <w:r w:rsidRPr="00121457">
        <w:rPr>
          <w:w w:val="103"/>
        </w:rPr>
        <w:t>El EBEP contempla de forma más nítida estas posibilidades de negoci</w:t>
      </w:r>
      <w:r w:rsidRPr="00121457">
        <w:rPr>
          <w:w w:val="103"/>
        </w:rPr>
        <w:t>a</w:t>
      </w:r>
      <w:r w:rsidRPr="00121457">
        <w:rPr>
          <w:w w:val="103"/>
        </w:rPr>
        <w:t>ción, que podrían aplicarse en la Comunidad Foral de Navarra, teniendo siempre en cuenta los principios de autonomía local y de la eficacia general de la negociación colectiva a través de organizaciones más representativas.</w:t>
      </w:r>
    </w:p>
    <w:p w:rsidR="007E3BFE" w:rsidRPr="007E3BFE" w:rsidRDefault="007E3BFE" w:rsidP="007E3BFE">
      <w:pPr>
        <w:keepNext/>
        <w:spacing w:after="240"/>
        <w:ind w:firstLine="0"/>
        <w:rPr>
          <w:b/>
          <w:i/>
          <w:iCs/>
          <w:highlight w:val="yellow"/>
        </w:rPr>
      </w:pPr>
      <w:r w:rsidRPr="007E3BFE">
        <w:rPr>
          <w:b/>
          <w:i/>
          <w:iCs/>
          <w:highlight w:val="yellow"/>
        </w:rPr>
        <w:br w:type="page"/>
      </w:r>
    </w:p>
    <w:p w:rsidR="007E3BFE" w:rsidRPr="007E3BFE" w:rsidRDefault="007E3BFE" w:rsidP="00310593">
      <w:pPr>
        <w:pStyle w:val="atitulo1"/>
      </w:pPr>
      <w:bookmarkStart w:id="48" w:name="_Toc465686693"/>
      <w:bookmarkStart w:id="49" w:name="_Toc467847964"/>
      <w:r w:rsidRPr="007E3BFE">
        <w:lastRenderedPageBreak/>
        <w:t>VIII. Conclusiones y recomendaciones</w:t>
      </w:r>
      <w:bookmarkEnd w:id="45"/>
      <w:bookmarkEnd w:id="48"/>
      <w:bookmarkEnd w:id="49"/>
    </w:p>
    <w:p w:rsidR="007E3BFE" w:rsidRPr="007E3BFE" w:rsidRDefault="007E3BFE" w:rsidP="00310593">
      <w:pPr>
        <w:pStyle w:val="texto"/>
        <w:rPr>
          <w:w w:val="103"/>
        </w:rPr>
      </w:pPr>
      <w:r w:rsidRPr="007E3BFE">
        <w:rPr>
          <w:w w:val="103"/>
        </w:rPr>
        <w:t>Las principales conclusiones sobre la organización, fiscalización y situ</w:t>
      </w:r>
      <w:r w:rsidRPr="007E3BFE">
        <w:rPr>
          <w:w w:val="103"/>
        </w:rPr>
        <w:t>a</w:t>
      </w:r>
      <w:r w:rsidRPr="007E3BFE">
        <w:rPr>
          <w:w w:val="103"/>
        </w:rPr>
        <w:t>ción financiera del sector público local en el año 2014 son las siguientes:</w:t>
      </w:r>
    </w:p>
    <w:p w:rsidR="007E3BFE" w:rsidRPr="007E3BFE" w:rsidRDefault="007E3BFE" w:rsidP="007E3BFE">
      <w:pPr>
        <w:numPr>
          <w:ilvl w:val="0"/>
          <w:numId w:val="2"/>
        </w:numPr>
        <w:tabs>
          <w:tab w:val="clear" w:pos="1948"/>
          <w:tab w:val="left" w:pos="480"/>
          <w:tab w:val="num" w:pos="600"/>
          <w:tab w:val="num" w:pos="720"/>
        </w:tabs>
        <w:ind w:left="0" w:firstLine="289"/>
        <w:rPr>
          <w:spacing w:val="6"/>
          <w:sz w:val="26"/>
          <w:szCs w:val="24"/>
        </w:rPr>
      </w:pPr>
      <w:r w:rsidRPr="007E3BFE">
        <w:rPr>
          <w:spacing w:val="6"/>
          <w:sz w:val="26"/>
          <w:szCs w:val="24"/>
        </w:rPr>
        <w:t>El sector público local está conformado por 7</w:t>
      </w:r>
      <w:r w:rsidR="008E5299">
        <w:rPr>
          <w:spacing w:val="6"/>
          <w:sz w:val="26"/>
          <w:szCs w:val="24"/>
        </w:rPr>
        <w:t>03</w:t>
      </w:r>
      <w:r w:rsidRPr="007E3BFE">
        <w:rPr>
          <w:spacing w:val="6"/>
          <w:sz w:val="26"/>
          <w:szCs w:val="24"/>
        </w:rPr>
        <w:t xml:space="preserve"> entes locales: 272 munic</w:t>
      </w:r>
      <w:r w:rsidRPr="007E3BFE">
        <w:rPr>
          <w:spacing w:val="6"/>
          <w:sz w:val="26"/>
          <w:szCs w:val="24"/>
        </w:rPr>
        <w:t>i</w:t>
      </w:r>
      <w:r w:rsidRPr="007E3BFE">
        <w:rPr>
          <w:spacing w:val="6"/>
          <w:sz w:val="26"/>
          <w:szCs w:val="24"/>
        </w:rPr>
        <w:t>pios, 347 concejos, 65 mancomunidades</w:t>
      </w:r>
      <w:r w:rsidR="008E5299">
        <w:rPr>
          <w:spacing w:val="6"/>
          <w:sz w:val="26"/>
          <w:szCs w:val="24"/>
        </w:rPr>
        <w:t xml:space="preserve"> y </w:t>
      </w:r>
      <w:r w:rsidRPr="007E3BFE">
        <w:rPr>
          <w:spacing w:val="6"/>
          <w:sz w:val="26"/>
          <w:szCs w:val="24"/>
        </w:rPr>
        <w:t>1</w:t>
      </w:r>
      <w:r w:rsidR="00B93FB6">
        <w:rPr>
          <w:spacing w:val="6"/>
          <w:sz w:val="26"/>
          <w:szCs w:val="24"/>
        </w:rPr>
        <w:t>9</w:t>
      </w:r>
      <w:r w:rsidRPr="007E3BFE">
        <w:rPr>
          <w:spacing w:val="6"/>
          <w:sz w:val="26"/>
          <w:szCs w:val="24"/>
        </w:rPr>
        <w:t xml:space="preserve"> agrupaciones. Estos entes locales han constituido 12</w:t>
      </w:r>
      <w:r w:rsidR="00B93FB6">
        <w:rPr>
          <w:spacing w:val="6"/>
          <w:sz w:val="26"/>
          <w:szCs w:val="24"/>
        </w:rPr>
        <w:t>8</w:t>
      </w:r>
      <w:r w:rsidRPr="007E3BFE">
        <w:rPr>
          <w:spacing w:val="6"/>
          <w:sz w:val="26"/>
          <w:szCs w:val="24"/>
        </w:rPr>
        <w:t xml:space="preserve"> entes dependientes para la prestación de servi</w:t>
      </w:r>
      <w:r w:rsidR="001242D2">
        <w:rPr>
          <w:spacing w:val="6"/>
          <w:sz w:val="26"/>
          <w:szCs w:val="24"/>
        </w:rPr>
        <w:t xml:space="preserve">cios y forman parte de </w:t>
      </w:r>
      <w:r w:rsidR="008E5299">
        <w:rPr>
          <w:spacing w:val="6"/>
          <w:sz w:val="26"/>
          <w:szCs w:val="24"/>
        </w:rPr>
        <w:t>15</w:t>
      </w:r>
      <w:r w:rsidRPr="007E3BFE">
        <w:rPr>
          <w:spacing w:val="6"/>
          <w:sz w:val="26"/>
          <w:szCs w:val="24"/>
        </w:rPr>
        <w:t xml:space="preserve"> consorcios.</w:t>
      </w:r>
    </w:p>
    <w:p w:rsidR="007E3BFE" w:rsidRPr="007E3BFE" w:rsidRDefault="007E3BFE" w:rsidP="00310593">
      <w:pPr>
        <w:pStyle w:val="texto"/>
        <w:rPr>
          <w:w w:val="103"/>
        </w:rPr>
      </w:pPr>
      <w:r w:rsidRPr="007E3BFE">
        <w:rPr>
          <w:w w:val="103"/>
        </w:rPr>
        <w:t>Persiste el problema de la falta de reordenación de la estructura organiz</w:t>
      </w:r>
      <w:r w:rsidRPr="007E3BFE">
        <w:rPr>
          <w:w w:val="103"/>
        </w:rPr>
        <w:t>a</w:t>
      </w:r>
      <w:r w:rsidRPr="007E3BFE">
        <w:rPr>
          <w:w w:val="103"/>
        </w:rPr>
        <w:t>tiva de la administración local de Navarra, que debe conciliar las actuales demandas de los ciudadanos con una gestión pública eficiente y eficaz en la prestación de servicios.</w:t>
      </w:r>
    </w:p>
    <w:p w:rsidR="007E3BFE" w:rsidRPr="007E3BFE" w:rsidRDefault="00933908" w:rsidP="007E3BFE">
      <w:pPr>
        <w:numPr>
          <w:ilvl w:val="0"/>
          <w:numId w:val="2"/>
        </w:numPr>
        <w:tabs>
          <w:tab w:val="clear" w:pos="1948"/>
          <w:tab w:val="left" w:pos="480"/>
          <w:tab w:val="num" w:pos="600"/>
          <w:tab w:val="num" w:pos="720"/>
        </w:tabs>
        <w:ind w:left="0" w:firstLine="289"/>
        <w:rPr>
          <w:spacing w:val="6"/>
          <w:sz w:val="26"/>
          <w:szCs w:val="24"/>
        </w:rPr>
      </w:pPr>
      <w:r>
        <w:rPr>
          <w:spacing w:val="6"/>
          <w:sz w:val="26"/>
          <w:szCs w:val="24"/>
        </w:rPr>
        <w:t>Queremos destacar el altísimo grado de cumplimiento de obligación de rendición de cuentas, ya que, prácticamente, la totalidad de l</w:t>
      </w:r>
      <w:r w:rsidR="007E3BFE" w:rsidRPr="007E3BFE">
        <w:rPr>
          <w:spacing w:val="6"/>
          <w:sz w:val="26"/>
          <w:szCs w:val="24"/>
        </w:rPr>
        <w:t>as entidades loc</w:t>
      </w:r>
      <w:r w:rsidR="007E3BFE" w:rsidRPr="007E3BFE">
        <w:rPr>
          <w:spacing w:val="6"/>
          <w:sz w:val="26"/>
          <w:szCs w:val="24"/>
        </w:rPr>
        <w:t>a</w:t>
      </w:r>
      <w:r w:rsidR="007E3BFE" w:rsidRPr="007E3BFE">
        <w:rPr>
          <w:spacing w:val="6"/>
          <w:sz w:val="26"/>
          <w:szCs w:val="24"/>
        </w:rPr>
        <w:t>les cumplen</w:t>
      </w:r>
      <w:r>
        <w:rPr>
          <w:spacing w:val="6"/>
          <w:sz w:val="26"/>
          <w:szCs w:val="24"/>
        </w:rPr>
        <w:t xml:space="preserve"> </w:t>
      </w:r>
      <w:r w:rsidR="007E3BFE" w:rsidRPr="007E3BFE">
        <w:rPr>
          <w:spacing w:val="6"/>
          <w:sz w:val="26"/>
          <w:szCs w:val="24"/>
        </w:rPr>
        <w:t xml:space="preserve">con </w:t>
      </w:r>
      <w:r>
        <w:rPr>
          <w:spacing w:val="6"/>
          <w:sz w:val="26"/>
          <w:szCs w:val="24"/>
        </w:rPr>
        <w:t>dicha</w:t>
      </w:r>
      <w:r w:rsidR="007E3BFE" w:rsidRPr="007E3BFE">
        <w:rPr>
          <w:spacing w:val="6"/>
          <w:sz w:val="26"/>
          <w:szCs w:val="24"/>
        </w:rPr>
        <w:t xml:space="preserve"> obligación. Así, el 99 por ciento de los municipios, cuya población representa prácticamente el 100 por 100 de la población total, y el 87 por ciento de los concejos, que representan al 96 por ciento del total de pobl</w:t>
      </w:r>
      <w:r w:rsidR="007E3BFE" w:rsidRPr="007E3BFE">
        <w:rPr>
          <w:spacing w:val="6"/>
          <w:sz w:val="26"/>
          <w:szCs w:val="24"/>
        </w:rPr>
        <w:t>a</w:t>
      </w:r>
      <w:r w:rsidR="007E3BFE" w:rsidRPr="007E3BFE">
        <w:rPr>
          <w:spacing w:val="6"/>
          <w:sz w:val="26"/>
          <w:szCs w:val="24"/>
        </w:rPr>
        <w:t>ción de los mismos, habían remitido la cuenta general de 2014.</w:t>
      </w:r>
    </w:p>
    <w:p w:rsidR="007E3BFE" w:rsidRPr="007E3BFE" w:rsidRDefault="007E3BFE" w:rsidP="007E3BFE">
      <w:pPr>
        <w:numPr>
          <w:ilvl w:val="0"/>
          <w:numId w:val="2"/>
        </w:numPr>
        <w:tabs>
          <w:tab w:val="clear" w:pos="1948"/>
          <w:tab w:val="left" w:pos="480"/>
          <w:tab w:val="num" w:pos="600"/>
          <w:tab w:val="num" w:pos="720"/>
        </w:tabs>
        <w:ind w:left="0" w:firstLine="289"/>
        <w:rPr>
          <w:spacing w:val="6"/>
          <w:sz w:val="26"/>
          <w:szCs w:val="24"/>
        </w:rPr>
      </w:pPr>
      <w:r w:rsidRPr="007E3BFE">
        <w:rPr>
          <w:spacing w:val="6"/>
          <w:sz w:val="26"/>
          <w:szCs w:val="24"/>
        </w:rPr>
        <w:t xml:space="preserve">En el año 2014 se fiscalizaron 15 </w:t>
      </w:r>
      <w:r w:rsidR="00933908">
        <w:rPr>
          <w:spacing w:val="6"/>
          <w:sz w:val="26"/>
          <w:szCs w:val="24"/>
        </w:rPr>
        <w:t>entidades locales</w:t>
      </w:r>
      <w:r w:rsidRPr="007E3BFE">
        <w:rPr>
          <w:spacing w:val="6"/>
          <w:sz w:val="26"/>
          <w:szCs w:val="24"/>
        </w:rPr>
        <w:t xml:space="preserve"> entre l</w:t>
      </w:r>
      <w:r w:rsidR="00933908">
        <w:rPr>
          <w:spacing w:val="6"/>
          <w:sz w:val="26"/>
          <w:szCs w:val="24"/>
        </w:rPr>
        <w:t>a</w:t>
      </w:r>
      <w:r w:rsidRPr="007E3BFE">
        <w:rPr>
          <w:spacing w:val="6"/>
          <w:sz w:val="26"/>
          <w:szCs w:val="24"/>
        </w:rPr>
        <w:t>s cuales se i</w:t>
      </w:r>
      <w:r w:rsidRPr="007E3BFE">
        <w:rPr>
          <w:spacing w:val="6"/>
          <w:sz w:val="26"/>
          <w:szCs w:val="24"/>
        </w:rPr>
        <w:t>n</w:t>
      </w:r>
      <w:r w:rsidRPr="007E3BFE">
        <w:rPr>
          <w:spacing w:val="6"/>
          <w:sz w:val="26"/>
          <w:szCs w:val="24"/>
        </w:rPr>
        <w:t xml:space="preserve">cluyen los 11 </w:t>
      </w:r>
      <w:r w:rsidR="00933908">
        <w:rPr>
          <w:spacing w:val="6"/>
          <w:sz w:val="26"/>
          <w:szCs w:val="24"/>
        </w:rPr>
        <w:t xml:space="preserve">municipios </w:t>
      </w:r>
      <w:r w:rsidRPr="007E3BFE">
        <w:rPr>
          <w:spacing w:val="6"/>
          <w:sz w:val="26"/>
          <w:szCs w:val="24"/>
        </w:rPr>
        <w:t>de mayor población de Navarra. Los ingresos y gastos de l</w:t>
      </w:r>
      <w:r w:rsidR="00933908">
        <w:rPr>
          <w:spacing w:val="6"/>
          <w:sz w:val="26"/>
          <w:szCs w:val="24"/>
        </w:rPr>
        <w:t>a</w:t>
      </w:r>
      <w:r w:rsidRPr="007E3BFE">
        <w:rPr>
          <w:spacing w:val="6"/>
          <w:sz w:val="26"/>
          <w:szCs w:val="24"/>
        </w:rPr>
        <w:t xml:space="preserve">s 15 </w:t>
      </w:r>
      <w:r w:rsidR="00933908">
        <w:rPr>
          <w:spacing w:val="6"/>
          <w:sz w:val="26"/>
          <w:szCs w:val="24"/>
        </w:rPr>
        <w:t>entidades locales</w:t>
      </w:r>
      <w:r w:rsidRPr="007E3BFE">
        <w:rPr>
          <w:spacing w:val="6"/>
          <w:sz w:val="26"/>
          <w:szCs w:val="24"/>
        </w:rPr>
        <w:t xml:space="preserve"> fiscalizad</w:t>
      </w:r>
      <w:r w:rsidR="00933908">
        <w:rPr>
          <w:spacing w:val="6"/>
          <w:sz w:val="26"/>
          <w:szCs w:val="24"/>
        </w:rPr>
        <w:t>a</w:t>
      </w:r>
      <w:r w:rsidRPr="007E3BFE">
        <w:rPr>
          <w:spacing w:val="6"/>
          <w:sz w:val="26"/>
          <w:szCs w:val="24"/>
        </w:rPr>
        <w:t>s representaban el 47 y 48 por ciento de los ingresos y gastos de todo el sector público local de Navarra, respectivame</w:t>
      </w:r>
      <w:r w:rsidRPr="007E3BFE">
        <w:rPr>
          <w:spacing w:val="6"/>
          <w:sz w:val="26"/>
          <w:szCs w:val="24"/>
        </w:rPr>
        <w:t>n</w:t>
      </w:r>
      <w:r w:rsidRPr="007E3BFE">
        <w:rPr>
          <w:spacing w:val="6"/>
          <w:sz w:val="26"/>
          <w:szCs w:val="24"/>
        </w:rPr>
        <w:t>te, y su población, el 59 por ciento del total de habitantes a 1 de enero de 2014.</w:t>
      </w:r>
    </w:p>
    <w:p w:rsidR="007E3BFE" w:rsidRPr="007E3BFE" w:rsidRDefault="007E3BFE" w:rsidP="00310593">
      <w:pPr>
        <w:pStyle w:val="texto"/>
        <w:rPr>
          <w:w w:val="103"/>
        </w:rPr>
      </w:pPr>
      <w:r w:rsidRPr="007E3BFE">
        <w:rPr>
          <w:w w:val="103"/>
        </w:rPr>
        <w:t>Las principales deficiencias detectadas en las fiscalizaciones se refieren a la inexistencia de un inventario valorado y actualizado y a la falta de aprob</w:t>
      </w:r>
      <w:r w:rsidRPr="007E3BFE">
        <w:rPr>
          <w:w w:val="103"/>
        </w:rPr>
        <w:t>a</w:t>
      </w:r>
      <w:r w:rsidRPr="007E3BFE">
        <w:rPr>
          <w:w w:val="103"/>
        </w:rPr>
        <w:t xml:space="preserve">ción del presupuesto en los plazos </w:t>
      </w:r>
      <w:r w:rsidR="00933908">
        <w:rPr>
          <w:w w:val="103"/>
        </w:rPr>
        <w:t>establecidos, que en determinadas ocasi</w:t>
      </w:r>
      <w:r w:rsidR="00933908">
        <w:rPr>
          <w:w w:val="103"/>
        </w:rPr>
        <w:t>o</w:t>
      </w:r>
      <w:r w:rsidR="00933908">
        <w:rPr>
          <w:w w:val="103"/>
        </w:rPr>
        <w:t>nes, puede estar motivada por falta de acuerdo de los componentes del ó</w:t>
      </w:r>
      <w:r w:rsidR="00933908">
        <w:rPr>
          <w:w w:val="103"/>
        </w:rPr>
        <w:t>r</w:t>
      </w:r>
      <w:r w:rsidR="00933908">
        <w:rPr>
          <w:w w:val="103"/>
        </w:rPr>
        <w:t>gano competente.</w:t>
      </w:r>
    </w:p>
    <w:p w:rsidR="007E3BFE" w:rsidRPr="00310593" w:rsidRDefault="007E3BFE" w:rsidP="00310593">
      <w:pPr>
        <w:numPr>
          <w:ilvl w:val="0"/>
          <w:numId w:val="2"/>
        </w:numPr>
        <w:tabs>
          <w:tab w:val="clear" w:pos="1948"/>
          <w:tab w:val="left" w:pos="480"/>
          <w:tab w:val="num" w:pos="600"/>
          <w:tab w:val="num" w:pos="720"/>
        </w:tabs>
        <w:ind w:left="0" w:firstLine="289"/>
        <w:rPr>
          <w:spacing w:val="6"/>
          <w:sz w:val="26"/>
          <w:szCs w:val="24"/>
        </w:rPr>
      </w:pPr>
      <w:r w:rsidRPr="007E3BFE">
        <w:rPr>
          <w:spacing w:val="6"/>
          <w:sz w:val="26"/>
          <w:szCs w:val="24"/>
        </w:rPr>
        <w:t>En cuanto a la situación financiera consolidada, en 2014 la totalidad de i</w:t>
      </w:r>
      <w:r w:rsidRPr="007E3BFE">
        <w:rPr>
          <w:spacing w:val="6"/>
          <w:sz w:val="26"/>
          <w:szCs w:val="24"/>
        </w:rPr>
        <w:t>n</w:t>
      </w:r>
      <w:r w:rsidRPr="007E3BFE">
        <w:rPr>
          <w:spacing w:val="6"/>
          <w:sz w:val="26"/>
          <w:szCs w:val="24"/>
        </w:rPr>
        <w:t>gresos y gastos se mantuvieron prácticamente igual que en 2013 aumentando los primeros un 0,6 por ciento y disminuyendo los segundos un 0,7 por ciento. Este porcentaje de descenso supera ligeramente el 20 por ciento comparando los datos con los de 2010.</w:t>
      </w:r>
    </w:p>
    <w:p w:rsidR="007E3BFE" w:rsidRPr="007E3BFE" w:rsidRDefault="007E3BFE" w:rsidP="00310593">
      <w:pPr>
        <w:pStyle w:val="texto"/>
        <w:rPr>
          <w:w w:val="103"/>
        </w:rPr>
      </w:pPr>
      <w:r w:rsidRPr="007E3BFE">
        <w:rPr>
          <w:w w:val="103"/>
        </w:rPr>
        <w:t>En cuanto a la composición de los gastos e ingresos más relevantes del presupuesto, los gastos de funcionamiento alcanzaron los 583,79 millones de euros disminuyendo un uno por ciento respecto a 2010 y aumentando tan solo un 0,1 por ciento sobre los de 2013. Por otro lado, los ingresos tributarios a</w:t>
      </w:r>
      <w:r w:rsidRPr="007E3BFE">
        <w:rPr>
          <w:w w:val="103"/>
        </w:rPr>
        <w:t>l</w:t>
      </w:r>
      <w:r w:rsidRPr="007E3BFE">
        <w:rPr>
          <w:w w:val="103"/>
        </w:rPr>
        <w:t>canzaron los 348,78 millones aumentando un tres y un 1,3 por ciento respe</w:t>
      </w:r>
      <w:r w:rsidRPr="007E3BFE">
        <w:rPr>
          <w:w w:val="103"/>
        </w:rPr>
        <w:t>c</w:t>
      </w:r>
      <w:r w:rsidRPr="007E3BFE">
        <w:rPr>
          <w:w w:val="103"/>
        </w:rPr>
        <w:t>to a los de 2010 y 2013.</w:t>
      </w:r>
    </w:p>
    <w:p w:rsidR="007E3BFE" w:rsidRPr="007E3BFE" w:rsidRDefault="007E3BFE" w:rsidP="00310593">
      <w:pPr>
        <w:pStyle w:val="texto"/>
        <w:rPr>
          <w:w w:val="103"/>
        </w:rPr>
      </w:pPr>
      <w:r w:rsidRPr="007E3BFE">
        <w:rPr>
          <w:w w:val="103"/>
        </w:rPr>
        <w:lastRenderedPageBreak/>
        <w:t xml:space="preserve">El sector público local obtuvo un </w:t>
      </w:r>
      <w:r w:rsidR="00B93FB6">
        <w:rPr>
          <w:w w:val="103"/>
        </w:rPr>
        <w:t xml:space="preserve">resultado no financiero de 56,02 </w:t>
      </w:r>
      <w:r w:rsidRPr="007E3BFE">
        <w:rPr>
          <w:w w:val="103"/>
        </w:rPr>
        <w:t>mill</w:t>
      </w:r>
      <w:r w:rsidRPr="007E3BFE">
        <w:rPr>
          <w:w w:val="103"/>
        </w:rPr>
        <w:t>o</w:t>
      </w:r>
      <w:r w:rsidRPr="007E3BFE">
        <w:rPr>
          <w:w w:val="103"/>
        </w:rPr>
        <w:t>nes de euros, un ahorro neto de 70,89 millones y un remanente de tesorería para gastos generales de 169,07 millones.</w:t>
      </w:r>
    </w:p>
    <w:p w:rsidR="007E3BFE" w:rsidRPr="007E3BFE" w:rsidRDefault="007E3BFE" w:rsidP="00310593">
      <w:pPr>
        <w:pStyle w:val="texto"/>
        <w:rPr>
          <w:w w:val="103"/>
        </w:rPr>
      </w:pPr>
      <w:r w:rsidRPr="007E3BFE">
        <w:rPr>
          <w:w w:val="103"/>
        </w:rPr>
        <w:t>La deuda viva en 2014 ascendía a 336,76 millones de euros y los entes l</w:t>
      </w:r>
      <w:r w:rsidRPr="007E3BFE">
        <w:rPr>
          <w:w w:val="103"/>
        </w:rPr>
        <w:t>o</w:t>
      </w:r>
      <w:r w:rsidRPr="007E3BFE">
        <w:rPr>
          <w:w w:val="103"/>
        </w:rPr>
        <w:t>cales presentaban una capacidad de endeudamiento de hasta el 10,22 por ciento de sus ingresos corrientes.</w:t>
      </w:r>
    </w:p>
    <w:p w:rsidR="00933908" w:rsidRDefault="00933908" w:rsidP="00310593">
      <w:pPr>
        <w:pStyle w:val="texto"/>
        <w:rPr>
          <w:w w:val="103"/>
        </w:rPr>
      </w:pPr>
      <w:r>
        <w:rPr>
          <w:w w:val="103"/>
        </w:rPr>
        <w:t>El sector público local obtu</w:t>
      </w:r>
      <w:r w:rsidR="007E3BFE" w:rsidRPr="007E3BFE">
        <w:rPr>
          <w:w w:val="103"/>
        </w:rPr>
        <w:t>vo ahorro neto</w:t>
      </w:r>
      <w:r>
        <w:rPr>
          <w:w w:val="103"/>
        </w:rPr>
        <w:t xml:space="preserve"> y dispuso </w:t>
      </w:r>
      <w:r w:rsidR="007E3BFE" w:rsidRPr="007E3BFE">
        <w:rPr>
          <w:w w:val="103"/>
        </w:rPr>
        <w:t>de capacidad de e</w:t>
      </w:r>
      <w:r w:rsidR="007E3BFE" w:rsidRPr="007E3BFE">
        <w:rPr>
          <w:w w:val="103"/>
        </w:rPr>
        <w:t>n</w:t>
      </w:r>
      <w:r w:rsidR="007E3BFE" w:rsidRPr="007E3BFE">
        <w:rPr>
          <w:w w:val="103"/>
        </w:rPr>
        <w:t>deudamiento y de recursos de ejercicios anteriores</w:t>
      </w:r>
      <w:r>
        <w:rPr>
          <w:w w:val="103"/>
        </w:rPr>
        <w:t>.</w:t>
      </w:r>
      <w:r w:rsidR="007E3BFE" w:rsidRPr="007E3BFE">
        <w:rPr>
          <w:w w:val="103"/>
        </w:rPr>
        <w:t xml:space="preserve"> </w:t>
      </w:r>
    </w:p>
    <w:p w:rsidR="00933908" w:rsidRDefault="00933908" w:rsidP="00310593">
      <w:pPr>
        <w:pStyle w:val="texto"/>
        <w:rPr>
          <w:w w:val="103"/>
        </w:rPr>
      </w:pPr>
      <w:r w:rsidRPr="007E3BFE">
        <w:rPr>
          <w:w w:val="103"/>
        </w:rPr>
        <w:t>A</w:t>
      </w:r>
      <w:r>
        <w:rPr>
          <w:w w:val="103"/>
        </w:rPr>
        <w:t>demás</w:t>
      </w:r>
      <w:r w:rsidRPr="007E3BFE">
        <w:rPr>
          <w:w w:val="103"/>
        </w:rPr>
        <w:t>, obtuv</w:t>
      </w:r>
      <w:r>
        <w:rPr>
          <w:w w:val="103"/>
        </w:rPr>
        <w:t>o</w:t>
      </w:r>
      <w:r w:rsidRPr="007E3BFE">
        <w:rPr>
          <w:w w:val="103"/>
        </w:rPr>
        <w:t xml:space="preserve"> una capacidad de financiación de 29,01 millones de euros y la deuda viva se situaba en el 48,55 por ciento de los ingresos corrientes, por debajo del límite del 110 por ciento establecido legalmente.</w:t>
      </w:r>
    </w:p>
    <w:p w:rsidR="007E3BFE" w:rsidRPr="007E3BFE" w:rsidRDefault="00933908" w:rsidP="00310593">
      <w:pPr>
        <w:pStyle w:val="texto"/>
        <w:rPr>
          <w:w w:val="103"/>
        </w:rPr>
      </w:pPr>
      <w:r>
        <w:rPr>
          <w:w w:val="103"/>
        </w:rPr>
        <w:t>En definitiva, la situación económica del sector público local es saneada, todos los indicadores económico-financieros muestran una evolución favor</w:t>
      </w:r>
      <w:r>
        <w:rPr>
          <w:w w:val="103"/>
        </w:rPr>
        <w:t>a</w:t>
      </w:r>
      <w:r>
        <w:rPr>
          <w:w w:val="103"/>
        </w:rPr>
        <w:t xml:space="preserve">ble, si bien </w:t>
      </w:r>
      <w:r w:rsidR="007E3BFE" w:rsidRPr="007E3BFE">
        <w:rPr>
          <w:w w:val="103"/>
        </w:rPr>
        <w:t>la realización de gastos no financieros y la capacidad de ende</w:t>
      </w:r>
      <w:r w:rsidR="007E3BFE" w:rsidRPr="007E3BFE">
        <w:rPr>
          <w:w w:val="103"/>
        </w:rPr>
        <w:t>u</w:t>
      </w:r>
      <w:r w:rsidR="007E3BFE" w:rsidRPr="007E3BFE">
        <w:rPr>
          <w:w w:val="103"/>
        </w:rPr>
        <w:t>damiento están limitados por el cumplimiento de los objetivos de estabilidad y sostenibilidad financiera, objetivos que el sector público local en su co</w:t>
      </w:r>
      <w:r w:rsidR="007E3BFE" w:rsidRPr="007E3BFE">
        <w:rPr>
          <w:w w:val="103"/>
        </w:rPr>
        <w:t>n</w:t>
      </w:r>
      <w:r w:rsidR="007E3BFE" w:rsidRPr="007E3BFE">
        <w:rPr>
          <w:w w:val="103"/>
        </w:rPr>
        <w:t>junto cumpl</w:t>
      </w:r>
      <w:r>
        <w:rPr>
          <w:w w:val="103"/>
        </w:rPr>
        <w:t>ió</w:t>
      </w:r>
      <w:r w:rsidR="007E3BFE" w:rsidRPr="007E3BFE">
        <w:rPr>
          <w:w w:val="103"/>
        </w:rPr>
        <w:t xml:space="preserve"> en el ejercicio 2014.</w:t>
      </w:r>
      <w:r w:rsidR="008E5299">
        <w:rPr>
          <w:w w:val="103"/>
        </w:rPr>
        <w:t xml:space="preserve"> Asimismo, habría que analizar el impacto que ha tenido la evolución de estos indicadores en el número de contrataci</w:t>
      </w:r>
      <w:r w:rsidR="008E5299">
        <w:rPr>
          <w:w w:val="103"/>
        </w:rPr>
        <w:t>o</w:t>
      </w:r>
      <w:r w:rsidR="008E5299">
        <w:rPr>
          <w:w w:val="103"/>
        </w:rPr>
        <w:t>nes y por ende en la cantidad y calidad de los servicios prestados.</w:t>
      </w:r>
    </w:p>
    <w:p w:rsidR="007E3BFE" w:rsidRDefault="007E3BFE" w:rsidP="007E3BFE">
      <w:pPr>
        <w:numPr>
          <w:ilvl w:val="0"/>
          <w:numId w:val="2"/>
        </w:numPr>
        <w:tabs>
          <w:tab w:val="clear" w:pos="1948"/>
          <w:tab w:val="left" w:pos="480"/>
          <w:tab w:val="num" w:pos="600"/>
          <w:tab w:val="num" w:pos="720"/>
        </w:tabs>
        <w:ind w:left="0" w:firstLine="289"/>
        <w:rPr>
          <w:spacing w:val="6"/>
          <w:sz w:val="26"/>
          <w:szCs w:val="24"/>
        </w:rPr>
      </w:pPr>
      <w:r w:rsidRPr="007E3BFE">
        <w:rPr>
          <w:spacing w:val="6"/>
          <w:sz w:val="26"/>
          <w:szCs w:val="24"/>
        </w:rPr>
        <w:t>La contabilidad local en Navarra está regulada sobre la base del Plan Gen</w:t>
      </w:r>
      <w:r w:rsidRPr="007E3BFE">
        <w:rPr>
          <w:spacing w:val="6"/>
          <w:sz w:val="26"/>
          <w:szCs w:val="24"/>
        </w:rPr>
        <w:t>e</w:t>
      </w:r>
      <w:r w:rsidRPr="007E3BFE">
        <w:rPr>
          <w:spacing w:val="6"/>
          <w:sz w:val="26"/>
          <w:szCs w:val="24"/>
        </w:rPr>
        <w:t xml:space="preserve">ral de Contabilidad Pública adaptado a la Administración local aprobado por Orden Ministerial de </w:t>
      </w:r>
      <w:smartTag w:uri="urn:schemas-microsoft-com:office:smarttags" w:element="date">
        <w:smartTagPr>
          <w:attr w:name="ls" w:val="trans"/>
          <w:attr w:name="Month" w:val="7"/>
          <w:attr w:name="Day" w:val="17"/>
          <w:attr w:name="Year" w:val="1990"/>
        </w:smartTagPr>
        <w:r w:rsidRPr="007E3BFE">
          <w:rPr>
            <w:spacing w:val="6"/>
            <w:sz w:val="26"/>
            <w:szCs w:val="24"/>
          </w:rPr>
          <w:t>17 de julio de 1990</w:t>
        </w:r>
      </w:smartTag>
      <w:r w:rsidRPr="007E3BFE">
        <w:rPr>
          <w:spacing w:val="6"/>
          <w:sz w:val="26"/>
          <w:szCs w:val="24"/>
        </w:rPr>
        <w:t>. No se han dictado normas sobre co</w:t>
      </w:r>
      <w:r w:rsidRPr="007E3BFE">
        <w:rPr>
          <w:spacing w:val="6"/>
          <w:sz w:val="26"/>
          <w:szCs w:val="24"/>
        </w:rPr>
        <w:t>n</w:t>
      </w:r>
      <w:r w:rsidRPr="007E3BFE">
        <w:rPr>
          <w:spacing w:val="6"/>
          <w:sz w:val="26"/>
          <w:szCs w:val="24"/>
        </w:rPr>
        <w:t>solidación de los estados contables de la entidad local y sus entes dependientes</w:t>
      </w:r>
      <w:r w:rsidR="00227087">
        <w:rPr>
          <w:spacing w:val="6"/>
          <w:sz w:val="26"/>
          <w:szCs w:val="24"/>
        </w:rPr>
        <w:t>.</w:t>
      </w:r>
    </w:p>
    <w:p w:rsidR="00227087" w:rsidRPr="00227087" w:rsidRDefault="00227087" w:rsidP="00227087">
      <w:pPr>
        <w:pStyle w:val="texto"/>
        <w:rPr>
          <w:w w:val="103"/>
        </w:rPr>
      </w:pPr>
      <w:r w:rsidRPr="00227087">
        <w:rPr>
          <w:w w:val="103"/>
        </w:rPr>
        <w:t>Actualmente se han formado grupos de trabajo en el departamento comp</w:t>
      </w:r>
      <w:r w:rsidRPr="00227087">
        <w:rPr>
          <w:w w:val="103"/>
        </w:rPr>
        <w:t>e</w:t>
      </w:r>
      <w:r w:rsidRPr="00227087">
        <w:rPr>
          <w:w w:val="103"/>
        </w:rPr>
        <w:t>tente en materia de Administración Local para abordar la reforma de la co</w:t>
      </w:r>
      <w:r w:rsidRPr="00227087">
        <w:rPr>
          <w:w w:val="103"/>
        </w:rPr>
        <w:t>n</w:t>
      </w:r>
      <w:r w:rsidRPr="00227087">
        <w:rPr>
          <w:w w:val="103"/>
        </w:rPr>
        <w:t>tabilidad en el ámbito local.</w:t>
      </w:r>
    </w:p>
    <w:p w:rsidR="001242D2" w:rsidRPr="007E3BFE" w:rsidRDefault="001242D2" w:rsidP="007E3BFE">
      <w:pPr>
        <w:numPr>
          <w:ilvl w:val="0"/>
          <w:numId w:val="2"/>
        </w:numPr>
        <w:tabs>
          <w:tab w:val="clear" w:pos="1948"/>
          <w:tab w:val="left" w:pos="480"/>
          <w:tab w:val="num" w:pos="600"/>
          <w:tab w:val="num" w:pos="720"/>
        </w:tabs>
        <w:ind w:left="0" w:firstLine="289"/>
        <w:rPr>
          <w:spacing w:val="6"/>
          <w:sz w:val="26"/>
          <w:szCs w:val="24"/>
        </w:rPr>
      </w:pPr>
      <w:r>
        <w:rPr>
          <w:spacing w:val="6"/>
          <w:sz w:val="26"/>
          <w:szCs w:val="24"/>
        </w:rPr>
        <w:t xml:space="preserve">Del análisis jurídico realizado sobre los convenios y acuerdos colectivos al personal de una muestra de </w:t>
      </w:r>
      <w:r w:rsidR="004E7D1E">
        <w:rPr>
          <w:spacing w:val="6"/>
          <w:sz w:val="26"/>
          <w:szCs w:val="24"/>
        </w:rPr>
        <w:t>municipio</w:t>
      </w:r>
      <w:r>
        <w:rPr>
          <w:spacing w:val="6"/>
          <w:sz w:val="26"/>
          <w:szCs w:val="24"/>
        </w:rPr>
        <w:t>s se deriva que pueden existir diferencias entre unos entes y otros en materias de condiciones de trabajo de sus emple</w:t>
      </w:r>
      <w:r>
        <w:rPr>
          <w:spacing w:val="6"/>
          <w:sz w:val="26"/>
          <w:szCs w:val="24"/>
        </w:rPr>
        <w:t>a</w:t>
      </w:r>
      <w:r>
        <w:rPr>
          <w:spacing w:val="6"/>
          <w:sz w:val="26"/>
          <w:szCs w:val="24"/>
        </w:rPr>
        <w:t>dos, y además, en un</w:t>
      </w:r>
      <w:r w:rsidR="004E7D1E">
        <w:rPr>
          <w:spacing w:val="6"/>
          <w:sz w:val="26"/>
          <w:szCs w:val="24"/>
        </w:rPr>
        <w:t>a</w:t>
      </w:r>
      <w:r>
        <w:rPr>
          <w:spacing w:val="6"/>
          <w:sz w:val="26"/>
          <w:szCs w:val="24"/>
        </w:rPr>
        <w:t xml:space="preserve"> mism</w:t>
      </w:r>
      <w:r w:rsidR="004E7D1E">
        <w:rPr>
          <w:spacing w:val="6"/>
          <w:sz w:val="26"/>
          <w:szCs w:val="24"/>
        </w:rPr>
        <w:t>a</w:t>
      </w:r>
      <w:r>
        <w:rPr>
          <w:spacing w:val="6"/>
          <w:sz w:val="26"/>
          <w:szCs w:val="24"/>
        </w:rPr>
        <w:t xml:space="preserve"> ent</w:t>
      </w:r>
      <w:r w:rsidR="004E7D1E">
        <w:rPr>
          <w:spacing w:val="6"/>
          <w:sz w:val="26"/>
          <w:szCs w:val="24"/>
        </w:rPr>
        <w:t>idad</w:t>
      </w:r>
      <w:r>
        <w:rPr>
          <w:spacing w:val="6"/>
          <w:sz w:val="26"/>
          <w:szCs w:val="24"/>
        </w:rPr>
        <w:t xml:space="preserve"> se pueden dar diferencias entre unos e</w:t>
      </w:r>
      <w:r>
        <w:rPr>
          <w:spacing w:val="6"/>
          <w:sz w:val="26"/>
          <w:szCs w:val="24"/>
        </w:rPr>
        <w:t>m</w:t>
      </w:r>
      <w:r>
        <w:rPr>
          <w:spacing w:val="6"/>
          <w:sz w:val="26"/>
          <w:szCs w:val="24"/>
        </w:rPr>
        <w:t>pleados y otros</w:t>
      </w:r>
      <w:r w:rsidR="004E7D1E">
        <w:rPr>
          <w:spacing w:val="6"/>
          <w:sz w:val="26"/>
          <w:szCs w:val="24"/>
        </w:rPr>
        <w:t xml:space="preserve"> de su condición de funcionario o contratado.</w:t>
      </w:r>
    </w:p>
    <w:p w:rsidR="007E3BFE" w:rsidRPr="007E3BFE" w:rsidRDefault="007E3BFE" w:rsidP="00310593">
      <w:pPr>
        <w:pStyle w:val="texto"/>
        <w:rPr>
          <w:w w:val="103"/>
        </w:rPr>
      </w:pPr>
      <w:r w:rsidRPr="007E3BFE">
        <w:rPr>
          <w:w w:val="103"/>
        </w:rPr>
        <w:t xml:space="preserve">Las recomendaciones de esta Cámara a la Administración de </w:t>
      </w:r>
      <w:smartTag w:uri="urn:schemas-microsoft-com:office:smarttags" w:element="PersonName">
        <w:smartTagPr>
          <w:attr w:name="ProductID" w:val="la Comunidad Foral"/>
        </w:smartTagPr>
        <w:r w:rsidRPr="007E3BFE">
          <w:rPr>
            <w:w w:val="103"/>
          </w:rPr>
          <w:t>la Comun</w:t>
        </w:r>
        <w:r w:rsidRPr="007E3BFE">
          <w:rPr>
            <w:w w:val="103"/>
          </w:rPr>
          <w:t>i</w:t>
        </w:r>
        <w:r w:rsidRPr="007E3BFE">
          <w:rPr>
            <w:w w:val="103"/>
          </w:rPr>
          <w:t>dad Foral</w:t>
        </w:r>
      </w:smartTag>
      <w:r w:rsidRPr="007E3BFE">
        <w:rPr>
          <w:w w:val="103"/>
        </w:rPr>
        <w:t xml:space="preserve"> y al Parlamento son las siguientes:</w:t>
      </w:r>
    </w:p>
    <w:p w:rsidR="007E3BFE" w:rsidRPr="00310593" w:rsidRDefault="00933908" w:rsidP="007E3BFE">
      <w:pPr>
        <w:numPr>
          <w:ilvl w:val="0"/>
          <w:numId w:val="2"/>
        </w:numPr>
        <w:tabs>
          <w:tab w:val="clear" w:pos="1948"/>
          <w:tab w:val="left" w:pos="480"/>
          <w:tab w:val="num" w:pos="600"/>
          <w:tab w:val="num" w:pos="720"/>
        </w:tabs>
        <w:ind w:left="0" w:firstLine="289"/>
        <w:rPr>
          <w:i/>
          <w:spacing w:val="6"/>
          <w:sz w:val="26"/>
          <w:szCs w:val="24"/>
        </w:rPr>
      </w:pPr>
      <w:r>
        <w:rPr>
          <w:i/>
          <w:spacing w:val="6"/>
          <w:sz w:val="26"/>
          <w:szCs w:val="24"/>
        </w:rPr>
        <w:t>Concluir los procesos iniciados para a</w:t>
      </w:r>
      <w:r w:rsidR="007E3BFE" w:rsidRPr="00310593">
        <w:rPr>
          <w:i/>
          <w:spacing w:val="6"/>
          <w:sz w:val="26"/>
          <w:szCs w:val="24"/>
        </w:rPr>
        <w:t>doptar con carácter prioritario y urgente las medidas legislativas y administrativas precisas para actualizar, r</w:t>
      </w:r>
      <w:r w:rsidR="007E3BFE" w:rsidRPr="00310593">
        <w:rPr>
          <w:i/>
          <w:spacing w:val="6"/>
          <w:sz w:val="26"/>
          <w:szCs w:val="24"/>
        </w:rPr>
        <w:t>a</w:t>
      </w:r>
      <w:r w:rsidR="007E3BFE" w:rsidRPr="00310593">
        <w:rPr>
          <w:i/>
          <w:spacing w:val="6"/>
          <w:sz w:val="26"/>
          <w:szCs w:val="24"/>
        </w:rPr>
        <w:t>cionalizar y reestructurar la administración local de Navarra, con el fin de que los entes locales puedan prestar los servicios con eficiencia, economía, efic</w:t>
      </w:r>
      <w:r w:rsidR="007E3BFE" w:rsidRPr="00310593">
        <w:rPr>
          <w:i/>
          <w:spacing w:val="6"/>
          <w:sz w:val="26"/>
          <w:szCs w:val="24"/>
        </w:rPr>
        <w:t>a</w:t>
      </w:r>
      <w:r w:rsidR="007E3BFE" w:rsidRPr="00310593">
        <w:rPr>
          <w:i/>
          <w:spacing w:val="6"/>
          <w:sz w:val="26"/>
          <w:szCs w:val="24"/>
        </w:rPr>
        <w:t>cia y calidad, y cuenten con recursos humanos y financieros suficientes para tal fin.</w:t>
      </w:r>
    </w:p>
    <w:p w:rsidR="007E3BFE" w:rsidRPr="007E3BFE" w:rsidRDefault="007E3BFE" w:rsidP="00310593">
      <w:pPr>
        <w:pStyle w:val="texto"/>
        <w:rPr>
          <w:w w:val="103"/>
        </w:rPr>
      </w:pPr>
      <w:r w:rsidRPr="007E3BFE">
        <w:rPr>
          <w:w w:val="103"/>
        </w:rPr>
        <w:lastRenderedPageBreak/>
        <w:t>La adopción de estas medidas implica a toda la sociedad navarra y a sus poderes públicos, por lo que debe procurarse alcanzar un amplio consenso, salvaguardando la voluntad y los intereses legítimos de los ciudadanos y ejerciendo un liderazgo político-institucional para su implementación.</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Acometer la reforma de la contabilidad local adaptándola al vigente Plan General de Contabilidad Pública.</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Adoptar las medidas legislativas oportunas sobre la metodología para la consolidación de los estados contables de los entes locales y sus sociedades mercantiles públicas, al objeto de proporcionar una visión integral de la act</w:t>
      </w:r>
      <w:r w:rsidRPr="007E3BFE">
        <w:rPr>
          <w:i/>
          <w:spacing w:val="6"/>
          <w:sz w:val="26"/>
          <w:szCs w:val="24"/>
        </w:rPr>
        <w:t>i</w:t>
      </w:r>
      <w:r w:rsidRPr="007E3BFE">
        <w:rPr>
          <w:i/>
          <w:spacing w:val="6"/>
          <w:sz w:val="26"/>
          <w:szCs w:val="24"/>
        </w:rPr>
        <w:t>vidad realizada por todo el sector público local.</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Acometer los desarrollos normativos establecidos en la atribución de co</w:t>
      </w:r>
      <w:r w:rsidRPr="007E3BFE">
        <w:rPr>
          <w:i/>
          <w:spacing w:val="6"/>
          <w:sz w:val="26"/>
          <w:szCs w:val="24"/>
        </w:rPr>
        <w:t>m</w:t>
      </w:r>
      <w:r w:rsidRPr="007E3BFE">
        <w:rPr>
          <w:i/>
          <w:spacing w:val="6"/>
          <w:sz w:val="26"/>
          <w:szCs w:val="24"/>
        </w:rPr>
        <w:t xml:space="preserve">petencias a Navarra de la Disposición </w:t>
      </w:r>
      <w:r w:rsidR="00A9598B">
        <w:rPr>
          <w:i/>
          <w:spacing w:val="6"/>
          <w:sz w:val="26"/>
          <w:szCs w:val="24"/>
        </w:rPr>
        <w:t>segunda</w:t>
      </w:r>
      <w:r w:rsidRPr="007E3BFE">
        <w:rPr>
          <w:i/>
          <w:spacing w:val="6"/>
          <w:sz w:val="26"/>
          <w:szCs w:val="24"/>
        </w:rPr>
        <w:t xml:space="preserve"> de la Ley 27/2013 de Racion</w:t>
      </w:r>
      <w:r w:rsidRPr="007E3BFE">
        <w:rPr>
          <w:i/>
          <w:spacing w:val="6"/>
          <w:sz w:val="26"/>
          <w:szCs w:val="24"/>
        </w:rPr>
        <w:t>a</w:t>
      </w:r>
      <w:r w:rsidRPr="007E3BFE">
        <w:rPr>
          <w:i/>
          <w:spacing w:val="6"/>
          <w:sz w:val="26"/>
          <w:szCs w:val="24"/>
        </w:rPr>
        <w:t>lización y Sostenibilidad Financiera de la Administración Local.</w:t>
      </w:r>
    </w:p>
    <w:p w:rsid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 xml:space="preserve">Establecer </w:t>
      </w:r>
      <w:r w:rsidR="00227087">
        <w:rPr>
          <w:i/>
          <w:spacing w:val="6"/>
          <w:sz w:val="26"/>
          <w:szCs w:val="24"/>
        </w:rPr>
        <w:t>la normativa y</w:t>
      </w:r>
      <w:r w:rsidRPr="007E3BFE">
        <w:rPr>
          <w:i/>
          <w:spacing w:val="6"/>
          <w:sz w:val="26"/>
          <w:szCs w:val="24"/>
        </w:rPr>
        <w:t xml:space="preserve"> procedimientos para el ejercicio de la tutela f</w:t>
      </w:r>
      <w:r w:rsidRPr="007E3BFE">
        <w:rPr>
          <w:i/>
          <w:spacing w:val="6"/>
          <w:sz w:val="26"/>
          <w:szCs w:val="24"/>
        </w:rPr>
        <w:t>i</w:t>
      </w:r>
      <w:r w:rsidRPr="007E3BFE">
        <w:rPr>
          <w:i/>
          <w:spacing w:val="6"/>
          <w:sz w:val="26"/>
          <w:szCs w:val="24"/>
        </w:rPr>
        <w:t>nanciera que la Administración Foral debe ejercer en relación con la aplic</w:t>
      </w:r>
      <w:r w:rsidRPr="007E3BFE">
        <w:rPr>
          <w:i/>
          <w:spacing w:val="6"/>
          <w:sz w:val="26"/>
          <w:szCs w:val="24"/>
        </w:rPr>
        <w:t>a</w:t>
      </w:r>
      <w:r w:rsidRPr="007E3BFE">
        <w:rPr>
          <w:i/>
          <w:spacing w:val="6"/>
          <w:sz w:val="26"/>
          <w:szCs w:val="24"/>
        </w:rPr>
        <w:t>ción a las entidades locales de la Comunidad Foral de la Ley Orgánica 2/2012, de 27 de abril, de Estabilidad Presupuestaria y Sostenibilidad Financiera.</w:t>
      </w:r>
    </w:p>
    <w:p w:rsidR="00B93FB6" w:rsidRPr="007E3BFE" w:rsidRDefault="00B93FB6" w:rsidP="007E3BFE">
      <w:pPr>
        <w:numPr>
          <w:ilvl w:val="0"/>
          <w:numId w:val="2"/>
        </w:numPr>
        <w:tabs>
          <w:tab w:val="clear" w:pos="1948"/>
          <w:tab w:val="left" w:pos="480"/>
          <w:tab w:val="num" w:pos="600"/>
          <w:tab w:val="num" w:pos="720"/>
        </w:tabs>
        <w:ind w:left="0" w:firstLine="289"/>
        <w:rPr>
          <w:i/>
          <w:spacing w:val="6"/>
          <w:sz w:val="26"/>
          <w:szCs w:val="24"/>
        </w:rPr>
      </w:pPr>
      <w:r>
        <w:rPr>
          <w:i/>
          <w:spacing w:val="6"/>
          <w:sz w:val="26"/>
          <w:szCs w:val="24"/>
        </w:rPr>
        <w:t>Publicar en la página web del departamento competente en materia de Administración Local la información referida a la rendición y contenido de cuentas de las entidades locales en aras al cumplimiento de la Ley de Transp</w:t>
      </w:r>
      <w:r>
        <w:rPr>
          <w:i/>
          <w:spacing w:val="6"/>
          <w:sz w:val="26"/>
          <w:szCs w:val="24"/>
        </w:rPr>
        <w:t>a</w:t>
      </w:r>
      <w:r>
        <w:rPr>
          <w:i/>
          <w:spacing w:val="6"/>
          <w:sz w:val="26"/>
          <w:szCs w:val="24"/>
        </w:rPr>
        <w:t>rencia.</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Completar la actualización del registro de entidades locales con la info</w:t>
      </w:r>
      <w:r w:rsidRPr="007E3BFE">
        <w:rPr>
          <w:i/>
          <w:spacing w:val="6"/>
          <w:sz w:val="26"/>
          <w:szCs w:val="24"/>
        </w:rPr>
        <w:t>r</w:t>
      </w:r>
      <w:r w:rsidRPr="007E3BFE">
        <w:rPr>
          <w:i/>
          <w:spacing w:val="6"/>
          <w:sz w:val="26"/>
          <w:szCs w:val="24"/>
        </w:rPr>
        <w:t>mación referida a las sociedades públicas y fundaciones locales.</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Reforzar los mecanismos para garantizar el cumplimiento de la obligación legal de rendición de cuentas de las entidades locales</w:t>
      </w:r>
      <w:r w:rsidR="00227087">
        <w:rPr>
          <w:i/>
          <w:spacing w:val="6"/>
          <w:sz w:val="26"/>
          <w:szCs w:val="24"/>
        </w:rPr>
        <w:t xml:space="preserve"> en el plazo establecido en la normativa</w:t>
      </w:r>
      <w:r w:rsidRPr="007E3BFE">
        <w:rPr>
          <w:i/>
          <w:spacing w:val="6"/>
          <w:sz w:val="26"/>
          <w:szCs w:val="24"/>
        </w:rPr>
        <w:t>.</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Analizar la posibilidad de actualizar el contenido de la Ley Foral 2/1995 referido al impuesto sobre la circulación de vehículos teniendo en cuenta el contexto actual en cuanto a emisión de gas</w:t>
      </w:r>
      <w:r w:rsidR="00227087">
        <w:rPr>
          <w:i/>
          <w:spacing w:val="6"/>
          <w:sz w:val="26"/>
          <w:szCs w:val="24"/>
        </w:rPr>
        <w:t>e</w:t>
      </w:r>
      <w:r w:rsidRPr="007E3BFE">
        <w:rPr>
          <w:i/>
          <w:spacing w:val="6"/>
          <w:sz w:val="26"/>
          <w:szCs w:val="24"/>
        </w:rPr>
        <w:t>s contaminantes, flota de vehículos y potencia de los mismos, etc.</w:t>
      </w:r>
      <w:r w:rsidR="00227087">
        <w:rPr>
          <w:i/>
          <w:spacing w:val="6"/>
          <w:sz w:val="26"/>
          <w:szCs w:val="24"/>
        </w:rPr>
        <w:t xml:space="preserve"> De igual forma, revisar el resto del sistema tr</w:t>
      </w:r>
      <w:r w:rsidR="00227087">
        <w:rPr>
          <w:i/>
          <w:spacing w:val="6"/>
          <w:sz w:val="26"/>
          <w:szCs w:val="24"/>
        </w:rPr>
        <w:t>i</w:t>
      </w:r>
      <w:r w:rsidR="00227087">
        <w:rPr>
          <w:i/>
          <w:spacing w:val="6"/>
          <w:sz w:val="26"/>
          <w:szCs w:val="24"/>
        </w:rPr>
        <w:t>butario local por si fuera necesaria su actualización.</w:t>
      </w:r>
    </w:p>
    <w:p w:rsidR="007E3BFE" w:rsidRPr="007E3BFE" w:rsidRDefault="007E3BFE" w:rsidP="00310593">
      <w:pPr>
        <w:pStyle w:val="texto"/>
        <w:rPr>
          <w:w w:val="103"/>
        </w:rPr>
      </w:pPr>
      <w:r w:rsidRPr="007E3BFE">
        <w:rPr>
          <w:w w:val="103"/>
        </w:rPr>
        <w:t>Recomendaciones a las entidades locales:</w:t>
      </w:r>
    </w:p>
    <w:p w:rsidR="007E3BFE" w:rsidRPr="007E3BFE" w:rsidRDefault="00227087" w:rsidP="007E3BFE">
      <w:pPr>
        <w:numPr>
          <w:ilvl w:val="0"/>
          <w:numId w:val="2"/>
        </w:numPr>
        <w:tabs>
          <w:tab w:val="clear" w:pos="1948"/>
          <w:tab w:val="left" w:pos="480"/>
          <w:tab w:val="num" w:pos="600"/>
          <w:tab w:val="num" w:pos="720"/>
        </w:tabs>
        <w:ind w:left="0" w:firstLine="289"/>
        <w:rPr>
          <w:i/>
          <w:spacing w:val="6"/>
          <w:sz w:val="26"/>
          <w:szCs w:val="24"/>
        </w:rPr>
      </w:pPr>
      <w:r>
        <w:rPr>
          <w:i/>
          <w:spacing w:val="6"/>
          <w:sz w:val="26"/>
          <w:szCs w:val="24"/>
        </w:rPr>
        <w:t>Completar el proceso de implantación d</w:t>
      </w:r>
      <w:r w:rsidR="007E3BFE" w:rsidRPr="007E3BFE">
        <w:rPr>
          <w:i/>
          <w:spacing w:val="6"/>
          <w:sz w:val="26"/>
          <w:szCs w:val="24"/>
        </w:rPr>
        <w:t>el inventario valorado y actualiz</w:t>
      </w:r>
      <w:r w:rsidR="007E3BFE" w:rsidRPr="007E3BFE">
        <w:rPr>
          <w:i/>
          <w:spacing w:val="6"/>
          <w:sz w:val="26"/>
          <w:szCs w:val="24"/>
        </w:rPr>
        <w:t>a</w:t>
      </w:r>
      <w:r w:rsidR="007E3BFE" w:rsidRPr="007E3BFE">
        <w:rPr>
          <w:i/>
          <w:spacing w:val="6"/>
          <w:sz w:val="26"/>
          <w:szCs w:val="24"/>
        </w:rPr>
        <w:t>do, de los bienes y derechos municipales, y su conexión con las cuentas de i</w:t>
      </w:r>
      <w:r w:rsidR="007E3BFE" w:rsidRPr="007E3BFE">
        <w:rPr>
          <w:i/>
          <w:spacing w:val="6"/>
          <w:sz w:val="26"/>
          <w:szCs w:val="24"/>
        </w:rPr>
        <w:t>n</w:t>
      </w:r>
      <w:r w:rsidR="007E3BFE" w:rsidRPr="007E3BFE">
        <w:rPr>
          <w:i/>
          <w:spacing w:val="6"/>
          <w:sz w:val="26"/>
          <w:szCs w:val="24"/>
        </w:rPr>
        <w:t xml:space="preserve">movilizado. </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Ejercer el control interno municipal, con la extensión establecida en la l</w:t>
      </w:r>
      <w:r w:rsidRPr="007E3BFE">
        <w:rPr>
          <w:i/>
          <w:spacing w:val="6"/>
          <w:sz w:val="26"/>
          <w:szCs w:val="24"/>
        </w:rPr>
        <w:t>e</w:t>
      </w:r>
      <w:r w:rsidRPr="007E3BFE">
        <w:rPr>
          <w:i/>
          <w:spacing w:val="6"/>
          <w:sz w:val="26"/>
          <w:szCs w:val="24"/>
        </w:rPr>
        <w:t>gislación aplicable, respecto de la gestión económica de los organismos aut</w:t>
      </w:r>
      <w:r w:rsidRPr="007E3BFE">
        <w:rPr>
          <w:i/>
          <w:spacing w:val="6"/>
          <w:sz w:val="26"/>
          <w:szCs w:val="24"/>
        </w:rPr>
        <w:t>ó</w:t>
      </w:r>
      <w:r w:rsidRPr="007E3BFE">
        <w:rPr>
          <w:i/>
          <w:spacing w:val="6"/>
          <w:sz w:val="26"/>
          <w:szCs w:val="24"/>
        </w:rPr>
        <w:lastRenderedPageBreak/>
        <w:t>nomos y de las sociedades mercantiles, en su triple acepción de función inte</w:t>
      </w:r>
      <w:r w:rsidRPr="007E3BFE">
        <w:rPr>
          <w:i/>
          <w:spacing w:val="6"/>
          <w:sz w:val="26"/>
          <w:szCs w:val="24"/>
        </w:rPr>
        <w:t>r</w:t>
      </w:r>
      <w:r w:rsidRPr="007E3BFE">
        <w:rPr>
          <w:i/>
          <w:spacing w:val="6"/>
          <w:sz w:val="26"/>
          <w:szCs w:val="24"/>
        </w:rPr>
        <w:t>ventora, función de control financiero y control de eficacia.</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Crear el registro del patrimonio municipal del suelo y anotar en el mismo las entradas y salidas de forma justificada con destino a las finalidades est</w:t>
      </w:r>
      <w:r w:rsidRPr="007E3BFE">
        <w:rPr>
          <w:i/>
          <w:spacing w:val="6"/>
          <w:sz w:val="26"/>
          <w:szCs w:val="24"/>
        </w:rPr>
        <w:t>a</w:t>
      </w:r>
      <w:r w:rsidRPr="007E3BFE">
        <w:rPr>
          <w:i/>
          <w:spacing w:val="6"/>
          <w:sz w:val="26"/>
          <w:szCs w:val="24"/>
        </w:rPr>
        <w:t>blecidas en la Ley Foral 35/2002, de 20 de diciembre, de Ordenación del T</w:t>
      </w:r>
      <w:r w:rsidRPr="007E3BFE">
        <w:rPr>
          <w:i/>
          <w:spacing w:val="6"/>
          <w:sz w:val="26"/>
          <w:szCs w:val="24"/>
        </w:rPr>
        <w:t>e</w:t>
      </w:r>
      <w:r w:rsidRPr="007E3BFE">
        <w:rPr>
          <w:i/>
          <w:spacing w:val="6"/>
          <w:sz w:val="26"/>
          <w:szCs w:val="24"/>
        </w:rPr>
        <w:t xml:space="preserve">rritorio y Urbanismo, así como </w:t>
      </w:r>
      <w:r w:rsidR="00933908">
        <w:rPr>
          <w:i/>
          <w:spacing w:val="6"/>
          <w:sz w:val="26"/>
          <w:szCs w:val="24"/>
        </w:rPr>
        <w:t>g</w:t>
      </w:r>
      <w:r w:rsidRPr="007E3BFE">
        <w:rPr>
          <w:i/>
          <w:spacing w:val="6"/>
          <w:sz w:val="26"/>
          <w:szCs w:val="24"/>
        </w:rPr>
        <w:t xml:space="preserve">estionar el patrimonio municipal del suelo de forma separada del resto de bienes del </w:t>
      </w:r>
      <w:r w:rsidR="00933908">
        <w:rPr>
          <w:i/>
          <w:spacing w:val="6"/>
          <w:sz w:val="26"/>
          <w:szCs w:val="24"/>
        </w:rPr>
        <w:t>a</w:t>
      </w:r>
      <w:r w:rsidRPr="007E3BFE">
        <w:rPr>
          <w:i/>
          <w:spacing w:val="6"/>
          <w:sz w:val="26"/>
          <w:szCs w:val="24"/>
        </w:rPr>
        <w:t>yuntamiento.</w:t>
      </w:r>
    </w:p>
    <w:p w:rsid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Diseñar, dentro de la potestad de autoorganización de los entes locales, la estructura organizativa más racional para la gestión de los servicios públicos locales con eficacia, economía y eficiencia.</w:t>
      </w:r>
    </w:p>
    <w:p w:rsidR="00B93FB6" w:rsidRPr="007E3BFE" w:rsidRDefault="00B93FB6" w:rsidP="007E3BFE">
      <w:pPr>
        <w:numPr>
          <w:ilvl w:val="0"/>
          <w:numId w:val="2"/>
        </w:numPr>
        <w:tabs>
          <w:tab w:val="clear" w:pos="1948"/>
          <w:tab w:val="left" w:pos="480"/>
          <w:tab w:val="num" w:pos="600"/>
          <w:tab w:val="num" w:pos="720"/>
        </w:tabs>
        <w:ind w:left="0" w:firstLine="289"/>
        <w:rPr>
          <w:i/>
          <w:spacing w:val="6"/>
          <w:sz w:val="26"/>
          <w:szCs w:val="24"/>
        </w:rPr>
      </w:pPr>
      <w:r>
        <w:rPr>
          <w:i/>
          <w:spacing w:val="6"/>
          <w:sz w:val="26"/>
          <w:szCs w:val="24"/>
        </w:rPr>
        <w:t>Someter al oportuno control de legalidad los acuerdos y convenios colect</w:t>
      </w:r>
      <w:r>
        <w:rPr>
          <w:i/>
          <w:spacing w:val="6"/>
          <w:sz w:val="26"/>
          <w:szCs w:val="24"/>
        </w:rPr>
        <w:t>i</w:t>
      </w:r>
      <w:r>
        <w:rPr>
          <w:i/>
          <w:spacing w:val="6"/>
          <w:sz w:val="26"/>
          <w:szCs w:val="24"/>
        </w:rPr>
        <w:t>vos de forma previa a su aprobación por el órgano administrativo competente.</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Continuar con la mejora de la metodología de costes de los servicios p</w:t>
      </w:r>
      <w:r w:rsidRPr="007E3BFE">
        <w:rPr>
          <w:i/>
          <w:spacing w:val="6"/>
          <w:sz w:val="26"/>
          <w:szCs w:val="24"/>
        </w:rPr>
        <w:t>ú</w:t>
      </w:r>
      <w:r w:rsidRPr="007E3BFE">
        <w:rPr>
          <w:i/>
          <w:spacing w:val="6"/>
          <w:sz w:val="26"/>
          <w:szCs w:val="24"/>
        </w:rPr>
        <w:t>blicos que se utiliza actualmente en la Administración local y definir indicad</w:t>
      </w:r>
      <w:r w:rsidRPr="007E3BFE">
        <w:rPr>
          <w:i/>
          <w:spacing w:val="6"/>
          <w:sz w:val="26"/>
          <w:szCs w:val="24"/>
        </w:rPr>
        <w:t>o</w:t>
      </w:r>
      <w:r w:rsidRPr="007E3BFE">
        <w:rPr>
          <w:i/>
          <w:spacing w:val="6"/>
          <w:sz w:val="26"/>
          <w:szCs w:val="24"/>
        </w:rPr>
        <w:t>res de gestión útiles para la toma de decisiones.</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Aprobar el presupuesto y la cuenta general en los plazos establecidos. Así mismo, aprobar la cuenta general si está correctamente formulada. En caso de no aprobación, deberá estar motivada en que dicha cuenta no refleja la gestión económica.</w:t>
      </w:r>
    </w:p>
    <w:p w:rsidR="007E3BFE" w:rsidRPr="007E3BFE" w:rsidRDefault="007E3BFE" w:rsidP="007E3BFE">
      <w:pPr>
        <w:numPr>
          <w:ilvl w:val="0"/>
          <w:numId w:val="2"/>
        </w:numPr>
        <w:tabs>
          <w:tab w:val="clear" w:pos="1948"/>
          <w:tab w:val="left" w:pos="480"/>
          <w:tab w:val="num" w:pos="600"/>
          <w:tab w:val="num" w:pos="720"/>
        </w:tabs>
        <w:ind w:left="0" w:firstLine="289"/>
        <w:rPr>
          <w:i/>
          <w:spacing w:val="6"/>
          <w:sz w:val="26"/>
          <w:szCs w:val="24"/>
        </w:rPr>
      </w:pPr>
      <w:r w:rsidRPr="007E3BFE">
        <w:rPr>
          <w:i/>
          <w:spacing w:val="6"/>
          <w:sz w:val="26"/>
          <w:szCs w:val="24"/>
        </w:rPr>
        <w:t>Actualizar en plazo las ponencias de valoración.</w:t>
      </w:r>
    </w:p>
    <w:p w:rsidR="007E3BFE" w:rsidRDefault="00933908" w:rsidP="007E3BFE">
      <w:pPr>
        <w:numPr>
          <w:ilvl w:val="0"/>
          <w:numId w:val="2"/>
        </w:numPr>
        <w:tabs>
          <w:tab w:val="clear" w:pos="1948"/>
          <w:tab w:val="left" w:pos="480"/>
          <w:tab w:val="num" w:pos="600"/>
          <w:tab w:val="num" w:pos="720"/>
        </w:tabs>
        <w:ind w:left="0" w:firstLine="289"/>
        <w:rPr>
          <w:i/>
          <w:spacing w:val="6"/>
          <w:sz w:val="26"/>
          <w:szCs w:val="24"/>
        </w:rPr>
      </w:pPr>
      <w:r>
        <w:rPr>
          <w:i/>
          <w:spacing w:val="6"/>
          <w:sz w:val="26"/>
          <w:szCs w:val="24"/>
        </w:rPr>
        <w:t>Aprovechar el trabajo que está desarrollando el Departamento de Adm</w:t>
      </w:r>
      <w:r>
        <w:rPr>
          <w:i/>
          <w:spacing w:val="6"/>
          <w:sz w:val="26"/>
          <w:szCs w:val="24"/>
        </w:rPr>
        <w:t>i</w:t>
      </w:r>
      <w:r>
        <w:rPr>
          <w:i/>
          <w:spacing w:val="6"/>
          <w:sz w:val="26"/>
          <w:szCs w:val="24"/>
        </w:rPr>
        <w:t>nistración Local en relación con las plantillas orgánicas de las entidades loc</w:t>
      </w:r>
      <w:r>
        <w:rPr>
          <w:i/>
          <w:spacing w:val="6"/>
          <w:sz w:val="26"/>
          <w:szCs w:val="24"/>
        </w:rPr>
        <w:t>a</w:t>
      </w:r>
      <w:r>
        <w:rPr>
          <w:i/>
          <w:spacing w:val="6"/>
          <w:sz w:val="26"/>
          <w:szCs w:val="24"/>
        </w:rPr>
        <w:t>les, para establecer un documento normalizado de plantilla</w:t>
      </w:r>
      <w:r w:rsidR="007E3BFE" w:rsidRPr="007E3BFE">
        <w:rPr>
          <w:i/>
          <w:spacing w:val="6"/>
          <w:sz w:val="26"/>
          <w:szCs w:val="24"/>
        </w:rPr>
        <w:t>.</w:t>
      </w:r>
    </w:p>
    <w:p w:rsidR="00933908" w:rsidRPr="007E3BFE" w:rsidRDefault="00933908" w:rsidP="007E3BFE">
      <w:pPr>
        <w:numPr>
          <w:ilvl w:val="0"/>
          <w:numId w:val="2"/>
        </w:numPr>
        <w:tabs>
          <w:tab w:val="clear" w:pos="1948"/>
          <w:tab w:val="left" w:pos="480"/>
          <w:tab w:val="num" w:pos="600"/>
          <w:tab w:val="num" w:pos="720"/>
        </w:tabs>
        <w:ind w:left="0" w:firstLine="289"/>
        <w:rPr>
          <w:i/>
          <w:spacing w:val="6"/>
          <w:sz w:val="26"/>
          <w:szCs w:val="24"/>
        </w:rPr>
      </w:pPr>
      <w:r>
        <w:rPr>
          <w:i/>
          <w:spacing w:val="6"/>
          <w:sz w:val="26"/>
          <w:szCs w:val="24"/>
        </w:rPr>
        <w:t>Evitar realizar contrataciones temporales para atender funciones perm</w:t>
      </w:r>
      <w:r>
        <w:rPr>
          <w:i/>
          <w:spacing w:val="6"/>
          <w:sz w:val="26"/>
          <w:szCs w:val="24"/>
        </w:rPr>
        <w:t>a</w:t>
      </w:r>
      <w:r>
        <w:rPr>
          <w:i/>
          <w:spacing w:val="6"/>
          <w:sz w:val="26"/>
          <w:szCs w:val="24"/>
        </w:rPr>
        <w:t>nentes</w:t>
      </w:r>
      <w:r w:rsidR="00227087">
        <w:rPr>
          <w:i/>
          <w:spacing w:val="6"/>
          <w:sz w:val="26"/>
          <w:szCs w:val="24"/>
        </w:rPr>
        <w:t xml:space="preserve"> siempre que la normativa lo permita</w:t>
      </w:r>
      <w:r>
        <w:rPr>
          <w:i/>
          <w:spacing w:val="6"/>
          <w:sz w:val="26"/>
          <w:szCs w:val="24"/>
        </w:rPr>
        <w:t>.</w:t>
      </w:r>
    </w:p>
    <w:p w:rsidR="00455EC0" w:rsidRPr="00455EC0" w:rsidRDefault="00455EC0" w:rsidP="00455EC0">
      <w:pPr>
        <w:pStyle w:val="texto"/>
        <w:spacing w:before="240"/>
      </w:pPr>
      <w:r w:rsidRPr="00455EC0">
        <w:t>Informe que se emite a propuesta de la auditora Karen Moreno Orduña, re</w:t>
      </w:r>
      <w:r w:rsidRPr="00455EC0">
        <w:t>s</w:t>
      </w:r>
      <w:r w:rsidRPr="00455EC0">
        <w:t>ponsable de la realización de este trabajo, una vez cumplimentados los trámites previstos por la normativa vigente.</w:t>
      </w:r>
    </w:p>
    <w:p w:rsidR="007E3BFE" w:rsidRPr="00310593" w:rsidRDefault="007E3BFE" w:rsidP="007E3BFE">
      <w:pPr>
        <w:spacing w:after="0"/>
        <w:ind w:firstLine="0"/>
        <w:jc w:val="center"/>
        <w:rPr>
          <w:spacing w:val="6"/>
          <w:sz w:val="26"/>
          <w:szCs w:val="26"/>
        </w:rPr>
      </w:pPr>
      <w:r w:rsidRPr="00310593">
        <w:rPr>
          <w:spacing w:val="6"/>
          <w:sz w:val="26"/>
          <w:szCs w:val="26"/>
        </w:rPr>
        <w:t xml:space="preserve">Pamplona, a </w:t>
      </w:r>
      <w:r w:rsidR="002146A9">
        <w:rPr>
          <w:spacing w:val="6"/>
          <w:sz w:val="26"/>
          <w:szCs w:val="26"/>
        </w:rPr>
        <w:t>25</w:t>
      </w:r>
      <w:r w:rsidRPr="00310593">
        <w:rPr>
          <w:spacing w:val="6"/>
          <w:sz w:val="26"/>
          <w:szCs w:val="26"/>
        </w:rPr>
        <w:t xml:space="preserve"> de noviembre de 2016</w:t>
      </w:r>
    </w:p>
    <w:p w:rsidR="007E3BFE" w:rsidRPr="00310593" w:rsidRDefault="007E3BFE" w:rsidP="007E3BFE">
      <w:pPr>
        <w:spacing w:after="0"/>
        <w:ind w:firstLine="0"/>
        <w:jc w:val="center"/>
        <w:rPr>
          <w:spacing w:val="6"/>
          <w:sz w:val="26"/>
          <w:szCs w:val="26"/>
        </w:rPr>
      </w:pPr>
    </w:p>
    <w:p w:rsidR="00071E4A" w:rsidRDefault="00933908" w:rsidP="007E3BFE">
      <w:pPr>
        <w:ind w:firstLine="0"/>
        <w:jc w:val="center"/>
        <w:rPr>
          <w:spacing w:val="6"/>
          <w:sz w:val="26"/>
          <w:szCs w:val="26"/>
          <w:lang w:val="es-ES"/>
        </w:rPr>
      </w:pPr>
      <w:r>
        <w:rPr>
          <w:spacing w:val="6"/>
          <w:sz w:val="26"/>
          <w:szCs w:val="26"/>
          <w:lang w:val="es-ES"/>
        </w:rPr>
        <w:t>L</w:t>
      </w:r>
      <w:r w:rsidR="007E3BFE" w:rsidRPr="00310593">
        <w:rPr>
          <w:spacing w:val="6"/>
          <w:sz w:val="26"/>
          <w:szCs w:val="26"/>
          <w:lang w:val="es-ES"/>
        </w:rPr>
        <w:t xml:space="preserve">a </w:t>
      </w:r>
      <w:r w:rsidR="00455EC0">
        <w:rPr>
          <w:spacing w:val="6"/>
          <w:sz w:val="26"/>
          <w:szCs w:val="26"/>
          <w:lang w:val="es-ES"/>
        </w:rPr>
        <w:t>presidenta</w:t>
      </w:r>
      <w:r w:rsidR="007E3BFE" w:rsidRPr="00310593">
        <w:rPr>
          <w:spacing w:val="6"/>
          <w:sz w:val="26"/>
          <w:szCs w:val="26"/>
          <w:lang w:val="es-ES"/>
        </w:rPr>
        <w:t xml:space="preserve">, </w:t>
      </w:r>
    </w:p>
    <w:p w:rsidR="007E3BFE" w:rsidRDefault="00455EC0" w:rsidP="007E3BFE">
      <w:pPr>
        <w:ind w:firstLine="0"/>
        <w:jc w:val="center"/>
        <w:rPr>
          <w:spacing w:val="6"/>
          <w:sz w:val="26"/>
          <w:szCs w:val="26"/>
          <w:lang w:val="es-ES"/>
        </w:rPr>
      </w:pPr>
      <w:r>
        <w:rPr>
          <w:spacing w:val="6"/>
          <w:sz w:val="26"/>
          <w:szCs w:val="26"/>
          <w:lang w:val="es-ES"/>
        </w:rPr>
        <w:t>Asunción Olaechea Estanga</w:t>
      </w:r>
    </w:p>
    <w:p w:rsidR="00071E4A" w:rsidRPr="00310593" w:rsidRDefault="00071E4A" w:rsidP="007E3BFE">
      <w:pPr>
        <w:ind w:firstLine="0"/>
        <w:jc w:val="center"/>
        <w:rPr>
          <w:spacing w:val="6"/>
          <w:sz w:val="26"/>
          <w:szCs w:val="26"/>
        </w:rPr>
      </w:pPr>
    </w:p>
    <w:p w:rsidR="007E3BFE" w:rsidRPr="00310593" w:rsidRDefault="007E3BFE" w:rsidP="007E3BFE">
      <w:pPr>
        <w:tabs>
          <w:tab w:val="center" w:pos="2835"/>
          <w:tab w:val="center" w:pos="3969"/>
          <w:tab w:val="center" w:pos="5103"/>
          <w:tab w:val="center" w:pos="6237"/>
          <w:tab w:val="center" w:pos="7371"/>
        </w:tabs>
        <w:ind w:firstLine="0"/>
        <w:jc w:val="center"/>
        <w:rPr>
          <w:spacing w:val="6"/>
          <w:w w:val="103"/>
          <w:sz w:val="26"/>
          <w:szCs w:val="26"/>
        </w:rPr>
        <w:sectPr w:rsidR="007E3BFE" w:rsidRPr="00310593"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rsidR="00CD4E82" w:rsidRDefault="00CD4E82" w:rsidP="00CD4E82">
      <w:pPr>
        <w:pStyle w:val="atitulo1"/>
        <w:ind w:left="2884"/>
        <w:rPr>
          <w:sz w:val="32"/>
          <w:szCs w:val="32"/>
        </w:rPr>
      </w:pPr>
    </w:p>
    <w:p w:rsidR="00CD4E82" w:rsidRDefault="00CD4E82" w:rsidP="00CD4E82">
      <w:pPr>
        <w:pStyle w:val="atitulo1"/>
        <w:ind w:left="2884"/>
        <w:rPr>
          <w:sz w:val="32"/>
          <w:szCs w:val="32"/>
        </w:rPr>
      </w:pPr>
    </w:p>
    <w:p w:rsidR="00CD4E82" w:rsidRDefault="00CD4E82" w:rsidP="00CD4E82">
      <w:pPr>
        <w:pStyle w:val="atitulo1"/>
        <w:ind w:left="2884"/>
        <w:rPr>
          <w:sz w:val="32"/>
          <w:szCs w:val="32"/>
        </w:rPr>
      </w:pPr>
    </w:p>
    <w:p w:rsidR="00CD4E82" w:rsidRPr="00CD4E82" w:rsidRDefault="00CD4E82" w:rsidP="0023499C">
      <w:pPr>
        <w:pStyle w:val="atitulo1"/>
        <w:ind w:left="2268"/>
        <w:rPr>
          <w:sz w:val="32"/>
          <w:szCs w:val="32"/>
        </w:rPr>
      </w:pPr>
      <w:bookmarkStart w:id="50" w:name="_Toc467847965"/>
      <w:r>
        <w:rPr>
          <w:sz w:val="32"/>
          <w:szCs w:val="32"/>
        </w:rPr>
        <w:t>Anexo</w:t>
      </w:r>
      <w:r w:rsidR="00300107">
        <w:rPr>
          <w:sz w:val="32"/>
          <w:szCs w:val="32"/>
        </w:rPr>
        <w:t xml:space="preserve"> 1</w:t>
      </w:r>
      <w:r w:rsidR="00CC365F">
        <w:rPr>
          <w:sz w:val="32"/>
          <w:szCs w:val="32"/>
        </w:rPr>
        <w:t>. N</w:t>
      </w:r>
      <w:r w:rsidRPr="00CD4E82">
        <w:rPr>
          <w:sz w:val="32"/>
          <w:szCs w:val="32"/>
        </w:rPr>
        <w:t>ormativa aplicable a las entid</w:t>
      </w:r>
      <w:r w:rsidRPr="00CD4E82">
        <w:rPr>
          <w:sz w:val="32"/>
          <w:szCs w:val="32"/>
        </w:rPr>
        <w:t>a</w:t>
      </w:r>
      <w:r w:rsidRPr="00CD4E82">
        <w:rPr>
          <w:sz w:val="32"/>
          <w:szCs w:val="32"/>
        </w:rPr>
        <w:t>des locales durante el ejercicio 2014</w:t>
      </w:r>
      <w:bookmarkEnd w:id="50"/>
    </w:p>
    <w:p w:rsidR="00CD4E82" w:rsidRDefault="00CD4E82" w:rsidP="007E3BFE">
      <w:pPr>
        <w:spacing w:before="360" w:after="180"/>
        <w:ind w:firstLine="0"/>
        <w:jc w:val="left"/>
        <w:rPr>
          <w:b/>
          <w:bCs/>
          <w:sz w:val="24"/>
          <w:szCs w:val="24"/>
          <w:lang w:val="es-ES" w:eastAsia="es-ES"/>
        </w:rPr>
      </w:pPr>
    </w:p>
    <w:p w:rsidR="00CD4E82" w:rsidRDefault="00CD4E82" w:rsidP="007E3BFE">
      <w:pPr>
        <w:spacing w:before="360" w:after="180"/>
        <w:ind w:firstLine="0"/>
        <w:jc w:val="left"/>
        <w:rPr>
          <w:b/>
          <w:bCs/>
          <w:sz w:val="24"/>
          <w:szCs w:val="24"/>
          <w:lang w:val="es-ES" w:eastAsia="es-ES"/>
        </w:rPr>
        <w:sectPr w:rsidR="00CD4E82" w:rsidSect="00310593">
          <w:headerReference w:type="even" r:id="rId15"/>
          <w:footerReference w:type="default" r:id="rId16"/>
          <w:type w:val="oddPage"/>
          <w:pgSz w:w="11907" w:h="16840" w:code="9"/>
          <w:pgMar w:top="2109" w:right="1559" w:bottom="1644" w:left="1559" w:header="369" w:footer="136" w:gutter="0"/>
          <w:cols w:space="720"/>
          <w:docGrid w:linePitch="360"/>
        </w:sectPr>
      </w:pPr>
    </w:p>
    <w:p w:rsidR="00CD4E82" w:rsidRPr="00EA576E" w:rsidRDefault="00CD4E82" w:rsidP="00CD4E82">
      <w:pPr>
        <w:pStyle w:val="texto"/>
        <w:rPr>
          <w:rFonts w:ascii="Arial" w:hAnsi="Arial" w:cs="Arial"/>
          <w:sz w:val="24"/>
        </w:rPr>
      </w:pPr>
      <w:r w:rsidRPr="00EA576E">
        <w:rPr>
          <w:rFonts w:ascii="Arial" w:hAnsi="Arial" w:cs="Arial"/>
          <w:sz w:val="24"/>
        </w:rPr>
        <w:lastRenderedPageBreak/>
        <w:t xml:space="preserve">En materia de </w:t>
      </w:r>
      <w:r w:rsidR="00F8214A" w:rsidRPr="00EA576E">
        <w:rPr>
          <w:rFonts w:ascii="Arial" w:hAnsi="Arial" w:cs="Arial"/>
          <w:sz w:val="24"/>
        </w:rPr>
        <w:t>a</w:t>
      </w:r>
      <w:r w:rsidRPr="00EA576E">
        <w:rPr>
          <w:rFonts w:ascii="Arial" w:hAnsi="Arial" w:cs="Arial"/>
          <w:sz w:val="24"/>
        </w:rPr>
        <w:t xml:space="preserve">dministración y </w:t>
      </w:r>
      <w:r w:rsidR="00F8214A" w:rsidRPr="00EA576E">
        <w:rPr>
          <w:rFonts w:ascii="Arial" w:hAnsi="Arial" w:cs="Arial"/>
          <w:sz w:val="24"/>
        </w:rPr>
        <w:t>r</w:t>
      </w:r>
      <w:r w:rsidRPr="00EA576E">
        <w:rPr>
          <w:rFonts w:ascii="Arial" w:hAnsi="Arial" w:cs="Arial"/>
          <w:sz w:val="24"/>
        </w:rPr>
        <w:t xml:space="preserve">égimen </w:t>
      </w:r>
      <w:r w:rsidR="00F8214A" w:rsidRPr="00EA576E">
        <w:rPr>
          <w:rFonts w:ascii="Arial" w:hAnsi="Arial" w:cs="Arial"/>
          <w:sz w:val="24"/>
        </w:rPr>
        <w:t>l</w:t>
      </w:r>
      <w:r w:rsidRPr="00EA576E">
        <w:rPr>
          <w:rFonts w:ascii="Arial" w:hAnsi="Arial" w:cs="Arial"/>
          <w:sz w:val="24"/>
        </w:rPr>
        <w:t>ocal, régimen económico, pres</w:t>
      </w:r>
      <w:r w:rsidRPr="00EA576E">
        <w:rPr>
          <w:rFonts w:ascii="Arial" w:hAnsi="Arial" w:cs="Arial"/>
          <w:sz w:val="24"/>
        </w:rPr>
        <w:t>u</w:t>
      </w:r>
      <w:r w:rsidRPr="00EA576E">
        <w:rPr>
          <w:rFonts w:ascii="Arial" w:hAnsi="Arial" w:cs="Arial"/>
          <w:sz w:val="24"/>
        </w:rPr>
        <w:t>puestario y contable son de aplicación:</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Orden HAP/2105/2012, de 1 de octubre, por la que se desarrollan las obligaciones de suministro de información previstas en la Ley Orgánica 2/2012, de 27 de abril, de Estabilidad Presupuestaria y Sostenibilidad Fina</w:t>
      </w:r>
      <w:r w:rsidRPr="00EA576E">
        <w:rPr>
          <w:rFonts w:ascii="Arial" w:hAnsi="Arial" w:cs="Arial"/>
          <w:spacing w:val="6"/>
          <w:sz w:val="24"/>
          <w:szCs w:val="24"/>
        </w:rPr>
        <w:t>n</w:t>
      </w:r>
      <w:r w:rsidRPr="00EA576E">
        <w:rPr>
          <w:rFonts w:ascii="Arial" w:hAnsi="Arial" w:cs="Arial"/>
          <w:spacing w:val="6"/>
          <w:sz w:val="24"/>
          <w:szCs w:val="24"/>
        </w:rPr>
        <w:t>ciera.</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27/2012, de 28 de diciembre, por la que se adoptan en la C</w:t>
      </w:r>
      <w:r w:rsidRPr="00EA576E">
        <w:rPr>
          <w:rFonts w:ascii="Arial" w:hAnsi="Arial" w:cs="Arial"/>
          <w:spacing w:val="6"/>
          <w:sz w:val="24"/>
          <w:szCs w:val="24"/>
        </w:rPr>
        <w:t>o</w:t>
      </w:r>
      <w:r w:rsidRPr="00EA576E">
        <w:rPr>
          <w:rFonts w:ascii="Arial" w:hAnsi="Arial" w:cs="Arial"/>
          <w:spacing w:val="6"/>
          <w:sz w:val="24"/>
          <w:szCs w:val="24"/>
        </w:rPr>
        <w:t>munidad Foral de Navarra medidas para garantizar la estabilidad presupue</w:t>
      </w:r>
      <w:r w:rsidRPr="00EA576E">
        <w:rPr>
          <w:rFonts w:ascii="Arial" w:hAnsi="Arial" w:cs="Arial"/>
          <w:spacing w:val="6"/>
          <w:sz w:val="24"/>
          <w:szCs w:val="24"/>
        </w:rPr>
        <w:t>s</w:t>
      </w:r>
      <w:r w:rsidRPr="00EA576E">
        <w:rPr>
          <w:rFonts w:ascii="Arial" w:hAnsi="Arial" w:cs="Arial"/>
          <w:spacing w:val="6"/>
          <w:sz w:val="24"/>
          <w:szCs w:val="24"/>
        </w:rPr>
        <w:t>taria y de fomento de la competitividad.</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20/2012, de 26 de diciembre, por la que se establecen la cua</w:t>
      </w:r>
      <w:r w:rsidRPr="00EA576E">
        <w:rPr>
          <w:rFonts w:ascii="Arial" w:hAnsi="Arial" w:cs="Arial"/>
          <w:spacing w:val="6"/>
          <w:sz w:val="24"/>
          <w:szCs w:val="24"/>
        </w:rPr>
        <w:t>n</w:t>
      </w:r>
      <w:r w:rsidRPr="00EA576E">
        <w:rPr>
          <w:rFonts w:ascii="Arial" w:hAnsi="Arial" w:cs="Arial"/>
          <w:spacing w:val="6"/>
          <w:sz w:val="24"/>
          <w:szCs w:val="24"/>
        </w:rPr>
        <w:t>tía y la fórmula de reparto del Fondo de Participación de las Haciendas Loc</w:t>
      </w:r>
      <w:r w:rsidRPr="00EA576E">
        <w:rPr>
          <w:rFonts w:ascii="Arial" w:hAnsi="Arial" w:cs="Arial"/>
          <w:spacing w:val="6"/>
          <w:sz w:val="24"/>
          <w:szCs w:val="24"/>
        </w:rPr>
        <w:t>a</w:t>
      </w:r>
      <w:r w:rsidRPr="00EA576E">
        <w:rPr>
          <w:rFonts w:ascii="Arial" w:hAnsi="Arial" w:cs="Arial"/>
          <w:spacing w:val="6"/>
          <w:sz w:val="24"/>
          <w:szCs w:val="24"/>
        </w:rPr>
        <w:t>les en los Tributos de Navarra por Transferencias Corrientes para los ejerc</w:t>
      </w:r>
      <w:r w:rsidRPr="00EA576E">
        <w:rPr>
          <w:rFonts w:ascii="Arial" w:hAnsi="Arial" w:cs="Arial"/>
          <w:spacing w:val="6"/>
          <w:sz w:val="24"/>
          <w:szCs w:val="24"/>
        </w:rPr>
        <w:t>i</w:t>
      </w:r>
      <w:r w:rsidRPr="00EA576E">
        <w:rPr>
          <w:rFonts w:ascii="Arial" w:hAnsi="Arial" w:cs="Arial"/>
          <w:spacing w:val="6"/>
          <w:sz w:val="24"/>
          <w:szCs w:val="24"/>
        </w:rPr>
        <w:t>cios presupuestarios de 2013 y 2014.</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3/2012, de 14 de marzo, por la que se prolonga la vigencia y se modifica la Ley Foral 16/2008, de 24 de octubre, del Plan de Inversiones L</w:t>
      </w:r>
      <w:r w:rsidRPr="00EA576E">
        <w:rPr>
          <w:rFonts w:ascii="Arial" w:hAnsi="Arial" w:cs="Arial"/>
          <w:spacing w:val="6"/>
          <w:sz w:val="24"/>
          <w:szCs w:val="24"/>
        </w:rPr>
        <w:t>o</w:t>
      </w:r>
      <w:r w:rsidRPr="00EA576E">
        <w:rPr>
          <w:rFonts w:ascii="Arial" w:hAnsi="Arial" w:cs="Arial"/>
          <w:spacing w:val="6"/>
          <w:sz w:val="24"/>
          <w:szCs w:val="24"/>
        </w:rPr>
        <w:t>cales para el periodo 2009-2012.</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 xml:space="preserve">Ley 22/2013, de 23 de diciembre, de Presupuestos Generales del Estado para el año 2014. </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25/2013, de 27 de diciembre, de impulso de la factura electrónica y creación del registro contable de facturas en el Sector Público.</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4/2013, de 25 de febrero, por la que se modifica el Título VI de la Ley Foral 6/1990, de 2 de julio, de la Administración Local.</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 xml:space="preserve">Ley Foral 10/2013, de 12 de marzo, de modificación de la Ley Foral 2/1995, de 10 de marzo, de Haciendas Locales de Navarra. </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 xml:space="preserve">Real Decreto-ley 8/2013, de 28 de junio, de medidas urgentes contra la morosidad de las administraciones públicas y de apoyo a entidades locales con problemas financieros. </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25/2013, de 2 de julio, por la que se modifica la Ley Foral 28/2012, de 28 de diciembre, por la que se crea, con efectos para el año 2012, un complemento personal transitorio por pérdida de poder adquisitivo.</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31/2013, de 31 de octubre, de modificación del artículo 132 y del Capítulo VIII del Título II de la Ley Foral 2/1995, de 10 de marzo, de H</w:t>
      </w:r>
      <w:r w:rsidRPr="00EA576E">
        <w:rPr>
          <w:rFonts w:ascii="Arial" w:hAnsi="Arial" w:cs="Arial"/>
          <w:spacing w:val="6"/>
          <w:sz w:val="24"/>
          <w:szCs w:val="24"/>
        </w:rPr>
        <w:t>a</w:t>
      </w:r>
      <w:r w:rsidRPr="00EA576E">
        <w:rPr>
          <w:rFonts w:ascii="Arial" w:hAnsi="Arial" w:cs="Arial"/>
          <w:spacing w:val="6"/>
          <w:sz w:val="24"/>
          <w:szCs w:val="24"/>
        </w:rPr>
        <w:t>ciendas Locales de Navarra.</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37/2013, de 28 de noviembre, de modificación de la Ley Foral 2/1995, de 10 de marzo, de Haciendas Locales de Navarra.</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19/2013, de 9 de diciembre, de transparencia, acceso a la inform</w:t>
      </w:r>
      <w:r w:rsidRPr="00EA576E">
        <w:rPr>
          <w:rFonts w:ascii="Arial" w:hAnsi="Arial" w:cs="Arial"/>
          <w:spacing w:val="6"/>
          <w:sz w:val="24"/>
          <w:szCs w:val="24"/>
        </w:rPr>
        <w:t>a</w:t>
      </w:r>
      <w:r w:rsidRPr="00EA576E">
        <w:rPr>
          <w:rFonts w:ascii="Arial" w:hAnsi="Arial" w:cs="Arial"/>
          <w:spacing w:val="6"/>
          <w:sz w:val="24"/>
          <w:szCs w:val="24"/>
        </w:rPr>
        <w:t>ción pública y buen gobierno.</w:t>
      </w:r>
    </w:p>
    <w:p w:rsidR="00CD4E82" w:rsidRPr="00EA576E" w:rsidRDefault="00CD4E82" w:rsidP="00F8214A">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Orgánica 9/2013, de 20 de diciembre, de control de la deuda come</w:t>
      </w:r>
      <w:r w:rsidRPr="00EA576E">
        <w:rPr>
          <w:rFonts w:ascii="Arial" w:hAnsi="Arial" w:cs="Arial"/>
          <w:spacing w:val="6"/>
          <w:sz w:val="24"/>
          <w:szCs w:val="24"/>
        </w:rPr>
        <w:t>r</w:t>
      </w:r>
      <w:r w:rsidRPr="00EA576E">
        <w:rPr>
          <w:rFonts w:ascii="Arial" w:hAnsi="Arial" w:cs="Arial"/>
          <w:spacing w:val="6"/>
          <w:sz w:val="24"/>
          <w:szCs w:val="24"/>
        </w:rPr>
        <w:t>cial en el sector público.</w:t>
      </w:r>
    </w:p>
    <w:p w:rsidR="00CD4E82" w:rsidRPr="00EA576E" w:rsidRDefault="00CD4E82" w:rsidP="00CD4E82">
      <w:pPr>
        <w:pStyle w:val="texto"/>
        <w:rPr>
          <w:rFonts w:ascii="Arial" w:hAnsi="Arial" w:cs="Arial"/>
          <w:sz w:val="24"/>
        </w:rPr>
      </w:pPr>
      <w:r w:rsidRPr="00EA576E">
        <w:rPr>
          <w:rFonts w:ascii="Arial" w:hAnsi="Arial" w:cs="Arial"/>
          <w:sz w:val="24"/>
        </w:rPr>
        <w:lastRenderedPageBreak/>
        <w:t xml:space="preserve">Ordenanzas y acuerdos reguladores de las tasas y precios públicos. </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En materia de contratación administrativa, la Ley Foral 6/2006, de 9 de junio, de contratos públicos, con las peculiaridades determinadas en la Ley Foral 1/2007, de 14 de febrero.</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En materia de personal, el Decreto Foral Legislativo 251/1993 de 30 de agosto por el que se aprueba el Texto refundido del Estatuto de Personal al servicio de las Administraciones Públicas de Navarra, así como sus dispos</w:t>
      </w:r>
      <w:r w:rsidRPr="00EA576E">
        <w:rPr>
          <w:rFonts w:ascii="Arial" w:hAnsi="Arial" w:cs="Arial"/>
          <w:spacing w:val="6"/>
          <w:sz w:val="24"/>
          <w:szCs w:val="24"/>
        </w:rPr>
        <w:t>i</w:t>
      </w:r>
      <w:r w:rsidRPr="00EA576E">
        <w:rPr>
          <w:rFonts w:ascii="Arial" w:hAnsi="Arial" w:cs="Arial"/>
          <w:spacing w:val="6"/>
          <w:sz w:val="24"/>
          <w:szCs w:val="24"/>
        </w:rPr>
        <w:t>ciones de desarrollo, y la Ley Foral 26/2012, de 26 de diciembre, por la que se modifica la Ley Foral 13/2012, de 21 de junio, de medidas urgentes en m</w:t>
      </w:r>
      <w:r w:rsidRPr="00EA576E">
        <w:rPr>
          <w:rFonts w:ascii="Arial" w:hAnsi="Arial" w:cs="Arial"/>
          <w:spacing w:val="6"/>
          <w:sz w:val="24"/>
          <w:szCs w:val="24"/>
        </w:rPr>
        <w:t>a</w:t>
      </w:r>
      <w:r w:rsidRPr="00EA576E">
        <w:rPr>
          <w:rFonts w:ascii="Arial" w:hAnsi="Arial" w:cs="Arial"/>
          <w:spacing w:val="6"/>
          <w:sz w:val="24"/>
          <w:szCs w:val="24"/>
        </w:rPr>
        <w:t>teria de personal  al servicio de las Administraciones  Públicas de Navarra.</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En materia de Urbanismo, la Ley Foral 35/2002, de 20 de diciembre, de Ordenación del Territorio y Urbanismo.</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En materia de subvenciones, la Ley 38/2003, de 17 de noviembre, Gen</w:t>
      </w:r>
      <w:r w:rsidRPr="00EA576E">
        <w:rPr>
          <w:rFonts w:ascii="Arial" w:hAnsi="Arial" w:cs="Arial"/>
          <w:spacing w:val="6"/>
          <w:sz w:val="24"/>
          <w:szCs w:val="24"/>
        </w:rPr>
        <w:t>e</w:t>
      </w:r>
      <w:r w:rsidRPr="00EA576E">
        <w:rPr>
          <w:rFonts w:ascii="Arial" w:hAnsi="Arial" w:cs="Arial"/>
          <w:spacing w:val="6"/>
          <w:sz w:val="24"/>
          <w:szCs w:val="24"/>
        </w:rPr>
        <w:t>ral de subvenciones y su reglamento de desarrollo aprobado por Real Decreto 887/2006 de 21 de julio.</w:t>
      </w:r>
    </w:p>
    <w:p w:rsidR="00CD4E82" w:rsidRPr="00EA576E" w:rsidRDefault="00CD4E82" w:rsidP="00CD4E82">
      <w:pPr>
        <w:pStyle w:val="texto"/>
        <w:rPr>
          <w:rFonts w:ascii="Arial" w:hAnsi="Arial" w:cs="Arial"/>
          <w:sz w:val="24"/>
        </w:rPr>
      </w:pPr>
      <w:r w:rsidRPr="00EA576E">
        <w:rPr>
          <w:rFonts w:ascii="Arial" w:hAnsi="Arial" w:cs="Arial"/>
          <w:sz w:val="24"/>
        </w:rPr>
        <w:t xml:space="preserve">Añadido a lo anterior, durante el año 2014 se aprobaron las siguientes normas más significativas aplicables al Sector Público Local: </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11/2014, de 15 de enero, por la que se modifica la Ley Foral 2/1995, de 10 de marzo, de Haciendas Locales de Navarra.</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Real Decreto-Ley 1/2014, de 24 de enero, de reforma en materia de i</w:t>
      </w:r>
      <w:r w:rsidRPr="00EA576E">
        <w:rPr>
          <w:rFonts w:ascii="Arial" w:hAnsi="Arial" w:cs="Arial"/>
          <w:spacing w:val="6"/>
          <w:sz w:val="24"/>
          <w:szCs w:val="24"/>
        </w:rPr>
        <w:t>n</w:t>
      </w:r>
      <w:r w:rsidRPr="00EA576E">
        <w:rPr>
          <w:rFonts w:ascii="Arial" w:hAnsi="Arial" w:cs="Arial"/>
          <w:spacing w:val="6"/>
          <w:sz w:val="24"/>
          <w:szCs w:val="24"/>
        </w:rPr>
        <w:t>fraestructuras y transporte, y otras medidas económicas.</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3/2014, de 27 de marzo, por la que se modifica el texto refundido de la Ley General para la Defensa de los Consumidores y Usuarios.</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12/2014, de 18 de junio,  de modificación  de la Ley Foral  10/2003, de 5 de marzo, sobre régimen transitorio de los derechos pasivos del personal funcionario de los montepíos de las administraciones públicas  de Navarra</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14/2014, de 18 de junio, de modificación de la Ley Foral 6/2006, de 9 de junio, de Contratos Públicos.</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15/2014, de 1 de julio, por la que se modifica la Ley Foral l2/1995, de 10 de marzo, de Haciendas Locales de Navarra.</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17/2014, de 25 de septiembre, por la que se modifica la Ley Foral 20/2012, de 26 de diciembre, por la que se establecen la cuantía y la fórmula de reparto del Fondo de Participación de las Haciendas Locales en los Tributos de Navarra por Transferencias Corrientes para  los  ejercicios  presupuestarios  de 2013 y 2014.</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20/2014, de 12 de noviembre, por la que se modifica parcia</w:t>
      </w:r>
      <w:r w:rsidRPr="00EA576E">
        <w:rPr>
          <w:rFonts w:ascii="Arial" w:hAnsi="Arial" w:cs="Arial"/>
          <w:spacing w:val="6"/>
          <w:sz w:val="24"/>
          <w:szCs w:val="24"/>
        </w:rPr>
        <w:t>l</w:t>
      </w:r>
      <w:r w:rsidRPr="00EA576E">
        <w:rPr>
          <w:rFonts w:ascii="Arial" w:hAnsi="Arial" w:cs="Arial"/>
          <w:spacing w:val="6"/>
          <w:sz w:val="24"/>
          <w:szCs w:val="24"/>
        </w:rPr>
        <w:t>mente la Ley Foral 13/2000, de 14 de diciembre, General Tributaria, con obj</w:t>
      </w:r>
      <w:r w:rsidRPr="00EA576E">
        <w:rPr>
          <w:rFonts w:ascii="Arial" w:hAnsi="Arial" w:cs="Arial"/>
          <w:spacing w:val="6"/>
          <w:sz w:val="24"/>
          <w:szCs w:val="24"/>
        </w:rPr>
        <w:t>e</w:t>
      </w:r>
      <w:r w:rsidRPr="00EA576E">
        <w:rPr>
          <w:rFonts w:ascii="Arial" w:hAnsi="Arial" w:cs="Arial"/>
          <w:spacing w:val="6"/>
          <w:sz w:val="24"/>
          <w:szCs w:val="24"/>
        </w:rPr>
        <w:t>to de impulsar la notificación electrónica en el ámbito tributario de Navarra.</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lastRenderedPageBreak/>
        <w:t xml:space="preserve"> Ley Foral 21/2014, de 12 de noviembre, por la que se establece la cua</w:t>
      </w:r>
      <w:r w:rsidRPr="00EA576E">
        <w:rPr>
          <w:rFonts w:ascii="Arial" w:hAnsi="Arial" w:cs="Arial"/>
          <w:spacing w:val="6"/>
          <w:sz w:val="24"/>
          <w:szCs w:val="24"/>
        </w:rPr>
        <w:t>n</w:t>
      </w:r>
      <w:r w:rsidRPr="00EA576E">
        <w:rPr>
          <w:rFonts w:ascii="Arial" w:hAnsi="Arial" w:cs="Arial"/>
          <w:spacing w:val="6"/>
          <w:sz w:val="24"/>
          <w:szCs w:val="24"/>
        </w:rPr>
        <w:t>tía y reparto del Fondo de Participación de las Haciendas Locales en los Tr</w:t>
      </w:r>
      <w:r w:rsidRPr="00EA576E">
        <w:rPr>
          <w:rFonts w:ascii="Arial" w:hAnsi="Arial" w:cs="Arial"/>
          <w:spacing w:val="6"/>
          <w:sz w:val="24"/>
          <w:szCs w:val="24"/>
        </w:rPr>
        <w:t>i</w:t>
      </w:r>
      <w:r w:rsidRPr="00EA576E">
        <w:rPr>
          <w:rFonts w:ascii="Arial" w:hAnsi="Arial" w:cs="Arial"/>
          <w:spacing w:val="6"/>
          <w:sz w:val="24"/>
          <w:szCs w:val="24"/>
        </w:rPr>
        <w:t>butos de Navarra por Transferencias Corrientes para los ejercicios pres</w:t>
      </w:r>
      <w:r w:rsidRPr="00EA576E">
        <w:rPr>
          <w:rFonts w:ascii="Arial" w:hAnsi="Arial" w:cs="Arial"/>
          <w:spacing w:val="6"/>
          <w:sz w:val="24"/>
          <w:szCs w:val="24"/>
        </w:rPr>
        <w:t>u</w:t>
      </w:r>
      <w:r w:rsidRPr="00EA576E">
        <w:rPr>
          <w:rFonts w:ascii="Arial" w:hAnsi="Arial" w:cs="Arial"/>
          <w:spacing w:val="6"/>
          <w:sz w:val="24"/>
          <w:szCs w:val="24"/>
        </w:rPr>
        <w:t>puestarios de 2015y2016.</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23/2014, de 2 de diciembre, de modificación de la Ley Foral 6/1990, de 2 de julio, de la Administración Local de Navarra.</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36/2014, de 26 de diciembre, de Presupuestos Generales del Estado para el año 2015.</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Decreto-Ley Foral 2/2014 de 29 de diciembre, por el que se prorrogan p</w:t>
      </w:r>
      <w:r w:rsidRPr="00EA576E">
        <w:rPr>
          <w:rFonts w:ascii="Arial" w:hAnsi="Arial" w:cs="Arial"/>
          <w:spacing w:val="6"/>
          <w:sz w:val="24"/>
          <w:szCs w:val="24"/>
        </w:rPr>
        <w:t>a</w:t>
      </w:r>
      <w:r w:rsidRPr="00EA576E">
        <w:rPr>
          <w:rFonts w:ascii="Arial" w:hAnsi="Arial" w:cs="Arial"/>
          <w:spacing w:val="6"/>
          <w:sz w:val="24"/>
          <w:szCs w:val="24"/>
        </w:rPr>
        <w:t>ra el año 2015 determinadas medidas urgentes en materia de personal al se</w:t>
      </w:r>
      <w:r w:rsidRPr="00EA576E">
        <w:rPr>
          <w:rFonts w:ascii="Arial" w:hAnsi="Arial" w:cs="Arial"/>
          <w:spacing w:val="6"/>
          <w:sz w:val="24"/>
          <w:szCs w:val="24"/>
        </w:rPr>
        <w:t>r</w:t>
      </w:r>
      <w:r w:rsidRPr="00EA576E">
        <w:rPr>
          <w:rFonts w:ascii="Arial" w:hAnsi="Arial" w:cs="Arial"/>
          <w:spacing w:val="6"/>
          <w:sz w:val="24"/>
          <w:szCs w:val="24"/>
        </w:rPr>
        <w:t>vicio de las Administraciones Públicas de Navarra y se actualizan las pensi</w:t>
      </w:r>
      <w:r w:rsidRPr="00EA576E">
        <w:rPr>
          <w:rFonts w:ascii="Arial" w:hAnsi="Arial" w:cs="Arial"/>
          <w:spacing w:val="6"/>
          <w:sz w:val="24"/>
          <w:szCs w:val="24"/>
        </w:rPr>
        <w:t>o</w:t>
      </w:r>
      <w:r w:rsidRPr="00EA576E">
        <w:rPr>
          <w:rFonts w:ascii="Arial" w:hAnsi="Arial" w:cs="Arial"/>
          <w:spacing w:val="6"/>
          <w:sz w:val="24"/>
          <w:szCs w:val="24"/>
        </w:rPr>
        <w:t>nes de las clases pasivas de sus Montepíos.</w:t>
      </w:r>
    </w:p>
    <w:p w:rsidR="00CD4E82" w:rsidRPr="00EA576E" w:rsidRDefault="00CD4E82" w:rsidP="00CD4E82">
      <w:pPr>
        <w:numPr>
          <w:ilvl w:val="0"/>
          <w:numId w:val="2"/>
        </w:numPr>
        <w:tabs>
          <w:tab w:val="clear" w:pos="1948"/>
          <w:tab w:val="left" w:pos="480"/>
          <w:tab w:val="num" w:pos="600"/>
          <w:tab w:val="num" w:pos="720"/>
          <w:tab w:val="num" w:pos="5040"/>
        </w:tabs>
        <w:ind w:left="0" w:firstLine="290"/>
        <w:rPr>
          <w:rFonts w:ascii="Arial" w:hAnsi="Arial" w:cs="Arial"/>
          <w:spacing w:val="6"/>
          <w:sz w:val="24"/>
          <w:szCs w:val="24"/>
        </w:rPr>
      </w:pPr>
      <w:r w:rsidRPr="00EA576E">
        <w:rPr>
          <w:rFonts w:ascii="Arial" w:hAnsi="Arial" w:cs="Arial"/>
          <w:spacing w:val="6"/>
          <w:sz w:val="24"/>
          <w:szCs w:val="24"/>
        </w:rPr>
        <w:t>Ley Foral 28/2014, de 24 de diciembre, de Medidas Tributarias.</w:t>
      </w:r>
    </w:p>
    <w:p w:rsidR="00CD4E82" w:rsidRPr="00EA576E" w:rsidRDefault="00CD4E82" w:rsidP="00CD4E82">
      <w:pPr>
        <w:tabs>
          <w:tab w:val="center" w:pos="2835"/>
          <w:tab w:val="center" w:pos="3969"/>
          <w:tab w:val="center" w:pos="5103"/>
          <w:tab w:val="center" w:pos="6237"/>
          <w:tab w:val="center" w:pos="7371"/>
        </w:tabs>
        <w:ind w:firstLine="284"/>
        <w:rPr>
          <w:rFonts w:ascii="Arial" w:hAnsi="Arial" w:cs="Arial"/>
          <w:spacing w:val="6"/>
          <w:sz w:val="24"/>
          <w:szCs w:val="24"/>
        </w:rPr>
      </w:pPr>
    </w:p>
    <w:p w:rsidR="00CD4E82" w:rsidRPr="00CD4E82" w:rsidRDefault="00CD4E82" w:rsidP="007E3BFE">
      <w:pPr>
        <w:spacing w:before="360" w:after="180"/>
        <w:ind w:firstLine="0"/>
        <w:jc w:val="left"/>
        <w:rPr>
          <w:b/>
          <w:bCs/>
          <w:sz w:val="24"/>
          <w:szCs w:val="24"/>
          <w:lang w:eastAsia="es-ES"/>
        </w:rPr>
      </w:pPr>
    </w:p>
    <w:p w:rsidR="00CD4E82" w:rsidRDefault="00CD4E82" w:rsidP="007E3BFE">
      <w:pPr>
        <w:spacing w:before="360" w:after="180"/>
        <w:ind w:firstLine="0"/>
        <w:jc w:val="left"/>
        <w:rPr>
          <w:b/>
          <w:bCs/>
          <w:sz w:val="24"/>
          <w:szCs w:val="24"/>
          <w:lang w:val="es-ES" w:eastAsia="es-ES"/>
        </w:rPr>
      </w:pPr>
    </w:p>
    <w:p w:rsidR="00CD4E82" w:rsidRPr="007E3BFE" w:rsidRDefault="00CD4E82" w:rsidP="007E3BFE">
      <w:pPr>
        <w:spacing w:before="360" w:after="180"/>
        <w:ind w:firstLine="0"/>
        <w:jc w:val="left"/>
        <w:rPr>
          <w:b/>
          <w:bCs/>
          <w:sz w:val="24"/>
          <w:szCs w:val="24"/>
          <w:lang w:val="es-ES" w:eastAsia="es-ES"/>
        </w:rPr>
      </w:pPr>
    </w:p>
    <w:p w:rsidR="00CD4E82" w:rsidRDefault="00CD4E82" w:rsidP="007E3BFE">
      <w:pPr>
        <w:spacing w:before="360" w:after="180"/>
        <w:ind w:firstLine="0"/>
        <w:jc w:val="left"/>
        <w:rPr>
          <w:b/>
          <w:bCs/>
          <w:sz w:val="24"/>
          <w:szCs w:val="24"/>
          <w:lang w:val="es-ES" w:eastAsia="es-ES"/>
        </w:rPr>
        <w:sectPr w:rsidR="00CD4E82" w:rsidSect="00310593">
          <w:type w:val="oddPage"/>
          <w:pgSz w:w="11907" w:h="16840" w:code="9"/>
          <w:pgMar w:top="2109" w:right="1559" w:bottom="1644" w:left="1559" w:header="369" w:footer="136" w:gutter="0"/>
          <w:cols w:space="720"/>
          <w:docGrid w:linePitch="360"/>
        </w:sectPr>
      </w:pPr>
    </w:p>
    <w:p w:rsidR="007E3BFE" w:rsidRPr="007E3BFE" w:rsidRDefault="007E3BFE" w:rsidP="007E3BFE">
      <w:pPr>
        <w:spacing w:before="360" w:after="180"/>
        <w:ind w:firstLine="0"/>
        <w:jc w:val="left"/>
        <w:rPr>
          <w:b/>
          <w:bCs/>
          <w:sz w:val="24"/>
          <w:szCs w:val="24"/>
          <w:lang w:val="es-ES" w:eastAsia="es-ES"/>
        </w:rPr>
      </w:pPr>
    </w:p>
    <w:p w:rsidR="007E3BFE" w:rsidRDefault="007E3BFE" w:rsidP="007E3BFE">
      <w:pPr>
        <w:spacing w:before="360" w:after="180"/>
        <w:ind w:firstLine="0"/>
        <w:jc w:val="left"/>
        <w:rPr>
          <w:b/>
          <w:bCs/>
          <w:sz w:val="24"/>
          <w:szCs w:val="24"/>
          <w:lang w:val="es-ES" w:eastAsia="es-ES"/>
        </w:rPr>
      </w:pPr>
    </w:p>
    <w:p w:rsidR="00933908" w:rsidRPr="007E3BFE" w:rsidRDefault="00933908" w:rsidP="007E3BFE">
      <w:pPr>
        <w:spacing w:before="360" w:after="180"/>
        <w:ind w:firstLine="0"/>
        <w:jc w:val="left"/>
        <w:rPr>
          <w:b/>
          <w:bCs/>
          <w:sz w:val="24"/>
          <w:szCs w:val="24"/>
          <w:lang w:val="es-ES" w:eastAsia="es-ES"/>
        </w:rPr>
      </w:pPr>
    </w:p>
    <w:p w:rsidR="007E3BFE" w:rsidRPr="00310593" w:rsidRDefault="007E3BFE" w:rsidP="00CC365F">
      <w:pPr>
        <w:pStyle w:val="atitulo1"/>
        <w:ind w:left="3402"/>
        <w:rPr>
          <w:spacing w:val="6"/>
          <w:w w:val="103"/>
          <w:sz w:val="32"/>
          <w:szCs w:val="32"/>
        </w:rPr>
      </w:pPr>
      <w:bookmarkStart w:id="51" w:name="_Toc402257034"/>
      <w:bookmarkStart w:id="52" w:name="_Toc465686694"/>
      <w:bookmarkStart w:id="53" w:name="_Toc467847966"/>
      <w:r w:rsidRPr="00310593">
        <w:rPr>
          <w:sz w:val="32"/>
          <w:szCs w:val="32"/>
        </w:rPr>
        <w:t>Anexo</w:t>
      </w:r>
      <w:bookmarkEnd w:id="51"/>
      <w:r w:rsidR="00300107">
        <w:rPr>
          <w:sz w:val="32"/>
          <w:szCs w:val="32"/>
        </w:rPr>
        <w:t xml:space="preserve"> 2</w:t>
      </w:r>
      <w:r w:rsidR="00CC365F">
        <w:rPr>
          <w:sz w:val="32"/>
          <w:szCs w:val="32"/>
        </w:rPr>
        <w:t>. S</w:t>
      </w:r>
      <w:r w:rsidRPr="00310593">
        <w:rPr>
          <w:sz w:val="32"/>
          <w:szCs w:val="32"/>
        </w:rPr>
        <w:t>ituación financiera del sector público local de Navarra, año 2014</w:t>
      </w:r>
      <w:bookmarkEnd w:id="52"/>
      <w:r w:rsidR="00872C1C">
        <w:rPr>
          <w:sz w:val="32"/>
          <w:szCs w:val="32"/>
        </w:rPr>
        <w:t xml:space="preserve"> (CD)</w:t>
      </w:r>
      <w:bookmarkEnd w:id="53"/>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310593">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E4A" w:rsidRDefault="00071E4A">
      <w:r>
        <w:separator/>
      </w:r>
    </w:p>
    <w:p w:rsidR="00071E4A" w:rsidRDefault="00071E4A"/>
    <w:p w:rsidR="00071E4A" w:rsidRDefault="00071E4A"/>
    <w:p w:rsidR="00071E4A" w:rsidRDefault="00071E4A"/>
  </w:endnote>
  <w:endnote w:type="continuationSeparator" w:id="0">
    <w:p w:rsidR="00071E4A" w:rsidRDefault="00071E4A">
      <w:r>
        <w:continuationSeparator/>
      </w:r>
    </w:p>
    <w:p w:rsidR="00071E4A" w:rsidRDefault="00071E4A"/>
    <w:p w:rsidR="00071E4A" w:rsidRDefault="00071E4A"/>
    <w:p w:rsidR="00071E4A" w:rsidRDefault="00071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Default="00071E4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1E4A" w:rsidRDefault="00071E4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Pr="00F03814" w:rsidRDefault="00071E4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EAC585E" wp14:editId="54C6C811">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71E4A" w:rsidRPr="00F74E38" w:rsidRDefault="00071E4A" w:rsidP="00F03814">
    <w:pPr>
      <w:pStyle w:val="Piedepgina"/>
      <w:tabs>
        <w:tab w:val="clear" w:pos="4252"/>
        <w:tab w:val="clear" w:pos="8504"/>
        <w:tab w:val="center" w:pos="4560"/>
      </w:tabs>
      <w:ind w:right="360"/>
      <w:jc w:val="left"/>
      <w:rPr>
        <w:rStyle w:val="Nmerodepgina"/>
      </w:rPr>
    </w:pPr>
  </w:p>
  <w:p w:rsidR="00071E4A" w:rsidRPr="00C13453" w:rsidRDefault="00071E4A"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Default="00071E4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Pr="00F03814" w:rsidRDefault="00071E4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8CC7916" wp14:editId="674E1941">
          <wp:extent cx="219075" cy="371475"/>
          <wp:effectExtent l="0" t="0" r="0" b="0"/>
          <wp:docPr id="27" name="Imagen 2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07C5E">
      <w:rPr>
        <w:rStyle w:val="Nmerodepgina"/>
        <w:noProof/>
        <w:szCs w:val="24"/>
      </w:rPr>
      <w:t>11</w:t>
    </w:r>
    <w:r w:rsidRPr="001D4F09">
      <w:rPr>
        <w:rStyle w:val="Nmerodepgina"/>
        <w:szCs w:val="24"/>
      </w:rPr>
      <w:fldChar w:fldCharType="end"/>
    </w:r>
    <w:r w:rsidRPr="001D4F09">
      <w:rPr>
        <w:rStyle w:val="Nmerodepgina"/>
        <w:szCs w:val="24"/>
      </w:rPr>
      <w:t xml:space="preserve"> -</w:t>
    </w:r>
  </w:p>
  <w:p w:rsidR="00071E4A" w:rsidRPr="00C13453" w:rsidRDefault="00071E4A" w:rsidP="00D2472C">
    <w:pPr>
      <w:pStyle w:val="BorradorProvisional"/>
      <w:ind w:left="0"/>
      <w:jc w:val="center"/>
    </w:pPr>
  </w:p>
  <w:p w:rsidR="00071E4A" w:rsidRDefault="00071E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Pr="00F03814" w:rsidRDefault="00071E4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F510E38" wp14:editId="639B6B09">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07C5E">
      <w:rPr>
        <w:rStyle w:val="Nmerodepgina"/>
        <w:noProof/>
        <w:szCs w:val="24"/>
      </w:rPr>
      <w:t>35</w:t>
    </w:r>
    <w:r w:rsidRPr="001D4F09">
      <w:rPr>
        <w:rStyle w:val="Nmerodepgina"/>
        <w:szCs w:val="24"/>
      </w:rPr>
      <w:fldChar w:fldCharType="end"/>
    </w:r>
    <w:r w:rsidRPr="001D4F09">
      <w:rPr>
        <w:rStyle w:val="Nmerodepgina"/>
        <w:szCs w:val="24"/>
      </w:rPr>
      <w:t xml:space="preserve"> -</w:t>
    </w:r>
  </w:p>
  <w:p w:rsidR="00071E4A" w:rsidRPr="00C13453" w:rsidRDefault="00071E4A" w:rsidP="00D2472C">
    <w:pPr>
      <w:pStyle w:val="BorradorProvisional"/>
      <w:ind w:left="0"/>
      <w:jc w:val="center"/>
    </w:pPr>
  </w:p>
  <w:p w:rsidR="00071E4A" w:rsidRDefault="00071E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E4A" w:rsidRDefault="00071E4A">
      <w:r>
        <w:separator/>
      </w:r>
    </w:p>
    <w:p w:rsidR="00071E4A" w:rsidRDefault="00071E4A"/>
    <w:p w:rsidR="00071E4A" w:rsidRDefault="00071E4A"/>
    <w:p w:rsidR="00071E4A" w:rsidRDefault="00071E4A"/>
  </w:footnote>
  <w:footnote w:type="continuationSeparator" w:id="0">
    <w:p w:rsidR="00071E4A" w:rsidRDefault="00071E4A">
      <w:r>
        <w:continuationSeparator/>
      </w:r>
    </w:p>
    <w:p w:rsidR="00071E4A" w:rsidRDefault="00071E4A"/>
    <w:p w:rsidR="00071E4A" w:rsidRDefault="00071E4A"/>
    <w:p w:rsidR="00071E4A" w:rsidRDefault="00071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Default="00071E4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CD7DD48" wp14:editId="30510A72">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071E4A" w:rsidRPr="0059650E" w:rsidRDefault="00071E4A" w:rsidP="00891D73">
    <w:pPr>
      <w:pStyle w:val="Encabezado"/>
      <w:pBdr>
        <w:bottom w:val="single" w:sz="4" w:space="1" w:color="auto"/>
      </w:pBdr>
      <w:ind w:firstLine="0"/>
      <w:rPr>
        <w:lang w:val="es-ES"/>
      </w:rPr>
    </w:pPr>
    <w:r>
      <w:rPr>
        <w:lang w:val="es-ES"/>
      </w:rPr>
      <w:t>informe de fiscalización SOBRE el sector público local de navarra,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Default="00071E4A"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Default="00071E4A"/>
  <w:p w:rsidR="00071E4A" w:rsidRDefault="00071E4A"/>
  <w:p w:rsidR="00071E4A" w:rsidRDefault="00071E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A" w:rsidRDefault="00071E4A"/>
  <w:p w:rsidR="00071E4A" w:rsidRDefault="00071E4A"/>
  <w:p w:rsidR="00071E4A" w:rsidRDefault="00071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309863DD"/>
    <w:multiLevelType w:val="hybridMultilevel"/>
    <w:tmpl w:val="D3F60BDA"/>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4A1E2449"/>
    <w:multiLevelType w:val="hybridMultilevel"/>
    <w:tmpl w:val="DC1804FE"/>
    <w:lvl w:ilvl="0" w:tplc="FBC41842">
      <w:start w:val="5"/>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0"/>
  </w:num>
  <w:num w:numId="7">
    <w:abstractNumId w:val="0"/>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6E"/>
    <w:rsid w:val="000019D8"/>
    <w:rsid w:val="00006736"/>
    <w:rsid w:val="00006A97"/>
    <w:rsid w:val="0001123B"/>
    <w:rsid w:val="00012A7F"/>
    <w:rsid w:val="00017A3A"/>
    <w:rsid w:val="00021DF5"/>
    <w:rsid w:val="00036E42"/>
    <w:rsid w:val="0004373B"/>
    <w:rsid w:val="000448FA"/>
    <w:rsid w:val="00053A42"/>
    <w:rsid w:val="0005517D"/>
    <w:rsid w:val="0006133D"/>
    <w:rsid w:val="00063585"/>
    <w:rsid w:val="00071CD0"/>
    <w:rsid w:val="00071E4A"/>
    <w:rsid w:val="00075692"/>
    <w:rsid w:val="00087B8D"/>
    <w:rsid w:val="00093D67"/>
    <w:rsid w:val="00093E60"/>
    <w:rsid w:val="000A18B7"/>
    <w:rsid w:val="000A2C1E"/>
    <w:rsid w:val="000A4697"/>
    <w:rsid w:val="000B2728"/>
    <w:rsid w:val="000B3943"/>
    <w:rsid w:val="000B40E9"/>
    <w:rsid w:val="000B4477"/>
    <w:rsid w:val="000C0704"/>
    <w:rsid w:val="000C2B07"/>
    <w:rsid w:val="000C39CC"/>
    <w:rsid w:val="000C7566"/>
    <w:rsid w:val="000D188E"/>
    <w:rsid w:val="000D5335"/>
    <w:rsid w:val="000E1FC1"/>
    <w:rsid w:val="000E7B86"/>
    <w:rsid w:val="000F2B66"/>
    <w:rsid w:val="000F3D83"/>
    <w:rsid w:val="00100F12"/>
    <w:rsid w:val="00103589"/>
    <w:rsid w:val="001045C9"/>
    <w:rsid w:val="00107CC1"/>
    <w:rsid w:val="001119A4"/>
    <w:rsid w:val="00111A92"/>
    <w:rsid w:val="001145C3"/>
    <w:rsid w:val="00114989"/>
    <w:rsid w:val="001161D2"/>
    <w:rsid w:val="00121457"/>
    <w:rsid w:val="001242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499B"/>
    <w:rsid w:val="0019660E"/>
    <w:rsid w:val="001B39E2"/>
    <w:rsid w:val="001C2B26"/>
    <w:rsid w:val="001C3A32"/>
    <w:rsid w:val="001D0797"/>
    <w:rsid w:val="001D4F09"/>
    <w:rsid w:val="001E6B7A"/>
    <w:rsid w:val="001F1482"/>
    <w:rsid w:val="001F20D7"/>
    <w:rsid w:val="001F7744"/>
    <w:rsid w:val="002014EB"/>
    <w:rsid w:val="00202B1A"/>
    <w:rsid w:val="002042A8"/>
    <w:rsid w:val="00204979"/>
    <w:rsid w:val="00207C5E"/>
    <w:rsid w:val="00211D69"/>
    <w:rsid w:val="002146A9"/>
    <w:rsid w:val="002179DB"/>
    <w:rsid w:val="00227087"/>
    <w:rsid w:val="00227E48"/>
    <w:rsid w:val="00230577"/>
    <w:rsid w:val="0023209D"/>
    <w:rsid w:val="002333F8"/>
    <w:rsid w:val="00233D79"/>
    <w:rsid w:val="0023499C"/>
    <w:rsid w:val="00235AA6"/>
    <w:rsid w:val="00237657"/>
    <w:rsid w:val="00240A69"/>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23BB"/>
    <w:rsid w:val="002A553A"/>
    <w:rsid w:val="002A66A5"/>
    <w:rsid w:val="002A6EBB"/>
    <w:rsid w:val="002B21E9"/>
    <w:rsid w:val="002B2B87"/>
    <w:rsid w:val="002B4E0F"/>
    <w:rsid w:val="002B56F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0107"/>
    <w:rsid w:val="00303506"/>
    <w:rsid w:val="00307057"/>
    <w:rsid w:val="00310593"/>
    <w:rsid w:val="00310AD2"/>
    <w:rsid w:val="003112A8"/>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5435"/>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5EC0"/>
    <w:rsid w:val="00456456"/>
    <w:rsid w:val="00462367"/>
    <w:rsid w:val="0046490C"/>
    <w:rsid w:val="00470287"/>
    <w:rsid w:val="00470733"/>
    <w:rsid w:val="0047640A"/>
    <w:rsid w:val="00477C53"/>
    <w:rsid w:val="00485380"/>
    <w:rsid w:val="00493D87"/>
    <w:rsid w:val="004950D4"/>
    <w:rsid w:val="004A0506"/>
    <w:rsid w:val="004A2342"/>
    <w:rsid w:val="004A2F62"/>
    <w:rsid w:val="004B1DB8"/>
    <w:rsid w:val="004B2F01"/>
    <w:rsid w:val="004B4182"/>
    <w:rsid w:val="004B4538"/>
    <w:rsid w:val="004B6FB6"/>
    <w:rsid w:val="004C571D"/>
    <w:rsid w:val="004D35A2"/>
    <w:rsid w:val="004D5FD1"/>
    <w:rsid w:val="004E4A20"/>
    <w:rsid w:val="004E7D1E"/>
    <w:rsid w:val="004F7C93"/>
    <w:rsid w:val="00506105"/>
    <w:rsid w:val="00513162"/>
    <w:rsid w:val="00525809"/>
    <w:rsid w:val="00535130"/>
    <w:rsid w:val="00537302"/>
    <w:rsid w:val="00555509"/>
    <w:rsid w:val="00560E8D"/>
    <w:rsid w:val="00561C5B"/>
    <w:rsid w:val="00564F2D"/>
    <w:rsid w:val="00566CDA"/>
    <w:rsid w:val="0056727E"/>
    <w:rsid w:val="00567BA6"/>
    <w:rsid w:val="00570033"/>
    <w:rsid w:val="00570147"/>
    <w:rsid w:val="0057307E"/>
    <w:rsid w:val="00573A4C"/>
    <w:rsid w:val="00574B79"/>
    <w:rsid w:val="00574D12"/>
    <w:rsid w:val="005800B4"/>
    <w:rsid w:val="0058070B"/>
    <w:rsid w:val="0058205E"/>
    <w:rsid w:val="0058296F"/>
    <w:rsid w:val="00582A98"/>
    <w:rsid w:val="00595E80"/>
    <w:rsid w:val="0059650E"/>
    <w:rsid w:val="00596953"/>
    <w:rsid w:val="005A6030"/>
    <w:rsid w:val="005B3E99"/>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677"/>
    <w:rsid w:val="006736A9"/>
    <w:rsid w:val="00673BC7"/>
    <w:rsid w:val="00674975"/>
    <w:rsid w:val="00675D39"/>
    <w:rsid w:val="0068560B"/>
    <w:rsid w:val="00685FA2"/>
    <w:rsid w:val="0069411A"/>
    <w:rsid w:val="00694DB0"/>
    <w:rsid w:val="006A1277"/>
    <w:rsid w:val="006A2602"/>
    <w:rsid w:val="006A2D41"/>
    <w:rsid w:val="006A67E1"/>
    <w:rsid w:val="006C2AEE"/>
    <w:rsid w:val="006C36FB"/>
    <w:rsid w:val="006C5084"/>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46DE"/>
    <w:rsid w:val="007967FA"/>
    <w:rsid w:val="00797E7A"/>
    <w:rsid w:val="007A0EA6"/>
    <w:rsid w:val="007A2D9E"/>
    <w:rsid w:val="007A7C6A"/>
    <w:rsid w:val="007B0381"/>
    <w:rsid w:val="007B0F3D"/>
    <w:rsid w:val="007B148D"/>
    <w:rsid w:val="007B18C8"/>
    <w:rsid w:val="007B28DE"/>
    <w:rsid w:val="007B7A5F"/>
    <w:rsid w:val="007C36BE"/>
    <w:rsid w:val="007D4EA6"/>
    <w:rsid w:val="007D53ED"/>
    <w:rsid w:val="007D6001"/>
    <w:rsid w:val="007D7F94"/>
    <w:rsid w:val="007E1B76"/>
    <w:rsid w:val="007E219A"/>
    <w:rsid w:val="007E37BF"/>
    <w:rsid w:val="007E3BFE"/>
    <w:rsid w:val="007E6593"/>
    <w:rsid w:val="007F1101"/>
    <w:rsid w:val="007F2CB1"/>
    <w:rsid w:val="007F7BB5"/>
    <w:rsid w:val="00803D20"/>
    <w:rsid w:val="008112A0"/>
    <w:rsid w:val="0081696D"/>
    <w:rsid w:val="00816E01"/>
    <w:rsid w:val="008173D0"/>
    <w:rsid w:val="00823235"/>
    <w:rsid w:val="008249F1"/>
    <w:rsid w:val="00824AF2"/>
    <w:rsid w:val="00826686"/>
    <w:rsid w:val="00833FAA"/>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2C1C"/>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5299"/>
    <w:rsid w:val="008E60BE"/>
    <w:rsid w:val="008E6B74"/>
    <w:rsid w:val="008F0FAF"/>
    <w:rsid w:val="008F46CD"/>
    <w:rsid w:val="008F6480"/>
    <w:rsid w:val="008F7740"/>
    <w:rsid w:val="00900CA2"/>
    <w:rsid w:val="009020CB"/>
    <w:rsid w:val="00903653"/>
    <w:rsid w:val="00910A52"/>
    <w:rsid w:val="00911479"/>
    <w:rsid w:val="0091484D"/>
    <w:rsid w:val="00925E71"/>
    <w:rsid w:val="0093329F"/>
    <w:rsid w:val="00933908"/>
    <w:rsid w:val="00937043"/>
    <w:rsid w:val="009445D3"/>
    <w:rsid w:val="009522A3"/>
    <w:rsid w:val="0095539C"/>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323B2"/>
    <w:rsid w:val="00A34F15"/>
    <w:rsid w:val="00A4576A"/>
    <w:rsid w:val="00A45AD0"/>
    <w:rsid w:val="00A45EE9"/>
    <w:rsid w:val="00A53C14"/>
    <w:rsid w:val="00A57494"/>
    <w:rsid w:val="00A61410"/>
    <w:rsid w:val="00A6198A"/>
    <w:rsid w:val="00A65108"/>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598B"/>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16B4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93FB6"/>
    <w:rsid w:val="00BA2B7C"/>
    <w:rsid w:val="00BA34E9"/>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72BE1"/>
    <w:rsid w:val="00C74906"/>
    <w:rsid w:val="00C81B40"/>
    <w:rsid w:val="00C81FEA"/>
    <w:rsid w:val="00C83969"/>
    <w:rsid w:val="00C86C95"/>
    <w:rsid w:val="00C86C9F"/>
    <w:rsid w:val="00C93DB0"/>
    <w:rsid w:val="00CA05EB"/>
    <w:rsid w:val="00CA3515"/>
    <w:rsid w:val="00CA3A05"/>
    <w:rsid w:val="00CB14E9"/>
    <w:rsid w:val="00CB6D90"/>
    <w:rsid w:val="00CB72C3"/>
    <w:rsid w:val="00CC2476"/>
    <w:rsid w:val="00CC365F"/>
    <w:rsid w:val="00CC45E4"/>
    <w:rsid w:val="00CD019F"/>
    <w:rsid w:val="00CD27C5"/>
    <w:rsid w:val="00CD4E82"/>
    <w:rsid w:val="00CE4169"/>
    <w:rsid w:val="00CE7894"/>
    <w:rsid w:val="00CF06A1"/>
    <w:rsid w:val="00CF1467"/>
    <w:rsid w:val="00CF48D6"/>
    <w:rsid w:val="00CF57D6"/>
    <w:rsid w:val="00CF6C1B"/>
    <w:rsid w:val="00D006FA"/>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57D2"/>
    <w:rsid w:val="00D763FD"/>
    <w:rsid w:val="00D87937"/>
    <w:rsid w:val="00D90AD1"/>
    <w:rsid w:val="00D941F7"/>
    <w:rsid w:val="00DA4DDF"/>
    <w:rsid w:val="00DB0804"/>
    <w:rsid w:val="00DB2FC4"/>
    <w:rsid w:val="00DC382A"/>
    <w:rsid w:val="00DD1355"/>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4641E"/>
    <w:rsid w:val="00E50882"/>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576E"/>
    <w:rsid w:val="00EA7E36"/>
    <w:rsid w:val="00EB0898"/>
    <w:rsid w:val="00EB627B"/>
    <w:rsid w:val="00EB6D94"/>
    <w:rsid w:val="00EC175B"/>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0403"/>
    <w:rsid w:val="00F6316B"/>
    <w:rsid w:val="00F65AE0"/>
    <w:rsid w:val="00F74E38"/>
    <w:rsid w:val="00F76D6F"/>
    <w:rsid w:val="00F778B0"/>
    <w:rsid w:val="00F8214A"/>
    <w:rsid w:val="00F83BC2"/>
    <w:rsid w:val="00F92EC1"/>
    <w:rsid w:val="00F94C47"/>
    <w:rsid w:val="00F94E88"/>
    <w:rsid w:val="00FA0421"/>
    <w:rsid w:val="00FA3389"/>
    <w:rsid w:val="00FA3476"/>
    <w:rsid w:val="00FA495F"/>
    <w:rsid w:val="00FB0C10"/>
    <w:rsid w:val="00FB3C36"/>
    <w:rsid w:val="00FB4280"/>
    <w:rsid w:val="00FB7CCE"/>
    <w:rsid w:val="00FC01C8"/>
    <w:rsid w:val="00FC2A6E"/>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E3B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E3BF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872C1C"/>
    <w:pPr>
      <w:tabs>
        <w:tab w:val="right" w:leader="dot" w:pos="8931"/>
      </w:tabs>
      <w:spacing w:before="60" w:after="80"/>
      <w:ind w:right="284"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685FA2"/>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685FA2"/>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uiPriority w:val="99"/>
    <w:rsid w:val="007E3BFE"/>
    <w:rPr>
      <w:b/>
      <w:bCs/>
      <w:sz w:val="28"/>
      <w:szCs w:val="28"/>
      <w:lang w:val="es-ES_tradnl" w:eastAsia="en-US"/>
    </w:rPr>
  </w:style>
  <w:style w:type="character" w:customStyle="1" w:styleId="Ttulo7Car">
    <w:name w:val="Título 7 Car"/>
    <w:basedOn w:val="Fuentedeprrafopredeter"/>
    <w:link w:val="Ttulo7"/>
    <w:uiPriority w:val="99"/>
    <w:rsid w:val="007E3BFE"/>
    <w:rPr>
      <w:sz w:val="52"/>
    </w:rPr>
  </w:style>
  <w:style w:type="character" w:customStyle="1" w:styleId="Ttulo1Car">
    <w:name w:val="Título 1 Car"/>
    <w:basedOn w:val="Fuentedeprrafopredeter"/>
    <w:link w:val="Ttulo1"/>
    <w:uiPriority w:val="99"/>
    <w:rsid w:val="007E3BF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7E3BF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7E3BFE"/>
    <w:rPr>
      <w:rFonts w:ascii="Arial" w:hAnsi="Arial" w:cs="Arial"/>
      <w:b/>
      <w:bCs/>
      <w:szCs w:val="26"/>
      <w:lang w:val="es-ES_tradnl" w:eastAsia="en-US"/>
    </w:rPr>
  </w:style>
  <w:style w:type="character" w:customStyle="1" w:styleId="Ttulo5Car">
    <w:name w:val="Título 5 Car"/>
    <w:basedOn w:val="Fuentedeprrafopredeter"/>
    <w:link w:val="Ttulo5"/>
    <w:uiPriority w:val="99"/>
    <w:rsid w:val="007E3BFE"/>
    <w:rPr>
      <w:b/>
      <w:sz w:val="28"/>
      <w:lang w:eastAsia="en-US"/>
    </w:rPr>
  </w:style>
  <w:style w:type="paragraph" w:styleId="Ttulo">
    <w:name w:val="Title"/>
    <w:basedOn w:val="Normal"/>
    <w:next w:val="Normal"/>
    <w:link w:val="TtuloCar"/>
    <w:uiPriority w:val="10"/>
    <w:qFormat/>
    <w:rsid w:val="007E3B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3BF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E3B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3BF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7E3BFE"/>
    <w:rPr>
      <w:rFonts w:cs="Times New Roman"/>
      <w:b/>
    </w:rPr>
  </w:style>
  <w:style w:type="character" w:styleId="nfasis">
    <w:name w:val="Emphasis"/>
    <w:basedOn w:val="Fuentedeprrafopredeter"/>
    <w:uiPriority w:val="99"/>
    <w:qFormat/>
    <w:rsid w:val="007E3BFE"/>
    <w:rPr>
      <w:rFonts w:cs="Times New Roman"/>
      <w:i/>
      <w:iCs/>
    </w:rPr>
  </w:style>
  <w:style w:type="paragraph" w:styleId="Prrafodelista">
    <w:name w:val="List Paragraph"/>
    <w:basedOn w:val="Normal"/>
    <w:uiPriority w:val="34"/>
    <w:qFormat/>
    <w:rsid w:val="007E3BFE"/>
    <w:pPr>
      <w:ind w:left="720"/>
      <w:contextualSpacing/>
    </w:pPr>
  </w:style>
  <w:style w:type="paragraph" w:styleId="Cita">
    <w:name w:val="Quote"/>
    <w:basedOn w:val="Normal"/>
    <w:next w:val="Normal"/>
    <w:link w:val="CitaCar"/>
    <w:uiPriority w:val="29"/>
    <w:qFormat/>
    <w:rsid w:val="007E3BFE"/>
    <w:rPr>
      <w:i/>
      <w:iCs/>
      <w:color w:val="000000" w:themeColor="text1"/>
    </w:rPr>
  </w:style>
  <w:style w:type="character" w:customStyle="1" w:styleId="CitaCar">
    <w:name w:val="Cita Car"/>
    <w:basedOn w:val="Fuentedeprrafopredeter"/>
    <w:link w:val="Cita"/>
    <w:uiPriority w:val="29"/>
    <w:rsid w:val="007E3BFE"/>
    <w:rPr>
      <w:i/>
      <w:iCs/>
      <w:color w:val="000000" w:themeColor="text1"/>
      <w:lang w:val="es-ES_tradnl" w:eastAsia="en-US"/>
    </w:rPr>
  </w:style>
  <w:style w:type="character" w:styleId="nfasissutil">
    <w:name w:val="Subtle Emphasis"/>
    <w:basedOn w:val="Fuentedeprrafopredeter"/>
    <w:uiPriority w:val="19"/>
    <w:qFormat/>
    <w:rsid w:val="007E3BFE"/>
    <w:rPr>
      <w:i/>
      <w:iCs/>
      <w:color w:val="808080" w:themeColor="text1" w:themeTint="7F"/>
    </w:rPr>
  </w:style>
  <w:style w:type="character" w:styleId="nfasisintenso">
    <w:name w:val="Intense Emphasis"/>
    <w:basedOn w:val="Fuentedeprrafopredeter"/>
    <w:uiPriority w:val="21"/>
    <w:qFormat/>
    <w:rsid w:val="007E3BFE"/>
    <w:rPr>
      <w:b/>
      <w:bCs/>
      <w:i/>
      <w:iCs/>
      <w:color w:val="4F81BD" w:themeColor="accent1"/>
    </w:rPr>
  </w:style>
  <w:style w:type="character" w:styleId="Referenciasutil">
    <w:name w:val="Subtle Reference"/>
    <w:basedOn w:val="Fuentedeprrafopredeter"/>
    <w:uiPriority w:val="31"/>
    <w:qFormat/>
    <w:rsid w:val="007E3BFE"/>
    <w:rPr>
      <w:smallCaps/>
      <w:color w:val="C0504D" w:themeColor="accent2"/>
      <w:u w:val="single"/>
    </w:rPr>
  </w:style>
  <w:style w:type="character" w:styleId="Referenciaintensa">
    <w:name w:val="Intense Reference"/>
    <w:basedOn w:val="Fuentedeprrafopredeter"/>
    <w:uiPriority w:val="32"/>
    <w:qFormat/>
    <w:rsid w:val="007E3BFE"/>
    <w:rPr>
      <w:b/>
      <w:bCs/>
      <w:smallCaps/>
      <w:color w:val="C0504D" w:themeColor="accent2"/>
      <w:spacing w:val="5"/>
      <w:u w:val="single"/>
    </w:rPr>
  </w:style>
  <w:style w:type="paragraph" w:customStyle="1" w:styleId="articulo1">
    <w:name w:val="articulo1"/>
    <w:basedOn w:val="Normal"/>
    <w:rsid w:val="007E3BFE"/>
    <w:pPr>
      <w:spacing w:before="360" w:after="180"/>
      <w:ind w:firstLine="0"/>
      <w:jc w:val="left"/>
    </w:pPr>
    <w:rPr>
      <w:b/>
      <w:bCs/>
      <w:sz w:val="24"/>
      <w:szCs w:val="24"/>
      <w:lang w:val="es-ES" w:eastAsia="es-ES"/>
    </w:rPr>
  </w:style>
  <w:style w:type="paragraph" w:customStyle="1" w:styleId="Default">
    <w:name w:val="Default"/>
    <w:rsid w:val="007E3BFE"/>
    <w:pPr>
      <w:autoSpaceDE w:val="0"/>
      <w:autoSpaceDN w:val="0"/>
      <w:adjustRightInd w:val="0"/>
    </w:pPr>
    <w:rPr>
      <w:rFonts w:ascii="ITCCentury Book" w:hAnsi="ITCCentury Book" w:cs="ITCCentury Book"/>
      <w:color w:val="000000"/>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E3B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E3BF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872C1C"/>
    <w:pPr>
      <w:tabs>
        <w:tab w:val="right" w:leader="dot" w:pos="8931"/>
      </w:tabs>
      <w:spacing w:before="60" w:after="80"/>
      <w:ind w:right="284"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685FA2"/>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685FA2"/>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uiPriority w:val="99"/>
    <w:rsid w:val="007E3BFE"/>
    <w:rPr>
      <w:b/>
      <w:bCs/>
      <w:sz w:val="28"/>
      <w:szCs w:val="28"/>
      <w:lang w:val="es-ES_tradnl" w:eastAsia="en-US"/>
    </w:rPr>
  </w:style>
  <w:style w:type="character" w:customStyle="1" w:styleId="Ttulo7Car">
    <w:name w:val="Título 7 Car"/>
    <w:basedOn w:val="Fuentedeprrafopredeter"/>
    <w:link w:val="Ttulo7"/>
    <w:uiPriority w:val="99"/>
    <w:rsid w:val="007E3BFE"/>
    <w:rPr>
      <w:sz w:val="52"/>
    </w:rPr>
  </w:style>
  <w:style w:type="character" w:customStyle="1" w:styleId="Ttulo1Car">
    <w:name w:val="Título 1 Car"/>
    <w:basedOn w:val="Fuentedeprrafopredeter"/>
    <w:link w:val="Ttulo1"/>
    <w:uiPriority w:val="99"/>
    <w:rsid w:val="007E3BF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7E3BF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7E3BFE"/>
    <w:rPr>
      <w:rFonts w:ascii="Arial" w:hAnsi="Arial" w:cs="Arial"/>
      <w:b/>
      <w:bCs/>
      <w:szCs w:val="26"/>
      <w:lang w:val="es-ES_tradnl" w:eastAsia="en-US"/>
    </w:rPr>
  </w:style>
  <w:style w:type="character" w:customStyle="1" w:styleId="Ttulo5Car">
    <w:name w:val="Título 5 Car"/>
    <w:basedOn w:val="Fuentedeprrafopredeter"/>
    <w:link w:val="Ttulo5"/>
    <w:uiPriority w:val="99"/>
    <w:rsid w:val="007E3BFE"/>
    <w:rPr>
      <w:b/>
      <w:sz w:val="28"/>
      <w:lang w:eastAsia="en-US"/>
    </w:rPr>
  </w:style>
  <w:style w:type="paragraph" w:styleId="Ttulo">
    <w:name w:val="Title"/>
    <w:basedOn w:val="Normal"/>
    <w:next w:val="Normal"/>
    <w:link w:val="TtuloCar"/>
    <w:uiPriority w:val="10"/>
    <w:qFormat/>
    <w:rsid w:val="007E3B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3BF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E3B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3BF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7E3BFE"/>
    <w:rPr>
      <w:rFonts w:cs="Times New Roman"/>
      <w:b/>
    </w:rPr>
  </w:style>
  <w:style w:type="character" w:styleId="nfasis">
    <w:name w:val="Emphasis"/>
    <w:basedOn w:val="Fuentedeprrafopredeter"/>
    <w:uiPriority w:val="99"/>
    <w:qFormat/>
    <w:rsid w:val="007E3BFE"/>
    <w:rPr>
      <w:rFonts w:cs="Times New Roman"/>
      <w:i/>
      <w:iCs/>
    </w:rPr>
  </w:style>
  <w:style w:type="paragraph" w:styleId="Prrafodelista">
    <w:name w:val="List Paragraph"/>
    <w:basedOn w:val="Normal"/>
    <w:uiPriority w:val="34"/>
    <w:qFormat/>
    <w:rsid w:val="007E3BFE"/>
    <w:pPr>
      <w:ind w:left="720"/>
      <w:contextualSpacing/>
    </w:pPr>
  </w:style>
  <w:style w:type="paragraph" w:styleId="Cita">
    <w:name w:val="Quote"/>
    <w:basedOn w:val="Normal"/>
    <w:next w:val="Normal"/>
    <w:link w:val="CitaCar"/>
    <w:uiPriority w:val="29"/>
    <w:qFormat/>
    <w:rsid w:val="007E3BFE"/>
    <w:rPr>
      <w:i/>
      <w:iCs/>
      <w:color w:val="000000" w:themeColor="text1"/>
    </w:rPr>
  </w:style>
  <w:style w:type="character" w:customStyle="1" w:styleId="CitaCar">
    <w:name w:val="Cita Car"/>
    <w:basedOn w:val="Fuentedeprrafopredeter"/>
    <w:link w:val="Cita"/>
    <w:uiPriority w:val="29"/>
    <w:rsid w:val="007E3BFE"/>
    <w:rPr>
      <w:i/>
      <w:iCs/>
      <w:color w:val="000000" w:themeColor="text1"/>
      <w:lang w:val="es-ES_tradnl" w:eastAsia="en-US"/>
    </w:rPr>
  </w:style>
  <w:style w:type="character" w:styleId="nfasissutil">
    <w:name w:val="Subtle Emphasis"/>
    <w:basedOn w:val="Fuentedeprrafopredeter"/>
    <w:uiPriority w:val="19"/>
    <w:qFormat/>
    <w:rsid w:val="007E3BFE"/>
    <w:rPr>
      <w:i/>
      <w:iCs/>
      <w:color w:val="808080" w:themeColor="text1" w:themeTint="7F"/>
    </w:rPr>
  </w:style>
  <w:style w:type="character" w:styleId="nfasisintenso">
    <w:name w:val="Intense Emphasis"/>
    <w:basedOn w:val="Fuentedeprrafopredeter"/>
    <w:uiPriority w:val="21"/>
    <w:qFormat/>
    <w:rsid w:val="007E3BFE"/>
    <w:rPr>
      <w:b/>
      <w:bCs/>
      <w:i/>
      <w:iCs/>
      <w:color w:val="4F81BD" w:themeColor="accent1"/>
    </w:rPr>
  </w:style>
  <w:style w:type="character" w:styleId="Referenciasutil">
    <w:name w:val="Subtle Reference"/>
    <w:basedOn w:val="Fuentedeprrafopredeter"/>
    <w:uiPriority w:val="31"/>
    <w:qFormat/>
    <w:rsid w:val="007E3BFE"/>
    <w:rPr>
      <w:smallCaps/>
      <w:color w:val="C0504D" w:themeColor="accent2"/>
      <w:u w:val="single"/>
    </w:rPr>
  </w:style>
  <w:style w:type="character" w:styleId="Referenciaintensa">
    <w:name w:val="Intense Reference"/>
    <w:basedOn w:val="Fuentedeprrafopredeter"/>
    <w:uiPriority w:val="32"/>
    <w:qFormat/>
    <w:rsid w:val="007E3BFE"/>
    <w:rPr>
      <w:b/>
      <w:bCs/>
      <w:smallCaps/>
      <w:color w:val="C0504D" w:themeColor="accent2"/>
      <w:spacing w:val="5"/>
      <w:u w:val="single"/>
    </w:rPr>
  </w:style>
  <w:style w:type="paragraph" w:customStyle="1" w:styleId="articulo1">
    <w:name w:val="articulo1"/>
    <w:basedOn w:val="Normal"/>
    <w:rsid w:val="007E3BFE"/>
    <w:pPr>
      <w:spacing w:before="360" w:after="180"/>
      <w:ind w:firstLine="0"/>
      <w:jc w:val="left"/>
    </w:pPr>
    <w:rPr>
      <w:b/>
      <w:bCs/>
      <w:sz w:val="24"/>
      <w:szCs w:val="24"/>
      <w:lang w:val="es-ES" w:eastAsia="es-ES"/>
    </w:rPr>
  </w:style>
  <w:style w:type="paragraph" w:customStyle="1" w:styleId="Default">
    <w:name w:val="Default"/>
    <w:rsid w:val="007E3BFE"/>
    <w:pPr>
      <w:autoSpaceDE w:val="0"/>
      <w:autoSpaceDN w:val="0"/>
      <w:adjustRightInd w:val="0"/>
    </w:pPr>
    <w:rPr>
      <w:rFonts w:ascii="ITCCentury Book" w:hAnsi="ITCCentury Book" w:cs="ITCCentury Book"/>
      <w:color w:val="000000"/>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9416</Words>
  <Characters>51748</Characters>
  <Application>Microsoft Office Word</Application>
  <DocSecurity>0</DocSecurity>
  <Lines>1669</Lines>
  <Paragraphs>1223</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2</cp:revision>
  <cp:lastPrinted>2016-11-25T12:32:00Z</cp:lastPrinted>
  <dcterms:created xsi:type="dcterms:W3CDTF">2017-01-09T07:11:00Z</dcterms:created>
  <dcterms:modified xsi:type="dcterms:W3CDTF">2017-01-09T07:11:00Z</dcterms:modified>
</cp:coreProperties>
</file>